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diagrams/data2.xml" ContentType="application/vnd.openxmlformats-officedocument.drawingml.diagramData+xml"/>
  <Override PartName="/word/diagrams/data1.xml" ContentType="application/vnd.openxmlformats-officedocument.drawingml.diagramData+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1.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diagrams/drawing2.xml" ContentType="application/vnd.ms-office.drawingml.diagramDrawing+xml"/>
  <Override PartName="/word/diagrams/drawing1.xml" ContentType="application/vnd.ms-office.drawingml.diagramDrawing+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quickStyle1.xml" ContentType="application/vnd.openxmlformats-officedocument.drawingml.diagramStyle+xml"/>
  <Override PartName="/word/diagrams/colors1.xml" ContentType="application/vnd.openxmlformats-officedocument.drawingml.diagramColors+xml"/>
  <Override PartName="/word/theme/theme1.xml" ContentType="application/vnd.openxmlformats-officedocument.theme+xml"/>
  <Override PartName="/word/diagrams/layout1.xml" ContentType="application/vnd.openxmlformats-officedocument.drawingml.diagramLayout+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fontTable.xml" ContentType="application/vnd.openxmlformats-officedocument.wordprocessingml.fontTable+xml"/>
  <Override PartName="/customXml/itemProps2.xml" ContentType="application/vnd.openxmlformats-officedocument.customXmlPropertie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customXml/itemProps3.xml" ContentType="application/vnd.openxmlformats-officedocument.customXmlProperti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word/styles.xml" ContentType="application/vnd.openxmlformats-officedocument.wordprocessingml.styles+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08F656" w14:textId="77777777" w:rsidR="00CF33D9" w:rsidRDefault="00CF33D9">
      <w:pPr>
        <w:widowControl w:val="0"/>
        <w:spacing w:line="276" w:lineRule="auto"/>
        <w:rPr>
          <w:rFonts w:ascii="Calibri" w:hAnsi="Calibri" w:cs="Calibri"/>
          <w:sz w:val="20"/>
          <w:szCs w:val="20"/>
        </w:rPr>
      </w:pPr>
    </w:p>
    <w:p w14:paraId="6808F657" w14:textId="77777777" w:rsidR="00CF33D9" w:rsidRDefault="00E3332A">
      <w:pPr>
        <w:tabs>
          <w:tab w:val="left" w:pos="7371"/>
        </w:tabs>
        <w:spacing w:after="60"/>
        <w:jc w:val="center"/>
        <w:rPr>
          <w:rFonts w:ascii="Calibri" w:eastAsia="Calibri" w:hAnsi="Calibri" w:cs="Calibri"/>
          <w:b/>
          <w:sz w:val="20"/>
          <w:szCs w:val="20"/>
        </w:rPr>
      </w:pPr>
      <w:bookmarkStart w:id="0" w:name="bookmark=id.gjdgxs" w:colFirst="0" w:colLast="0"/>
      <w:bookmarkEnd w:id="0"/>
      <w:r>
        <w:rPr>
          <w:rFonts w:ascii="Calibri" w:eastAsia="Arial" w:hAnsi="Calibri" w:cs="Calibri"/>
          <w:noProof/>
          <w:sz w:val="20"/>
          <w:szCs w:val="20"/>
        </w:rPr>
        <w:drawing>
          <wp:inline distT="0" distB="0" distL="0" distR="0" wp14:anchorId="6809220B" wp14:editId="6809220C">
            <wp:extent cx="1914525" cy="1267460"/>
            <wp:effectExtent l="0" t="0" r="0" b="0"/>
            <wp:docPr id="1957661947" name="image3.png"/>
            <wp:cNvGraphicFramePr/>
            <a:graphic xmlns:a="http://schemas.openxmlformats.org/drawingml/2006/main">
              <a:graphicData uri="http://schemas.openxmlformats.org/drawingml/2006/picture">
                <pic:pic xmlns:pic="http://schemas.openxmlformats.org/drawingml/2006/picture">
                  <pic:nvPicPr>
                    <pic:cNvPr id="1957661947" name="image3.png"/>
                    <pic:cNvPicPr preferRelativeResize="0"/>
                  </pic:nvPicPr>
                  <pic:blipFill>
                    <a:blip r:embed="rId10"/>
                    <a:srcRect/>
                    <a:stretch>
                      <a:fillRect/>
                    </a:stretch>
                  </pic:blipFill>
                  <pic:spPr>
                    <a:xfrm>
                      <a:off x="0" y="0"/>
                      <a:ext cx="1914821" cy="1267901"/>
                    </a:xfrm>
                    <a:prstGeom prst="rect">
                      <a:avLst/>
                    </a:prstGeom>
                  </pic:spPr>
                </pic:pic>
              </a:graphicData>
            </a:graphic>
          </wp:inline>
        </w:drawing>
      </w:r>
      <w:r>
        <w:rPr>
          <w:rFonts w:ascii="Calibri" w:eastAsia="Arial" w:hAnsi="Calibri" w:cs="Calibri"/>
          <w:noProof/>
          <w:sz w:val="20"/>
          <w:szCs w:val="20"/>
        </w:rPr>
        <w:drawing>
          <wp:inline distT="0" distB="0" distL="0" distR="0" wp14:anchorId="6809220D" wp14:editId="6809220E">
            <wp:extent cx="2042160" cy="1113155"/>
            <wp:effectExtent l="0" t="0" r="0" b="0"/>
            <wp:docPr id="1957661949" name="image2.png"/>
            <wp:cNvGraphicFramePr/>
            <a:graphic xmlns:a="http://schemas.openxmlformats.org/drawingml/2006/main">
              <a:graphicData uri="http://schemas.openxmlformats.org/drawingml/2006/picture">
                <pic:pic xmlns:pic="http://schemas.openxmlformats.org/drawingml/2006/picture">
                  <pic:nvPicPr>
                    <pic:cNvPr id="1957661949" name="image2.png"/>
                    <pic:cNvPicPr preferRelativeResize="0"/>
                  </pic:nvPicPr>
                  <pic:blipFill>
                    <a:blip r:embed="rId11"/>
                    <a:srcRect/>
                    <a:stretch>
                      <a:fillRect/>
                    </a:stretch>
                  </pic:blipFill>
                  <pic:spPr>
                    <a:xfrm>
                      <a:off x="0" y="0"/>
                      <a:ext cx="2042309" cy="1113233"/>
                    </a:xfrm>
                    <a:prstGeom prst="rect">
                      <a:avLst/>
                    </a:prstGeom>
                  </pic:spPr>
                </pic:pic>
              </a:graphicData>
            </a:graphic>
          </wp:inline>
        </w:drawing>
      </w:r>
      <w:r>
        <w:rPr>
          <w:rFonts w:ascii="Calibri" w:eastAsia="Calibri" w:hAnsi="Calibri" w:cs="Calibri"/>
          <w:b/>
          <w:sz w:val="20"/>
          <w:szCs w:val="20"/>
        </w:rPr>
        <w:t xml:space="preserve">                             </w:t>
      </w:r>
      <w:r>
        <w:rPr>
          <w:rFonts w:ascii="Calibri" w:eastAsia="Arial" w:hAnsi="Calibri" w:cs="Calibri"/>
          <w:noProof/>
          <w:sz w:val="20"/>
          <w:szCs w:val="20"/>
        </w:rPr>
        <w:drawing>
          <wp:inline distT="0" distB="0" distL="0" distR="0" wp14:anchorId="6809220F" wp14:editId="68092210">
            <wp:extent cx="871855" cy="1288415"/>
            <wp:effectExtent l="0" t="0" r="0" b="0"/>
            <wp:docPr id="1957661948" name="image1.png"/>
            <wp:cNvGraphicFramePr/>
            <a:graphic xmlns:a="http://schemas.openxmlformats.org/drawingml/2006/main">
              <a:graphicData uri="http://schemas.openxmlformats.org/drawingml/2006/picture">
                <pic:pic xmlns:pic="http://schemas.openxmlformats.org/drawingml/2006/picture">
                  <pic:nvPicPr>
                    <pic:cNvPr id="1957661948" name="image1.png"/>
                    <pic:cNvPicPr preferRelativeResize="0"/>
                  </pic:nvPicPr>
                  <pic:blipFill>
                    <a:blip r:embed="rId12"/>
                    <a:srcRect b="21697"/>
                    <a:stretch>
                      <a:fillRect/>
                    </a:stretch>
                  </pic:blipFill>
                  <pic:spPr>
                    <a:xfrm>
                      <a:off x="0" y="0"/>
                      <a:ext cx="872299" cy="1288950"/>
                    </a:xfrm>
                    <a:prstGeom prst="rect">
                      <a:avLst/>
                    </a:prstGeom>
                  </pic:spPr>
                </pic:pic>
              </a:graphicData>
            </a:graphic>
          </wp:inline>
        </w:drawing>
      </w:r>
    </w:p>
    <w:p w14:paraId="6808F658" w14:textId="77777777" w:rsidR="00CF33D9" w:rsidRDefault="00E3332A">
      <w:pPr>
        <w:spacing w:after="60"/>
        <w:jc w:val="both"/>
        <w:rPr>
          <w:rFonts w:ascii="Calibri" w:eastAsia="Calibri" w:hAnsi="Calibri" w:cs="Calibri"/>
          <w:b/>
          <w:sz w:val="20"/>
          <w:szCs w:val="20"/>
        </w:rPr>
      </w:pPr>
      <w:r>
        <w:rPr>
          <w:rFonts w:ascii="Calibri" w:eastAsia="Calibri" w:hAnsi="Calibri" w:cs="Calibri"/>
          <w:sz w:val="20"/>
          <w:szCs w:val="20"/>
        </w:rPr>
        <w:t xml:space="preserve"> </w:t>
      </w:r>
    </w:p>
    <w:p w14:paraId="6808F659" w14:textId="77777777" w:rsidR="00CF33D9" w:rsidRDefault="00CF33D9">
      <w:pPr>
        <w:spacing w:after="60"/>
        <w:jc w:val="both"/>
        <w:rPr>
          <w:rFonts w:ascii="Calibri" w:eastAsia="Calibri" w:hAnsi="Calibri" w:cs="Calibri"/>
          <w:b/>
          <w:sz w:val="20"/>
          <w:szCs w:val="20"/>
        </w:rPr>
      </w:pPr>
      <w:bookmarkStart w:id="1" w:name="_heading=h.30j0zll" w:colFirst="0" w:colLast="0"/>
      <w:bookmarkEnd w:id="1"/>
    </w:p>
    <w:p w14:paraId="6808F65A" w14:textId="77777777" w:rsidR="00CF33D9" w:rsidRDefault="00CF33D9">
      <w:pPr>
        <w:jc w:val="center"/>
        <w:rPr>
          <w:rFonts w:ascii="Calibri" w:eastAsia="Calibri" w:hAnsi="Calibri" w:cs="Calibri"/>
          <w:b/>
          <w:sz w:val="20"/>
          <w:szCs w:val="20"/>
        </w:rPr>
      </w:pPr>
    </w:p>
    <w:p w14:paraId="6808F65B" w14:textId="77777777" w:rsidR="00CF33D9" w:rsidRDefault="00CF33D9">
      <w:pPr>
        <w:spacing w:after="120"/>
        <w:jc w:val="both"/>
        <w:rPr>
          <w:rFonts w:ascii="Calibri" w:eastAsia="Calibri" w:hAnsi="Calibri" w:cs="Calibri"/>
          <w:b/>
          <w:i/>
          <w:sz w:val="20"/>
          <w:szCs w:val="20"/>
          <w:highlight w:val="yellow"/>
        </w:rPr>
      </w:pPr>
    </w:p>
    <w:p w14:paraId="6808F65C" w14:textId="77777777" w:rsidR="00CF33D9" w:rsidRDefault="00E3332A">
      <w:pPr>
        <w:spacing w:after="240"/>
        <w:jc w:val="center"/>
        <w:rPr>
          <w:rFonts w:ascii="Calibri" w:eastAsia="Calibri" w:hAnsi="Calibri" w:cs="Calibri"/>
          <w:b/>
          <w:sz w:val="20"/>
          <w:szCs w:val="20"/>
        </w:rPr>
      </w:pPr>
      <w:r>
        <w:rPr>
          <w:rFonts w:ascii="Calibri" w:eastAsia="Calibri" w:hAnsi="Calibri" w:cs="Calibri"/>
          <w:b/>
          <w:sz w:val="20"/>
          <w:szCs w:val="20"/>
        </w:rPr>
        <w:t>United Nations Development Programme</w:t>
      </w:r>
    </w:p>
    <w:p w14:paraId="6808F65D" w14:textId="77777777" w:rsidR="00CF33D9" w:rsidRDefault="00E3332A">
      <w:pPr>
        <w:spacing w:after="240"/>
        <w:jc w:val="center"/>
        <w:rPr>
          <w:rFonts w:ascii="Calibri" w:eastAsia="Calibri" w:hAnsi="Calibri" w:cs="Calibri"/>
          <w:b/>
          <w:sz w:val="20"/>
          <w:szCs w:val="20"/>
        </w:rPr>
      </w:pPr>
      <w:r>
        <w:rPr>
          <w:rFonts w:ascii="Calibri" w:eastAsia="Calibri" w:hAnsi="Calibri" w:cs="Calibri"/>
          <w:b/>
          <w:color w:val="000000"/>
          <w:sz w:val="20"/>
          <w:szCs w:val="20"/>
        </w:rPr>
        <w:t>PROJECT DOCUMENT</w:t>
      </w:r>
    </w:p>
    <w:tbl>
      <w:tblPr>
        <w:tblStyle w:val="Style257"/>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93"/>
        <w:gridCol w:w="1820"/>
        <w:gridCol w:w="419"/>
        <w:gridCol w:w="1081"/>
        <w:gridCol w:w="4047"/>
      </w:tblGrid>
      <w:tr w:rsidR="00CF33D9" w14:paraId="6808F65F" w14:textId="77777777">
        <w:trPr>
          <w:trHeight w:val="548"/>
        </w:trPr>
        <w:tc>
          <w:tcPr>
            <w:tcW w:w="9360" w:type="dxa"/>
            <w:gridSpan w:val="5"/>
            <w:shd w:val="clear" w:color="auto" w:fill="auto"/>
          </w:tcPr>
          <w:p w14:paraId="6808F65E" w14:textId="77777777" w:rsidR="00CF33D9" w:rsidRDefault="00E3332A">
            <w:pPr>
              <w:rPr>
                <w:rFonts w:eastAsia="Calibri"/>
                <w:b/>
                <w:sz w:val="20"/>
                <w:szCs w:val="20"/>
              </w:rPr>
            </w:pPr>
            <w:r>
              <w:rPr>
                <w:rFonts w:eastAsia="Calibri"/>
                <w:b/>
                <w:sz w:val="20"/>
                <w:szCs w:val="20"/>
              </w:rPr>
              <w:t xml:space="preserve">Project title: </w:t>
            </w:r>
            <w:r>
              <w:rPr>
                <w:rFonts w:eastAsia="Calibri"/>
                <w:sz w:val="20"/>
                <w:szCs w:val="20"/>
              </w:rPr>
              <w:t>Mainstreaming Climate-Resilient Blue Economy in the BCLME Region (BCLME IV Project)</w:t>
            </w:r>
          </w:p>
        </w:tc>
      </w:tr>
      <w:tr w:rsidR="00CF33D9" w14:paraId="6808F66A" w14:textId="77777777">
        <w:trPr>
          <w:trHeight w:val="1007"/>
        </w:trPr>
        <w:tc>
          <w:tcPr>
            <w:tcW w:w="1993" w:type="dxa"/>
            <w:tcBorders>
              <w:top w:val="single" w:sz="4" w:space="0" w:color="000000"/>
              <w:left w:val="single" w:sz="4" w:space="0" w:color="000000"/>
              <w:bottom w:val="single" w:sz="4" w:space="0" w:color="000000"/>
              <w:right w:val="single" w:sz="4" w:space="0" w:color="000000"/>
            </w:tcBorders>
            <w:shd w:val="clear" w:color="auto" w:fill="auto"/>
          </w:tcPr>
          <w:p w14:paraId="6808F660" w14:textId="77777777" w:rsidR="00CF33D9" w:rsidRDefault="00E3332A">
            <w:pPr>
              <w:spacing w:after="240"/>
              <w:jc w:val="both"/>
              <w:rPr>
                <w:rFonts w:eastAsia="Calibri"/>
                <w:b/>
                <w:sz w:val="20"/>
                <w:szCs w:val="20"/>
              </w:rPr>
            </w:pPr>
            <w:r>
              <w:rPr>
                <w:rFonts w:eastAsia="Calibri"/>
                <w:b/>
                <w:sz w:val="20"/>
                <w:szCs w:val="20"/>
              </w:rPr>
              <w:t xml:space="preserve">Country(ies): </w:t>
            </w:r>
          </w:p>
          <w:p w14:paraId="6808F661" w14:textId="77777777" w:rsidR="00CF33D9" w:rsidRDefault="00E3332A">
            <w:pPr>
              <w:jc w:val="both"/>
              <w:rPr>
                <w:rFonts w:eastAsia="Calibri"/>
                <w:sz w:val="20"/>
                <w:szCs w:val="20"/>
              </w:rPr>
            </w:pPr>
            <w:r>
              <w:rPr>
                <w:rFonts w:eastAsia="Calibri"/>
                <w:sz w:val="20"/>
                <w:szCs w:val="20"/>
              </w:rPr>
              <w:t>Angola</w:t>
            </w:r>
          </w:p>
          <w:p w14:paraId="6808F662" w14:textId="77777777" w:rsidR="00CF33D9" w:rsidRDefault="00E3332A">
            <w:pPr>
              <w:jc w:val="both"/>
              <w:rPr>
                <w:rFonts w:eastAsia="Calibri"/>
                <w:sz w:val="20"/>
                <w:szCs w:val="20"/>
              </w:rPr>
            </w:pPr>
            <w:r>
              <w:rPr>
                <w:rFonts w:eastAsia="Calibri"/>
                <w:sz w:val="20"/>
                <w:szCs w:val="20"/>
              </w:rPr>
              <w:t>Namibia</w:t>
            </w:r>
          </w:p>
          <w:p w14:paraId="6808F663" w14:textId="77777777" w:rsidR="00CF33D9" w:rsidRDefault="00E3332A">
            <w:pPr>
              <w:jc w:val="both"/>
              <w:rPr>
                <w:rFonts w:eastAsia="Calibri"/>
                <w:sz w:val="20"/>
                <w:szCs w:val="20"/>
              </w:rPr>
            </w:pPr>
            <w:r>
              <w:rPr>
                <w:rFonts w:eastAsia="Calibri"/>
                <w:sz w:val="20"/>
                <w:szCs w:val="20"/>
              </w:rPr>
              <w:t>South Africa</w:t>
            </w:r>
          </w:p>
          <w:p w14:paraId="6808F664" w14:textId="77777777" w:rsidR="00CF33D9" w:rsidRDefault="00CF33D9">
            <w:pPr>
              <w:spacing w:after="240"/>
              <w:jc w:val="both"/>
              <w:rPr>
                <w:rFonts w:eastAsia="Calibri"/>
                <w:b/>
                <w:sz w:val="20"/>
                <w:szCs w:val="20"/>
              </w:rPr>
            </w:pPr>
          </w:p>
        </w:tc>
        <w:tc>
          <w:tcPr>
            <w:tcW w:w="3320" w:type="dxa"/>
            <w:gridSpan w:val="3"/>
            <w:tcBorders>
              <w:top w:val="single" w:sz="4" w:space="0" w:color="000000"/>
              <w:left w:val="single" w:sz="4" w:space="0" w:color="000000"/>
              <w:bottom w:val="single" w:sz="4" w:space="0" w:color="000000"/>
              <w:right w:val="single" w:sz="4" w:space="0" w:color="000000"/>
            </w:tcBorders>
            <w:shd w:val="clear" w:color="auto" w:fill="auto"/>
          </w:tcPr>
          <w:p w14:paraId="6808F665" w14:textId="77777777" w:rsidR="00CF33D9" w:rsidRDefault="00E3332A">
            <w:pPr>
              <w:rPr>
                <w:rFonts w:eastAsia="Calibri"/>
                <w:b/>
                <w:sz w:val="20"/>
                <w:szCs w:val="20"/>
              </w:rPr>
            </w:pPr>
            <w:r>
              <w:rPr>
                <w:rFonts w:eastAsia="Calibri"/>
                <w:b/>
                <w:sz w:val="20"/>
                <w:szCs w:val="20"/>
              </w:rPr>
              <w:t xml:space="preserve">Implementing Partner (GEF Executing Entity): </w:t>
            </w:r>
          </w:p>
          <w:p w14:paraId="6808F666" w14:textId="77777777" w:rsidR="00CF33D9" w:rsidRDefault="00E3332A">
            <w:pPr>
              <w:rPr>
                <w:rFonts w:eastAsia="Calibri"/>
                <w:sz w:val="20"/>
                <w:szCs w:val="20"/>
              </w:rPr>
            </w:pPr>
            <w:r>
              <w:rPr>
                <w:rFonts w:eastAsia="Calibri"/>
                <w:sz w:val="20"/>
                <w:szCs w:val="20"/>
              </w:rPr>
              <w:t>Benguela Current Commission (BCC)</w:t>
            </w:r>
          </w:p>
        </w:tc>
        <w:tc>
          <w:tcPr>
            <w:tcW w:w="4047" w:type="dxa"/>
            <w:tcBorders>
              <w:top w:val="single" w:sz="4" w:space="0" w:color="000000"/>
              <w:left w:val="single" w:sz="4" w:space="0" w:color="000000"/>
              <w:bottom w:val="single" w:sz="4" w:space="0" w:color="000000"/>
              <w:right w:val="single" w:sz="4" w:space="0" w:color="000000"/>
            </w:tcBorders>
            <w:shd w:val="clear" w:color="auto" w:fill="auto"/>
          </w:tcPr>
          <w:p w14:paraId="6808F667" w14:textId="77777777" w:rsidR="00CF33D9" w:rsidRDefault="00E3332A">
            <w:pPr>
              <w:jc w:val="both"/>
              <w:rPr>
                <w:rFonts w:eastAsia="Calibri"/>
                <w:i/>
                <w:sz w:val="20"/>
                <w:szCs w:val="20"/>
              </w:rPr>
            </w:pPr>
            <w:r>
              <w:rPr>
                <w:rFonts w:eastAsia="Calibri"/>
                <w:b/>
                <w:sz w:val="20"/>
                <w:szCs w:val="20"/>
              </w:rPr>
              <w:t>Execution Modality</w:t>
            </w:r>
            <w:r>
              <w:rPr>
                <w:rFonts w:eastAsia="Calibri"/>
                <w:i/>
                <w:sz w:val="20"/>
                <w:szCs w:val="20"/>
              </w:rPr>
              <w:t xml:space="preserve">: </w:t>
            </w:r>
          </w:p>
          <w:p w14:paraId="6808F668" w14:textId="77777777" w:rsidR="00CF33D9" w:rsidRDefault="00E3332A">
            <w:pPr>
              <w:rPr>
                <w:rFonts w:eastAsia="Calibri"/>
                <w:sz w:val="20"/>
                <w:szCs w:val="20"/>
              </w:rPr>
            </w:pPr>
            <w:r>
              <w:rPr>
                <w:rFonts w:eastAsia="Calibri"/>
                <w:sz w:val="20"/>
                <w:szCs w:val="20"/>
              </w:rPr>
              <w:t>Intergovernmental Organizations (IGO)</w:t>
            </w:r>
          </w:p>
          <w:p w14:paraId="6808F669" w14:textId="77777777" w:rsidR="00CF33D9" w:rsidRDefault="00CF33D9">
            <w:pPr>
              <w:ind w:left="720"/>
              <w:rPr>
                <w:rFonts w:eastAsia="Calibri"/>
                <w:sz w:val="20"/>
                <w:szCs w:val="20"/>
              </w:rPr>
            </w:pPr>
          </w:p>
        </w:tc>
      </w:tr>
      <w:tr w:rsidR="00CF33D9" w14:paraId="6808F66C" w14:textId="77777777">
        <w:tc>
          <w:tcPr>
            <w:tcW w:w="9360" w:type="dxa"/>
            <w:gridSpan w:val="5"/>
            <w:shd w:val="clear" w:color="auto" w:fill="auto"/>
          </w:tcPr>
          <w:p w14:paraId="6808F66B" w14:textId="77777777" w:rsidR="00CF33D9" w:rsidRDefault="00E3332A">
            <w:pPr>
              <w:spacing w:after="240"/>
              <w:jc w:val="both"/>
              <w:rPr>
                <w:rFonts w:eastAsia="Calibri"/>
                <w:i/>
                <w:sz w:val="20"/>
                <w:szCs w:val="20"/>
              </w:rPr>
            </w:pPr>
            <w:r>
              <w:rPr>
                <w:rFonts w:eastAsia="Calibri"/>
                <w:b/>
                <w:sz w:val="20"/>
                <w:szCs w:val="20"/>
              </w:rPr>
              <w:t>Contributing Outcome (UNSDCF/CPD, RPD, GPD)</w:t>
            </w:r>
            <w:r>
              <w:rPr>
                <w:rFonts w:eastAsia="Calibri"/>
                <w:i/>
                <w:sz w:val="20"/>
                <w:szCs w:val="20"/>
              </w:rPr>
              <w:t>:</w:t>
            </w:r>
            <w:r>
              <w:rPr>
                <w:rFonts w:eastAsia="Calibri"/>
                <w:i/>
                <w:sz w:val="20"/>
                <w:szCs w:val="20"/>
                <w:lang w:val="en-US"/>
              </w:rPr>
              <w:t xml:space="preserve"> N/A</w:t>
            </w:r>
          </w:p>
        </w:tc>
      </w:tr>
      <w:tr w:rsidR="00CF33D9" w14:paraId="6808F671" w14:textId="77777777">
        <w:trPr>
          <w:trHeight w:val="1610"/>
        </w:trPr>
        <w:tc>
          <w:tcPr>
            <w:tcW w:w="4232" w:type="dxa"/>
            <w:gridSpan w:val="3"/>
            <w:shd w:val="clear" w:color="auto" w:fill="auto"/>
          </w:tcPr>
          <w:p w14:paraId="6808F66D" w14:textId="77777777" w:rsidR="00CF33D9" w:rsidRDefault="00E3332A">
            <w:pPr>
              <w:spacing w:after="240"/>
              <w:jc w:val="both"/>
              <w:rPr>
                <w:rFonts w:eastAsia="Calibri"/>
                <w:b/>
                <w:sz w:val="20"/>
                <w:szCs w:val="20"/>
              </w:rPr>
            </w:pPr>
            <w:r>
              <w:rPr>
                <w:rFonts w:eastAsia="Calibri"/>
                <w:b/>
                <w:sz w:val="20"/>
                <w:szCs w:val="20"/>
              </w:rPr>
              <w:t>UNDP Social and Environmental Screening Category:</w:t>
            </w:r>
          </w:p>
          <w:p w14:paraId="6808F66E" w14:textId="77777777" w:rsidR="00CF33D9" w:rsidRDefault="00E3332A">
            <w:pPr>
              <w:spacing w:after="240"/>
              <w:rPr>
                <w:rFonts w:eastAsia="Calibri"/>
                <w:sz w:val="20"/>
                <w:szCs w:val="20"/>
              </w:rPr>
            </w:pPr>
            <w:r>
              <w:rPr>
                <w:rFonts w:eastAsia="Calibri"/>
                <w:sz w:val="20"/>
                <w:szCs w:val="20"/>
                <w:lang w:val="en-US"/>
              </w:rPr>
              <w:t>Moderate</w:t>
            </w:r>
          </w:p>
        </w:tc>
        <w:tc>
          <w:tcPr>
            <w:tcW w:w="5128" w:type="dxa"/>
            <w:gridSpan w:val="2"/>
            <w:shd w:val="clear" w:color="auto" w:fill="auto"/>
          </w:tcPr>
          <w:p w14:paraId="6808F66F" w14:textId="77777777" w:rsidR="00CF33D9" w:rsidRDefault="00E3332A">
            <w:pPr>
              <w:spacing w:after="240"/>
              <w:jc w:val="both"/>
              <w:rPr>
                <w:rFonts w:eastAsia="Calibri"/>
                <w:b/>
                <w:sz w:val="20"/>
                <w:szCs w:val="20"/>
              </w:rPr>
            </w:pPr>
            <w:r>
              <w:rPr>
                <w:rFonts w:eastAsia="Calibri"/>
                <w:b/>
                <w:sz w:val="20"/>
                <w:szCs w:val="20"/>
              </w:rPr>
              <w:t xml:space="preserve">UNDP Gender Marker: </w:t>
            </w:r>
          </w:p>
          <w:p w14:paraId="6808F670" w14:textId="77777777" w:rsidR="00CF33D9" w:rsidRDefault="00E3332A">
            <w:pPr>
              <w:spacing w:after="240"/>
              <w:rPr>
                <w:rFonts w:eastAsia="Calibri"/>
                <w:sz w:val="20"/>
                <w:szCs w:val="20"/>
              </w:rPr>
            </w:pPr>
            <w:r>
              <w:rPr>
                <w:rFonts w:eastAsia="Calibri"/>
                <w:sz w:val="20"/>
                <w:szCs w:val="20"/>
                <w:lang w:val="en-US"/>
              </w:rPr>
              <w:t>GE2</w:t>
            </w:r>
          </w:p>
        </w:tc>
      </w:tr>
      <w:tr w:rsidR="00CF33D9" w14:paraId="6808F674" w14:textId="77777777">
        <w:tc>
          <w:tcPr>
            <w:tcW w:w="4232" w:type="dxa"/>
            <w:gridSpan w:val="3"/>
            <w:shd w:val="clear" w:color="auto" w:fill="auto"/>
          </w:tcPr>
          <w:p w14:paraId="6808F672" w14:textId="13AA904A" w:rsidR="00CF33D9" w:rsidRDefault="00E3332A">
            <w:pPr>
              <w:spacing w:after="240"/>
              <w:jc w:val="both"/>
              <w:rPr>
                <w:rFonts w:eastAsia="Calibri"/>
                <w:sz w:val="20"/>
                <w:szCs w:val="20"/>
              </w:rPr>
            </w:pPr>
            <w:r>
              <w:rPr>
                <w:rFonts w:eastAsia="Calibri"/>
                <w:b/>
                <w:sz w:val="20"/>
                <w:szCs w:val="20"/>
              </w:rPr>
              <w:t xml:space="preserve">Quantum Award ID: </w:t>
            </w:r>
            <w:r w:rsidR="0041069F" w:rsidRPr="00E3332A">
              <w:rPr>
                <w:rFonts w:eastAsia="Roboto"/>
                <w:color w:val="4D4D4D"/>
                <w:sz w:val="20"/>
                <w:szCs w:val="20"/>
                <w:highlight w:val="yellow"/>
                <w:shd w:val="clear" w:color="auto" w:fill="FAFAFA"/>
              </w:rPr>
              <w:t>1268924</w:t>
            </w:r>
          </w:p>
        </w:tc>
        <w:tc>
          <w:tcPr>
            <w:tcW w:w="5128" w:type="dxa"/>
            <w:gridSpan w:val="2"/>
            <w:shd w:val="clear" w:color="auto" w:fill="auto"/>
          </w:tcPr>
          <w:p w14:paraId="6808F673" w14:textId="116E2DEB" w:rsidR="00CF33D9" w:rsidRDefault="00E3332A">
            <w:pPr>
              <w:jc w:val="both"/>
              <w:rPr>
                <w:rFonts w:eastAsia="Calibri"/>
                <w:sz w:val="20"/>
                <w:szCs w:val="20"/>
              </w:rPr>
            </w:pPr>
            <w:r>
              <w:rPr>
                <w:rFonts w:eastAsia="Calibri"/>
                <w:b/>
                <w:sz w:val="20"/>
                <w:szCs w:val="20"/>
              </w:rPr>
              <w:t xml:space="preserve">Quantum Project ID: </w:t>
            </w:r>
            <w:r w:rsidR="00DF3CEB" w:rsidRPr="00E3332A">
              <w:rPr>
                <w:rFonts w:eastAsia="Roboto"/>
                <w:color w:val="4D4D4D"/>
                <w:sz w:val="20"/>
                <w:szCs w:val="20"/>
                <w:highlight w:val="yellow"/>
                <w:shd w:val="clear" w:color="auto" w:fill="FAFAFA"/>
              </w:rPr>
              <w:t>01002649</w:t>
            </w:r>
          </w:p>
        </w:tc>
      </w:tr>
      <w:tr w:rsidR="00CF33D9" w14:paraId="6808F677" w14:textId="77777777">
        <w:tc>
          <w:tcPr>
            <w:tcW w:w="4232" w:type="dxa"/>
            <w:gridSpan w:val="3"/>
            <w:shd w:val="clear" w:color="auto" w:fill="auto"/>
          </w:tcPr>
          <w:p w14:paraId="6808F675" w14:textId="77777777" w:rsidR="00CF33D9" w:rsidRDefault="00E3332A">
            <w:pPr>
              <w:spacing w:after="240"/>
              <w:jc w:val="both"/>
              <w:rPr>
                <w:rFonts w:eastAsia="Calibri"/>
                <w:b/>
                <w:sz w:val="20"/>
                <w:szCs w:val="20"/>
              </w:rPr>
            </w:pPr>
            <w:r>
              <w:rPr>
                <w:rFonts w:eastAsia="Calibri"/>
                <w:b/>
                <w:sz w:val="20"/>
                <w:szCs w:val="20"/>
              </w:rPr>
              <w:t xml:space="preserve">UNDP PIMS ID number: </w:t>
            </w:r>
            <w:r>
              <w:rPr>
                <w:rFonts w:eastAsia="Calibri"/>
                <w:sz w:val="20"/>
                <w:szCs w:val="20"/>
              </w:rPr>
              <w:t>6732</w:t>
            </w:r>
          </w:p>
        </w:tc>
        <w:tc>
          <w:tcPr>
            <w:tcW w:w="5128" w:type="dxa"/>
            <w:gridSpan w:val="2"/>
            <w:shd w:val="clear" w:color="auto" w:fill="auto"/>
          </w:tcPr>
          <w:p w14:paraId="6808F676" w14:textId="77777777" w:rsidR="00CF33D9" w:rsidRDefault="00E3332A">
            <w:pPr>
              <w:spacing w:after="240"/>
              <w:jc w:val="both"/>
              <w:rPr>
                <w:rFonts w:eastAsia="Calibri"/>
                <w:b/>
                <w:sz w:val="20"/>
                <w:szCs w:val="20"/>
              </w:rPr>
            </w:pPr>
            <w:r>
              <w:rPr>
                <w:rFonts w:eastAsia="Calibri"/>
                <w:b/>
                <w:sz w:val="20"/>
                <w:szCs w:val="20"/>
              </w:rPr>
              <w:t xml:space="preserve">GEF Project ID number: </w:t>
            </w:r>
            <w:r>
              <w:rPr>
                <w:rFonts w:eastAsia="Calibri"/>
                <w:sz w:val="20"/>
                <w:szCs w:val="20"/>
              </w:rPr>
              <w:t>11282</w:t>
            </w:r>
          </w:p>
        </w:tc>
      </w:tr>
      <w:tr w:rsidR="00CF33D9" w14:paraId="6808F679" w14:textId="77777777">
        <w:trPr>
          <w:trHeight w:val="350"/>
        </w:trPr>
        <w:tc>
          <w:tcPr>
            <w:tcW w:w="9360" w:type="dxa"/>
            <w:gridSpan w:val="5"/>
            <w:shd w:val="clear" w:color="auto" w:fill="auto"/>
          </w:tcPr>
          <w:p w14:paraId="6808F678" w14:textId="77777777" w:rsidR="00CF33D9" w:rsidRDefault="00E3332A">
            <w:pPr>
              <w:spacing w:after="240"/>
              <w:jc w:val="both"/>
              <w:rPr>
                <w:rFonts w:eastAsia="Calibri"/>
                <w:b/>
                <w:sz w:val="20"/>
                <w:szCs w:val="20"/>
              </w:rPr>
            </w:pPr>
            <w:r>
              <w:rPr>
                <w:rFonts w:eastAsia="Calibri"/>
                <w:b/>
                <w:sz w:val="20"/>
                <w:szCs w:val="20"/>
              </w:rPr>
              <w:t>LPAC meeting date:</w:t>
            </w:r>
            <w:r>
              <w:rPr>
                <w:rFonts w:eastAsia="Calibri"/>
                <w:b/>
                <w:sz w:val="20"/>
                <w:szCs w:val="20"/>
                <w:lang w:val="en-US"/>
              </w:rPr>
              <w:t xml:space="preserve"> 16 October 2024</w:t>
            </w:r>
          </w:p>
        </w:tc>
      </w:tr>
      <w:tr w:rsidR="00CF33D9" w14:paraId="6808F67B" w14:textId="77777777">
        <w:trPr>
          <w:trHeight w:val="350"/>
        </w:trPr>
        <w:tc>
          <w:tcPr>
            <w:tcW w:w="9360" w:type="dxa"/>
            <w:gridSpan w:val="5"/>
            <w:shd w:val="clear" w:color="auto" w:fill="auto"/>
          </w:tcPr>
          <w:p w14:paraId="6808F67A" w14:textId="77777777" w:rsidR="00CF33D9" w:rsidRDefault="00E3332A">
            <w:pPr>
              <w:spacing w:after="240"/>
              <w:jc w:val="both"/>
              <w:rPr>
                <w:rFonts w:eastAsia="Calibri"/>
                <w:b/>
                <w:sz w:val="20"/>
                <w:szCs w:val="20"/>
              </w:rPr>
            </w:pPr>
            <w:r>
              <w:rPr>
                <w:rFonts w:eastAsia="Calibri"/>
                <w:b/>
                <w:sz w:val="20"/>
                <w:szCs w:val="20"/>
              </w:rPr>
              <w:t xml:space="preserve">Last possible date to submit to GEF: </w:t>
            </w:r>
            <w:r>
              <w:rPr>
                <w:rFonts w:eastAsia="Calibri"/>
                <w:iCs/>
                <w:sz w:val="20"/>
                <w:szCs w:val="20"/>
                <w:lang w:val="en-US"/>
              </w:rPr>
              <w:t>29 June 2024</w:t>
            </w:r>
            <w:r>
              <w:rPr>
                <w:rFonts w:eastAsia="Calibri"/>
                <w:i/>
                <w:sz w:val="20"/>
                <w:szCs w:val="20"/>
              </w:rPr>
              <w:t xml:space="preserve"> </w:t>
            </w:r>
          </w:p>
        </w:tc>
      </w:tr>
      <w:tr w:rsidR="00CF33D9" w14:paraId="6808F67D" w14:textId="77777777">
        <w:trPr>
          <w:trHeight w:val="350"/>
        </w:trPr>
        <w:tc>
          <w:tcPr>
            <w:tcW w:w="9360" w:type="dxa"/>
            <w:gridSpan w:val="5"/>
            <w:shd w:val="clear" w:color="auto" w:fill="auto"/>
          </w:tcPr>
          <w:p w14:paraId="6808F67C" w14:textId="77777777" w:rsidR="00CF33D9" w:rsidRDefault="00E3332A">
            <w:pPr>
              <w:spacing w:after="240"/>
              <w:jc w:val="both"/>
              <w:rPr>
                <w:rFonts w:eastAsia="Calibri"/>
                <w:b/>
                <w:sz w:val="20"/>
                <w:szCs w:val="20"/>
              </w:rPr>
            </w:pPr>
            <w:r>
              <w:rPr>
                <w:rFonts w:eastAsia="Calibri"/>
                <w:b/>
                <w:sz w:val="20"/>
                <w:szCs w:val="20"/>
              </w:rPr>
              <w:t xml:space="preserve">Latest possible CEO endorsement date: </w:t>
            </w:r>
            <w:r>
              <w:rPr>
                <w:rFonts w:eastAsia="Calibri"/>
                <w:bCs/>
                <w:sz w:val="20"/>
                <w:szCs w:val="20"/>
                <w:lang w:val="en-US"/>
              </w:rPr>
              <w:t>29 December 2024</w:t>
            </w:r>
          </w:p>
        </w:tc>
      </w:tr>
      <w:tr w:rsidR="00CF33D9" w14:paraId="6808F67F" w14:textId="77777777">
        <w:trPr>
          <w:trHeight w:val="350"/>
        </w:trPr>
        <w:tc>
          <w:tcPr>
            <w:tcW w:w="9360" w:type="dxa"/>
            <w:gridSpan w:val="5"/>
            <w:shd w:val="clear" w:color="auto" w:fill="auto"/>
          </w:tcPr>
          <w:p w14:paraId="6808F67E" w14:textId="77777777" w:rsidR="00CF33D9" w:rsidRDefault="00E3332A">
            <w:pPr>
              <w:spacing w:after="240"/>
              <w:jc w:val="both"/>
              <w:rPr>
                <w:rFonts w:eastAsia="Calibri"/>
                <w:b/>
                <w:sz w:val="20"/>
                <w:szCs w:val="20"/>
              </w:rPr>
            </w:pPr>
            <w:r>
              <w:rPr>
                <w:rFonts w:eastAsia="Calibri"/>
                <w:b/>
                <w:sz w:val="20"/>
                <w:szCs w:val="20"/>
              </w:rPr>
              <w:t xml:space="preserve">Project duration in months: </w:t>
            </w:r>
            <w:r>
              <w:rPr>
                <w:rFonts w:eastAsia="Calibri"/>
                <w:sz w:val="20"/>
                <w:szCs w:val="20"/>
              </w:rPr>
              <w:t>72 months</w:t>
            </w:r>
          </w:p>
        </w:tc>
      </w:tr>
      <w:tr w:rsidR="00CF33D9" w14:paraId="6808F684" w14:textId="77777777">
        <w:trPr>
          <w:trHeight w:val="710"/>
        </w:trPr>
        <w:tc>
          <w:tcPr>
            <w:tcW w:w="4232" w:type="dxa"/>
            <w:gridSpan w:val="3"/>
            <w:shd w:val="clear" w:color="auto" w:fill="auto"/>
          </w:tcPr>
          <w:p w14:paraId="6808F680" w14:textId="77777777" w:rsidR="00CF33D9" w:rsidRDefault="00E3332A">
            <w:pPr>
              <w:spacing w:after="240"/>
              <w:jc w:val="both"/>
              <w:rPr>
                <w:rFonts w:eastAsia="Calibri"/>
                <w:b/>
                <w:sz w:val="20"/>
                <w:szCs w:val="20"/>
              </w:rPr>
            </w:pPr>
            <w:r>
              <w:rPr>
                <w:rFonts w:eastAsia="Calibri"/>
                <w:b/>
                <w:sz w:val="20"/>
                <w:szCs w:val="20"/>
              </w:rPr>
              <w:lastRenderedPageBreak/>
              <w:t xml:space="preserve">Planned start date: </w:t>
            </w:r>
            <w:r>
              <w:rPr>
                <w:rFonts w:eastAsia="Calibri"/>
                <w:sz w:val="20"/>
                <w:szCs w:val="20"/>
              </w:rPr>
              <w:t>1 January 2025</w:t>
            </w:r>
          </w:p>
          <w:p w14:paraId="6808F681" w14:textId="77777777" w:rsidR="00CF33D9" w:rsidRDefault="00CF33D9">
            <w:pPr>
              <w:spacing w:after="240"/>
              <w:jc w:val="both"/>
              <w:rPr>
                <w:rFonts w:eastAsia="Calibri"/>
                <w:b/>
                <w:sz w:val="20"/>
                <w:szCs w:val="20"/>
              </w:rPr>
            </w:pPr>
          </w:p>
        </w:tc>
        <w:tc>
          <w:tcPr>
            <w:tcW w:w="5128" w:type="dxa"/>
            <w:gridSpan w:val="2"/>
            <w:shd w:val="clear" w:color="auto" w:fill="auto"/>
          </w:tcPr>
          <w:p w14:paraId="6808F682" w14:textId="77777777" w:rsidR="00CF33D9" w:rsidRDefault="00E3332A">
            <w:pPr>
              <w:spacing w:after="240"/>
              <w:jc w:val="both"/>
              <w:rPr>
                <w:rFonts w:eastAsia="Calibri"/>
                <w:sz w:val="20"/>
                <w:szCs w:val="20"/>
              </w:rPr>
            </w:pPr>
            <w:r>
              <w:rPr>
                <w:rFonts w:eastAsia="Calibri"/>
                <w:b/>
                <w:sz w:val="20"/>
                <w:szCs w:val="20"/>
              </w:rPr>
              <w:t xml:space="preserve">Planned completion date: </w:t>
            </w:r>
            <w:r>
              <w:rPr>
                <w:rFonts w:eastAsia="Calibri"/>
                <w:sz w:val="20"/>
                <w:szCs w:val="20"/>
              </w:rPr>
              <w:t>31 December 2030</w:t>
            </w:r>
          </w:p>
          <w:p w14:paraId="6808F683" w14:textId="77777777" w:rsidR="00CF33D9" w:rsidRDefault="00CF33D9">
            <w:pPr>
              <w:spacing w:after="240"/>
              <w:jc w:val="both"/>
              <w:rPr>
                <w:rFonts w:eastAsia="Calibri"/>
                <w:i/>
                <w:sz w:val="20"/>
                <w:szCs w:val="20"/>
              </w:rPr>
            </w:pPr>
          </w:p>
        </w:tc>
      </w:tr>
      <w:tr w:rsidR="00CF33D9" w14:paraId="6808F689" w14:textId="77777777">
        <w:tc>
          <w:tcPr>
            <w:tcW w:w="4232" w:type="dxa"/>
            <w:gridSpan w:val="3"/>
            <w:shd w:val="clear" w:color="auto" w:fill="auto"/>
          </w:tcPr>
          <w:p w14:paraId="6808F685" w14:textId="77777777" w:rsidR="00CF33D9" w:rsidRDefault="00E3332A">
            <w:pPr>
              <w:spacing w:after="240"/>
              <w:jc w:val="both"/>
              <w:rPr>
                <w:rFonts w:eastAsia="Calibri"/>
                <w:sz w:val="20"/>
                <w:szCs w:val="20"/>
              </w:rPr>
            </w:pPr>
            <w:r>
              <w:rPr>
                <w:rFonts w:eastAsia="Calibri"/>
                <w:b/>
                <w:sz w:val="20"/>
                <w:szCs w:val="20"/>
              </w:rPr>
              <w:t xml:space="preserve">Expected date of Mid-Term Review (MTR) submission to the GEF: </w:t>
            </w:r>
            <w:r>
              <w:rPr>
                <w:rFonts w:eastAsia="Calibri"/>
                <w:sz w:val="20"/>
                <w:szCs w:val="20"/>
              </w:rPr>
              <w:t>1 January 2028</w:t>
            </w:r>
          </w:p>
          <w:p w14:paraId="6808F686" w14:textId="77777777" w:rsidR="00CF33D9" w:rsidRDefault="00CF33D9">
            <w:pPr>
              <w:spacing w:after="240"/>
              <w:jc w:val="both"/>
              <w:rPr>
                <w:rFonts w:eastAsia="Calibri"/>
                <w:i/>
                <w:sz w:val="20"/>
                <w:szCs w:val="20"/>
              </w:rPr>
            </w:pPr>
          </w:p>
        </w:tc>
        <w:tc>
          <w:tcPr>
            <w:tcW w:w="5128" w:type="dxa"/>
            <w:gridSpan w:val="2"/>
            <w:shd w:val="clear" w:color="auto" w:fill="auto"/>
          </w:tcPr>
          <w:p w14:paraId="6808F687" w14:textId="77777777" w:rsidR="00CF33D9" w:rsidRDefault="00E3332A">
            <w:pPr>
              <w:spacing w:after="240"/>
              <w:jc w:val="both"/>
              <w:rPr>
                <w:rFonts w:eastAsia="Calibri"/>
                <w:b/>
                <w:sz w:val="20"/>
                <w:szCs w:val="20"/>
              </w:rPr>
            </w:pPr>
            <w:r>
              <w:rPr>
                <w:rFonts w:eastAsia="Calibri"/>
                <w:b/>
                <w:sz w:val="20"/>
                <w:szCs w:val="20"/>
              </w:rPr>
              <w:t xml:space="preserve">Expected date of Terminal evaluation (TE) submission to the GEF: </w:t>
            </w:r>
            <w:r>
              <w:rPr>
                <w:rFonts w:eastAsia="Calibri"/>
                <w:sz w:val="20"/>
                <w:szCs w:val="20"/>
              </w:rPr>
              <w:t>30 June 2030</w:t>
            </w:r>
          </w:p>
          <w:p w14:paraId="6808F688" w14:textId="77777777" w:rsidR="00CF33D9" w:rsidRDefault="00CF33D9">
            <w:pPr>
              <w:spacing w:after="240"/>
              <w:jc w:val="both"/>
              <w:rPr>
                <w:rFonts w:eastAsia="Calibri"/>
                <w:b/>
                <w:i/>
                <w:sz w:val="20"/>
                <w:szCs w:val="20"/>
              </w:rPr>
            </w:pPr>
          </w:p>
        </w:tc>
      </w:tr>
      <w:tr w:rsidR="00CF33D9" w14:paraId="6808F68C" w14:textId="77777777">
        <w:trPr>
          <w:trHeight w:val="300"/>
        </w:trPr>
        <w:tc>
          <w:tcPr>
            <w:tcW w:w="4232" w:type="dxa"/>
            <w:gridSpan w:val="3"/>
            <w:shd w:val="clear" w:color="auto" w:fill="auto"/>
          </w:tcPr>
          <w:p w14:paraId="6808F68A" w14:textId="77777777" w:rsidR="00CF33D9" w:rsidRDefault="00E3332A">
            <w:pPr>
              <w:spacing w:after="240"/>
              <w:jc w:val="both"/>
              <w:rPr>
                <w:rFonts w:eastAsia="Calibri"/>
                <w:i/>
                <w:sz w:val="20"/>
                <w:szCs w:val="20"/>
              </w:rPr>
            </w:pPr>
            <w:r>
              <w:rPr>
                <w:rFonts w:eastAsia="Calibri"/>
                <w:b/>
                <w:sz w:val="20"/>
                <w:szCs w:val="20"/>
              </w:rPr>
              <w:t xml:space="preserve">Expected Operational Closure Date: </w:t>
            </w:r>
            <w:r>
              <w:rPr>
                <w:rFonts w:eastAsia="Calibri"/>
                <w:sz w:val="20"/>
                <w:szCs w:val="20"/>
              </w:rPr>
              <w:t>30 September 2031</w:t>
            </w:r>
            <w:r>
              <w:rPr>
                <w:rFonts w:eastAsia="Calibri"/>
                <w:i/>
                <w:sz w:val="20"/>
                <w:szCs w:val="20"/>
              </w:rPr>
              <w:t xml:space="preserve"> </w:t>
            </w:r>
          </w:p>
        </w:tc>
        <w:tc>
          <w:tcPr>
            <w:tcW w:w="5128" w:type="dxa"/>
            <w:gridSpan w:val="2"/>
            <w:shd w:val="clear" w:color="auto" w:fill="auto"/>
          </w:tcPr>
          <w:p w14:paraId="6808F68B" w14:textId="727022C1" w:rsidR="00CF33D9" w:rsidRDefault="00E3332A">
            <w:pPr>
              <w:spacing w:after="240"/>
              <w:jc w:val="both"/>
              <w:rPr>
                <w:rFonts w:eastAsia="Calibri"/>
                <w:b/>
                <w:sz w:val="20"/>
                <w:szCs w:val="20"/>
              </w:rPr>
            </w:pPr>
            <w:r>
              <w:rPr>
                <w:rFonts w:eastAsia="Calibri"/>
                <w:b/>
                <w:sz w:val="20"/>
                <w:szCs w:val="20"/>
              </w:rPr>
              <w:t xml:space="preserve">Expected Financial Closure Date: </w:t>
            </w:r>
            <w:r w:rsidRPr="00E3332A">
              <w:rPr>
                <w:rFonts w:eastAsia="Calibri"/>
                <w:sz w:val="20"/>
                <w:szCs w:val="20"/>
                <w:highlight w:val="yellow"/>
              </w:rPr>
              <w:t xml:space="preserve">31 </w:t>
            </w:r>
            <w:r w:rsidR="005432F5" w:rsidRPr="00E3332A">
              <w:rPr>
                <w:rFonts w:eastAsia="Calibri"/>
                <w:sz w:val="20"/>
                <w:szCs w:val="20"/>
                <w:highlight w:val="yellow"/>
              </w:rPr>
              <w:t xml:space="preserve">March </w:t>
            </w:r>
            <w:r w:rsidRPr="00E3332A">
              <w:rPr>
                <w:rFonts w:eastAsia="Calibri"/>
                <w:sz w:val="20"/>
                <w:szCs w:val="20"/>
                <w:highlight w:val="yellow"/>
              </w:rPr>
              <w:t>203</w:t>
            </w:r>
            <w:r w:rsidR="005432F5" w:rsidRPr="00E3332A">
              <w:rPr>
                <w:rFonts w:eastAsia="Calibri"/>
                <w:sz w:val="20"/>
                <w:szCs w:val="20"/>
                <w:highlight w:val="yellow"/>
              </w:rPr>
              <w:t>2</w:t>
            </w:r>
          </w:p>
        </w:tc>
      </w:tr>
      <w:tr w:rsidR="00CF33D9" w14:paraId="6808F68F" w14:textId="77777777">
        <w:trPr>
          <w:trHeight w:val="530"/>
        </w:trPr>
        <w:tc>
          <w:tcPr>
            <w:tcW w:w="9360" w:type="dxa"/>
            <w:gridSpan w:val="5"/>
            <w:tcBorders>
              <w:top w:val="single" w:sz="4" w:space="0" w:color="000000"/>
              <w:left w:val="single" w:sz="4" w:space="0" w:color="000000"/>
              <w:bottom w:val="single" w:sz="4" w:space="0" w:color="000000"/>
              <w:right w:val="single" w:sz="4" w:space="0" w:color="000000"/>
            </w:tcBorders>
            <w:shd w:val="clear" w:color="auto" w:fill="auto"/>
          </w:tcPr>
          <w:p w14:paraId="6808F68D" w14:textId="77777777" w:rsidR="00CF33D9" w:rsidRDefault="00E333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Calibri"/>
                <w:color w:val="000000"/>
                <w:sz w:val="20"/>
                <w:szCs w:val="20"/>
              </w:rPr>
            </w:pPr>
            <w:r>
              <w:rPr>
                <w:rFonts w:eastAsia="Calibri"/>
                <w:b/>
                <w:sz w:val="20"/>
                <w:szCs w:val="20"/>
              </w:rPr>
              <w:t xml:space="preserve">Brief project description: </w:t>
            </w:r>
            <w:r>
              <w:rPr>
                <w:rFonts w:eastAsia="Calibri"/>
                <w:color w:val="000000"/>
                <w:sz w:val="20"/>
                <w:szCs w:val="20"/>
              </w:rPr>
              <w:t xml:space="preserve">The BCLME is among the world’s most productive LMEs. The countries are highly dependent on its environment and living and non-living marine resources for socio-economic development. Despite this fact and the ongoing management efforts at the regional and national levels to implement SAP, the BCLME’s marine environment and living marine resources continue to be heavily impacted by human activities and climate change. The combined pressures from multiple sources have resulted in drastic changes, some of which irreversible, including depletion of fish stocks and degradation of critical coastal habitats and loss of marine biodiversity, which compromise the ability of the ecosystem to sustain many of the goods and services that it provides. The project aims to address the environmental problems and climate vulnerabilities. </w:t>
            </w:r>
          </w:p>
          <w:p w14:paraId="6808F68E" w14:textId="77777777" w:rsidR="00CF33D9" w:rsidRDefault="00E333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eastAsia="Calibri"/>
                <w:i/>
                <w:sz w:val="20"/>
                <w:szCs w:val="20"/>
              </w:rPr>
            </w:pPr>
            <w:r>
              <w:rPr>
                <w:rFonts w:eastAsia="Calibri"/>
                <w:color w:val="000000"/>
                <w:sz w:val="20"/>
                <w:szCs w:val="20"/>
              </w:rPr>
              <w:t xml:space="preserve">Over the longer term, implementation of the SAP will restore depleted living marine resources and degraded marine habitats, enhancing sustainable development opportunities within the region and increasing resilience of marine ecosystems and dependent coastal communities to climate change impacts. By strengthening policy and regulatory frameworks and institutional and private sector capacities, developing viable finance mechanisms to stimulate investment in sustainable blue/ocean interventions, and promoting blue carbon finance mechanisms the project will contribute to developing regional and national frameworks for innovative sustainable blue/ocean economy finance, which will make transition to Sustainable Blue Economy in BCLME region a reality. </w:t>
            </w:r>
          </w:p>
        </w:tc>
      </w:tr>
      <w:tr w:rsidR="00CF33D9" w14:paraId="6808F691" w14:textId="77777777">
        <w:trPr>
          <w:trHeight w:val="377"/>
        </w:trPr>
        <w:tc>
          <w:tcPr>
            <w:tcW w:w="9360" w:type="dxa"/>
            <w:gridSpan w:val="5"/>
            <w:shd w:val="clear" w:color="auto" w:fill="D9D9D9"/>
          </w:tcPr>
          <w:p w14:paraId="6808F690" w14:textId="77777777" w:rsidR="00CF33D9" w:rsidRDefault="00E3332A">
            <w:pPr>
              <w:spacing w:after="60"/>
              <w:jc w:val="both"/>
              <w:rPr>
                <w:rFonts w:eastAsia="Calibri"/>
                <w:b/>
                <w:smallCaps/>
                <w:sz w:val="20"/>
                <w:szCs w:val="20"/>
              </w:rPr>
            </w:pPr>
            <w:r>
              <w:rPr>
                <w:rFonts w:eastAsia="Calibri"/>
                <w:b/>
                <w:smallCaps/>
                <w:sz w:val="20"/>
                <w:szCs w:val="20"/>
              </w:rPr>
              <w:t xml:space="preserve">Financing Plan </w:t>
            </w:r>
          </w:p>
        </w:tc>
      </w:tr>
      <w:tr w:rsidR="00CF33D9" w14:paraId="6808F694" w14:textId="77777777">
        <w:tc>
          <w:tcPr>
            <w:tcW w:w="4232" w:type="dxa"/>
            <w:gridSpan w:val="3"/>
            <w:shd w:val="clear" w:color="auto" w:fill="auto"/>
          </w:tcPr>
          <w:p w14:paraId="6808F692" w14:textId="77777777" w:rsidR="00CF33D9" w:rsidRDefault="00E3332A">
            <w:pPr>
              <w:spacing w:after="240"/>
              <w:jc w:val="both"/>
              <w:rPr>
                <w:rFonts w:eastAsia="Calibri"/>
                <w:sz w:val="20"/>
                <w:szCs w:val="20"/>
              </w:rPr>
            </w:pPr>
            <w:r>
              <w:rPr>
                <w:rFonts w:eastAsia="Calibri"/>
                <w:sz w:val="20"/>
                <w:szCs w:val="20"/>
              </w:rPr>
              <w:t xml:space="preserve">GEF Trust Fund grant </w:t>
            </w:r>
          </w:p>
        </w:tc>
        <w:tc>
          <w:tcPr>
            <w:tcW w:w="5128" w:type="dxa"/>
            <w:gridSpan w:val="2"/>
            <w:shd w:val="clear" w:color="auto" w:fill="auto"/>
          </w:tcPr>
          <w:p w14:paraId="6808F693" w14:textId="77777777" w:rsidR="00CF33D9" w:rsidRDefault="00E3332A">
            <w:pPr>
              <w:spacing w:after="240"/>
              <w:jc w:val="both"/>
              <w:rPr>
                <w:rFonts w:eastAsia="Calibri"/>
                <w:sz w:val="20"/>
                <w:szCs w:val="20"/>
              </w:rPr>
            </w:pPr>
            <w:r>
              <w:rPr>
                <w:rFonts w:eastAsia="Calibri"/>
                <w:sz w:val="20"/>
                <w:szCs w:val="20"/>
              </w:rPr>
              <w:t>USD 10,484,931</w:t>
            </w:r>
          </w:p>
        </w:tc>
      </w:tr>
      <w:tr w:rsidR="00CF33D9" w14:paraId="6808F697" w14:textId="77777777">
        <w:tc>
          <w:tcPr>
            <w:tcW w:w="4232" w:type="dxa"/>
            <w:gridSpan w:val="3"/>
            <w:shd w:val="clear" w:color="auto" w:fill="auto"/>
          </w:tcPr>
          <w:p w14:paraId="6808F695" w14:textId="77777777" w:rsidR="00CF33D9" w:rsidRDefault="00E3332A">
            <w:pPr>
              <w:spacing w:after="240"/>
              <w:jc w:val="both"/>
              <w:rPr>
                <w:rFonts w:eastAsia="Calibri"/>
                <w:sz w:val="20"/>
                <w:szCs w:val="20"/>
              </w:rPr>
            </w:pPr>
            <w:r>
              <w:rPr>
                <w:rFonts w:eastAsia="Calibri"/>
                <w:sz w:val="20"/>
                <w:szCs w:val="20"/>
              </w:rPr>
              <w:t xml:space="preserve">UNDP TRAC resources </w:t>
            </w:r>
          </w:p>
        </w:tc>
        <w:tc>
          <w:tcPr>
            <w:tcW w:w="5128" w:type="dxa"/>
            <w:gridSpan w:val="2"/>
            <w:shd w:val="clear" w:color="auto" w:fill="auto"/>
          </w:tcPr>
          <w:p w14:paraId="6808F696" w14:textId="77777777" w:rsidR="00CF33D9" w:rsidRDefault="00E3332A">
            <w:pPr>
              <w:spacing w:after="240"/>
              <w:jc w:val="both"/>
              <w:rPr>
                <w:rFonts w:eastAsia="Calibri"/>
                <w:sz w:val="20"/>
                <w:szCs w:val="20"/>
              </w:rPr>
            </w:pPr>
            <w:r>
              <w:rPr>
                <w:rFonts w:eastAsia="Calibri"/>
                <w:sz w:val="20"/>
                <w:szCs w:val="20"/>
              </w:rPr>
              <w:t>USD  0</w:t>
            </w:r>
          </w:p>
        </w:tc>
      </w:tr>
      <w:tr w:rsidR="00CF33D9" w14:paraId="6808F69A" w14:textId="77777777">
        <w:tc>
          <w:tcPr>
            <w:tcW w:w="4232" w:type="dxa"/>
            <w:gridSpan w:val="3"/>
            <w:shd w:val="clear" w:color="auto" w:fill="auto"/>
          </w:tcPr>
          <w:p w14:paraId="6808F698" w14:textId="77777777" w:rsidR="00CF33D9" w:rsidRDefault="00E3332A">
            <w:pPr>
              <w:spacing w:after="240"/>
              <w:jc w:val="both"/>
              <w:rPr>
                <w:rFonts w:eastAsia="Calibri"/>
                <w:sz w:val="20"/>
                <w:szCs w:val="20"/>
              </w:rPr>
            </w:pPr>
            <w:r>
              <w:rPr>
                <w:rFonts w:eastAsia="Calibri"/>
                <w:sz w:val="20"/>
                <w:szCs w:val="20"/>
              </w:rPr>
              <w:t xml:space="preserve">Confirmed cash co-financing to be administered by UNDP </w:t>
            </w:r>
          </w:p>
        </w:tc>
        <w:tc>
          <w:tcPr>
            <w:tcW w:w="5128" w:type="dxa"/>
            <w:gridSpan w:val="2"/>
            <w:shd w:val="clear" w:color="auto" w:fill="auto"/>
          </w:tcPr>
          <w:p w14:paraId="6808F699" w14:textId="77777777" w:rsidR="00CF33D9" w:rsidRDefault="00E3332A">
            <w:pPr>
              <w:spacing w:after="240"/>
              <w:jc w:val="both"/>
              <w:rPr>
                <w:rFonts w:eastAsia="Calibri"/>
                <w:sz w:val="20"/>
                <w:szCs w:val="20"/>
              </w:rPr>
            </w:pPr>
            <w:r>
              <w:rPr>
                <w:rFonts w:eastAsia="Calibri"/>
                <w:sz w:val="20"/>
                <w:szCs w:val="20"/>
              </w:rPr>
              <w:t>USD 0</w:t>
            </w:r>
          </w:p>
        </w:tc>
      </w:tr>
      <w:tr w:rsidR="00CF33D9" w14:paraId="6808F69D" w14:textId="77777777">
        <w:tc>
          <w:tcPr>
            <w:tcW w:w="4232" w:type="dxa"/>
            <w:gridSpan w:val="3"/>
            <w:shd w:val="clear" w:color="auto" w:fill="auto"/>
          </w:tcPr>
          <w:p w14:paraId="6808F69B" w14:textId="77777777" w:rsidR="00CF33D9" w:rsidRDefault="00E3332A">
            <w:pPr>
              <w:numPr>
                <w:ilvl w:val="0"/>
                <w:numId w:val="11"/>
              </w:numPr>
              <w:spacing w:after="240"/>
              <w:jc w:val="both"/>
              <w:rPr>
                <w:rFonts w:eastAsia="Calibri"/>
                <w:b/>
                <w:sz w:val="20"/>
                <w:szCs w:val="20"/>
              </w:rPr>
            </w:pPr>
            <w:r>
              <w:rPr>
                <w:rFonts w:eastAsia="Calibri"/>
                <w:b/>
                <w:sz w:val="20"/>
                <w:szCs w:val="20"/>
              </w:rPr>
              <w:t xml:space="preserve">Total Budget administered by UNDP </w:t>
            </w:r>
          </w:p>
        </w:tc>
        <w:tc>
          <w:tcPr>
            <w:tcW w:w="5128" w:type="dxa"/>
            <w:gridSpan w:val="2"/>
            <w:shd w:val="clear" w:color="auto" w:fill="auto"/>
          </w:tcPr>
          <w:p w14:paraId="6808F69C" w14:textId="77777777" w:rsidR="00CF33D9" w:rsidRDefault="00E3332A">
            <w:pPr>
              <w:spacing w:after="240"/>
              <w:jc w:val="both"/>
              <w:rPr>
                <w:rFonts w:eastAsia="Calibri"/>
                <w:b/>
                <w:sz w:val="20"/>
                <w:szCs w:val="20"/>
              </w:rPr>
            </w:pPr>
            <w:r>
              <w:rPr>
                <w:rFonts w:eastAsia="Calibri"/>
                <w:b/>
                <w:sz w:val="20"/>
                <w:szCs w:val="20"/>
              </w:rPr>
              <w:t>USD 10,484,931</w:t>
            </w:r>
          </w:p>
        </w:tc>
      </w:tr>
      <w:tr w:rsidR="00CF33D9" w14:paraId="6808F69F" w14:textId="77777777">
        <w:tc>
          <w:tcPr>
            <w:tcW w:w="9360" w:type="dxa"/>
            <w:gridSpan w:val="5"/>
            <w:shd w:val="clear" w:color="auto" w:fill="D9D9D9"/>
          </w:tcPr>
          <w:p w14:paraId="6808F69E" w14:textId="77777777" w:rsidR="00CF33D9" w:rsidRDefault="00CF33D9">
            <w:pPr>
              <w:spacing w:after="60"/>
              <w:jc w:val="both"/>
              <w:rPr>
                <w:rFonts w:eastAsia="Calibri"/>
                <w:b/>
                <w:sz w:val="20"/>
                <w:szCs w:val="20"/>
              </w:rPr>
            </w:pPr>
          </w:p>
        </w:tc>
      </w:tr>
      <w:tr w:rsidR="00CF33D9" w14:paraId="6808F6A2" w14:textId="77777777">
        <w:tc>
          <w:tcPr>
            <w:tcW w:w="4232" w:type="dxa"/>
            <w:gridSpan w:val="3"/>
            <w:shd w:val="clear" w:color="auto" w:fill="auto"/>
          </w:tcPr>
          <w:p w14:paraId="6808F6A0" w14:textId="77777777" w:rsidR="00CF33D9" w:rsidRDefault="00E3332A">
            <w:pPr>
              <w:numPr>
                <w:ilvl w:val="0"/>
                <w:numId w:val="11"/>
              </w:numPr>
              <w:spacing w:after="240"/>
              <w:jc w:val="both"/>
              <w:rPr>
                <w:rFonts w:eastAsia="Calibri"/>
                <w:b/>
                <w:sz w:val="20"/>
                <w:szCs w:val="20"/>
              </w:rPr>
            </w:pPr>
            <w:r>
              <w:rPr>
                <w:rFonts w:eastAsia="Calibri"/>
                <w:b/>
                <w:sz w:val="20"/>
                <w:szCs w:val="20"/>
              </w:rPr>
              <w:t xml:space="preserve">Total confirmed co-financing to this project not administered by UNDP </w:t>
            </w:r>
          </w:p>
        </w:tc>
        <w:tc>
          <w:tcPr>
            <w:tcW w:w="5128" w:type="dxa"/>
            <w:gridSpan w:val="2"/>
            <w:shd w:val="clear" w:color="auto" w:fill="auto"/>
          </w:tcPr>
          <w:p w14:paraId="6808F6A1" w14:textId="77777777" w:rsidR="00CF33D9" w:rsidRDefault="00E3332A">
            <w:pPr>
              <w:spacing w:after="240"/>
              <w:jc w:val="both"/>
              <w:rPr>
                <w:rFonts w:eastAsia="Calibri"/>
                <w:b/>
                <w:sz w:val="20"/>
                <w:szCs w:val="20"/>
              </w:rPr>
            </w:pPr>
            <w:r>
              <w:rPr>
                <w:rFonts w:eastAsia="Calibri"/>
                <w:b/>
                <w:sz w:val="20"/>
                <w:szCs w:val="20"/>
              </w:rPr>
              <w:t>55,561,027.52</w:t>
            </w:r>
          </w:p>
        </w:tc>
      </w:tr>
      <w:tr w:rsidR="00CF33D9" w14:paraId="6808F6A5" w14:textId="77777777">
        <w:tc>
          <w:tcPr>
            <w:tcW w:w="4232" w:type="dxa"/>
            <w:gridSpan w:val="3"/>
            <w:shd w:val="clear" w:color="auto" w:fill="auto"/>
          </w:tcPr>
          <w:p w14:paraId="6808F6A3" w14:textId="77777777" w:rsidR="00CF33D9" w:rsidRDefault="00E3332A">
            <w:pPr>
              <w:numPr>
                <w:ilvl w:val="0"/>
                <w:numId w:val="11"/>
              </w:numPr>
              <w:spacing w:after="240"/>
              <w:jc w:val="both"/>
              <w:rPr>
                <w:rFonts w:eastAsia="Calibri"/>
                <w:b/>
                <w:sz w:val="20"/>
                <w:szCs w:val="20"/>
              </w:rPr>
            </w:pPr>
            <w:r>
              <w:rPr>
                <w:rFonts w:eastAsia="Calibri"/>
                <w:b/>
                <w:sz w:val="20"/>
                <w:szCs w:val="20"/>
              </w:rPr>
              <w:t>Grand-Total Project Financing (1)+(2)</w:t>
            </w:r>
          </w:p>
        </w:tc>
        <w:tc>
          <w:tcPr>
            <w:tcW w:w="5128" w:type="dxa"/>
            <w:gridSpan w:val="2"/>
            <w:shd w:val="clear" w:color="auto" w:fill="auto"/>
          </w:tcPr>
          <w:p w14:paraId="6808F6A4" w14:textId="77777777" w:rsidR="00CF33D9" w:rsidRDefault="00E3332A">
            <w:pPr>
              <w:spacing w:after="240"/>
              <w:jc w:val="both"/>
              <w:rPr>
                <w:rFonts w:eastAsia="Calibri"/>
                <w:b/>
                <w:sz w:val="20"/>
                <w:szCs w:val="20"/>
              </w:rPr>
            </w:pPr>
            <w:r>
              <w:rPr>
                <w:rFonts w:eastAsia="Calibri"/>
                <w:b/>
                <w:sz w:val="20"/>
                <w:szCs w:val="20"/>
              </w:rPr>
              <w:t>66,045,958.52</w:t>
            </w:r>
          </w:p>
        </w:tc>
      </w:tr>
      <w:tr w:rsidR="00CF33D9" w14:paraId="6808F6A7" w14:textId="77777777">
        <w:trPr>
          <w:trHeight w:val="371"/>
        </w:trPr>
        <w:tc>
          <w:tcPr>
            <w:tcW w:w="9360" w:type="dxa"/>
            <w:gridSpan w:val="5"/>
            <w:tcBorders>
              <w:top w:val="single" w:sz="4" w:space="0" w:color="000000"/>
              <w:left w:val="single" w:sz="4" w:space="0" w:color="000000"/>
              <w:bottom w:val="single" w:sz="4" w:space="0" w:color="000000"/>
              <w:right w:val="single" w:sz="4" w:space="0" w:color="000000"/>
            </w:tcBorders>
            <w:shd w:val="clear" w:color="auto" w:fill="BFBFBF"/>
          </w:tcPr>
          <w:p w14:paraId="6808F6A6" w14:textId="77777777" w:rsidR="00CF33D9" w:rsidRDefault="00E3332A">
            <w:pPr>
              <w:spacing w:after="240"/>
              <w:jc w:val="both"/>
              <w:rPr>
                <w:rFonts w:eastAsia="Calibri"/>
                <w:b/>
                <w:smallCaps/>
                <w:sz w:val="20"/>
                <w:szCs w:val="20"/>
              </w:rPr>
            </w:pPr>
            <w:r>
              <w:rPr>
                <w:rFonts w:eastAsia="Calibri"/>
                <w:b/>
                <w:smallCaps/>
                <w:sz w:val="20"/>
                <w:szCs w:val="20"/>
              </w:rPr>
              <w:t>Signatures:</w:t>
            </w:r>
          </w:p>
        </w:tc>
      </w:tr>
      <w:tr w:rsidR="00CF33D9" w14:paraId="6808F6AD" w14:textId="77777777">
        <w:trPr>
          <w:trHeight w:val="1187"/>
        </w:trPr>
        <w:tc>
          <w:tcPr>
            <w:tcW w:w="3813" w:type="dxa"/>
            <w:gridSpan w:val="2"/>
            <w:tcBorders>
              <w:top w:val="single" w:sz="4" w:space="0" w:color="000000"/>
              <w:left w:val="single" w:sz="4" w:space="0" w:color="000000"/>
              <w:bottom w:val="single" w:sz="4" w:space="0" w:color="000000"/>
              <w:right w:val="single" w:sz="4" w:space="0" w:color="000000"/>
            </w:tcBorders>
            <w:shd w:val="clear" w:color="auto" w:fill="auto"/>
          </w:tcPr>
          <w:p w14:paraId="6808F6A8" w14:textId="77777777" w:rsidR="00CF33D9" w:rsidRDefault="00E3332A">
            <w:pPr>
              <w:spacing w:after="240"/>
              <w:jc w:val="both"/>
              <w:rPr>
                <w:rFonts w:eastAsia="Calibri"/>
                <w:sz w:val="20"/>
                <w:szCs w:val="20"/>
              </w:rPr>
            </w:pPr>
            <w:r>
              <w:rPr>
                <w:rFonts w:eastAsia="Calibri"/>
                <w:b/>
                <w:sz w:val="20"/>
                <w:szCs w:val="20"/>
              </w:rPr>
              <w:t xml:space="preserve">Signature: </w:t>
            </w:r>
            <w:r>
              <w:rPr>
                <w:rFonts w:eastAsia="Calibri"/>
                <w:i/>
                <w:sz w:val="20"/>
                <w:szCs w:val="20"/>
              </w:rPr>
              <w:t>print name below</w:t>
            </w:r>
          </w:p>
          <w:p w14:paraId="6808F6A9" w14:textId="77777777" w:rsidR="00CF33D9" w:rsidRDefault="00CF33D9">
            <w:pPr>
              <w:spacing w:after="240"/>
              <w:jc w:val="both"/>
              <w:rPr>
                <w:rFonts w:eastAsia="Calibri"/>
                <w:b/>
                <w:sz w:val="20"/>
                <w:szCs w:val="20"/>
              </w:rPr>
            </w:pPr>
          </w:p>
        </w:tc>
        <w:tc>
          <w:tcPr>
            <w:tcW w:w="1500" w:type="dxa"/>
            <w:gridSpan w:val="2"/>
            <w:tcBorders>
              <w:top w:val="single" w:sz="4" w:space="0" w:color="000000"/>
              <w:left w:val="single" w:sz="4" w:space="0" w:color="000000"/>
              <w:bottom w:val="single" w:sz="4" w:space="0" w:color="000000"/>
              <w:right w:val="single" w:sz="4" w:space="0" w:color="000000"/>
            </w:tcBorders>
            <w:shd w:val="clear" w:color="auto" w:fill="auto"/>
          </w:tcPr>
          <w:p w14:paraId="6808F6AA" w14:textId="77777777" w:rsidR="00CF33D9" w:rsidRDefault="00E3332A">
            <w:pPr>
              <w:spacing w:after="240"/>
              <w:rPr>
                <w:rFonts w:eastAsia="Calibri"/>
                <w:b/>
                <w:sz w:val="20"/>
                <w:szCs w:val="20"/>
                <w:lang w:val="en-US"/>
              </w:rPr>
            </w:pPr>
            <w:r>
              <w:rPr>
                <w:rFonts w:eastAsia="Calibri"/>
                <w:b/>
                <w:sz w:val="20"/>
                <w:szCs w:val="20"/>
              </w:rPr>
              <w:t xml:space="preserve">Agreed by Government Development Coordination </w:t>
            </w:r>
            <w:r>
              <w:rPr>
                <w:rFonts w:eastAsia="Calibri"/>
                <w:b/>
                <w:sz w:val="20"/>
                <w:szCs w:val="20"/>
              </w:rPr>
              <w:lastRenderedPageBreak/>
              <w:t>Authority</w:t>
            </w:r>
            <w:r>
              <w:rPr>
                <w:rFonts w:eastAsia="Calibri"/>
                <w:b/>
                <w:sz w:val="20"/>
                <w:szCs w:val="20"/>
                <w:lang w:val="en-US"/>
              </w:rPr>
              <w:t>- Namibia</w:t>
            </w:r>
          </w:p>
        </w:tc>
        <w:tc>
          <w:tcPr>
            <w:tcW w:w="4047" w:type="dxa"/>
            <w:tcBorders>
              <w:top w:val="single" w:sz="4" w:space="0" w:color="000000"/>
              <w:left w:val="single" w:sz="4" w:space="0" w:color="000000"/>
              <w:bottom w:val="single" w:sz="4" w:space="0" w:color="000000"/>
              <w:right w:val="single" w:sz="4" w:space="0" w:color="000000"/>
            </w:tcBorders>
            <w:shd w:val="clear" w:color="auto" w:fill="auto"/>
          </w:tcPr>
          <w:p w14:paraId="6808F6AB" w14:textId="77777777" w:rsidR="00CF33D9" w:rsidRDefault="00E3332A">
            <w:pPr>
              <w:spacing w:after="240"/>
              <w:jc w:val="both"/>
              <w:rPr>
                <w:rFonts w:eastAsia="Calibri"/>
                <w:b/>
                <w:i/>
                <w:sz w:val="20"/>
                <w:szCs w:val="20"/>
              </w:rPr>
            </w:pPr>
            <w:r>
              <w:rPr>
                <w:rFonts w:eastAsia="Calibri"/>
                <w:b/>
                <w:sz w:val="20"/>
                <w:szCs w:val="20"/>
              </w:rPr>
              <w:lastRenderedPageBreak/>
              <w:t>Date/Month/Year:</w:t>
            </w:r>
            <w:r>
              <w:rPr>
                <w:rFonts w:eastAsia="Calibri"/>
                <w:sz w:val="20"/>
                <w:szCs w:val="20"/>
              </w:rPr>
              <w:t xml:space="preserve"> </w:t>
            </w:r>
          </w:p>
          <w:p w14:paraId="6808F6AC" w14:textId="77777777" w:rsidR="00CF33D9" w:rsidRDefault="00CF33D9">
            <w:pPr>
              <w:spacing w:after="240"/>
              <w:jc w:val="both"/>
              <w:rPr>
                <w:rFonts w:eastAsia="Calibri"/>
                <w:sz w:val="20"/>
                <w:szCs w:val="20"/>
              </w:rPr>
            </w:pPr>
          </w:p>
        </w:tc>
      </w:tr>
      <w:tr w:rsidR="00CF33D9" w14:paraId="6808F6B3" w14:textId="77777777">
        <w:trPr>
          <w:trHeight w:val="1187"/>
        </w:trPr>
        <w:tc>
          <w:tcPr>
            <w:tcW w:w="3813" w:type="dxa"/>
            <w:gridSpan w:val="2"/>
            <w:tcBorders>
              <w:top w:val="single" w:sz="4" w:space="0" w:color="000000"/>
              <w:left w:val="single" w:sz="4" w:space="0" w:color="000000"/>
              <w:bottom w:val="single" w:sz="4" w:space="0" w:color="000000"/>
              <w:right w:val="single" w:sz="4" w:space="0" w:color="000000"/>
            </w:tcBorders>
            <w:shd w:val="clear" w:color="auto" w:fill="auto"/>
          </w:tcPr>
          <w:p w14:paraId="6808F6AE" w14:textId="77777777" w:rsidR="00CF33D9" w:rsidRDefault="00E3332A">
            <w:pPr>
              <w:spacing w:after="240"/>
              <w:jc w:val="both"/>
              <w:rPr>
                <w:rFonts w:eastAsia="Calibri"/>
                <w:sz w:val="20"/>
                <w:szCs w:val="20"/>
              </w:rPr>
            </w:pPr>
            <w:r>
              <w:rPr>
                <w:rFonts w:eastAsia="Calibri"/>
                <w:b/>
                <w:sz w:val="20"/>
                <w:szCs w:val="20"/>
              </w:rPr>
              <w:t xml:space="preserve">Signature: </w:t>
            </w:r>
            <w:r>
              <w:rPr>
                <w:rFonts w:eastAsia="Calibri"/>
                <w:i/>
                <w:sz w:val="20"/>
                <w:szCs w:val="20"/>
              </w:rPr>
              <w:t>print name below</w:t>
            </w:r>
          </w:p>
          <w:p w14:paraId="6808F6AF" w14:textId="77777777" w:rsidR="00CF33D9" w:rsidRDefault="00CF33D9">
            <w:pPr>
              <w:spacing w:after="240"/>
              <w:jc w:val="both"/>
              <w:rPr>
                <w:rFonts w:eastAsia="Calibri"/>
                <w:b/>
                <w:sz w:val="20"/>
                <w:szCs w:val="20"/>
              </w:rPr>
            </w:pPr>
          </w:p>
        </w:tc>
        <w:tc>
          <w:tcPr>
            <w:tcW w:w="1500" w:type="dxa"/>
            <w:gridSpan w:val="2"/>
            <w:tcBorders>
              <w:top w:val="single" w:sz="4" w:space="0" w:color="000000"/>
              <w:left w:val="single" w:sz="4" w:space="0" w:color="000000"/>
              <w:bottom w:val="single" w:sz="4" w:space="0" w:color="000000"/>
              <w:right w:val="single" w:sz="4" w:space="0" w:color="000000"/>
            </w:tcBorders>
            <w:shd w:val="clear" w:color="auto" w:fill="auto"/>
          </w:tcPr>
          <w:p w14:paraId="6808F6B0" w14:textId="77777777" w:rsidR="00CF33D9" w:rsidRDefault="00E3332A">
            <w:pPr>
              <w:spacing w:after="240"/>
              <w:rPr>
                <w:rFonts w:eastAsia="Calibri"/>
                <w:b/>
                <w:sz w:val="20"/>
                <w:szCs w:val="20"/>
                <w:lang w:val="en-US"/>
              </w:rPr>
            </w:pPr>
            <w:r>
              <w:rPr>
                <w:rFonts w:eastAsia="Calibri"/>
                <w:b/>
                <w:sz w:val="20"/>
                <w:szCs w:val="20"/>
              </w:rPr>
              <w:t>Agreed by Government Development Coordination Authority</w:t>
            </w:r>
            <w:r>
              <w:rPr>
                <w:rFonts w:eastAsia="Calibri"/>
                <w:b/>
                <w:sz w:val="20"/>
                <w:szCs w:val="20"/>
                <w:lang w:val="en-US"/>
              </w:rPr>
              <w:t>- Angola</w:t>
            </w:r>
          </w:p>
        </w:tc>
        <w:tc>
          <w:tcPr>
            <w:tcW w:w="4047" w:type="dxa"/>
            <w:tcBorders>
              <w:top w:val="single" w:sz="4" w:space="0" w:color="000000"/>
              <w:left w:val="single" w:sz="4" w:space="0" w:color="000000"/>
              <w:bottom w:val="single" w:sz="4" w:space="0" w:color="000000"/>
              <w:right w:val="single" w:sz="4" w:space="0" w:color="000000"/>
            </w:tcBorders>
            <w:shd w:val="clear" w:color="auto" w:fill="auto"/>
          </w:tcPr>
          <w:p w14:paraId="6808F6B1" w14:textId="77777777" w:rsidR="00CF33D9" w:rsidRDefault="00E3332A">
            <w:pPr>
              <w:spacing w:after="240"/>
              <w:jc w:val="both"/>
              <w:rPr>
                <w:rFonts w:eastAsia="Calibri"/>
                <w:b/>
                <w:i/>
                <w:sz w:val="20"/>
                <w:szCs w:val="20"/>
              </w:rPr>
            </w:pPr>
            <w:r>
              <w:rPr>
                <w:rFonts w:eastAsia="Calibri"/>
                <w:b/>
                <w:sz w:val="20"/>
                <w:szCs w:val="20"/>
              </w:rPr>
              <w:t>Date/Month/Year:</w:t>
            </w:r>
            <w:r>
              <w:rPr>
                <w:rFonts w:eastAsia="Calibri"/>
                <w:sz w:val="20"/>
                <w:szCs w:val="20"/>
              </w:rPr>
              <w:t xml:space="preserve"> </w:t>
            </w:r>
          </w:p>
          <w:p w14:paraId="6808F6B2" w14:textId="77777777" w:rsidR="00CF33D9" w:rsidRDefault="00CF33D9">
            <w:pPr>
              <w:spacing w:after="240"/>
              <w:jc w:val="both"/>
              <w:rPr>
                <w:rFonts w:eastAsia="Calibri"/>
                <w:sz w:val="20"/>
                <w:szCs w:val="20"/>
              </w:rPr>
            </w:pPr>
          </w:p>
        </w:tc>
      </w:tr>
      <w:tr w:rsidR="00CF33D9" w14:paraId="6808F6B9" w14:textId="77777777">
        <w:trPr>
          <w:trHeight w:val="1187"/>
        </w:trPr>
        <w:tc>
          <w:tcPr>
            <w:tcW w:w="3813" w:type="dxa"/>
            <w:gridSpan w:val="2"/>
            <w:tcBorders>
              <w:top w:val="single" w:sz="4" w:space="0" w:color="000000"/>
              <w:left w:val="single" w:sz="4" w:space="0" w:color="000000"/>
              <w:bottom w:val="single" w:sz="4" w:space="0" w:color="000000"/>
              <w:right w:val="single" w:sz="4" w:space="0" w:color="000000"/>
            </w:tcBorders>
            <w:shd w:val="clear" w:color="auto" w:fill="auto"/>
          </w:tcPr>
          <w:p w14:paraId="6808F6B4" w14:textId="77777777" w:rsidR="00CF33D9" w:rsidRDefault="00E3332A">
            <w:pPr>
              <w:spacing w:after="240"/>
              <w:jc w:val="both"/>
              <w:rPr>
                <w:rFonts w:eastAsia="Calibri"/>
                <w:sz w:val="20"/>
                <w:szCs w:val="20"/>
              </w:rPr>
            </w:pPr>
            <w:r>
              <w:rPr>
                <w:rFonts w:eastAsia="Calibri"/>
                <w:b/>
                <w:sz w:val="20"/>
                <w:szCs w:val="20"/>
              </w:rPr>
              <w:t xml:space="preserve">Signature: </w:t>
            </w:r>
            <w:r>
              <w:rPr>
                <w:rFonts w:eastAsia="Calibri"/>
                <w:i/>
                <w:sz w:val="20"/>
                <w:szCs w:val="20"/>
              </w:rPr>
              <w:t>print name below</w:t>
            </w:r>
          </w:p>
          <w:p w14:paraId="6808F6B5" w14:textId="77777777" w:rsidR="00CF33D9" w:rsidRDefault="00CF33D9">
            <w:pPr>
              <w:spacing w:after="240"/>
              <w:jc w:val="both"/>
              <w:rPr>
                <w:rFonts w:eastAsia="Calibri"/>
                <w:b/>
                <w:sz w:val="20"/>
                <w:szCs w:val="20"/>
              </w:rPr>
            </w:pPr>
          </w:p>
        </w:tc>
        <w:tc>
          <w:tcPr>
            <w:tcW w:w="1500" w:type="dxa"/>
            <w:gridSpan w:val="2"/>
            <w:tcBorders>
              <w:top w:val="single" w:sz="4" w:space="0" w:color="000000"/>
              <w:left w:val="single" w:sz="4" w:space="0" w:color="000000"/>
              <w:bottom w:val="single" w:sz="4" w:space="0" w:color="000000"/>
              <w:right w:val="single" w:sz="4" w:space="0" w:color="000000"/>
            </w:tcBorders>
            <w:shd w:val="clear" w:color="auto" w:fill="auto"/>
          </w:tcPr>
          <w:p w14:paraId="6808F6B6" w14:textId="77777777" w:rsidR="00CF33D9" w:rsidRDefault="00E3332A">
            <w:pPr>
              <w:spacing w:after="240"/>
              <w:rPr>
                <w:rFonts w:eastAsia="Calibri"/>
                <w:b/>
                <w:sz w:val="20"/>
                <w:szCs w:val="20"/>
                <w:lang w:val="en-US"/>
              </w:rPr>
            </w:pPr>
            <w:r>
              <w:rPr>
                <w:rFonts w:eastAsia="Calibri"/>
                <w:b/>
                <w:sz w:val="20"/>
                <w:szCs w:val="20"/>
              </w:rPr>
              <w:t>Agreed by Government Development Coordination Authority</w:t>
            </w:r>
            <w:r>
              <w:rPr>
                <w:rFonts w:eastAsia="Calibri"/>
                <w:b/>
                <w:sz w:val="20"/>
                <w:szCs w:val="20"/>
                <w:lang w:val="en-US"/>
              </w:rPr>
              <w:t>- South Africa</w:t>
            </w:r>
          </w:p>
        </w:tc>
        <w:tc>
          <w:tcPr>
            <w:tcW w:w="4047" w:type="dxa"/>
            <w:tcBorders>
              <w:top w:val="single" w:sz="4" w:space="0" w:color="000000"/>
              <w:left w:val="single" w:sz="4" w:space="0" w:color="000000"/>
              <w:bottom w:val="single" w:sz="4" w:space="0" w:color="000000"/>
              <w:right w:val="single" w:sz="4" w:space="0" w:color="000000"/>
            </w:tcBorders>
            <w:shd w:val="clear" w:color="auto" w:fill="auto"/>
          </w:tcPr>
          <w:p w14:paraId="6808F6B7" w14:textId="77777777" w:rsidR="00CF33D9" w:rsidRDefault="00E3332A">
            <w:pPr>
              <w:spacing w:after="240"/>
              <w:jc w:val="both"/>
              <w:rPr>
                <w:rFonts w:eastAsia="Calibri"/>
                <w:b/>
                <w:i/>
                <w:sz w:val="20"/>
                <w:szCs w:val="20"/>
              </w:rPr>
            </w:pPr>
            <w:r>
              <w:rPr>
                <w:rFonts w:eastAsia="Calibri"/>
                <w:b/>
                <w:sz w:val="20"/>
                <w:szCs w:val="20"/>
              </w:rPr>
              <w:t>Date/Month/Year:</w:t>
            </w:r>
            <w:r>
              <w:rPr>
                <w:rFonts w:eastAsia="Calibri"/>
                <w:sz w:val="20"/>
                <w:szCs w:val="20"/>
              </w:rPr>
              <w:t xml:space="preserve"> </w:t>
            </w:r>
          </w:p>
          <w:p w14:paraId="6808F6B8" w14:textId="77777777" w:rsidR="00CF33D9" w:rsidRDefault="00CF33D9">
            <w:pPr>
              <w:spacing w:after="240"/>
              <w:jc w:val="both"/>
              <w:rPr>
                <w:rFonts w:eastAsia="Calibri"/>
                <w:sz w:val="20"/>
                <w:szCs w:val="20"/>
              </w:rPr>
            </w:pPr>
          </w:p>
        </w:tc>
      </w:tr>
      <w:tr w:rsidR="00CF33D9" w14:paraId="6808F6BF" w14:textId="77777777">
        <w:tc>
          <w:tcPr>
            <w:tcW w:w="3813" w:type="dxa"/>
            <w:gridSpan w:val="2"/>
            <w:shd w:val="clear" w:color="auto" w:fill="auto"/>
          </w:tcPr>
          <w:p w14:paraId="6808F6BA" w14:textId="77777777" w:rsidR="00CF33D9" w:rsidRDefault="00E3332A">
            <w:pPr>
              <w:spacing w:after="240"/>
              <w:jc w:val="both"/>
              <w:rPr>
                <w:rFonts w:eastAsia="Calibri"/>
                <w:sz w:val="20"/>
                <w:szCs w:val="20"/>
              </w:rPr>
            </w:pPr>
            <w:r>
              <w:rPr>
                <w:rFonts w:eastAsia="Calibri"/>
                <w:b/>
                <w:sz w:val="20"/>
                <w:szCs w:val="20"/>
              </w:rPr>
              <w:t xml:space="preserve">Signature: </w:t>
            </w:r>
            <w:r>
              <w:rPr>
                <w:rFonts w:eastAsia="Calibri"/>
                <w:i/>
                <w:sz w:val="20"/>
                <w:szCs w:val="20"/>
              </w:rPr>
              <w:t>print name below</w:t>
            </w:r>
          </w:p>
          <w:p w14:paraId="6808F6BB" w14:textId="77777777" w:rsidR="00CF33D9" w:rsidRDefault="00CF33D9">
            <w:pPr>
              <w:spacing w:after="240"/>
              <w:jc w:val="both"/>
              <w:rPr>
                <w:rFonts w:eastAsia="Calibri"/>
                <w:b/>
                <w:sz w:val="20"/>
                <w:szCs w:val="20"/>
              </w:rPr>
            </w:pPr>
          </w:p>
        </w:tc>
        <w:tc>
          <w:tcPr>
            <w:tcW w:w="1500" w:type="dxa"/>
            <w:gridSpan w:val="2"/>
            <w:shd w:val="clear" w:color="auto" w:fill="auto"/>
          </w:tcPr>
          <w:p w14:paraId="6808F6BC" w14:textId="77777777" w:rsidR="00CF33D9" w:rsidRDefault="00E3332A">
            <w:pPr>
              <w:spacing w:after="240"/>
              <w:rPr>
                <w:rFonts w:eastAsia="Calibri"/>
                <w:b/>
                <w:sz w:val="20"/>
                <w:szCs w:val="20"/>
              </w:rPr>
            </w:pPr>
            <w:r>
              <w:rPr>
                <w:rFonts w:eastAsia="Calibri"/>
                <w:b/>
                <w:sz w:val="20"/>
                <w:szCs w:val="20"/>
              </w:rPr>
              <w:t xml:space="preserve">Agreed by </w:t>
            </w:r>
            <w:r>
              <w:rPr>
                <w:rFonts w:eastAsia="Calibri"/>
                <w:b/>
                <w:sz w:val="20"/>
                <w:szCs w:val="20"/>
                <w:lang w:val="en-US"/>
              </w:rPr>
              <w:t>UNDP Namibia</w:t>
            </w:r>
          </w:p>
        </w:tc>
        <w:tc>
          <w:tcPr>
            <w:tcW w:w="4047" w:type="dxa"/>
            <w:shd w:val="clear" w:color="auto" w:fill="auto"/>
          </w:tcPr>
          <w:p w14:paraId="6808F6BD" w14:textId="77777777" w:rsidR="00CF33D9" w:rsidRDefault="00E3332A">
            <w:pPr>
              <w:spacing w:after="240"/>
              <w:jc w:val="both"/>
              <w:rPr>
                <w:rFonts w:eastAsia="Calibri"/>
                <w:b/>
                <w:i/>
                <w:sz w:val="20"/>
                <w:szCs w:val="20"/>
              </w:rPr>
            </w:pPr>
            <w:r>
              <w:rPr>
                <w:rFonts w:eastAsia="Calibri"/>
                <w:b/>
                <w:sz w:val="20"/>
                <w:szCs w:val="20"/>
              </w:rPr>
              <w:t>Date/Month/Year:</w:t>
            </w:r>
            <w:r>
              <w:rPr>
                <w:rFonts w:eastAsia="Calibri"/>
                <w:sz w:val="20"/>
                <w:szCs w:val="20"/>
              </w:rPr>
              <w:t xml:space="preserve"> </w:t>
            </w:r>
          </w:p>
          <w:p w14:paraId="6808F6BE" w14:textId="77777777" w:rsidR="00CF33D9" w:rsidRDefault="00CF33D9">
            <w:pPr>
              <w:spacing w:after="240"/>
              <w:jc w:val="both"/>
              <w:rPr>
                <w:rFonts w:eastAsia="Calibri"/>
                <w:b/>
                <w:sz w:val="20"/>
                <w:szCs w:val="20"/>
              </w:rPr>
            </w:pPr>
          </w:p>
        </w:tc>
      </w:tr>
    </w:tbl>
    <w:p w14:paraId="6808F6C0" w14:textId="77777777" w:rsidR="00CF33D9" w:rsidRDefault="00CF33D9">
      <w:pPr>
        <w:spacing w:after="240"/>
        <w:jc w:val="both"/>
        <w:rPr>
          <w:rFonts w:ascii="Calibri" w:eastAsia="Calibri" w:hAnsi="Calibri" w:cs="Calibri"/>
          <w:b/>
          <w:i/>
          <w:sz w:val="20"/>
          <w:szCs w:val="20"/>
          <w:highlight w:val="yellow"/>
        </w:rPr>
      </w:pPr>
    </w:p>
    <w:p w14:paraId="6808F6C1" w14:textId="77777777" w:rsidR="00CF33D9" w:rsidRDefault="00E3332A">
      <w:pPr>
        <w:rPr>
          <w:rFonts w:ascii="Calibri" w:eastAsia="Calibri" w:hAnsi="Calibri" w:cs="Calibri"/>
          <w:b/>
          <w:i/>
          <w:sz w:val="20"/>
          <w:szCs w:val="20"/>
          <w:highlight w:val="yellow"/>
        </w:rPr>
      </w:pPr>
      <w:r>
        <w:rPr>
          <w:rFonts w:ascii="Calibri" w:eastAsia="Calibri" w:hAnsi="Calibri" w:cs="Calibri"/>
          <w:b/>
          <w:i/>
          <w:sz w:val="20"/>
          <w:szCs w:val="20"/>
          <w:highlight w:val="yellow"/>
        </w:rPr>
        <w:br w:type="page"/>
      </w:r>
    </w:p>
    <w:sdt>
      <w:sdtPr>
        <w:rPr>
          <w:rFonts w:ascii="Calibri" w:eastAsia="Times New Roman" w:hAnsi="Calibri" w:cs="Calibri"/>
          <w:b w:val="0"/>
          <w:bCs w:val="0"/>
          <w:color w:val="auto"/>
          <w:sz w:val="20"/>
          <w:szCs w:val="20"/>
          <w:lang w:val="en-GB" w:eastAsia="en-GB"/>
        </w:rPr>
        <w:id w:val="492613718"/>
        <w:docPartObj>
          <w:docPartGallery w:val="Table of Contents"/>
          <w:docPartUnique/>
        </w:docPartObj>
      </w:sdtPr>
      <w:sdtEndPr/>
      <w:sdtContent>
        <w:p w14:paraId="6808F6C2" w14:textId="77777777" w:rsidR="00CF33D9" w:rsidRDefault="00E3332A">
          <w:pPr>
            <w:pStyle w:val="TOCHeading3"/>
            <w:rPr>
              <w:rFonts w:ascii="Calibri" w:hAnsi="Calibri" w:cs="Calibri"/>
              <w:sz w:val="20"/>
              <w:szCs w:val="20"/>
            </w:rPr>
          </w:pPr>
          <w:r>
            <w:rPr>
              <w:rFonts w:ascii="Calibri" w:hAnsi="Calibri" w:cs="Calibri"/>
              <w:sz w:val="20"/>
              <w:szCs w:val="20"/>
            </w:rPr>
            <w:t>Table of Contents</w:t>
          </w:r>
        </w:p>
        <w:p w14:paraId="6808F6C3" w14:textId="77777777" w:rsidR="00CF33D9" w:rsidRDefault="00E3332A">
          <w:pPr>
            <w:pStyle w:val="TOC1"/>
            <w:rPr>
              <w:rFonts w:ascii="Calibri" w:eastAsiaTheme="minorEastAsia" w:hAnsi="Calibri" w:cs="Calibri"/>
              <w:b w:val="0"/>
              <w:bCs w:val="0"/>
              <w:i w:val="0"/>
              <w:iCs w:val="0"/>
              <w:kern w:val="2"/>
              <w:sz w:val="20"/>
              <w:szCs w:val="20"/>
              <w:lang w:val="zh-CN"/>
              <w14:ligatures w14:val="standardContextual"/>
            </w:rPr>
          </w:pPr>
          <w:r>
            <w:rPr>
              <w:rFonts w:ascii="Calibri" w:hAnsi="Calibri" w:cs="Calibri"/>
              <w:sz w:val="20"/>
              <w:szCs w:val="20"/>
            </w:rPr>
            <w:fldChar w:fldCharType="begin"/>
          </w:r>
          <w:r>
            <w:rPr>
              <w:rFonts w:ascii="Calibri" w:hAnsi="Calibri" w:cs="Calibri"/>
              <w:sz w:val="20"/>
              <w:szCs w:val="20"/>
            </w:rPr>
            <w:instrText xml:space="preserve"> TOC \o "1-3" \h \z \u </w:instrText>
          </w:r>
          <w:r>
            <w:rPr>
              <w:rFonts w:ascii="Calibri" w:hAnsi="Calibri" w:cs="Calibri"/>
              <w:sz w:val="20"/>
              <w:szCs w:val="20"/>
            </w:rPr>
            <w:fldChar w:fldCharType="separate"/>
          </w:r>
          <w:hyperlink w:anchor="_Toc169739143" w:history="1">
            <w:r>
              <w:rPr>
                <w:rStyle w:val="Hyperlink"/>
                <w:rFonts w:ascii="Calibri" w:hAnsi="Calibri" w:cs="Calibri"/>
                <w:sz w:val="20"/>
                <w:szCs w:val="20"/>
              </w:rPr>
              <w:t>List of acronyms</w:t>
            </w:r>
            <w:r>
              <w:rPr>
                <w:rFonts w:ascii="Calibri" w:hAnsi="Calibri" w:cs="Calibri"/>
                <w:sz w:val="20"/>
                <w:szCs w:val="20"/>
              </w:rPr>
              <w:tab/>
            </w:r>
            <w:r>
              <w:rPr>
                <w:rFonts w:ascii="Calibri" w:hAnsi="Calibri" w:cs="Calibri"/>
                <w:sz w:val="20"/>
                <w:szCs w:val="20"/>
              </w:rPr>
              <w:fldChar w:fldCharType="begin"/>
            </w:r>
            <w:r>
              <w:rPr>
                <w:rFonts w:ascii="Calibri" w:hAnsi="Calibri" w:cs="Calibri"/>
                <w:sz w:val="20"/>
                <w:szCs w:val="20"/>
              </w:rPr>
              <w:instrText xml:space="preserve"> PAGEREF _Toc169739143 \h </w:instrText>
            </w:r>
            <w:r>
              <w:rPr>
                <w:rFonts w:ascii="Calibri" w:hAnsi="Calibri" w:cs="Calibri"/>
                <w:sz w:val="20"/>
                <w:szCs w:val="20"/>
              </w:rPr>
            </w:r>
            <w:r>
              <w:rPr>
                <w:rFonts w:ascii="Calibri" w:hAnsi="Calibri" w:cs="Calibri"/>
                <w:sz w:val="20"/>
                <w:szCs w:val="20"/>
              </w:rPr>
              <w:fldChar w:fldCharType="separate"/>
            </w:r>
            <w:r>
              <w:rPr>
                <w:rFonts w:ascii="Calibri" w:hAnsi="Calibri" w:cs="Calibri"/>
                <w:sz w:val="20"/>
                <w:szCs w:val="20"/>
              </w:rPr>
              <w:t>6</w:t>
            </w:r>
            <w:r>
              <w:rPr>
                <w:rFonts w:ascii="Calibri" w:hAnsi="Calibri" w:cs="Calibri"/>
                <w:sz w:val="20"/>
                <w:szCs w:val="20"/>
              </w:rPr>
              <w:fldChar w:fldCharType="end"/>
            </w:r>
          </w:hyperlink>
        </w:p>
        <w:p w14:paraId="6808F6C4" w14:textId="77777777" w:rsidR="00CF33D9" w:rsidRDefault="009B0270">
          <w:pPr>
            <w:pStyle w:val="TOC1"/>
            <w:rPr>
              <w:rFonts w:ascii="Calibri" w:eastAsiaTheme="minorEastAsia" w:hAnsi="Calibri" w:cs="Calibri"/>
              <w:b w:val="0"/>
              <w:bCs w:val="0"/>
              <w:i w:val="0"/>
              <w:iCs w:val="0"/>
              <w:kern w:val="2"/>
              <w:sz w:val="20"/>
              <w:szCs w:val="20"/>
              <w:lang w:val="zh-CN"/>
              <w14:ligatures w14:val="standardContextual"/>
            </w:rPr>
          </w:pPr>
          <w:hyperlink w:anchor="_Toc169739144" w:history="1">
            <w:r w:rsidR="00E3332A">
              <w:rPr>
                <w:rStyle w:val="Hyperlink"/>
                <w:rFonts w:ascii="Calibri" w:hAnsi="Calibri" w:cs="Calibri"/>
                <w:sz w:val="20"/>
                <w:szCs w:val="20"/>
              </w:rPr>
              <w:t>List of Figures</w:t>
            </w:r>
            <w:r w:rsidR="00E3332A">
              <w:rPr>
                <w:rFonts w:ascii="Calibri" w:hAnsi="Calibri" w:cs="Calibri"/>
                <w:sz w:val="20"/>
                <w:szCs w:val="20"/>
              </w:rPr>
              <w:tab/>
            </w:r>
            <w:r w:rsidR="00E3332A">
              <w:rPr>
                <w:rFonts w:ascii="Calibri" w:hAnsi="Calibri" w:cs="Calibri"/>
                <w:sz w:val="20"/>
                <w:szCs w:val="20"/>
              </w:rPr>
              <w:fldChar w:fldCharType="begin"/>
            </w:r>
            <w:r w:rsidR="00E3332A">
              <w:rPr>
                <w:rFonts w:ascii="Calibri" w:hAnsi="Calibri" w:cs="Calibri"/>
                <w:sz w:val="20"/>
                <w:szCs w:val="20"/>
              </w:rPr>
              <w:instrText xml:space="preserve"> PAGEREF _Toc169739144 \h </w:instrText>
            </w:r>
            <w:r w:rsidR="00E3332A">
              <w:rPr>
                <w:rFonts w:ascii="Calibri" w:hAnsi="Calibri" w:cs="Calibri"/>
                <w:sz w:val="20"/>
                <w:szCs w:val="20"/>
              </w:rPr>
            </w:r>
            <w:r w:rsidR="00E3332A">
              <w:rPr>
                <w:rFonts w:ascii="Calibri" w:hAnsi="Calibri" w:cs="Calibri"/>
                <w:sz w:val="20"/>
                <w:szCs w:val="20"/>
              </w:rPr>
              <w:fldChar w:fldCharType="separate"/>
            </w:r>
            <w:r w:rsidR="00E3332A">
              <w:rPr>
                <w:rFonts w:ascii="Calibri" w:hAnsi="Calibri" w:cs="Calibri"/>
                <w:sz w:val="20"/>
                <w:szCs w:val="20"/>
              </w:rPr>
              <w:t>7</w:t>
            </w:r>
            <w:r w:rsidR="00E3332A">
              <w:rPr>
                <w:rFonts w:ascii="Calibri" w:hAnsi="Calibri" w:cs="Calibri"/>
                <w:sz w:val="20"/>
                <w:szCs w:val="20"/>
              </w:rPr>
              <w:fldChar w:fldCharType="end"/>
            </w:r>
          </w:hyperlink>
        </w:p>
        <w:p w14:paraId="6808F6C5" w14:textId="77777777" w:rsidR="00CF33D9" w:rsidRDefault="009B0270">
          <w:pPr>
            <w:pStyle w:val="TOC1"/>
            <w:tabs>
              <w:tab w:val="left" w:pos="480"/>
            </w:tabs>
            <w:rPr>
              <w:rFonts w:ascii="Calibri" w:eastAsiaTheme="minorEastAsia" w:hAnsi="Calibri" w:cs="Calibri"/>
              <w:b w:val="0"/>
              <w:bCs w:val="0"/>
              <w:i w:val="0"/>
              <w:iCs w:val="0"/>
              <w:kern w:val="2"/>
              <w:sz w:val="20"/>
              <w:szCs w:val="20"/>
              <w:lang w:val="zh-CN"/>
              <w14:ligatures w14:val="standardContextual"/>
            </w:rPr>
          </w:pPr>
          <w:hyperlink w:anchor="_Toc169739145" w:history="1">
            <w:r w:rsidR="00E3332A">
              <w:rPr>
                <w:rStyle w:val="Hyperlink"/>
                <w:rFonts w:ascii="Calibri" w:hAnsi="Calibri" w:cs="Calibri"/>
                <w:sz w:val="20"/>
                <w:szCs w:val="20"/>
              </w:rPr>
              <w:t>I.</w:t>
            </w:r>
            <w:r w:rsidR="00E3332A">
              <w:rPr>
                <w:rFonts w:ascii="Calibri" w:eastAsiaTheme="minorEastAsia" w:hAnsi="Calibri" w:cs="Calibri"/>
                <w:b w:val="0"/>
                <w:bCs w:val="0"/>
                <w:i w:val="0"/>
                <w:iCs w:val="0"/>
                <w:kern w:val="2"/>
                <w:sz w:val="20"/>
                <w:szCs w:val="20"/>
                <w:lang w:val="zh-CN"/>
                <w14:ligatures w14:val="standardContextual"/>
              </w:rPr>
              <w:tab/>
            </w:r>
            <w:r w:rsidR="00E3332A">
              <w:rPr>
                <w:rStyle w:val="Hyperlink"/>
                <w:rFonts w:ascii="Calibri" w:hAnsi="Calibri" w:cs="Calibri"/>
                <w:sz w:val="20"/>
                <w:szCs w:val="20"/>
              </w:rPr>
              <w:t>Development Challenge</w:t>
            </w:r>
            <w:r w:rsidR="00E3332A">
              <w:rPr>
                <w:rFonts w:ascii="Calibri" w:hAnsi="Calibri" w:cs="Calibri"/>
                <w:sz w:val="20"/>
                <w:szCs w:val="20"/>
              </w:rPr>
              <w:tab/>
            </w:r>
            <w:r w:rsidR="00E3332A">
              <w:rPr>
                <w:rFonts w:ascii="Calibri" w:hAnsi="Calibri" w:cs="Calibri"/>
                <w:sz w:val="20"/>
                <w:szCs w:val="20"/>
              </w:rPr>
              <w:fldChar w:fldCharType="begin"/>
            </w:r>
            <w:r w:rsidR="00E3332A">
              <w:rPr>
                <w:rFonts w:ascii="Calibri" w:hAnsi="Calibri" w:cs="Calibri"/>
                <w:sz w:val="20"/>
                <w:szCs w:val="20"/>
              </w:rPr>
              <w:instrText xml:space="preserve"> PAGEREF _Toc169739145 \h </w:instrText>
            </w:r>
            <w:r w:rsidR="00E3332A">
              <w:rPr>
                <w:rFonts w:ascii="Calibri" w:hAnsi="Calibri" w:cs="Calibri"/>
                <w:sz w:val="20"/>
                <w:szCs w:val="20"/>
              </w:rPr>
            </w:r>
            <w:r w:rsidR="00E3332A">
              <w:rPr>
                <w:rFonts w:ascii="Calibri" w:hAnsi="Calibri" w:cs="Calibri"/>
                <w:sz w:val="20"/>
                <w:szCs w:val="20"/>
              </w:rPr>
              <w:fldChar w:fldCharType="separate"/>
            </w:r>
            <w:r w:rsidR="00E3332A">
              <w:rPr>
                <w:rFonts w:ascii="Calibri" w:hAnsi="Calibri" w:cs="Calibri"/>
                <w:sz w:val="20"/>
                <w:szCs w:val="20"/>
              </w:rPr>
              <w:t>8</w:t>
            </w:r>
            <w:r w:rsidR="00E3332A">
              <w:rPr>
                <w:rFonts w:ascii="Calibri" w:hAnsi="Calibri" w:cs="Calibri"/>
                <w:sz w:val="20"/>
                <w:szCs w:val="20"/>
              </w:rPr>
              <w:fldChar w:fldCharType="end"/>
            </w:r>
          </w:hyperlink>
        </w:p>
        <w:p w14:paraId="6808F6C6" w14:textId="77777777" w:rsidR="00CF33D9" w:rsidRDefault="009B0270">
          <w:pPr>
            <w:pStyle w:val="TOC1"/>
            <w:tabs>
              <w:tab w:val="left" w:pos="480"/>
            </w:tabs>
            <w:rPr>
              <w:rFonts w:ascii="Calibri" w:eastAsiaTheme="minorEastAsia" w:hAnsi="Calibri" w:cs="Calibri"/>
              <w:b w:val="0"/>
              <w:bCs w:val="0"/>
              <w:i w:val="0"/>
              <w:iCs w:val="0"/>
              <w:kern w:val="2"/>
              <w:sz w:val="20"/>
              <w:szCs w:val="20"/>
              <w:lang w:val="zh-CN"/>
              <w14:ligatures w14:val="standardContextual"/>
            </w:rPr>
          </w:pPr>
          <w:hyperlink w:anchor="_Toc169739146" w:history="1">
            <w:r w:rsidR="00E3332A">
              <w:rPr>
                <w:rStyle w:val="Hyperlink"/>
                <w:rFonts w:ascii="Calibri" w:hAnsi="Calibri" w:cs="Calibri"/>
                <w:sz w:val="20"/>
                <w:szCs w:val="20"/>
              </w:rPr>
              <w:t>II.</w:t>
            </w:r>
            <w:r w:rsidR="00E3332A">
              <w:rPr>
                <w:rFonts w:ascii="Calibri" w:eastAsiaTheme="minorEastAsia" w:hAnsi="Calibri" w:cs="Calibri"/>
                <w:b w:val="0"/>
                <w:bCs w:val="0"/>
                <w:i w:val="0"/>
                <w:iCs w:val="0"/>
                <w:kern w:val="2"/>
                <w:sz w:val="20"/>
                <w:szCs w:val="20"/>
                <w:lang w:val="zh-CN"/>
                <w14:ligatures w14:val="standardContextual"/>
              </w:rPr>
              <w:tab/>
            </w:r>
            <w:r w:rsidR="00E3332A">
              <w:rPr>
                <w:rStyle w:val="Hyperlink"/>
                <w:rFonts w:ascii="Calibri" w:hAnsi="Calibri" w:cs="Calibri"/>
                <w:sz w:val="20"/>
                <w:szCs w:val="20"/>
              </w:rPr>
              <w:t>Strategy</w:t>
            </w:r>
            <w:r w:rsidR="00E3332A">
              <w:rPr>
                <w:rFonts w:ascii="Calibri" w:hAnsi="Calibri" w:cs="Calibri"/>
                <w:sz w:val="20"/>
                <w:szCs w:val="20"/>
              </w:rPr>
              <w:tab/>
            </w:r>
            <w:r w:rsidR="00E3332A">
              <w:rPr>
                <w:rFonts w:ascii="Calibri" w:hAnsi="Calibri" w:cs="Calibri"/>
                <w:sz w:val="20"/>
                <w:szCs w:val="20"/>
              </w:rPr>
              <w:fldChar w:fldCharType="begin"/>
            </w:r>
            <w:r w:rsidR="00E3332A">
              <w:rPr>
                <w:rFonts w:ascii="Calibri" w:hAnsi="Calibri" w:cs="Calibri"/>
                <w:sz w:val="20"/>
                <w:szCs w:val="20"/>
              </w:rPr>
              <w:instrText xml:space="preserve"> PAGEREF _Toc169739146 \h </w:instrText>
            </w:r>
            <w:r w:rsidR="00E3332A">
              <w:rPr>
                <w:rFonts w:ascii="Calibri" w:hAnsi="Calibri" w:cs="Calibri"/>
                <w:sz w:val="20"/>
                <w:szCs w:val="20"/>
              </w:rPr>
            </w:r>
            <w:r w:rsidR="00E3332A">
              <w:rPr>
                <w:rFonts w:ascii="Calibri" w:hAnsi="Calibri" w:cs="Calibri"/>
                <w:sz w:val="20"/>
                <w:szCs w:val="20"/>
              </w:rPr>
              <w:fldChar w:fldCharType="separate"/>
            </w:r>
            <w:r w:rsidR="00E3332A">
              <w:rPr>
                <w:rFonts w:ascii="Calibri" w:hAnsi="Calibri" w:cs="Calibri"/>
                <w:sz w:val="20"/>
                <w:szCs w:val="20"/>
              </w:rPr>
              <w:t>10</w:t>
            </w:r>
            <w:r w:rsidR="00E3332A">
              <w:rPr>
                <w:rFonts w:ascii="Calibri" w:hAnsi="Calibri" w:cs="Calibri"/>
                <w:sz w:val="20"/>
                <w:szCs w:val="20"/>
              </w:rPr>
              <w:fldChar w:fldCharType="end"/>
            </w:r>
          </w:hyperlink>
        </w:p>
        <w:p w14:paraId="6808F6C7" w14:textId="77777777" w:rsidR="00CF33D9" w:rsidRDefault="009B0270">
          <w:pPr>
            <w:pStyle w:val="TOC1"/>
            <w:tabs>
              <w:tab w:val="left" w:pos="720"/>
            </w:tabs>
            <w:rPr>
              <w:rFonts w:ascii="Calibri" w:eastAsiaTheme="minorEastAsia" w:hAnsi="Calibri" w:cs="Calibri"/>
              <w:b w:val="0"/>
              <w:bCs w:val="0"/>
              <w:i w:val="0"/>
              <w:iCs w:val="0"/>
              <w:kern w:val="2"/>
              <w:sz w:val="20"/>
              <w:szCs w:val="20"/>
              <w:lang w:val="zh-CN"/>
              <w14:ligatures w14:val="standardContextual"/>
            </w:rPr>
          </w:pPr>
          <w:hyperlink w:anchor="_Toc169739147" w:history="1">
            <w:r w:rsidR="00E3332A">
              <w:rPr>
                <w:rStyle w:val="Hyperlink"/>
                <w:rFonts w:ascii="Calibri" w:hAnsi="Calibri" w:cs="Calibri"/>
                <w:sz w:val="20"/>
                <w:szCs w:val="20"/>
              </w:rPr>
              <w:t xml:space="preserve">III. </w:t>
            </w:r>
            <w:r w:rsidR="00E3332A">
              <w:rPr>
                <w:rFonts w:ascii="Calibri" w:eastAsiaTheme="minorEastAsia" w:hAnsi="Calibri" w:cs="Calibri"/>
                <w:b w:val="0"/>
                <w:bCs w:val="0"/>
                <w:i w:val="0"/>
                <w:iCs w:val="0"/>
                <w:kern w:val="2"/>
                <w:sz w:val="20"/>
                <w:szCs w:val="20"/>
                <w:lang w:val="zh-CN"/>
                <w14:ligatures w14:val="standardContextual"/>
              </w:rPr>
              <w:tab/>
            </w:r>
            <w:r w:rsidR="00E3332A">
              <w:rPr>
                <w:rStyle w:val="Hyperlink"/>
                <w:rFonts w:ascii="Calibri" w:hAnsi="Calibri" w:cs="Calibri"/>
                <w:sz w:val="20"/>
                <w:szCs w:val="20"/>
              </w:rPr>
              <w:t>Results and Partnerships</w:t>
            </w:r>
            <w:r w:rsidR="00E3332A">
              <w:rPr>
                <w:rFonts w:ascii="Calibri" w:hAnsi="Calibri" w:cs="Calibri"/>
                <w:sz w:val="20"/>
                <w:szCs w:val="20"/>
              </w:rPr>
              <w:tab/>
            </w:r>
            <w:r w:rsidR="00E3332A">
              <w:rPr>
                <w:rFonts w:ascii="Calibri" w:hAnsi="Calibri" w:cs="Calibri"/>
                <w:sz w:val="20"/>
                <w:szCs w:val="20"/>
              </w:rPr>
              <w:fldChar w:fldCharType="begin"/>
            </w:r>
            <w:r w:rsidR="00E3332A">
              <w:rPr>
                <w:rFonts w:ascii="Calibri" w:hAnsi="Calibri" w:cs="Calibri"/>
                <w:sz w:val="20"/>
                <w:szCs w:val="20"/>
              </w:rPr>
              <w:instrText xml:space="preserve"> PAGEREF _Toc169739147 \h </w:instrText>
            </w:r>
            <w:r w:rsidR="00E3332A">
              <w:rPr>
                <w:rFonts w:ascii="Calibri" w:hAnsi="Calibri" w:cs="Calibri"/>
                <w:sz w:val="20"/>
                <w:szCs w:val="20"/>
              </w:rPr>
            </w:r>
            <w:r w:rsidR="00E3332A">
              <w:rPr>
                <w:rFonts w:ascii="Calibri" w:hAnsi="Calibri" w:cs="Calibri"/>
                <w:sz w:val="20"/>
                <w:szCs w:val="20"/>
              </w:rPr>
              <w:fldChar w:fldCharType="separate"/>
            </w:r>
            <w:r w:rsidR="00E3332A">
              <w:rPr>
                <w:rFonts w:ascii="Calibri" w:hAnsi="Calibri" w:cs="Calibri"/>
                <w:sz w:val="20"/>
                <w:szCs w:val="20"/>
              </w:rPr>
              <w:t>14</w:t>
            </w:r>
            <w:r w:rsidR="00E3332A">
              <w:rPr>
                <w:rFonts w:ascii="Calibri" w:hAnsi="Calibri" w:cs="Calibri"/>
                <w:sz w:val="20"/>
                <w:szCs w:val="20"/>
              </w:rPr>
              <w:fldChar w:fldCharType="end"/>
            </w:r>
          </w:hyperlink>
        </w:p>
        <w:p w14:paraId="6808F6C8" w14:textId="77777777" w:rsidR="00CF33D9" w:rsidRDefault="009B0270">
          <w:pPr>
            <w:pStyle w:val="TOC2"/>
            <w:tabs>
              <w:tab w:val="left" w:pos="720"/>
              <w:tab w:val="right" w:leader="dot" w:pos="9350"/>
            </w:tabs>
            <w:rPr>
              <w:rFonts w:ascii="Calibri" w:eastAsiaTheme="minorEastAsia" w:hAnsi="Calibri" w:cs="Calibri"/>
              <w:b w:val="0"/>
              <w:bCs w:val="0"/>
              <w:kern w:val="2"/>
              <w:sz w:val="20"/>
              <w:szCs w:val="20"/>
              <w:lang w:val="zh-CN"/>
              <w14:ligatures w14:val="standardContextual"/>
            </w:rPr>
          </w:pPr>
          <w:hyperlink w:anchor="_Toc169739148" w:history="1">
            <w:r w:rsidR="00E3332A">
              <w:rPr>
                <w:rStyle w:val="Hyperlink"/>
                <w:rFonts w:ascii="Calibri" w:hAnsi="Calibri" w:cs="Calibri"/>
                <w:sz w:val="20"/>
                <w:szCs w:val="20"/>
              </w:rPr>
              <w:t>A.</w:t>
            </w:r>
            <w:r w:rsidR="00E3332A">
              <w:rPr>
                <w:rFonts w:ascii="Calibri" w:eastAsiaTheme="minorEastAsia" w:hAnsi="Calibri" w:cs="Calibri"/>
                <w:b w:val="0"/>
                <w:bCs w:val="0"/>
                <w:kern w:val="2"/>
                <w:sz w:val="20"/>
                <w:szCs w:val="20"/>
                <w:lang w:val="zh-CN"/>
                <w14:ligatures w14:val="standardContextual"/>
              </w:rPr>
              <w:tab/>
            </w:r>
            <w:r w:rsidR="00E3332A">
              <w:rPr>
                <w:rStyle w:val="Hyperlink"/>
                <w:rFonts w:ascii="Calibri" w:hAnsi="Calibri" w:cs="Calibri"/>
                <w:sz w:val="20"/>
                <w:szCs w:val="20"/>
              </w:rPr>
              <w:t>Expected Results</w:t>
            </w:r>
            <w:r w:rsidR="00E3332A">
              <w:rPr>
                <w:rFonts w:ascii="Calibri" w:hAnsi="Calibri" w:cs="Calibri"/>
                <w:sz w:val="20"/>
                <w:szCs w:val="20"/>
              </w:rPr>
              <w:tab/>
            </w:r>
            <w:r w:rsidR="00E3332A">
              <w:rPr>
                <w:rFonts w:ascii="Calibri" w:hAnsi="Calibri" w:cs="Calibri"/>
                <w:sz w:val="20"/>
                <w:szCs w:val="20"/>
              </w:rPr>
              <w:fldChar w:fldCharType="begin"/>
            </w:r>
            <w:r w:rsidR="00E3332A">
              <w:rPr>
                <w:rFonts w:ascii="Calibri" w:hAnsi="Calibri" w:cs="Calibri"/>
                <w:sz w:val="20"/>
                <w:szCs w:val="20"/>
              </w:rPr>
              <w:instrText xml:space="preserve"> PAGEREF _Toc169739148 \h </w:instrText>
            </w:r>
            <w:r w:rsidR="00E3332A">
              <w:rPr>
                <w:rFonts w:ascii="Calibri" w:hAnsi="Calibri" w:cs="Calibri"/>
                <w:sz w:val="20"/>
                <w:szCs w:val="20"/>
              </w:rPr>
            </w:r>
            <w:r w:rsidR="00E3332A">
              <w:rPr>
                <w:rFonts w:ascii="Calibri" w:hAnsi="Calibri" w:cs="Calibri"/>
                <w:sz w:val="20"/>
                <w:szCs w:val="20"/>
              </w:rPr>
              <w:fldChar w:fldCharType="separate"/>
            </w:r>
            <w:r w:rsidR="00E3332A">
              <w:rPr>
                <w:rFonts w:ascii="Calibri" w:hAnsi="Calibri" w:cs="Calibri"/>
                <w:sz w:val="20"/>
                <w:szCs w:val="20"/>
              </w:rPr>
              <w:t>14</w:t>
            </w:r>
            <w:r w:rsidR="00E3332A">
              <w:rPr>
                <w:rFonts w:ascii="Calibri" w:hAnsi="Calibri" w:cs="Calibri"/>
                <w:sz w:val="20"/>
                <w:szCs w:val="20"/>
              </w:rPr>
              <w:fldChar w:fldCharType="end"/>
            </w:r>
          </w:hyperlink>
        </w:p>
        <w:p w14:paraId="6808F6C9" w14:textId="77777777" w:rsidR="00CF33D9" w:rsidRDefault="009B0270">
          <w:pPr>
            <w:pStyle w:val="TOC2"/>
            <w:tabs>
              <w:tab w:val="left" w:pos="720"/>
              <w:tab w:val="right" w:leader="dot" w:pos="9350"/>
            </w:tabs>
            <w:rPr>
              <w:rFonts w:ascii="Calibri" w:eastAsiaTheme="minorEastAsia" w:hAnsi="Calibri" w:cs="Calibri"/>
              <w:b w:val="0"/>
              <w:bCs w:val="0"/>
              <w:kern w:val="2"/>
              <w:sz w:val="20"/>
              <w:szCs w:val="20"/>
              <w:lang w:val="zh-CN"/>
              <w14:ligatures w14:val="standardContextual"/>
            </w:rPr>
          </w:pPr>
          <w:hyperlink w:anchor="_Toc169739149" w:history="1">
            <w:r w:rsidR="00E3332A">
              <w:rPr>
                <w:rStyle w:val="Hyperlink"/>
                <w:rFonts w:ascii="Calibri" w:hAnsi="Calibri" w:cs="Calibri"/>
                <w:sz w:val="20"/>
                <w:szCs w:val="20"/>
              </w:rPr>
              <w:t>B</w:t>
            </w:r>
            <w:r w:rsidR="00E3332A">
              <w:rPr>
                <w:rFonts w:ascii="Calibri" w:eastAsiaTheme="minorEastAsia" w:hAnsi="Calibri" w:cs="Calibri"/>
                <w:b w:val="0"/>
                <w:bCs w:val="0"/>
                <w:kern w:val="2"/>
                <w:sz w:val="20"/>
                <w:szCs w:val="20"/>
                <w:lang w:val="zh-CN"/>
                <w14:ligatures w14:val="standardContextual"/>
              </w:rPr>
              <w:tab/>
            </w:r>
            <w:r w:rsidR="00E3332A">
              <w:rPr>
                <w:rStyle w:val="Hyperlink"/>
                <w:rFonts w:ascii="Calibri" w:hAnsi="Calibri" w:cs="Calibri"/>
                <w:sz w:val="20"/>
                <w:szCs w:val="20"/>
              </w:rPr>
              <w:t>Resources required to achieve the expected result</w:t>
            </w:r>
            <w:r w:rsidR="00E3332A">
              <w:rPr>
                <w:rFonts w:ascii="Calibri" w:hAnsi="Calibri" w:cs="Calibri"/>
                <w:sz w:val="20"/>
                <w:szCs w:val="20"/>
              </w:rPr>
              <w:tab/>
            </w:r>
            <w:r w:rsidR="00E3332A">
              <w:rPr>
                <w:rFonts w:ascii="Calibri" w:hAnsi="Calibri" w:cs="Calibri"/>
                <w:sz w:val="20"/>
                <w:szCs w:val="20"/>
              </w:rPr>
              <w:fldChar w:fldCharType="begin"/>
            </w:r>
            <w:r w:rsidR="00E3332A">
              <w:rPr>
                <w:rFonts w:ascii="Calibri" w:hAnsi="Calibri" w:cs="Calibri"/>
                <w:sz w:val="20"/>
                <w:szCs w:val="20"/>
              </w:rPr>
              <w:instrText xml:space="preserve"> PAGEREF _Toc169739149 \h </w:instrText>
            </w:r>
            <w:r w:rsidR="00E3332A">
              <w:rPr>
                <w:rFonts w:ascii="Calibri" w:hAnsi="Calibri" w:cs="Calibri"/>
                <w:sz w:val="20"/>
                <w:szCs w:val="20"/>
              </w:rPr>
            </w:r>
            <w:r w:rsidR="00E3332A">
              <w:rPr>
                <w:rFonts w:ascii="Calibri" w:hAnsi="Calibri" w:cs="Calibri"/>
                <w:sz w:val="20"/>
                <w:szCs w:val="20"/>
              </w:rPr>
              <w:fldChar w:fldCharType="separate"/>
            </w:r>
            <w:r w:rsidR="00E3332A">
              <w:rPr>
                <w:rFonts w:ascii="Calibri" w:hAnsi="Calibri" w:cs="Calibri"/>
                <w:sz w:val="20"/>
                <w:szCs w:val="20"/>
              </w:rPr>
              <w:t>20</w:t>
            </w:r>
            <w:r w:rsidR="00E3332A">
              <w:rPr>
                <w:rFonts w:ascii="Calibri" w:hAnsi="Calibri" w:cs="Calibri"/>
                <w:sz w:val="20"/>
                <w:szCs w:val="20"/>
              </w:rPr>
              <w:fldChar w:fldCharType="end"/>
            </w:r>
          </w:hyperlink>
        </w:p>
        <w:p w14:paraId="6808F6CA" w14:textId="77777777" w:rsidR="00CF33D9" w:rsidRDefault="009B0270">
          <w:pPr>
            <w:pStyle w:val="TOC2"/>
            <w:tabs>
              <w:tab w:val="left" w:pos="720"/>
              <w:tab w:val="right" w:leader="dot" w:pos="9350"/>
            </w:tabs>
            <w:rPr>
              <w:rFonts w:ascii="Calibri" w:eastAsiaTheme="minorEastAsia" w:hAnsi="Calibri" w:cs="Calibri"/>
              <w:b w:val="0"/>
              <w:bCs w:val="0"/>
              <w:kern w:val="2"/>
              <w:sz w:val="20"/>
              <w:szCs w:val="20"/>
              <w:lang w:val="zh-CN"/>
              <w14:ligatures w14:val="standardContextual"/>
            </w:rPr>
          </w:pPr>
          <w:hyperlink w:anchor="_Toc169739150" w:history="1">
            <w:r w:rsidR="00E3332A">
              <w:rPr>
                <w:rStyle w:val="Hyperlink"/>
                <w:rFonts w:ascii="Calibri" w:hAnsi="Calibri" w:cs="Calibri"/>
                <w:sz w:val="20"/>
                <w:szCs w:val="20"/>
              </w:rPr>
              <w:t>C</w:t>
            </w:r>
            <w:r w:rsidR="00E3332A">
              <w:rPr>
                <w:rFonts w:ascii="Calibri" w:eastAsiaTheme="minorEastAsia" w:hAnsi="Calibri" w:cs="Calibri"/>
                <w:b w:val="0"/>
                <w:bCs w:val="0"/>
                <w:kern w:val="2"/>
                <w:sz w:val="20"/>
                <w:szCs w:val="20"/>
                <w:lang w:val="zh-CN"/>
                <w14:ligatures w14:val="standardContextual"/>
              </w:rPr>
              <w:tab/>
            </w:r>
            <w:r w:rsidR="00E3332A">
              <w:rPr>
                <w:rStyle w:val="Hyperlink"/>
                <w:rFonts w:ascii="Calibri" w:hAnsi="Calibri" w:cs="Calibri"/>
                <w:sz w:val="20"/>
                <w:szCs w:val="20"/>
              </w:rPr>
              <w:t>Partnerships</w:t>
            </w:r>
            <w:r w:rsidR="00E3332A">
              <w:rPr>
                <w:rFonts w:ascii="Calibri" w:hAnsi="Calibri" w:cs="Calibri"/>
                <w:sz w:val="20"/>
                <w:szCs w:val="20"/>
              </w:rPr>
              <w:tab/>
            </w:r>
            <w:r w:rsidR="00E3332A">
              <w:rPr>
                <w:rFonts w:ascii="Calibri" w:hAnsi="Calibri" w:cs="Calibri"/>
                <w:sz w:val="20"/>
                <w:szCs w:val="20"/>
              </w:rPr>
              <w:fldChar w:fldCharType="begin"/>
            </w:r>
            <w:r w:rsidR="00E3332A">
              <w:rPr>
                <w:rFonts w:ascii="Calibri" w:hAnsi="Calibri" w:cs="Calibri"/>
                <w:sz w:val="20"/>
                <w:szCs w:val="20"/>
              </w:rPr>
              <w:instrText xml:space="preserve"> PAGEREF _Toc169739150 \h </w:instrText>
            </w:r>
            <w:r w:rsidR="00E3332A">
              <w:rPr>
                <w:rFonts w:ascii="Calibri" w:hAnsi="Calibri" w:cs="Calibri"/>
                <w:sz w:val="20"/>
                <w:szCs w:val="20"/>
              </w:rPr>
            </w:r>
            <w:r w:rsidR="00E3332A">
              <w:rPr>
                <w:rFonts w:ascii="Calibri" w:hAnsi="Calibri" w:cs="Calibri"/>
                <w:sz w:val="20"/>
                <w:szCs w:val="20"/>
              </w:rPr>
              <w:fldChar w:fldCharType="separate"/>
            </w:r>
            <w:r w:rsidR="00E3332A">
              <w:rPr>
                <w:rFonts w:ascii="Calibri" w:hAnsi="Calibri" w:cs="Calibri"/>
                <w:sz w:val="20"/>
                <w:szCs w:val="20"/>
              </w:rPr>
              <w:t>20</w:t>
            </w:r>
            <w:r w:rsidR="00E3332A">
              <w:rPr>
                <w:rFonts w:ascii="Calibri" w:hAnsi="Calibri" w:cs="Calibri"/>
                <w:sz w:val="20"/>
                <w:szCs w:val="20"/>
              </w:rPr>
              <w:fldChar w:fldCharType="end"/>
            </w:r>
          </w:hyperlink>
        </w:p>
        <w:p w14:paraId="6808F6CB" w14:textId="77777777" w:rsidR="00CF33D9" w:rsidRDefault="009B0270">
          <w:pPr>
            <w:pStyle w:val="TOC2"/>
            <w:tabs>
              <w:tab w:val="left" w:pos="720"/>
              <w:tab w:val="right" w:leader="dot" w:pos="9350"/>
            </w:tabs>
            <w:rPr>
              <w:rFonts w:ascii="Calibri" w:eastAsiaTheme="minorEastAsia" w:hAnsi="Calibri" w:cs="Calibri"/>
              <w:b w:val="0"/>
              <w:bCs w:val="0"/>
              <w:kern w:val="2"/>
              <w:sz w:val="20"/>
              <w:szCs w:val="20"/>
              <w:lang w:val="zh-CN"/>
              <w14:ligatures w14:val="standardContextual"/>
            </w:rPr>
          </w:pPr>
          <w:hyperlink w:anchor="_Toc169739151" w:history="1">
            <w:r w:rsidR="00E3332A">
              <w:rPr>
                <w:rStyle w:val="Hyperlink"/>
                <w:rFonts w:ascii="Calibri" w:hAnsi="Calibri" w:cs="Calibri"/>
                <w:sz w:val="20"/>
                <w:szCs w:val="20"/>
              </w:rPr>
              <w:t>D</w:t>
            </w:r>
            <w:r w:rsidR="00E3332A">
              <w:rPr>
                <w:rFonts w:ascii="Calibri" w:eastAsiaTheme="minorEastAsia" w:hAnsi="Calibri" w:cs="Calibri"/>
                <w:b w:val="0"/>
                <w:bCs w:val="0"/>
                <w:kern w:val="2"/>
                <w:sz w:val="20"/>
                <w:szCs w:val="20"/>
                <w:lang w:val="zh-CN"/>
                <w14:ligatures w14:val="standardContextual"/>
              </w:rPr>
              <w:tab/>
            </w:r>
            <w:r w:rsidR="00E3332A">
              <w:rPr>
                <w:rStyle w:val="Hyperlink"/>
                <w:rFonts w:ascii="Calibri" w:hAnsi="Calibri" w:cs="Calibri"/>
                <w:sz w:val="20"/>
                <w:szCs w:val="20"/>
              </w:rPr>
              <w:t>Risks and Assumptions</w:t>
            </w:r>
            <w:r w:rsidR="00E3332A">
              <w:rPr>
                <w:rFonts w:ascii="Calibri" w:hAnsi="Calibri" w:cs="Calibri"/>
                <w:sz w:val="20"/>
                <w:szCs w:val="20"/>
              </w:rPr>
              <w:tab/>
            </w:r>
            <w:r w:rsidR="00E3332A">
              <w:rPr>
                <w:rFonts w:ascii="Calibri" w:hAnsi="Calibri" w:cs="Calibri"/>
                <w:sz w:val="20"/>
                <w:szCs w:val="20"/>
              </w:rPr>
              <w:fldChar w:fldCharType="begin"/>
            </w:r>
            <w:r w:rsidR="00E3332A">
              <w:rPr>
                <w:rFonts w:ascii="Calibri" w:hAnsi="Calibri" w:cs="Calibri"/>
                <w:sz w:val="20"/>
                <w:szCs w:val="20"/>
              </w:rPr>
              <w:instrText xml:space="preserve"> PAGEREF _Toc169739151 \h </w:instrText>
            </w:r>
            <w:r w:rsidR="00E3332A">
              <w:rPr>
                <w:rFonts w:ascii="Calibri" w:hAnsi="Calibri" w:cs="Calibri"/>
                <w:sz w:val="20"/>
                <w:szCs w:val="20"/>
              </w:rPr>
            </w:r>
            <w:r w:rsidR="00E3332A">
              <w:rPr>
                <w:rFonts w:ascii="Calibri" w:hAnsi="Calibri" w:cs="Calibri"/>
                <w:sz w:val="20"/>
                <w:szCs w:val="20"/>
              </w:rPr>
              <w:fldChar w:fldCharType="separate"/>
            </w:r>
            <w:r w:rsidR="00E3332A">
              <w:rPr>
                <w:rFonts w:ascii="Calibri" w:hAnsi="Calibri" w:cs="Calibri"/>
                <w:sz w:val="20"/>
                <w:szCs w:val="20"/>
              </w:rPr>
              <w:t>21</w:t>
            </w:r>
            <w:r w:rsidR="00E3332A">
              <w:rPr>
                <w:rFonts w:ascii="Calibri" w:hAnsi="Calibri" w:cs="Calibri"/>
                <w:sz w:val="20"/>
                <w:szCs w:val="20"/>
              </w:rPr>
              <w:fldChar w:fldCharType="end"/>
            </w:r>
          </w:hyperlink>
        </w:p>
        <w:p w14:paraId="6808F6CC" w14:textId="77777777" w:rsidR="00CF33D9" w:rsidRDefault="009B0270">
          <w:pPr>
            <w:pStyle w:val="TOC2"/>
            <w:tabs>
              <w:tab w:val="left" w:pos="720"/>
              <w:tab w:val="right" w:leader="dot" w:pos="9350"/>
            </w:tabs>
            <w:rPr>
              <w:rFonts w:ascii="Calibri" w:eastAsiaTheme="minorEastAsia" w:hAnsi="Calibri" w:cs="Calibri"/>
              <w:b w:val="0"/>
              <w:bCs w:val="0"/>
              <w:kern w:val="2"/>
              <w:sz w:val="20"/>
              <w:szCs w:val="20"/>
              <w:lang w:val="zh-CN"/>
              <w14:ligatures w14:val="standardContextual"/>
            </w:rPr>
          </w:pPr>
          <w:hyperlink w:anchor="_Toc169739152" w:history="1">
            <w:r w:rsidR="00E3332A">
              <w:rPr>
                <w:rStyle w:val="Hyperlink"/>
                <w:rFonts w:ascii="Calibri" w:hAnsi="Calibri" w:cs="Calibri"/>
                <w:sz w:val="20"/>
                <w:szCs w:val="20"/>
              </w:rPr>
              <w:t>E</w:t>
            </w:r>
            <w:r w:rsidR="00E3332A">
              <w:rPr>
                <w:rFonts w:ascii="Calibri" w:eastAsiaTheme="minorEastAsia" w:hAnsi="Calibri" w:cs="Calibri"/>
                <w:b w:val="0"/>
                <w:bCs w:val="0"/>
                <w:kern w:val="2"/>
                <w:sz w:val="20"/>
                <w:szCs w:val="20"/>
                <w:lang w:val="zh-CN"/>
                <w14:ligatures w14:val="standardContextual"/>
              </w:rPr>
              <w:tab/>
            </w:r>
            <w:r w:rsidR="00E3332A">
              <w:rPr>
                <w:rStyle w:val="Hyperlink"/>
                <w:rFonts w:ascii="Calibri" w:hAnsi="Calibri" w:cs="Calibri"/>
                <w:sz w:val="20"/>
                <w:szCs w:val="20"/>
              </w:rPr>
              <w:t>Stakeholder engagement</w:t>
            </w:r>
            <w:r w:rsidR="00E3332A">
              <w:rPr>
                <w:rFonts w:ascii="Calibri" w:hAnsi="Calibri" w:cs="Calibri"/>
                <w:sz w:val="20"/>
                <w:szCs w:val="20"/>
              </w:rPr>
              <w:tab/>
            </w:r>
            <w:r w:rsidR="00E3332A">
              <w:rPr>
                <w:rFonts w:ascii="Calibri" w:hAnsi="Calibri" w:cs="Calibri"/>
                <w:sz w:val="20"/>
                <w:szCs w:val="20"/>
              </w:rPr>
              <w:fldChar w:fldCharType="begin"/>
            </w:r>
            <w:r w:rsidR="00E3332A">
              <w:rPr>
                <w:rFonts w:ascii="Calibri" w:hAnsi="Calibri" w:cs="Calibri"/>
                <w:sz w:val="20"/>
                <w:szCs w:val="20"/>
              </w:rPr>
              <w:instrText xml:space="preserve"> PAGEREF _Toc169739152 \h </w:instrText>
            </w:r>
            <w:r w:rsidR="00E3332A">
              <w:rPr>
                <w:rFonts w:ascii="Calibri" w:hAnsi="Calibri" w:cs="Calibri"/>
                <w:sz w:val="20"/>
                <w:szCs w:val="20"/>
              </w:rPr>
            </w:r>
            <w:r w:rsidR="00E3332A">
              <w:rPr>
                <w:rFonts w:ascii="Calibri" w:hAnsi="Calibri" w:cs="Calibri"/>
                <w:sz w:val="20"/>
                <w:szCs w:val="20"/>
              </w:rPr>
              <w:fldChar w:fldCharType="separate"/>
            </w:r>
            <w:r w:rsidR="00E3332A">
              <w:rPr>
                <w:rFonts w:ascii="Calibri" w:hAnsi="Calibri" w:cs="Calibri"/>
                <w:sz w:val="20"/>
                <w:szCs w:val="20"/>
              </w:rPr>
              <w:t>22</w:t>
            </w:r>
            <w:r w:rsidR="00E3332A">
              <w:rPr>
                <w:rFonts w:ascii="Calibri" w:hAnsi="Calibri" w:cs="Calibri"/>
                <w:sz w:val="20"/>
                <w:szCs w:val="20"/>
              </w:rPr>
              <w:fldChar w:fldCharType="end"/>
            </w:r>
          </w:hyperlink>
        </w:p>
        <w:p w14:paraId="6808F6CD" w14:textId="77777777" w:rsidR="00CF33D9" w:rsidRDefault="009B0270">
          <w:pPr>
            <w:pStyle w:val="TOC2"/>
            <w:tabs>
              <w:tab w:val="left" w:pos="720"/>
              <w:tab w:val="right" w:leader="dot" w:pos="9350"/>
            </w:tabs>
            <w:rPr>
              <w:rFonts w:ascii="Calibri" w:eastAsiaTheme="minorEastAsia" w:hAnsi="Calibri" w:cs="Calibri"/>
              <w:b w:val="0"/>
              <w:bCs w:val="0"/>
              <w:kern w:val="2"/>
              <w:sz w:val="20"/>
              <w:szCs w:val="20"/>
              <w:lang w:val="zh-CN"/>
              <w14:ligatures w14:val="standardContextual"/>
            </w:rPr>
          </w:pPr>
          <w:hyperlink w:anchor="_Toc169739153" w:history="1">
            <w:r w:rsidR="00E3332A">
              <w:rPr>
                <w:rStyle w:val="Hyperlink"/>
                <w:rFonts w:ascii="Calibri" w:hAnsi="Calibri" w:cs="Calibri"/>
                <w:sz w:val="20"/>
                <w:szCs w:val="20"/>
              </w:rPr>
              <w:t>F</w:t>
            </w:r>
            <w:r w:rsidR="00E3332A">
              <w:rPr>
                <w:rFonts w:ascii="Calibri" w:eastAsiaTheme="minorEastAsia" w:hAnsi="Calibri" w:cs="Calibri"/>
                <w:b w:val="0"/>
                <w:bCs w:val="0"/>
                <w:kern w:val="2"/>
                <w:sz w:val="20"/>
                <w:szCs w:val="20"/>
                <w:lang w:val="zh-CN"/>
                <w14:ligatures w14:val="standardContextual"/>
              </w:rPr>
              <w:tab/>
            </w:r>
            <w:r w:rsidR="00E3332A">
              <w:rPr>
                <w:rStyle w:val="Hyperlink"/>
                <w:rFonts w:ascii="Calibri" w:hAnsi="Calibri" w:cs="Calibri"/>
                <w:sz w:val="20"/>
                <w:szCs w:val="20"/>
              </w:rPr>
              <w:t>South-South and Triangular Cooperation (SSC/TrC)</w:t>
            </w:r>
            <w:r w:rsidR="00E3332A">
              <w:rPr>
                <w:rFonts w:ascii="Calibri" w:hAnsi="Calibri" w:cs="Calibri"/>
                <w:sz w:val="20"/>
                <w:szCs w:val="20"/>
              </w:rPr>
              <w:tab/>
            </w:r>
            <w:r w:rsidR="00E3332A">
              <w:rPr>
                <w:rFonts w:ascii="Calibri" w:hAnsi="Calibri" w:cs="Calibri"/>
                <w:sz w:val="20"/>
                <w:szCs w:val="20"/>
              </w:rPr>
              <w:fldChar w:fldCharType="begin"/>
            </w:r>
            <w:r w:rsidR="00E3332A">
              <w:rPr>
                <w:rFonts w:ascii="Calibri" w:hAnsi="Calibri" w:cs="Calibri"/>
                <w:sz w:val="20"/>
                <w:szCs w:val="20"/>
              </w:rPr>
              <w:instrText xml:space="preserve"> PAGEREF _Toc169739153 \h </w:instrText>
            </w:r>
            <w:r w:rsidR="00E3332A">
              <w:rPr>
                <w:rFonts w:ascii="Calibri" w:hAnsi="Calibri" w:cs="Calibri"/>
                <w:sz w:val="20"/>
                <w:szCs w:val="20"/>
              </w:rPr>
            </w:r>
            <w:r w:rsidR="00E3332A">
              <w:rPr>
                <w:rFonts w:ascii="Calibri" w:hAnsi="Calibri" w:cs="Calibri"/>
                <w:sz w:val="20"/>
                <w:szCs w:val="20"/>
              </w:rPr>
              <w:fldChar w:fldCharType="separate"/>
            </w:r>
            <w:r w:rsidR="00E3332A">
              <w:rPr>
                <w:rFonts w:ascii="Calibri" w:hAnsi="Calibri" w:cs="Calibri"/>
                <w:sz w:val="20"/>
                <w:szCs w:val="20"/>
              </w:rPr>
              <w:t>22</w:t>
            </w:r>
            <w:r w:rsidR="00E3332A">
              <w:rPr>
                <w:rFonts w:ascii="Calibri" w:hAnsi="Calibri" w:cs="Calibri"/>
                <w:sz w:val="20"/>
                <w:szCs w:val="20"/>
              </w:rPr>
              <w:fldChar w:fldCharType="end"/>
            </w:r>
          </w:hyperlink>
        </w:p>
        <w:p w14:paraId="6808F6CE" w14:textId="77777777" w:rsidR="00CF33D9" w:rsidRDefault="009B0270">
          <w:pPr>
            <w:pStyle w:val="TOC2"/>
            <w:tabs>
              <w:tab w:val="left" w:pos="720"/>
              <w:tab w:val="right" w:leader="dot" w:pos="9350"/>
            </w:tabs>
            <w:rPr>
              <w:rFonts w:ascii="Calibri" w:eastAsiaTheme="minorEastAsia" w:hAnsi="Calibri" w:cs="Calibri"/>
              <w:b w:val="0"/>
              <w:bCs w:val="0"/>
              <w:kern w:val="2"/>
              <w:sz w:val="20"/>
              <w:szCs w:val="20"/>
              <w:lang w:val="zh-CN"/>
              <w14:ligatures w14:val="standardContextual"/>
            </w:rPr>
          </w:pPr>
          <w:hyperlink w:anchor="_Toc169739154" w:history="1">
            <w:r w:rsidR="00E3332A">
              <w:rPr>
                <w:rStyle w:val="Hyperlink"/>
                <w:rFonts w:ascii="Calibri" w:hAnsi="Calibri" w:cs="Calibri"/>
                <w:sz w:val="20"/>
                <w:szCs w:val="20"/>
              </w:rPr>
              <w:t>G</w:t>
            </w:r>
            <w:r w:rsidR="00E3332A">
              <w:rPr>
                <w:rFonts w:ascii="Calibri" w:eastAsiaTheme="minorEastAsia" w:hAnsi="Calibri" w:cs="Calibri"/>
                <w:b w:val="0"/>
                <w:bCs w:val="0"/>
                <w:kern w:val="2"/>
                <w:sz w:val="20"/>
                <w:szCs w:val="20"/>
                <w:lang w:val="zh-CN"/>
                <w14:ligatures w14:val="standardContextual"/>
              </w:rPr>
              <w:tab/>
            </w:r>
            <w:r w:rsidR="00E3332A">
              <w:rPr>
                <w:rStyle w:val="Hyperlink"/>
                <w:rFonts w:ascii="Calibri" w:hAnsi="Calibri" w:cs="Calibri"/>
                <w:sz w:val="20"/>
                <w:szCs w:val="20"/>
              </w:rPr>
              <w:t>Gender equality and Women’s Empowerment</w:t>
            </w:r>
            <w:r w:rsidR="00E3332A">
              <w:rPr>
                <w:rFonts w:ascii="Calibri" w:hAnsi="Calibri" w:cs="Calibri"/>
                <w:sz w:val="20"/>
                <w:szCs w:val="20"/>
              </w:rPr>
              <w:tab/>
            </w:r>
            <w:r w:rsidR="00E3332A">
              <w:rPr>
                <w:rFonts w:ascii="Calibri" w:hAnsi="Calibri" w:cs="Calibri"/>
                <w:sz w:val="20"/>
                <w:szCs w:val="20"/>
              </w:rPr>
              <w:fldChar w:fldCharType="begin"/>
            </w:r>
            <w:r w:rsidR="00E3332A">
              <w:rPr>
                <w:rFonts w:ascii="Calibri" w:hAnsi="Calibri" w:cs="Calibri"/>
                <w:sz w:val="20"/>
                <w:szCs w:val="20"/>
              </w:rPr>
              <w:instrText xml:space="preserve"> PAGEREF _Toc169739154 \h </w:instrText>
            </w:r>
            <w:r w:rsidR="00E3332A">
              <w:rPr>
                <w:rFonts w:ascii="Calibri" w:hAnsi="Calibri" w:cs="Calibri"/>
                <w:sz w:val="20"/>
                <w:szCs w:val="20"/>
              </w:rPr>
            </w:r>
            <w:r w:rsidR="00E3332A">
              <w:rPr>
                <w:rFonts w:ascii="Calibri" w:hAnsi="Calibri" w:cs="Calibri"/>
                <w:sz w:val="20"/>
                <w:szCs w:val="20"/>
              </w:rPr>
              <w:fldChar w:fldCharType="separate"/>
            </w:r>
            <w:r w:rsidR="00E3332A">
              <w:rPr>
                <w:rFonts w:ascii="Calibri" w:hAnsi="Calibri" w:cs="Calibri"/>
                <w:sz w:val="20"/>
                <w:szCs w:val="20"/>
              </w:rPr>
              <w:t>23</w:t>
            </w:r>
            <w:r w:rsidR="00E3332A">
              <w:rPr>
                <w:rFonts w:ascii="Calibri" w:hAnsi="Calibri" w:cs="Calibri"/>
                <w:sz w:val="20"/>
                <w:szCs w:val="20"/>
              </w:rPr>
              <w:fldChar w:fldCharType="end"/>
            </w:r>
          </w:hyperlink>
        </w:p>
        <w:p w14:paraId="6808F6CF" w14:textId="77777777" w:rsidR="00CF33D9" w:rsidRDefault="009B0270">
          <w:pPr>
            <w:pStyle w:val="TOC2"/>
            <w:tabs>
              <w:tab w:val="left" w:pos="720"/>
              <w:tab w:val="right" w:leader="dot" w:pos="9350"/>
            </w:tabs>
            <w:rPr>
              <w:rFonts w:ascii="Calibri" w:eastAsiaTheme="minorEastAsia" w:hAnsi="Calibri" w:cs="Calibri"/>
              <w:b w:val="0"/>
              <w:bCs w:val="0"/>
              <w:kern w:val="2"/>
              <w:sz w:val="20"/>
              <w:szCs w:val="20"/>
              <w:lang w:val="zh-CN"/>
              <w14:ligatures w14:val="standardContextual"/>
            </w:rPr>
          </w:pPr>
          <w:hyperlink w:anchor="_Toc169739155" w:history="1">
            <w:r w:rsidR="00E3332A">
              <w:rPr>
                <w:rStyle w:val="Hyperlink"/>
                <w:rFonts w:ascii="Calibri" w:hAnsi="Calibri" w:cs="Calibri"/>
                <w:sz w:val="20"/>
                <w:szCs w:val="20"/>
              </w:rPr>
              <w:t>H</w:t>
            </w:r>
            <w:r w:rsidR="00E3332A">
              <w:rPr>
                <w:rFonts w:ascii="Calibri" w:eastAsiaTheme="minorEastAsia" w:hAnsi="Calibri" w:cs="Calibri"/>
                <w:b w:val="0"/>
                <w:bCs w:val="0"/>
                <w:kern w:val="2"/>
                <w:sz w:val="20"/>
                <w:szCs w:val="20"/>
                <w:lang w:val="zh-CN"/>
                <w14:ligatures w14:val="standardContextual"/>
              </w:rPr>
              <w:tab/>
            </w:r>
            <w:r w:rsidR="00E3332A">
              <w:rPr>
                <w:rStyle w:val="Hyperlink"/>
                <w:rFonts w:ascii="Calibri" w:hAnsi="Calibri" w:cs="Calibri"/>
                <w:sz w:val="20"/>
                <w:szCs w:val="20"/>
              </w:rPr>
              <w:t>Knowledge</w:t>
            </w:r>
            <w:r w:rsidR="00E3332A">
              <w:rPr>
                <w:rFonts w:ascii="Calibri" w:hAnsi="Calibri" w:cs="Calibri"/>
                <w:sz w:val="20"/>
                <w:szCs w:val="20"/>
              </w:rPr>
              <w:tab/>
            </w:r>
            <w:r w:rsidR="00E3332A">
              <w:rPr>
                <w:rFonts w:ascii="Calibri" w:hAnsi="Calibri" w:cs="Calibri"/>
                <w:sz w:val="20"/>
                <w:szCs w:val="20"/>
              </w:rPr>
              <w:fldChar w:fldCharType="begin"/>
            </w:r>
            <w:r w:rsidR="00E3332A">
              <w:rPr>
                <w:rFonts w:ascii="Calibri" w:hAnsi="Calibri" w:cs="Calibri"/>
                <w:sz w:val="20"/>
                <w:szCs w:val="20"/>
              </w:rPr>
              <w:instrText xml:space="preserve"> PAGEREF _Toc169739155 \h </w:instrText>
            </w:r>
            <w:r w:rsidR="00E3332A">
              <w:rPr>
                <w:rFonts w:ascii="Calibri" w:hAnsi="Calibri" w:cs="Calibri"/>
                <w:sz w:val="20"/>
                <w:szCs w:val="20"/>
              </w:rPr>
            </w:r>
            <w:r w:rsidR="00E3332A">
              <w:rPr>
                <w:rFonts w:ascii="Calibri" w:hAnsi="Calibri" w:cs="Calibri"/>
                <w:sz w:val="20"/>
                <w:szCs w:val="20"/>
              </w:rPr>
              <w:fldChar w:fldCharType="separate"/>
            </w:r>
            <w:r w:rsidR="00E3332A">
              <w:rPr>
                <w:rFonts w:ascii="Calibri" w:hAnsi="Calibri" w:cs="Calibri"/>
                <w:sz w:val="20"/>
                <w:szCs w:val="20"/>
              </w:rPr>
              <w:t>23</w:t>
            </w:r>
            <w:r w:rsidR="00E3332A">
              <w:rPr>
                <w:rFonts w:ascii="Calibri" w:hAnsi="Calibri" w:cs="Calibri"/>
                <w:sz w:val="20"/>
                <w:szCs w:val="20"/>
              </w:rPr>
              <w:fldChar w:fldCharType="end"/>
            </w:r>
          </w:hyperlink>
        </w:p>
        <w:p w14:paraId="6808F6D0" w14:textId="77777777" w:rsidR="00CF33D9" w:rsidRDefault="009B0270">
          <w:pPr>
            <w:pStyle w:val="TOC2"/>
            <w:tabs>
              <w:tab w:val="left" w:pos="720"/>
              <w:tab w:val="right" w:leader="dot" w:pos="9350"/>
            </w:tabs>
            <w:rPr>
              <w:rFonts w:ascii="Calibri" w:eastAsiaTheme="minorEastAsia" w:hAnsi="Calibri" w:cs="Calibri"/>
              <w:b w:val="0"/>
              <w:bCs w:val="0"/>
              <w:kern w:val="2"/>
              <w:sz w:val="20"/>
              <w:szCs w:val="20"/>
              <w:lang w:val="zh-CN"/>
              <w14:ligatures w14:val="standardContextual"/>
            </w:rPr>
          </w:pPr>
          <w:hyperlink w:anchor="_Toc169739156" w:history="1">
            <w:r w:rsidR="00E3332A">
              <w:rPr>
                <w:rStyle w:val="Hyperlink"/>
                <w:rFonts w:ascii="Calibri" w:hAnsi="Calibri" w:cs="Calibri"/>
                <w:sz w:val="20"/>
                <w:szCs w:val="20"/>
              </w:rPr>
              <w:t>I</w:t>
            </w:r>
            <w:r w:rsidR="00E3332A">
              <w:rPr>
                <w:rFonts w:ascii="Calibri" w:eastAsiaTheme="minorEastAsia" w:hAnsi="Calibri" w:cs="Calibri"/>
                <w:b w:val="0"/>
                <w:bCs w:val="0"/>
                <w:kern w:val="2"/>
                <w:sz w:val="20"/>
                <w:szCs w:val="20"/>
                <w:lang w:val="zh-CN"/>
                <w14:ligatures w14:val="standardContextual"/>
              </w:rPr>
              <w:tab/>
            </w:r>
            <w:r w:rsidR="00E3332A">
              <w:rPr>
                <w:rStyle w:val="Hyperlink"/>
                <w:rFonts w:ascii="Calibri" w:hAnsi="Calibri" w:cs="Calibri"/>
                <w:sz w:val="20"/>
                <w:szCs w:val="20"/>
              </w:rPr>
              <w:t>Innovativeness, Sustainability and Potential for Scaling Up</w:t>
            </w:r>
            <w:r w:rsidR="00E3332A">
              <w:rPr>
                <w:rFonts w:ascii="Calibri" w:hAnsi="Calibri" w:cs="Calibri"/>
                <w:sz w:val="20"/>
                <w:szCs w:val="20"/>
              </w:rPr>
              <w:tab/>
            </w:r>
            <w:r w:rsidR="00E3332A">
              <w:rPr>
                <w:rFonts w:ascii="Calibri" w:hAnsi="Calibri" w:cs="Calibri"/>
                <w:sz w:val="20"/>
                <w:szCs w:val="20"/>
              </w:rPr>
              <w:fldChar w:fldCharType="begin"/>
            </w:r>
            <w:r w:rsidR="00E3332A">
              <w:rPr>
                <w:rFonts w:ascii="Calibri" w:hAnsi="Calibri" w:cs="Calibri"/>
                <w:sz w:val="20"/>
                <w:szCs w:val="20"/>
              </w:rPr>
              <w:instrText xml:space="preserve"> PAGEREF _Toc169739156 \h </w:instrText>
            </w:r>
            <w:r w:rsidR="00E3332A">
              <w:rPr>
                <w:rFonts w:ascii="Calibri" w:hAnsi="Calibri" w:cs="Calibri"/>
                <w:sz w:val="20"/>
                <w:szCs w:val="20"/>
              </w:rPr>
            </w:r>
            <w:r w:rsidR="00E3332A">
              <w:rPr>
                <w:rFonts w:ascii="Calibri" w:hAnsi="Calibri" w:cs="Calibri"/>
                <w:sz w:val="20"/>
                <w:szCs w:val="20"/>
              </w:rPr>
              <w:fldChar w:fldCharType="separate"/>
            </w:r>
            <w:r w:rsidR="00E3332A">
              <w:rPr>
                <w:rFonts w:ascii="Calibri" w:hAnsi="Calibri" w:cs="Calibri"/>
                <w:sz w:val="20"/>
                <w:szCs w:val="20"/>
              </w:rPr>
              <w:t>24</w:t>
            </w:r>
            <w:r w:rsidR="00E3332A">
              <w:rPr>
                <w:rFonts w:ascii="Calibri" w:hAnsi="Calibri" w:cs="Calibri"/>
                <w:sz w:val="20"/>
                <w:szCs w:val="20"/>
              </w:rPr>
              <w:fldChar w:fldCharType="end"/>
            </w:r>
          </w:hyperlink>
        </w:p>
        <w:p w14:paraId="6808F6D1" w14:textId="77777777" w:rsidR="00CF33D9" w:rsidRDefault="009B0270">
          <w:pPr>
            <w:pStyle w:val="TOC2"/>
            <w:tabs>
              <w:tab w:val="left" w:pos="720"/>
              <w:tab w:val="right" w:leader="dot" w:pos="9350"/>
            </w:tabs>
            <w:rPr>
              <w:rFonts w:ascii="Calibri" w:eastAsiaTheme="minorEastAsia" w:hAnsi="Calibri" w:cs="Calibri"/>
              <w:b w:val="0"/>
              <w:bCs w:val="0"/>
              <w:kern w:val="2"/>
              <w:sz w:val="20"/>
              <w:szCs w:val="20"/>
              <w:lang w:val="zh-CN"/>
              <w14:ligatures w14:val="standardContextual"/>
            </w:rPr>
          </w:pPr>
          <w:hyperlink w:anchor="_Toc169739157" w:history="1">
            <w:r w:rsidR="00E3332A">
              <w:rPr>
                <w:rStyle w:val="Hyperlink"/>
                <w:rFonts w:ascii="Calibri" w:hAnsi="Calibri" w:cs="Calibri"/>
                <w:sz w:val="20"/>
                <w:szCs w:val="20"/>
              </w:rPr>
              <w:t>J</w:t>
            </w:r>
            <w:r w:rsidR="00E3332A">
              <w:rPr>
                <w:rFonts w:ascii="Calibri" w:eastAsiaTheme="minorEastAsia" w:hAnsi="Calibri" w:cs="Calibri"/>
                <w:b w:val="0"/>
                <w:bCs w:val="0"/>
                <w:kern w:val="2"/>
                <w:sz w:val="20"/>
                <w:szCs w:val="20"/>
                <w:lang w:val="zh-CN"/>
                <w14:ligatures w14:val="standardContextual"/>
              </w:rPr>
              <w:tab/>
            </w:r>
            <w:r w:rsidR="00E3332A">
              <w:rPr>
                <w:rStyle w:val="Hyperlink"/>
                <w:rFonts w:ascii="Calibri" w:hAnsi="Calibri" w:cs="Calibri"/>
                <w:sz w:val="20"/>
                <w:szCs w:val="20"/>
              </w:rPr>
              <w:t>Digital Solutions</w:t>
            </w:r>
            <w:r w:rsidR="00E3332A">
              <w:rPr>
                <w:rFonts w:ascii="Calibri" w:hAnsi="Calibri" w:cs="Calibri"/>
                <w:sz w:val="20"/>
                <w:szCs w:val="20"/>
              </w:rPr>
              <w:tab/>
            </w:r>
            <w:r w:rsidR="00E3332A">
              <w:rPr>
                <w:rFonts w:ascii="Calibri" w:hAnsi="Calibri" w:cs="Calibri"/>
                <w:sz w:val="20"/>
                <w:szCs w:val="20"/>
              </w:rPr>
              <w:fldChar w:fldCharType="begin"/>
            </w:r>
            <w:r w:rsidR="00E3332A">
              <w:rPr>
                <w:rFonts w:ascii="Calibri" w:hAnsi="Calibri" w:cs="Calibri"/>
                <w:sz w:val="20"/>
                <w:szCs w:val="20"/>
              </w:rPr>
              <w:instrText xml:space="preserve"> PAGEREF _Toc169739157 \h </w:instrText>
            </w:r>
            <w:r w:rsidR="00E3332A">
              <w:rPr>
                <w:rFonts w:ascii="Calibri" w:hAnsi="Calibri" w:cs="Calibri"/>
                <w:sz w:val="20"/>
                <w:szCs w:val="20"/>
              </w:rPr>
            </w:r>
            <w:r w:rsidR="00E3332A">
              <w:rPr>
                <w:rFonts w:ascii="Calibri" w:hAnsi="Calibri" w:cs="Calibri"/>
                <w:sz w:val="20"/>
                <w:szCs w:val="20"/>
              </w:rPr>
              <w:fldChar w:fldCharType="separate"/>
            </w:r>
            <w:r w:rsidR="00E3332A">
              <w:rPr>
                <w:rFonts w:ascii="Calibri" w:hAnsi="Calibri" w:cs="Calibri"/>
                <w:sz w:val="20"/>
                <w:szCs w:val="20"/>
              </w:rPr>
              <w:t>25</w:t>
            </w:r>
            <w:r w:rsidR="00E3332A">
              <w:rPr>
                <w:rFonts w:ascii="Calibri" w:hAnsi="Calibri" w:cs="Calibri"/>
                <w:sz w:val="20"/>
                <w:szCs w:val="20"/>
              </w:rPr>
              <w:fldChar w:fldCharType="end"/>
            </w:r>
          </w:hyperlink>
        </w:p>
        <w:p w14:paraId="6808F6D2" w14:textId="77777777" w:rsidR="00CF33D9" w:rsidRDefault="009B0270">
          <w:pPr>
            <w:pStyle w:val="TOC1"/>
            <w:tabs>
              <w:tab w:val="left" w:pos="480"/>
            </w:tabs>
            <w:rPr>
              <w:rFonts w:ascii="Calibri" w:eastAsiaTheme="minorEastAsia" w:hAnsi="Calibri" w:cs="Calibri"/>
              <w:b w:val="0"/>
              <w:bCs w:val="0"/>
              <w:i w:val="0"/>
              <w:iCs w:val="0"/>
              <w:kern w:val="2"/>
              <w:sz w:val="20"/>
              <w:szCs w:val="20"/>
              <w:lang w:val="zh-CN"/>
              <w14:ligatures w14:val="standardContextual"/>
            </w:rPr>
          </w:pPr>
          <w:hyperlink w:anchor="_Toc169739158" w:history="1">
            <w:r w:rsidR="00E3332A">
              <w:rPr>
                <w:rStyle w:val="Hyperlink"/>
                <w:rFonts w:ascii="Calibri" w:hAnsi="Calibri" w:cs="Calibri"/>
                <w:sz w:val="20"/>
                <w:szCs w:val="20"/>
              </w:rPr>
              <w:t>IV</w:t>
            </w:r>
            <w:r w:rsidR="00E3332A">
              <w:rPr>
                <w:rFonts w:ascii="Calibri" w:eastAsiaTheme="minorEastAsia" w:hAnsi="Calibri" w:cs="Calibri"/>
                <w:b w:val="0"/>
                <w:bCs w:val="0"/>
                <w:i w:val="0"/>
                <w:iCs w:val="0"/>
                <w:kern w:val="2"/>
                <w:sz w:val="20"/>
                <w:szCs w:val="20"/>
                <w:lang w:val="zh-CN"/>
                <w14:ligatures w14:val="standardContextual"/>
              </w:rPr>
              <w:tab/>
            </w:r>
            <w:r w:rsidR="00E3332A">
              <w:rPr>
                <w:rStyle w:val="Hyperlink"/>
                <w:rFonts w:ascii="Calibri" w:hAnsi="Calibri" w:cs="Calibri"/>
                <w:sz w:val="20"/>
                <w:szCs w:val="20"/>
              </w:rPr>
              <w:t>Project Management</w:t>
            </w:r>
            <w:r w:rsidR="00E3332A">
              <w:rPr>
                <w:rFonts w:ascii="Calibri" w:hAnsi="Calibri" w:cs="Calibri"/>
                <w:sz w:val="20"/>
                <w:szCs w:val="20"/>
              </w:rPr>
              <w:tab/>
            </w:r>
            <w:r w:rsidR="00E3332A">
              <w:rPr>
                <w:rFonts w:ascii="Calibri" w:hAnsi="Calibri" w:cs="Calibri"/>
                <w:sz w:val="20"/>
                <w:szCs w:val="20"/>
              </w:rPr>
              <w:fldChar w:fldCharType="begin"/>
            </w:r>
            <w:r w:rsidR="00E3332A">
              <w:rPr>
                <w:rFonts w:ascii="Calibri" w:hAnsi="Calibri" w:cs="Calibri"/>
                <w:sz w:val="20"/>
                <w:szCs w:val="20"/>
              </w:rPr>
              <w:instrText xml:space="preserve"> PAGEREF _Toc169739158 \h </w:instrText>
            </w:r>
            <w:r w:rsidR="00E3332A">
              <w:rPr>
                <w:rFonts w:ascii="Calibri" w:hAnsi="Calibri" w:cs="Calibri"/>
                <w:sz w:val="20"/>
                <w:szCs w:val="20"/>
              </w:rPr>
            </w:r>
            <w:r w:rsidR="00E3332A">
              <w:rPr>
                <w:rFonts w:ascii="Calibri" w:hAnsi="Calibri" w:cs="Calibri"/>
                <w:sz w:val="20"/>
                <w:szCs w:val="20"/>
              </w:rPr>
              <w:fldChar w:fldCharType="separate"/>
            </w:r>
            <w:r w:rsidR="00E3332A">
              <w:rPr>
                <w:rFonts w:ascii="Calibri" w:hAnsi="Calibri" w:cs="Calibri"/>
                <w:sz w:val="20"/>
                <w:szCs w:val="20"/>
              </w:rPr>
              <w:t>25</w:t>
            </w:r>
            <w:r w:rsidR="00E3332A">
              <w:rPr>
                <w:rFonts w:ascii="Calibri" w:hAnsi="Calibri" w:cs="Calibri"/>
                <w:sz w:val="20"/>
                <w:szCs w:val="20"/>
              </w:rPr>
              <w:fldChar w:fldCharType="end"/>
            </w:r>
          </w:hyperlink>
        </w:p>
        <w:p w14:paraId="6808F6D3" w14:textId="77777777" w:rsidR="00CF33D9" w:rsidRDefault="009B0270">
          <w:pPr>
            <w:pStyle w:val="TOC2"/>
            <w:tabs>
              <w:tab w:val="left" w:pos="720"/>
              <w:tab w:val="right" w:leader="dot" w:pos="9350"/>
            </w:tabs>
            <w:rPr>
              <w:rFonts w:ascii="Calibri" w:eastAsiaTheme="minorEastAsia" w:hAnsi="Calibri" w:cs="Calibri"/>
              <w:b w:val="0"/>
              <w:bCs w:val="0"/>
              <w:kern w:val="2"/>
              <w:sz w:val="20"/>
              <w:szCs w:val="20"/>
              <w:lang w:val="zh-CN"/>
              <w14:ligatures w14:val="standardContextual"/>
            </w:rPr>
          </w:pPr>
          <w:hyperlink w:anchor="_Toc169739159" w:history="1">
            <w:r w:rsidR="00E3332A">
              <w:rPr>
                <w:rStyle w:val="Hyperlink"/>
                <w:rFonts w:ascii="Calibri" w:hAnsi="Calibri" w:cs="Calibri"/>
                <w:sz w:val="20"/>
                <w:szCs w:val="20"/>
              </w:rPr>
              <w:t>A</w:t>
            </w:r>
            <w:r w:rsidR="00E3332A">
              <w:rPr>
                <w:rFonts w:ascii="Calibri" w:eastAsiaTheme="minorEastAsia" w:hAnsi="Calibri" w:cs="Calibri"/>
                <w:b w:val="0"/>
                <w:bCs w:val="0"/>
                <w:kern w:val="2"/>
                <w:sz w:val="20"/>
                <w:szCs w:val="20"/>
                <w:lang w:val="zh-CN"/>
                <w14:ligatures w14:val="standardContextual"/>
              </w:rPr>
              <w:tab/>
            </w:r>
            <w:r w:rsidR="00E3332A">
              <w:rPr>
                <w:rStyle w:val="Hyperlink"/>
                <w:rFonts w:ascii="Calibri" w:hAnsi="Calibri" w:cs="Calibri"/>
                <w:sz w:val="20"/>
                <w:szCs w:val="20"/>
              </w:rPr>
              <w:t>Cost Efficiency and Effectiveness</w:t>
            </w:r>
            <w:r w:rsidR="00E3332A">
              <w:rPr>
                <w:rFonts w:ascii="Calibri" w:hAnsi="Calibri" w:cs="Calibri"/>
                <w:sz w:val="20"/>
                <w:szCs w:val="20"/>
              </w:rPr>
              <w:tab/>
            </w:r>
            <w:r w:rsidR="00E3332A">
              <w:rPr>
                <w:rFonts w:ascii="Calibri" w:hAnsi="Calibri" w:cs="Calibri"/>
                <w:sz w:val="20"/>
                <w:szCs w:val="20"/>
              </w:rPr>
              <w:fldChar w:fldCharType="begin"/>
            </w:r>
            <w:r w:rsidR="00E3332A">
              <w:rPr>
                <w:rFonts w:ascii="Calibri" w:hAnsi="Calibri" w:cs="Calibri"/>
                <w:sz w:val="20"/>
                <w:szCs w:val="20"/>
              </w:rPr>
              <w:instrText xml:space="preserve"> PAGEREF _Toc169739159 \h </w:instrText>
            </w:r>
            <w:r w:rsidR="00E3332A">
              <w:rPr>
                <w:rFonts w:ascii="Calibri" w:hAnsi="Calibri" w:cs="Calibri"/>
                <w:sz w:val="20"/>
                <w:szCs w:val="20"/>
              </w:rPr>
            </w:r>
            <w:r w:rsidR="00E3332A">
              <w:rPr>
                <w:rFonts w:ascii="Calibri" w:hAnsi="Calibri" w:cs="Calibri"/>
                <w:sz w:val="20"/>
                <w:szCs w:val="20"/>
              </w:rPr>
              <w:fldChar w:fldCharType="separate"/>
            </w:r>
            <w:r w:rsidR="00E3332A">
              <w:rPr>
                <w:rFonts w:ascii="Calibri" w:hAnsi="Calibri" w:cs="Calibri"/>
                <w:sz w:val="20"/>
                <w:szCs w:val="20"/>
              </w:rPr>
              <w:t>25</w:t>
            </w:r>
            <w:r w:rsidR="00E3332A">
              <w:rPr>
                <w:rFonts w:ascii="Calibri" w:hAnsi="Calibri" w:cs="Calibri"/>
                <w:sz w:val="20"/>
                <w:szCs w:val="20"/>
              </w:rPr>
              <w:fldChar w:fldCharType="end"/>
            </w:r>
          </w:hyperlink>
        </w:p>
        <w:p w14:paraId="6808F6D4" w14:textId="77777777" w:rsidR="00CF33D9" w:rsidRDefault="009B0270">
          <w:pPr>
            <w:pStyle w:val="TOC2"/>
            <w:tabs>
              <w:tab w:val="left" w:pos="720"/>
              <w:tab w:val="right" w:leader="dot" w:pos="9350"/>
            </w:tabs>
            <w:rPr>
              <w:rFonts w:ascii="Calibri" w:eastAsiaTheme="minorEastAsia" w:hAnsi="Calibri" w:cs="Calibri"/>
              <w:b w:val="0"/>
              <w:bCs w:val="0"/>
              <w:kern w:val="2"/>
              <w:sz w:val="20"/>
              <w:szCs w:val="20"/>
              <w:lang w:val="zh-CN"/>
              <w14:ligatures w14:val="standardContextual"/>
            </w:rPr>
          </w:pPr>
          <w:hyperlink w:anchor="_Toc169739160" w:history="1">
            <w:r w:rsidR="00E3332A">
              <w:rPr>
                <w:rStyle w:val="Hyperlink"/>
                <w:rFonts w:ascii="Calibri" w:hAnsi="Calibri" w:cs="Calibri"/>
                <w:sz w:val="20"/>
                <w:szCs w:val="20"/>
              </w:rPr>
              <w:t>B</w:t>
            </w:r>
            <w:r w:rsidR="00E3332A">
              <w:rPr>
                <w:rFonts w:ascii="Calibri" w:eastAsiaTheme="minorEastAsia" w:hAnsi="Calibri" w:cs="Calibri"/>
                <w:b w:val="0"/>
                <w:bCs w:val="0"/>
                <w:kern w:val="2"/>
                <w:sz w:val="20"/>
                <w:szCs w:val="20"/>
                <w:lang w:val="zh-CN"/>
                <w14:ligatures w14:val="standardContextual"/>
              </w:rPr>
              <w:tab/>
            </w:r>
            <w:r w:rsidR="00E3332A">
              <w:rPr>
                <w:rStyle w:val="Hyperlink"/>
                <w:rFonts w:ascii="Calibri" w:hAnsi="Calibri" w:cs="Calibri"/>
                <w:sz w:val="20"/>
                <w:szCs w:val="20"/>
              </w:rPr>
              <w:t>Project Management</w:t>
            </w:r>
            <w:r w:rsidR="00E3332A">
              <w:rPr>
                <w:rFonts w:ascii="Calibri" w:hAnsi="Calibri" w:cs="Calibri"/>
                <w:sz w:val="20"/>
                <w:szCs w:val="20"/>
              </w:rPr>
              <w:tab/>
            </w:r>
            <w:r w:rsidR="00E3332A">
              <w:rPr>
                <w:rFonts w:ascii="Calibri" w:hAnsi="Calibri" w:cs="Calibri"/>
                <w:sz w:val="20"/>
                <w:szCs w:val="20"/>
              </w:rPr>
              <w:fldChar w:fldCharType="begin"/>
            </w:r>
            <w:r w:rsidR="00E3332A">
              <w:rPr>
                <w:rFonts w:ascii="Calibri" w:hAnsi="Calibri" w:cs="Calibri"/>
                <w:sz w:val="20"/>
                <w:szCs w:val="20"/>
              </w:rPr>
              <w:instrText xml:space="preserve"> PAGEREF _Toc169739160 \h </w:instrText>
            </w:r>
            <w:r w:rsidR="00E3332A">
              <w:rPr>
                <w:rFonts w:ascii="Calibri" w:hAnsi="Calibri" w:cs="Calibri"/>
                <w:sz w:val="20"/>
                <w:szCs w:val="20"/>
              </w:rPr>
            </w:r>
            <w:r w:rsidR="00E3332A">
              <w:rPr>
                <w:rFonts w:ascii="Calibri" w:hAnsi="Calibri" w:cs="Calibri"/>
                <w:sz w:val="20"/>
                <w:szCs w:val="20"/>
              </w:rPr>
              <w:fldChar w:fldCharType="separate"/>
            </w:r>
            <w:r w:rsidR="00E3332A">
              <w:rPr>
                <w:rFonts w:ascii="Calibri" w:hAnsi="Calibri" w:cs="Calibri"/>
                <w:sz w:val="20"/>
                <w:szCs w:val="20"/>
              </w:rPr>
              <w:t>27</w:t>
            </w:r>
            <w:r w:rsidR="00E3332A">
              <w:rPr>
                <w:rFonts w:ascii="Calibri" w:hAnsi="Calibri" w:cs="Calibri"/>
                <w:sz w:val="20"/>
                <w:szCs w:val="20"/>
              </w:rPr>
              <w:fldChar w:fldCharType="end"/>
            </w:r>
          </w:hyperlink>
        </w:p>
        <w:p w14:paraId="6808F6D5" w14:textId="77777777" w:rsidR="00CF33D9" w:rsidRDefault="009B0270">
          <w:pPr>
            <w:pStyle w:val="TOC2"/>
            <w:tabs>
              <w:tab w:val="left" w:pos="720"/>
              <w:tab w:val="right" w:leader="dot" w:pos="9350"/>
            </w:tabs>
            <w:rPr>
              <w:rFonts w:ascii="Calibri" w:eastAsiaTheme="minorEastAsia" w:hAnsi="Calibri" w:cs="Calibri"/>
              <w:b w:val="0"/>
              <w:bCs w:val="0"/>
              <w:kern w:val="2"/>
              <w:sz w:val="20"/>
              <w:szCs w:val="20"/>
              <w:lang w:val="zh-CN"/>
              <w14:ligatures w14:val="standardContextual"/>
            </w:rPr>
          </w:pPr>
          <w:hyperlink w:anchor="_Toc169739161" w:history="1">
            <w:r w:rsidR="00E3332A">
              <w:rPr>
                <w:rStyle w:val="Hyperlink"/>
                <w:rFonts w:ascii="Calibri" w:eastAsia="Calibri" w:hAnsi="Calibri" w:cs="Calibri"/>
                <w:sz w:val="20"/>
                <w:szCs w:val="20"/>
              </w:rPr>
              <w:t>C</w:t>
            </w:r>
            <w:r w:rsidR="00E3332A">
              <w:rPr>
                <w:rFonts w:ascii="Calibri" w:eastAsiaTheme="minorEastAsia" w:hAnsi="Calibri" w:cs="Calibri"/>
                <w:b w:val="0"/>
                <w:bCs w:val="0"/>
                <w:kern w:val="2"/>
                <w:sz w:val="20"/>
                <w:szCs w:val="20"/>
                <w:lang w:val="zh-CN"/>
                <w14:ligatures w14:val="standardContextual"/>
              </w:rPr>
              <w:tab/>
            </w:r>
            <w:r w:rsidR="00E3332A">
              <w:rPr>
                <w:rStyle w:val="Hyperlink"/>
                <w:rFonts w:ascii="Calibri" w:hAnsi="Calibri" w:cs="Calibri"/>
                <w:sz w:val="20"/>
                <w:szCs w:val="20"/>
              </w:rPr>
              <w:t>Agreement on intellectual property rights and use of the logo on the project’s deliverables and disclosure of information</w:t>
            </w:r>
            <w:r w:rsidR="00E3332A">
              <w:rPr>
                <w:rFonts w:ascii="Calibri" w:hAnsi="Calibri" w:cs="Calibri"/>
                <w:sz w:val="20"/>
                <w:szCs w:val="20"/>
              </w:rPr>
              <w:tab/>
            </w:r>
            <w:r w:rsidR="00E3332A">
              <w:rPr>
                <w:rFonts w:ascii="Calibri" w:hAnsi="Calibri" w:cs="Calibri"/>
                <w:sz w:val="20"/>
                <w:szCs w:val="20"/>
              </w:rPr>
              <w:fldChar w:fldCharType="begin"/>
            </w:r>
            <w:r w:rsidR="00E3332A">
              <w:rPr>
                <w:rFonts w:ascii="Calibri" w:hAnsi="Calibri" w:cs="Calibri"/>
                <w:sz w:val="20"/>
                <w:szCs w:val="20"/>
              </w:rPr>
              <w:instrText xml:space="preserve"> PAGEREF _Toc169739161 \h </w:instrText>
            </w:r>
            <w:r w:rsidR="00E3332A">
              <w:rPr>
                <w:rFonts w:ascii="Calibri" w:hAnsi="Calibri" w:cs="Calibri"/>
                <w:sz w:val="20"/>
                <w:szCs w:val="20"/>
              </w:rPr>
            </w:r>
            <w:r w:rsidR="00E3332A">
              <w:rPr>
                <w:rFonts w:ascii="Calibri" w:hAnsi="Calibri" w:cs="Calibri"/>
                <w:sz w:val="20"/>
                <w:szCs w:val="20"/>
              </w:rPr>
              <w:fldChar w:fldCharType="separate"/>
            </w:r>
            <w:r w:rsidR="00E3332A">
              <w:rPr>
                <w:rFonts w:ascii="Calibri" w:hAnsi="Calibri" w:cs="Calibri"/>
                <w:sz w:val="20"/>
                <w:szCs w:val="20"/>
              </w:rPr>
              <w:t>28</w:t>
            </w:r>
            <w:r w:rsidR="00E3332A">
              <w:rPr>
                <w:rFonts w:ascii="Calibri" w:hAnsi="Calibri" w:cs="Calibri"/>
                <w:sz w:val="20"/>
                <w:szCs w:val="20"/>
              </w:rPr>
              <w:fldChar w:fldCharType="end"/>
            </w:r>
          </w:hyperlink>
        </w:p>
        <w:p w14:paraId="6808F6D6" w14:textId="77777777" w:rsidR="00CF33D9" w:rsidRDefault="009B0270">
          <w:pPr>
            <w:pStyle w:val="TOC1"/>
            <w:tabs>
              <w:tab w:val="left" w:pos="480"/>
            </w:tabs>
            <w:rPr>
              <w:rFonts w:ascii="Calibri" w:eastAsiaTheme="minorEastAsia" w:hAnsi="Calibri" w:cs="Calibri"/>
              <w:b w:val="0"/>
              <w:bCs w:val="0"/>
              <w:i w:val="0"/>
              <w:iCs w:val="0"/>
              <w:kern w:val="2"/>
              <w:sz w:val="20"/>
              <w:szCs w:val="20"/>
              <w:lang w:val="zh-CN"/>
              <w14:ligatures w14:val="standardContextual"/>
            </w:rPr>
          </w:pPr>
          <w:hyperlink w:anchor="_Toc169739162" w:history="1">
            <w:r w:rsidR="00E3332A">
              <w:rPr>
                <w:rStyle w:val="Hyperlink"/>
                <w:rFonts w:ascii="Calibri" w:hAnsi="Calibri" w:cs="Calibri"/>
                <w:sz w:val="20"/>
                <w:szCs w:val="20"/>
              </w:rPr>
              <w:t>V</w:t>
            </w:r>
            <w:r w:rsidR="00E3332A">
              <w:rPr>
                <w:rFonts w:ascii="Calibri" w:eastAsiaTheme="minorEastAsia" w:hAnsi="Calibri" w:cs="Calibri"/>
                <w:b w:val="0"/>
                <w:bCs w:val="0"/>
                <w:i w:val="0"/>
                <w:iCs w:val="0"/>
                <w:kern w:val="2"/>
                <w:sz w:val="20"/>
                <w:szCs w:val="20"/>
                <w:lang w:val="zh-CN"/>
                <w14:ligatures w14:val="standardContextual"/>
              </w:rPr>
              <w:tab/>
            </w:r>
            <w:r w:rsidR="00E3332A">
              <w:rPr>
                <w:rStyle w:val="Hyperlink"/>
                <w:rFonts w:ascii="Calibri" w:hAnsi="Calibri" w:cs="Calibri"/>
                <w:sz w:val="20"/>
                <w:szCs w:val="20"/>
              </w:rPr>
              <w:t>Project Results Framework</w:t>
            </w:r>
            <w:r w:rsidR="00E3332A">
              <w:rPr>
                <w:rFonts w:ascii="Calibri" w:hAnsi="Calibri" w:cs="Calibri"/>
                <w:sz w:val="20"/>
                <w:szCs w:val="20"/>
              </w:rPr>
              <w:tab/>
            </w:r>
            <w:r w:rsidR="00E3332A">
              <w:rPr>
                <w:rFonts w:ascii="Calibri" w:hAnsi="Calibri" w:cs="Calibri"/>
                <w:sz w:val="20"/>
                <w:szCs w:val="20"/>
              </w:rPr>
              <w:fldChar w:fldCharType="begin"/>
            </w:r>
            <w:r w:rsidR="00E3332A">
              <w:rPr>
                <w:rFonts w:ascii="Calibri" w:hAnsi="Calibri" w:cs="Calibri"/>
                <w:sz w:val="20"/>
                <w:szCs w:val="20"/>
              </w:rPr>
              <w:instrText xml:space="preserve"> PAGEREF _Toc169739162 \h </w:instrText>
            </w:r>
            <w:r w:rsidR="00E3332A">
              <w:rPr>
                <w:rFonts w:ascii="Calibri" w:hAnsi="Calibri" w:cs="Calibri"/>
                <w:sz w:val="20"/>
                <w:szCs w:val="20"/>
              </w:rPr>
            </w:r>
            <w:r w:rsidR="00E3332A">
              <w:rPr>
                <w:rFonts w:ascii="Calibri" w:hAnsi="Calibri" w:cs="Calibri"/>
                <w:sz w:val="20"/>
                <w:szCs w:val="20"/>
              </w:rPr>
              <w:fldChar w:fldCharType="separate"/>
            </w:r>
            <w:r w:rsidR="00E3332A">
              <w:rPr>
                <w:rFonts w:ascii="Calibri" w:hAnsi="Calibri" w:cs="Calibri"/>
                <w:sz w:val="20"/>
                <w:szCs w:val="20"/>
              </w:rPr>
              <w:t>29</w:t>
            </w:r>
            <w:r w:rsidR="00E3332A">
              <w:rPr>
                <w:rFonts w:ascii="Calibri" w:hAnsi="Calibri" w:cs="Calibri"/>
                <w:sz w:val="20"/>
                <w:szCs w:val="20"/>
              </w:rPr>
              <w:fldChar w:fldCharType="end"/>
            </w:r>
          </w:hyperlink>
        </w:p>
        <w:p w14:paraId="6808F6D7" w14:textId="77777777" w:rsidR="00CF33D9" w:rsidRDefault="009B0270">
          <w:pPr>
            <w:pStyle w:val="TOC1"/>
            <w:tabs>
              <w:tab w:val="left" w:pos="480"/>
            </w:tabs>
            <w:rPr>
              <w:rFonts w:ascii="Calibri" w:eastAsiaTheme="minorEastAsia" w:hAnsi="Calibri" w:cs="Calibri"/>
              <w:b w:val="0"/>
              <w:bCs w:val="0"/>
              <w:i w:val="0"/>
              <w:iCs w:val="0"/>
              <w:kern w:val="2"/>
              <w:sz w:val="20"/>
              <w:szCs w:val="20"/>
              <w:lang w:val="zh-CN"/>
              <w14:ligatures w14:val="standardContextual"/>
            </w:rPr>
          </w:pPr>
          <w:hyperlink w:anchor="_Toc169739163" w:history="1">
            <w:r w:rsidR="00E3332A">
              <w:rPr>
                <w:rStyle w:val="Hyperlink"/>
                <w:rFonts w:ascii="Calibri" w:hAnsi="Calibri" w:cs="Calibri"/>
                <w:sz w:val="20"/>
                <w:szCs w:val="20"/>
              </w:rPr>
              <w:t>VI</w:t>
            </w:r>
            <w:r w:rsidR="00E3332A">
              <w:rPr>
                <w:rFonts w:ascii="Calibri" w:eastAsiaTheme="minorEastAsia" w:hAnsi="Calibri" w:cs="Calibri"/>
                <w:b w:val="0"/>
                <w:bCs w:val="0"/>
                <w:i w:val="0"/>
                <w:iCs w:val="0"/>
                <w:kern w:val="2"/>
                <w:sz w:val="20"/>
                <w:szCs w:val="20"/>
                <w:lang w:val="zh-CN"/>
                <w14:ligatures w14:val="standardContextual"/>
              </w:rPr>
              <w:tab/>
            </w:r>
            <w:r w:rsidR="00E3332A">
              <w:rPr>
                <w:rStyle w:val="Hyperlink"/>
                <w:rFonts w:ascii="Calibri" w:hAnsi="Calibri" w:cs="Calibri"/>
                <w:sz w:val="20"/>
                <w:szCs w:val="20"/>
              </w:rPr>
              <w:t>Monitoring and Evaluation (M&amp;E) Plan</w:t>
            </w:r>
            <w:r w:rsidR="00E3332A">
              <w:rPr>
                <w:rFonts w:ascii="Calibri" w:hAnsi="Calibri" w:cs="Calibri"/>
                <w:sz w:val="20"/>
                <w:szCs w:val="20"/>
              </w:rPr>
              <w:tab/>
            </w:r>
            <w:r w:rsidR="00E3332A">
              <w:rPr>
                <w:rFonts w:ascii="Calibri" w:hAnsi="Calibri" w:cs="Calibri"/>
                <w:sz w:val="20"/>
                <w:szCs w:val="20"/>
              </w:rPr>
              <w:fldChar w:fldCharType="begin"/>
            </w:r>
            <w:r w:rsidR="00E3332A">
              <w:rPr>
                <w:rFonts w:ascii="Calibri" w:hAnsi="Calibri" w:cs="Calibri"/>
                <w:sz w:val="20"/>
                <w:szCs w:val="20"/>
              </w:rPr>
              <w:instrText xml:space="preserve"> PAGEREF _Toc169739163 \h </w:instrText>
            </w:r>
            <w:r w:rsidR="00E3332A">
              <w:rPr>
                <w:rFonts w:ascii="Calibri" w:hAnsi="Calibri" w:cs="Calibri"/>
                <w:sz w:val="20"/>
                <w:szCs w:val="20"/>
              </w:rPr>
            </w:r>
            <w:r w:rsidR="00E3332A">
              <w:rPr>
                <w:rFonts w:ascii="Calibri" w:hAnsi="Calibri" w:cs="Calibri"/>
                <w:sz w:val="20"/>
                <w:szCs w:val="20"/>
              </w:rPr>
              <w:fldChar w:fldCharType="separate"/>
            </w:r>
            <w:r w:rsidR="00E3332A">
              <w:rPr>
                <w:rFonts w:ascii="Calibri" w:hAnsi="Calibri" w:cs="Calibri"/>
                <w:sz w:val="20"/>
                <w:szCs w:val="20"/>
              </w:rPr>
              <w:t>41</w:t>
            </w:r>
            <w:r w:rsidR="00E3332A">
              <w:rPr>
                <w:rFonts w:ascii="Calibri" w:hAnsi="Calibri" w:cs="Calibri"/>
                <w:sz w:val="20"/>
                <w:szCs w:val="20"/>
              </w:rPr>
              <w:fldChar w:fldCharType="end"/>
            </w:r>
          </w:hyperlink>
        </w:p>
        <w:p w14:paraId="6808F6D8" w14:textId="77777777" w:rsidR="00CF33D9" w:rsidRDefault="009B0270">
          <w:pPr>
            <w:pStyle w:val="TOC1"/>
            <w:tabs>
              <w:tab w:val="left" w:pos="720"/>
            </w:tabs>
            <w:rPr>
              <w:rFonts w:ascii="Calibri" w:eastAsiaTheme="minorEastAsia" w:hAnsi="Calibri" w:cs="Calibri"/>
              <w:b w:val="0"/>
              <w:bCs w:val="0"/>
              <w:i w:val="0"/>
              <w:iCs w:val="0"/>
              <w:kern w:val="2"/>
              <w:sz w:val="20"/>
              <w:szCs w:val="20"/>
              <w:lang w:val="zh-CN"/>
              <w14:ligatures w14:val="standardContextual"/>
            </w:rPr>
          </w:pPr>
          <w:hyperlink w:anchor="_Toc169739164" w:history="1">
            <w:r w:rsidR="00E3332A">
              <w:rPr>
                <w:rStyle w:val="Hyperlink"/>
                <w:rFonts w:ascii="Calibri" w:hAnsi="Calibri" w:cs="Calibri"/>
                <w:sz w:val="20"/>
                <w:szCs w:val="20"/>
              </w:rPr>
              <w:t>VII</w:t>
            </w:r>
            <w:r w:rsidR="00E3332A">
              <w:rPr>
                <w:rFonts w:ascii="Calibri" w:eastAsiaTheme="minorEastAsia" w:hAnsi="Calibri" w:cs="Calibri"/>
                <w:b w:val="0"/>
                <w:bCs w:val="0"/>
                <w:i w:val="0"/>
                <w:iCs w:val="0"/>
                <w:kern w:val="2"/>
                <w:sz w:val="20"/>
                <w:szCs w:val="20"/>
                <w:lang w:val="zh-CN"/>
                <w14:ligatures w14:val="standardContextual"/>
              </w:rPr>
              <w:tab/>
            </w:r>
            <w:r w:rsidR="00E3332A">
              <w:rPr>
                <w:rStyle w:val="Hyperlink"/>
                <w:rFonts w:ascii="Calibri" w:hAnsi="Calibri" w:cs="Calibri"/>
                <w:sz w:val="20"/>
                <w:szCs w:val="20"/>
              </w:rPr>
              <w:t>Governance and Management Arrangements</w:t>
            </w:r>
            <w:r w:rsidR="00E3332A">
              <w:rPr>
                <w:rFonts w:ascii="Calibri" w:hAnsi="Calibri" w:cs="Calibri"/>
                <w:sz w:val="20"/>
                <w:szCs w:val="20"/>
              </w:rPr>
              <w:tab/>
            </w:r>
            <w:r w:rsidR="00E3332A">
              <w:rPr>
                <w:rFonts w:ascii="Calibri" w:hAnsi="Calibri" w:cs="Calibri"/>
                <w:sz w:val="20"/>
                <w:szCs w:val="20"/>
              </w:rPr>
              <w:fldChar w:fldCharType="begin"/>
            </w:r>
            <w:r w:rsidR="00E3332A">
              <w:rPr>
                <w:rFonts w:ascii="Calibri" w:hAnsi="Calibri" w:cs="Calibri"/>
                <w:sz w:val="20"/>
                <w:szCs w:val="20"/>
              </w:rPr>
              <w:instrText xml:space="preserve"> PAGEREF _Toc169739164 \h </w:instrText>
            </w:r>
            <w:r w:rsidR="00E3332A">
              <w:rPr>
                <w:rFonts w:ascii="Calibri" w:hAnsi="Calibri" w:cs="Calibri"/>
                <w:sz w:val="20"/>
                <w:szCs w:val="20"/>
              </w:rPr>
            </w:r>
            <w:r w:rsidR="00E3332A">
              <w:rPr>
                <w:rFonts w:ascii="Calibri" w:hAnsi="Calibri" w:cs="Calibri"/>
                <w:sz w:val="20"/>
                <w:szCs w:val="20"/>
              </w:rPr>
              <w:fldChar w:fldCharType="separate"/>
            </w:r>
            <w:r w:rsidR="00E3332A">
              <w:rPr>
                <w:rFonts w:ascii="Calibri" w:hAnsi="Calibri" w:cs="Calibri"/>
                <w:sz w:val="20"/>
                <w:szCs w:val="20"/>
              </w:rPr>
              <w:t>59</w:t>
            </w:r>
            <w:r w:rsidR="00E3332A">
              <w:rPr>
                <w:rFonts w:ascii="Calibri" w:hAnsi="Calibri" w:cs="Calibri"/>
                <w:sz w:val="20"/>
                <w:szCs w:val="20"/>
              </w:rPr>
              <w:fldChar w:fldCharType="end"/>
            </w:r>
          </w:hyperlink>
        </w:p>
        <w:p w14:paraId="6808F6D9" w14:textId="77777777" w:rsidR="00CF33D9" w:rsidRDefault="009B0270">
          <w:pPr>
            <w:pStyle w:val="TOC1"/>
            <w:tabs>
              <w:tab w:val="left" w:pos="720"/>
            </w:tabs>
            <w:rPr>
              <w:rFonts w:ascii="Calibri" w:eastAsiaTheme="minorEastAsia" w:hAnsi="Calibri" w:cs="Calibri"/>
              <w:b w:val="0"/>
              <w:bCs w:val="0"/>
              <w:i w:val="0"/>
              <w:iCs w:val="0"/>
              <w:kern w:val="2"/>
              <w:sz w:val="20"/>
              <w:szCs w:val="20"/>
              <w:lang w:val="zh-CN"/>
              <w14:ligatures w14:val="standardContextual"/>
            </w:rPr>
          </w:pPr>
          <w:hyperlink w:anchor="_Toc169739165" w:history="1">
            <w:r w:rsidR="00E3332A">
              <w:rPr>
                <w:rStyle w:val="Hyperlink"/>
                <w:rFonts w:ascii="Calibri" w:hAnsi="Calibri" w:cs="Calibri"/>
                <w:sz w:val="20"/>
                <w:szCs w:val="20"/>
              </w:rPr>
              <w:t>VIII</w:t>
            </w:r>
            <w:r w:rsidR="00E3332A">
              <w:rPr>
                <w:rFonts w:ascii="Calibri" w:eastAsiaTheme="minorEastAsia" w:hAnsi="Calibri" w:cs="Calibri"/>
                <w:b w:val="0"/>
                <w:bCs w:val="0"/>
                <w:i w:val="0"/>
                <w:iCs w:val="0"/>
                <w:kern w:val="2"/>
                <w:sz w:val="20"/>
                <w:szCs w:val="20"/>
                <w:lang w:val="zh-CN"/>
                <w14:ligatures w14:val="standardContextual"/>
              </w:rPr>
              <w:tab/>
            </w:r>
            <w:r w:rsidR="00E3332A">
              <w:rPr>
                <w:rStyle w:val="Hyperlink"/>
                <w:rFonts w:ascii="Calibri" w:hAnsi="Calibri" w:cs="Calibri"/>
                <w:sz w:val="20"/>
                <w:szCs w:val="20"/>
              </w:rPr>
              <w:t>Financial Planning and Management</w:t>
            </w:r>
            <w:r w:rsidR="00E3332A">
              <w:rPr>
                <w:rFonts w:ascii="Calibri" w:hAnsi="Calibri" w:cs="Calibri"/>
                <w:sz w:val="20"/>
                <w:szCs w:val="20"/>
              </w:rPr>
              <w:tab/>
            </w:r>
            <w:r w:rsidR="00E3332A">
              <w:rPr>
                <w:rFonts w:ascii="Calibri" w:hAnsi="Calibri" w:cs="Calibri"/>
                <w:sz w:val="20"/>
                <w:szCs w:val="20"/>
              </w:rPr>
              <w:fldChar w:fldCharType="begin"/>
            </w:r>
            <w:r w:rsidR="00E3332A">
              <w:rPr>
                <w:rFonts w:ascii="Calibri" w:hAnsi="Calibri" w:cs="Calibri"/>
                <w:sz w:val="20"/>
                <w:szCs w:val="20"/>
              </w:rPr>
              <w:instrText xml:space="preserve"> PAGEREF _Toc169739165 \h </w:instrText>
            </w:r>
            <w:r w:rsidR="00E3332A">
              <w:rPr>
                <w:rFonts w:ascii="Calibri" w:hAnsi="Calibri" w:cs="Calibri"/>
                <w:sz w:val="20"/>
                <w:szCs w:val="20"/>
              </w:rPr>
            </w:r>
            <w:r w:rsidR="00E3332A">
              <w:rPr>
                <w:rFonts w:ascii="Calibri" w:hAnsi="Calibri" w:cs="Calibri"/>
                <w:sz w:val="20"/>
                <w:szCs w:val="20"/>
              </w:rPr>
              <w:fldChar w:fldCharType="separate"/>
            </w:r>
            <w:r w:rsidR="00E3332A">
              <w:rPr>
                <w:rFonts w:ascii="Calibri" w:hAnsi="Calibri" w:cs="Calibri"/>
                <w:sz w:val="20"/>
                <w:szCs w:val="20"/>
              </w:rPr>
              <w:t>64</w:t>
            </w:r>
            <w:r w:rsidR="00E3332A">
              <w:rPr>
                <w:rFonts w:ascii="Calibri" w:hAnsi="Calibri" w:cs="Calibri"/>
                <w:sz w:val="20"/>
                <w:szCs w:val="20"/>
              </w:rPr>
              <w:fldChar w:fldCharType="end"/>
            </w:r>
          </w:hyperlink>
        </w:p>
        <w:p w14:paraId="6808F6DA" w14:textId="77777777" w:rsidR="00CF33D9" w:rsidRDefault="009B0270">
          <w:pPr>
            <w:pStyle w:val="TOC1"/>
            <w:tabs>
              <w:tab w:val="left" w:pos="480"/>
            </w:tabs>
            <w:rPr>
              <w:rFonts w:ascii="Calibri" w:eastAsiaTheme="minorEastAsia" w:hAnsi="Calibri" w:cs="Calibri"/>
              <w:b w:val="0"/>
              <w:bCs w:val="0"/>
              <w:i w:val="0"/>
              <w:iCs w:val="0"/>
              <w:kern w:val="2"/>
              <w:sz w:val="20"/>
              <w:szCs w:val="20"/>
              <w:lang w:val="zh-CN"/>
              <w14:ligatures w14:val="standardContextual"/>
            </w:rPr>
          </w:pPr>
          <w:hyperlink w:anchor="_Toc169739166" w:history="1">
            <w:r w:rsidR="00E3332A">
              <w:rPr>
                <w:rStyle w:val="Hyperlink"/>
                <w:rFonts w:ascii="Calibri" w:hAnsi="Calibri" w:cs="Calibri"/>
                <w:sz w:val="20"/>
                <w:szCs w:val="20"/>
              </w:rPr>
              <w:t>IX</w:t>
            </w:r>
            <w:r w:rsidR="00E3332A">
              <w:rPr>
                <w:rFonts w:ascii="Calibri" w:eastAsiaTheme="minorEastAsia" w:hAnsi="Calibri" w:cs="Calibri"/>
                <w:b w:val="0"/>
                <w:bCs w:val="0"/>
                <w:i w:val="0"/>
                <w:iCs w:val="0"/>
                <w:kern w:val="2"/>
                <w:sz w:val="20"/>
                <w:szCs w:val="20"/>
                <w:lang w:val="zh-CN"/>
                <w14:ligatures w14:val="standardContextual"/>
              </w:rPr>
              <w:tab/>
            </w:r>
            <w:r w:rsidR="00E3332A">
              <w:rPr>
                <w:rStyle w:val="Hyperlink"/>
                <w:rFonts w:ascii="Calibri" w:hAnsi="Calibri" w:cs="Calibri"/>
                <w:sz w:val="20"/>
                <w:szCs w:val="20"/>
              </w:rPr>
              <w:t>Total Budget and Work Plan</w:t>
            </w:r>
            <w:r w:rsidR="00E3332A">
              <w:rPr>
                <w:rFonts w:ascii="Calibri" w:hAnsi="Calibri" w:cs="Calibri"/>
                <w:sz w:val="20"/>
                <w:szCs w:val="20"/>
              </w:rPr>
              <w:tab/>
            </w:r>
            <w:r w:rsidR="00E3332A">
              <w:rPr>
                <w:rFonts w:ascii="Calibri" w:hAnsi="Calibri" w:cs="Calibri"/>
                <w:sz w:val="20"/>
                <w:szCs w:val="20"/>
              </w:rPr>
              <w:fldChar w:fldCharType="begin"/>
            </w:r>
            <w:r w:rsidR="00E3332A">
              <w:rPr>
                <w:rFonts w:ascii="Calibri" w:hAnsi="Calibri" w:cs="Calibri"/>
                <w:sz w:val="20"/>
                <w:szCs w:val="20"/>
              </w:rPr>
              <w:instrText xml:space="preserve"> PAGEREF _Toc169739166 \h </w:instrText>
            </w:r>
            <w:r w:rsidR="00E3332A">
              <w:rPr>
                <w:rFonts w:ascii="Calibri" w:hAnsi="Calibri" w:cs="Calibri"/>
                <w:sz w:val="20"/>
                <w:szCs w:val="20"/>
              </w:rPr>
            </w:r>
            <w:r w:rsidR="00E3332A">
              <w:rPr>
                <w:rFonts w:ascii="Calibri" w:hAnsi="Calibri" w:cs="Calibri"/>
                <w:sz w:val="20"/>
                <w:szCs w:val="20"/>
              </w:rPr>
              <w:fldChar w:fldCharType="separate"/>
            </w:r>
            <w:r w:rsidR="00E3332A">
              <w:rPr>
                <w:rFonts w:ascii="Calibri" w:hAnsi="Calibri" w:cs="Calibri"/>
                <w:sz w:val="20"/>
                <w:szCs w:val="20"/>
              </w:rPr>
              <w:t>68</w:t>
            </w:r>
            <w:r w:rsidR="00E3332A">
              <w:rPr>
                <w:rFonts w:ascii="Calibri" w:hAnsi="Calibri" w:cs="Calibri"/>
                <w:sz w:val="20"/>
                <w:szCs w:val="20"/>
              </w:rPr>
              <w:fldChar w:fldCharType="end"/>
            </w:r>
          </w:hyperlink>
        </w:p>
        <w:p w14:paraId="6808F6DB" w14:textId="77777777" w:rsidR="00CF33D9" w:rsidRDefault="009B0270">
          <w:pPr>
            <w:pStyle w:val="TOC1"/>
            <w:tabs>
              <w:tab w:val="left" w:pos="480"/>
            </w:tabs>
            <w:rPr>
              <w:rFonts w:ascii="Calibri" w:eastAsiaTheme="minorEastAsia" w:hAnsi="Calibri" w:cs="Calibri"/>
              <w:b w:val="0"/>
              <w:bCs w:val="0"/>
              <w:i w:val="0"/>
              <w:iCs w:val="0"/>
              <w:kern w:val="2"/>
              <w:sz w:val="20"/>
              <w:szCs w:val="20"/>
              <w:lang w:val="zh-CN"/>
              <w14:ligatures w14:val="standardContextual"/>
            </w:rPr>
          </w:pPr>
          <w:hyperlink w:anchor="_Toc169739167" w:history="1">
            <w:r w:rsidR="00E3332A">
              <w:rPr>
                <w:rStyle w:val="Hyperlink"/>
                <w:rFonts w:ascii="Calibri" w:hAnsi="Calibri" w:cs="Calibri"/>
                <w:sz w:val="20"/>
                <w:szCs w:val="20"/>
              </w:rPr>
              <w:t>X</w:t>
            </w:r>
            <w:r w:rsidR="00E3332A">
              <w:rPr>
                <w:rFonts w:ascii="Calibri" w:eastAsiaTheme="minorEastAsia" w:hAnsi="Calibri" w:cs="Calibri"/>
                <w:b w:val="0"/>
                <w:bCs w:val="0"/>
                <w:i w:val="0"/>
                <w:iCs w:val="0"/>
                <w:kern w:val="2"/>
                <w:sz w:val="20"/>
                <w:szCs w:val="20"/>
                <w:lang w:val="zh-CN"/>
                <w14:ligatures w14:val="standardContextual"/>
              </w:rPr>
              <w:tab/>
            </w:r>
            <w:r w:rsidR="00E3332A">
              <w:rPr>
                <w:rStyle w:val="Hyperlink"/>
                <w:rFonts w:ascii="Calibri" w:hAnsi="Calibri" w:cs="Calibri"/>
                <w:sz w:val="20"/>
                <w:szCs w:val="20"/>
              </w:rPr>
              <w:t>Legal Context</w:t>
            </w:r>
            <w:r w:rsidR="00E3332A">
              <w:rPr>
                <w:rFonts w:ascii="Calibri" w:hAnsi="Calibri" w:cs="Calibri"/>
                <w:sz w:val="20"/>
                <w:szCs w:val="20"/>
              </w:rPr>
              <w:tab/>
            </w:r>
            <w:r w:rsidR="00E3332A">
              <w:rPr>
                <w:rFonts w:ascii="Calibri" w:hAnsi="Calibri" w:cs="Calibri"/>
                <w:sz w:val="20"/>
                <w:szCs w:val="20"/>
              </w:rPr>
              <w:fldChar w:fldCharType="begin"/>
            </w:r>
            <w:r w:rsidR="00E3332A">
              <w:rPr>
                <w:rFonts w:ascii="Calibri" w:hAnsi="Calibri" w:cs="Calibri"/>
                <w:sz w:val="20"/>
                <w:szCs w:val="20"/>
              </w:rPr>
              <w:instrText xml:space="preserve"> PAGEREF _Toc169739167 \h </w:instrText>
            </w:r>
            <w:r w:rsidR="00E3332A">
              <w:rPr>
                <w:rFonts w:ascii="Calibri" w:hAnsi="Calibri" w:cs="Calibri"/>
                <w:sz w:val="20"/>
                <w:szCs w:val="20"/>
              </w:rPr>
            </w:r>
            <w:r w:rsidR="00E3332A">
              <w:rPr>
                <w:rFonts w:ascii="Calibri" w:hAnsi="Calibri" w:cs="Calibri"/>
                <w:sz w:val="20"/>
                <w:szCs w:val="20"/>
              </w:rPr>
              <w:fldChar w:fldCharType="separate"/>
            </w:r>
            <w:r w:rsidR="00E3332A">
              <w:rPr>
                <w:rFonts w:ascii="Calibri" w:hAnsi="Calibri" w:cs="Calibri"/>
                <w:sz w:val="20"/>
                <w:szCs w:val="20"/>
              </w:rPr>
              <w:t>97</w:t>
            </w:r>
            <w:r w:rsidR="00E3332A">
              <w:rPr>
                <w:rFonts w:ascii="Calibri" w:hAnsi="Calibri" w:cs="Calibri"/>
                <w:sz w:val="20"/>
                <w:szCs w:val="20"/>
              </w:rPr>
              <w:fldChar w:fldCharType="end"/>
            </w:r>
          </w:hyperlink>
        </w:p>
        <w:p w14:paraId="6808F6DC" w14:textId="77777777" w:rsidR="00CF33D9" w:rsidRDefault="009B0270">
          <w:pPr>
            <w:pStyle w:val="TOC1"/>
            <w:tabs>
              <w:tab w:val="left" w:pos="480"/>
            </w:tabs>
            <w:rPr>
              <w:rFonts w:ascii="Calibri" w:eastAsiaTheme="minorEastAsia" w:hAnsi="Calibri" w:cs="Calibri"/>
              <w:b w:val="0"/>
              <w:bCs w:val="0"/>
              <w:i w:val="0"/>
              <w:iCs w:val="0"/>
              <w:kern w:val="2"/>
              <w:sz w:val="20"/>
              <w:szCs w:val="20"/>
              <w:lang w:val="zh-CN"/>
              <w14:ligatures w14:val="standardContextual"/>
            </w:rPr>
          </w:pPr>
          <w:hyperlink w:anchor="_Toc169739168" w:history="1">
            <w:r w:rsidR="00E3332A">
              <w:rPr>
                <w:rStyle w:val="Hyperlink"/>
                <w:rFonts w:ascii="Calibri" w:hAnsi="Calibri" w:cs="Calibri"/>
                <w:sz w:val="20"/>
                <w:szCs w:val="20"/>
              </w:rPr>
              <w:t>XI</w:t>
            </w:r>
            <w:r w:rsidR="00E3332A">
              <w:rPr>
                <w:rFonts w:ascii="Calibri" w:eastAsiaTheme="minorEastAsia" w:hAnsi="Calibri" w:cs="Calibri"/>
                <w:b w:val="0"/>
                <w:bCs w:val="0"/>
                <w:i w:val="0"/>
                <w:iCs w:val="0"/>
                <w:kern w:val="2"/>
                <w:sz w:val="20"/>
                <w:szCs w:val="20"/>
                <w:lang w:val="zh-CN"/>
                <w14:ligatures w14:val="standardContextual"/>
              </w:rPr>
              <w:tab/>
            </w:r>
            <w:r w:rsidR="00E3332A">
              <w:rPr>
                <w:rStyle w:val="Hyperlink"/>
                <w:rFonts w:ascii="Calibri" w:hAnsi="Calibri" w:cs="Calibri"/>
                <w:sz w:val="20"/>
                <w:szCs w:val="20"/>
              </w:rPr>
              <w:t>Risk Management</w:t>
            </w:r>
            <w:r w:rsidR="00E3332A">
              <w:rPr>
                <w:rFonts w:ascii="Calibri" w:hAnsi="Calibri" w:cs="Calibri"/>
                <w:sz w:val="20"/>
                <w:szCs w:val="20"/>
              </w:rPr>
              <w:tab/>
            </w:r>
            <w:r w:rsidR="00E3332A">
              <w:rPr>
                <w:rFonts w:ascii="Calibri" w:hAnsi="Calibri" w:cs="Calibri"/>
                <w:sz w:val="20"/>
                <w:szCs w:val="20"/>
              </w:rPr>
              <w:fldChar w:fldCharType="begin"/>
            </w:r>
            <w:r w:rsidR="00E3332A">
              <w:rPr>
                <w:rFonts w:ascii="Calibri" w:hAnsi="Calibri" w:cs="Calibri"/>
                <w:sz w:val="20"/>
                <w:szCs w:val="20"/>
              </w:rPr>
              <w:instrText xml:space="preserve"> PAGEREF _Toc169739168 \h </w:instrText>
            </w:r>
            <w:r w:rsidR="00E3332A">
              <w:rPr>
                <w:rFonts w:ascii="Calibri" w:hAnsi="Calibri" w:cs="Calibri"/>
                <w:sz w:val="20"/>
                <w:szCs w:val="20"/>
              </w:rPr>
            </w:r>
            <w:r w:rsidR="00E3332A">
              <w:rPr>
                <w:rFonts w:ascii="Calibri" w:hAnsi="Calibri" w:cs="Calibri"/>
                <w:sz w:val="20"/>
                <w:szCs w:val="20"/>
              </w:rPr>
              <w:fldChar w:fldCharType="separate"/>
            </w:r>
            <w:r w:rsidR="00E3332A">
              <w:rPr>
                <w:rFonts w:ascii="Calibri" w:hAnsi="Calibri" w:cs="Calibri"/>
                <w:sz w:val="20"/>
                <w:szCs w:val="20"/>
              </w:rPr>
              <w:t>97</w:t>
            </w:r>
            <w:r w:rsidR="00E3332A">
              <w:rPr>
                <w:rFonts w:ascii="Calibri" w:hAnsi="Calibri" w:cs="Calibri"/>
                <w:sz w:val="20"/>
                <w:szCs w:val="20"/>
              </w:rPr>
              <w:fldChar w:fldCharType="end"/>
            </w:r>
          </w:hyperlink>
        </w:p>
        <w:p w14:paraId="6808F6DD" w14:textId="77777777" w:rsidR="00CF33D9" w:rsidRDefault="009B0270">
          <w:pPr>
            <w:pStyle w:val="TOC1"/>
            <w:rPr>
              <w:rFonts w:ascii="Calibri" w:eastAsiaTheme="minorEastAsia" w:hAnsi="Calibri" w:cs="Calibri"/>
              <w:b w:val="0"/>
              <w:bCs w:val="0"/>
              <w:i w:val="0"/>
              <w:iCs w:val="0"/>
              <w:kern w:val="2"/>
              <w:sz w:val="20"/>
              <w:szCs w:val="20"/>
              <w:lang w:val="zh-CN"/>
              <w14:ligatures w14:val="standardContextual"/>
            </w:rPr>
          </w:pPr>
          <w:hyperlink w:anchor="_Toc169739169" w:history="1">
            <w:r w:rsidR="00E3332A">
              <w:rPr>
                <w:rStyle w:val="Hyperlink"/>
                <w:rFonts w:ascii="Calibri" w:hAnsi="Calibri" w:cs="Calibri"/>
                <w:sz w:val="20"/>
                <w:szCs w:val="20"/>
              </w:rPr>
              <w:t>Annexes</w:t>
            </w:r>
            <w:r w:rsidR="00E3332A">
              <w:rPr>
                <w:rFonts w:ascii="Calibri" w:hAnsi="Calibri" w:cs="Calibri"/>
                <w:sz w:val="20"/>
                <w:szCs w:val="20"/>
              </w:rPr>
              <w:tab/>
            </w:r>
            <w:r w:rsidR="00E3332A">
              <w:rPr>
                <w:rFonts w:ascii="Calibri" w:hAnsi="Calibri" w:cs="Calibri"/>
                <w:sz w:val="20"/>
                <w:szCs w:val="20"/>
              </w:rPr>
              <w:fldChar w:fldCharType="begin"/>
            </w:r>
            <w:r w:rsidR="00E3332A">
              <w:rPr>
                <w:rFonts w:ascii="Calibri" w:hAnsi="Calibri" w:cs="Calibri"/>
                <w:sz w:val="20"/>
                <w:szCs w:val="20"/>
              </w:rPr>
              <w:instrText xml:space="preserve"> PAGEREF _Toc169739169 \h </w:instrText>
            </w:r>
            <w:r w:rsidR="00E3332A">
              <w:rPr>
                <w:rFonts w:ascii="Calibri" w:hAnsi="Calibri" w:cs="Calibri"/>
                <w:sz w:val="20"/>
                <w:szCs w:val="20"/>
              </w:rPr>
            </w:r>
            <w:r w:rsidR="00E3332A">
              <w:rPr>
                <w:rFonts w:ascii="Calibri" w:hAnsi="Calibri" w:cs="Calibri"/>
                <w:sz w:val="20"/>
                <w:szCs w:val="20"/>
              </w:rPr>
              <w:fldChar w:fldCharType="separate"/>
            </w:r>
            <w:r w:rsidR="00E3332A">
              <w:rPr>
                <w:rFonts w:ascii="Calibri" w:hAnsi="Calibri" w:cs="Calibri"/>
                <w:sz w:val="20"/>
                <w:szCs w:val="20"/>
              </w:rPr>
              <w:t>101</w:t>
            </w:r>
            <w:r w:rsidR="00E3332A">
              <w:rPr>
                <w:rFonts w:ascii="Calibri" w:hAnsi="Calibri" w:cs="Calibri"/>
                <w:sz w:val="20"/>
                <w:szCs w:val="20"/>
              </w:rPr>
              <w:fldChar w:fldCharType="end"/>
            </w:r>
          </w:hyperlink>
        </w:p>
        <w:p w14:paraId="6808F6DE" w14:textId="77777777" w:rsidR="00CF33D9" w:rsidRDefault="009B0270">
          <w:pPr>
            <w:pStyle w:val="TOC2"/>
            <w:tabs>
              <w:tab w:val="right" w:leader="dot" w:pos="9350"/>
            </w:tabs>
            <w:rPr>
              <w:rFonts w:ascii="Calibri" w:eastAsiaTheme="minorEastAsia" w:hAnsi="Calibri" w:cs="Calibri"/>
              <w:b w:val="0"/>
              <w:bCs w:val="0"/>
              <w:kern w:val="2"/>
              <w:sz w:val="20"/>
              <w:szCs w:val="20"/>
              <w:lang w:val="zh-CN"/>
              <w14:ligatures w14:val="standardContextual"/>
            </w:rPr>
          </w:pPr>
          <w:hyperlink w:anchor="_Toc169739170" w:history="1">
            <w:r w:rsidR="00E3332A">
              <w:rPr>
                <w:rStyle w:val="Hyperlink"/>
                <w:rFonts w:ascii="Calibri" w:hAnsi="Calibri" w:cs="Calibri"/>
                <w:sz w:val="20"/>
                <w:szCs w:val="20"/>
              </w:rPr>
              <w:t>Annex 1: GEF Budget Template (SEPARATE FILE)</w:t>
            </w:r>
            <w:r w:rsidR="00E3332A">
              <w:rPr>
                <w:rFonts w:ascii="Calibri" w:hAnsi="Calibri" w:cs="Calibri"/>
                <w:sz w:val="20"/>
                <w:szCs w:val="20"/>
              </w:rPr>
              <w:tab/>
            </w:r>
            <w:r w:rsidR="00E3332A">
              <w:rPr>
                <w:rFonts w:ascii="Calibri" w:hAnsi="Calibri" w:cs="Calibri"/>
                <w:sz w:val="20"/>
                <w:szCs w:val="20"/>
              </w:rPr>
              <w:fldChar w:fldCharType="begin"/>
            </w:r>
            <w:r w:rsidR="00E3332A">
              <w:rPr>
                <w:rFonts w:ascii="Calibri" w:hAnsi="Calibri" w:cs="Calibri"/>
                <w:sz w:val="20"/>
                <w:szCs w:val="20"/>
              </w:rPr>
              <w:instrText xml:space="preserve"> PAGEREF _Toc169739170 \h </w:instrText>
            </w:r>
            <w:r w:rsidR="00E3332A">
              <w:rPr>
                <w:rFonts w:ascii="Calibri" w:hAnsi="Calibri" w:cs="Calibri"/>
                <w:sz w:val="20"/>
                <w:szCs w:val="20"/>
              </w:rPr>
            </w:r>
            <w:r w:rsidR="00E3332A">
              <w:rPr>
                <w:rFonts w:ascii="Calibri" w:hAnsi="Calibri" w:cs="Calibri"/>
                <w:sz w:val="20"/>
                <w:szCs w:val="20"/>
              </w:rPr>
              <w:fldChar w:fldCharType="separate"/>
            </w:r>
            <w:r w:rsidR="00E3332A">
              <w:rPr>
                <w:rFonts w:ascii="Calibri" w:hAnsi="Calibri" w:cs="Calibri"/>
                <w:sz w:val="20"/>
                <w:szCs w:val="20"/>
              </w:rPr>
              <w:t>102</w:t>
            </w:r>
            <w:r w:rsidR="00E3332A">
              <w:rPr>
                <w:rFonts w:ascii="Calibri" w:hAnsi="Calibri" w:cs="Calibri"/>
                <w:sz w:val="20"/>
                <w:szCs w:val="20"/>
              </w:rPr>
              <w:fldChar w:fldCharType="end"/>
            </w:r>
          </w:hyperlink>
        </w:p>
        <w:p w14:paraId="6808F6DF" w14:textId="77777777" w:rsidR="00CF33D9" w:rsidRDefault="009B0270">
          <w:pPr>
            <w:pStyle w:val="TOC2"/>
            <w:tabs>
              <w:tab w:val="right" w:leader="dot" w:pos="9350"/>
            </w:tabs>
            <w:rPr>
              <w:rFonts w:ascii="Calibri" w:eastAsiaTheme="minorEastAsia" w:hAnsi="Calibri" w:cs="Calibri"/>
              <w:b w:val="0"/>
              <w:bCs w:val="0"/>
              <w:kern w:val="2"/>
              <w:sz w:val="20"/>
              <w:szCs w:val="20"/>
              <w:lang w:val="zh-CN"/>
              <w14:ligatures w14:val="standardContextual"/>
            </w:rPr>
          </w:pPr>
          <w:hyperlink w:anchor="_Toc169739171" w:history="1">
            <w:r w:rsidR="00E3332A">
              <w:rPr>
                <w:rStyle w:val="Hyperlink"/>
                <w:rFonts w:ascii="Calibri" w:hAnsi="Calibri" w:cs="Calibri"/>
                <w:sz w:val="20"/>
                <w:szCs w:val="20"/>
              </w:rPr>
              <w:t>Annex 2: Project map and Geospatial Coordinates of project sites</w:t>
            </w:r>
            <w:r w:rsidR="00E3332A">
              <w:rPr>
                <w:rFonts w:ascii="Calibri" w:hAnsi="Calibri" w:cs="Calibri"/>
                <w:sz w:val="20"/>
                <w:szCs w:val="20"/>
              </w:rPr>
              <w:tab/>
            </w:r>
            <w:r w:rsidR="00E3332A">
              <w:rPr>
                <w:rFonts w:ascii="Calibri" w:hAnsi="Calibri" w:cs="Calibri"/>
                <w:sz w:val="20"/>
                <w:szCs w:val="20"/>
              </w:rPr>
              <w:fldChar w:fldCharType="begin"/>
            </w:r>
            <w:r w:rsidR="00E3332A">
              <w:rPr>
                <w:rFonts w:ascii="Calibri" w:hAnsi="Calibri" w:cs="Calibri"/>
                <w:sz w:val="20"/>
                <w:szCs w:val="20"/>
              </w:rPr>
              <w:instrText xml:space="preserve"> PAGEREF _Toc169739171 \h </w:instrText>
            </w:r>
            <w:r w:rsidR="00E3332A">
              <w:rPr>
                <w:rFonts w:ascii="Calibri" w:hAnsi="Calibri" w:cs="Calibri"/>
                <w:sz w:val="20"/>
                <w:szCs w:val="20"/>
              </w:rPr>
            </w:r>
            <w:r w:rsidR="00E3332A">
              <w:rPr>
                <w:rFonts w:ascii="Calibri" w:hAnsi="Calibri" w:cs="Calibri"/>
                <w:sz w:val="20"/>
                <w:szCs w:val="20"/>
              </w:rPr>
              <w:fldChar w:fldCharType="separate"/>
            </w:r>
            <w:r w:rsidR="00E3332A">
              <w:rPr>
                <w:rFonts w:ascii="Calibri" w:hAnsi="Calibri" w:cs="Calibri"/>
                <w:sz w:val="20"/>
                <w:szCs w:val="20"/>
              </w:rPr>
              <w:t>103</w:t>
            </w:r>
            <w:r w:rsidR="00E3332A">
              <w:rPr>
                <w:rFonts w:ascii="Calibri" w:hAnsi="Calibri" w:cs="Calibri"/>
                <w:sz w:val="20"/>
                <w:szCs w:val="20"/>
              </w:rPr>
              <w:fldChar w:fldCharType="end"/>
            </w:r>
          </w:hyperlink>
        </w:p>
        <w:p w14:paraId="6808F6E0" w14:textId="77777777" w:rsidR="00CF33D9" w:rsidRDefault="009B0270">
          <w:pPr>
            <w:pStyle w:val="TOC2"/>
            <w:tabs>
              <w:tab w:val="right" w:leader="dot" w:pos="9350"/>
            </w:tabs>
            <w:rPr>
              <w:rFonts w:ascii="Calibri" w:eastAsiaTheme="minorEastAsia" w:hAnsi="Calibri" w:cs="Calibri"/>
              <w:b w:val="0"/>
              <w:bCs w:val="0"/>
              <w:kern w:val="2"/>
              <w:sz w:val="20"/>
              <w:szCs w:val="20"/>
              <w:lang w:val="zh-CN"/>
              <w14:ligatures w14:val="standardContextual"/>
            </w:rPr>
          </w:pPr>
          <w:hyperlink w:anchor="_Toc169739172" w:history="1">
            <w:r w:rsidR="00E3332A">
              <w:rPr>
                <w:rStyle w:val="Hyperlink"/>
                <w:rFonts w:ascii="Calibri" w:hAnsi="Calibri" w:cs="Calibri"/>
                <w:sz w:val="20"/>
                <w:szCs w:val="20"/>
              </w:rPr>
              <w:t>Annex 3: Multi Year Work Plan</w:t>
            </w:r>
            <w:r w:rsidR="00E3332A">
              <w:rPr>
                <w:rFonts w:ascii="Calibri" w:hAnsi="Calibri" w:cs="Calibri"/>
                <w:sz w:val="20"/>
                <w:szCs w:val="20"/>
              </w:rPr>
              <w:tab/>
            </w:r>
            <w:r w:rsidR="00E3332A">
              <w:rPr>
                <w:rFonts w:ascii="Calibri" w:hAnsi="Calibri" w:cs="Calibri"/>
                <w:sz w:val="20"/>
                <w:szCs w:val="20"/>
              </w:rPr>
              <w:fldChar w:fldCharType="begin"/>
            </w:r>
            <w:r w:rsidR="00E3332A">
              <w:rPr>
                <w:rFonts w:ascii="Calibri" w:hAnsi="Calibri" w:cs="Calibri"/>
                <w:sz w:val="20"/>
                <w:szCs w:val="20"/>
              </w:rPr>
              <w:instrText xml:space="preserve"> PAGEREF _Toc169739172 \h </w:instrText>
            </w:r>
            <w:r w:rsidR="00E3332A">
              <w:rPr>
                <w:rFonts w:ascii="Calibri" w:hAnsi="Calibri" w:cs="Calibri"/>
                <w:sz w:val="20"/>
                <w:szCs w:val="20"/>
              </w:rPr>
            </w:r>
            <w:r w:rsidR="00E3332A">
              <w:rPr>
                <w:rFonts w:ascii="Calibri" w:hAnsi="Calibri" w:cs="Calibri"/>
                <w:sz w:val="20"/>
                <w:szCs w:val="20"/>
              </w:rPr>
              <w:fldChar w:fldCharType="separate"/>
            </w:r>
            <w:r w:rsidR="00E3332A">
              <w:rPr>
                <w:rFonts w:ascii="Calibri" w:hAnsi="Calibri" w:cs="Calibri"/>
                <w:sz w:val="20"/>
                <w:szCs w:val="20"/>
              </w:rPr>
              <w:t>105</w:t>
            </w:r>
            <w:r w:rsidR="00E3332A">
              <w:rPr>
                <w:rFonts w:ascii="Calibri" w:hAnsi="Calibri" w:cs="Calibri"/>
                <w:sz w:val="20"/>
                <w:szCs w:val="20"/>
              </w:rPr>
              <w:fldChar w:fldCharType="end"/>
            </w:r>
          </w:hyperlink>
        </w:p>
        <w:p w14:paraId="6808F6E1" w14:textId="77777777" w:rsidR="00CF33D9" w:rsidRDefault="009B0270">
          <w:pPr>
            <w:pStyle w:val="TOC2"/>
            <w:tabs>
              <w:tab w:val="right" w:leader="dot" w:pos="9350"/>
            </w:tabs>
            <w:rPr>
              <w:rFonts w:ascii="Calibri" w:eastAsiaTheme="minorEastAsia" w:hAnsi="Calibri" w:cs="Calibri"/>
              <w:b w:val="0"/>
              <w:bCs w:val="0"/>
              <w:kern w:val="2"/>
              <w:sz w:val="20"/>
              <w:szCs w:val="20"/>
              <w:lang w:val="zh-CN"/>
              <w14:ligatures w14:val="standardContextual"/>
            </w:rPr>
          </w:pPr>
          <w:hyperlink w:anchor="_Toc169739173" w:history="1">
            <w:r w:rsidR="00E3332A">
              <w:rPr>
                <w:rStyle w:val="Hyperlink"/>
                <w:rFonts w:ascii="Calibri" w:hAnsi="Calibri" w:cs="Calibri"/>
                <w:sz w:val="20"/>
                <w:szCs w:val="20"/>
              </w:rPr>
              <w:t>Annex 4: UNDP Social and Environmental Screening Procedure (SESP)</w:t>
            </w:r>
            <w:r w:rsidR="00E3332A">
              <w:rPr>
                <w:rFonts w:ascii="Calibri" w:hAnsi="Calibri" w:cs="Calibri"/>
                <w:sz w:val="20"/>
                <w:szCs w:val="20"/>
              </w:rPr>
              <w:tab/>
            </w:r>
            <w:r w:rsidR="00E3332A">
              <w:rPr>
                <w:rFonts w:ascii="Calibri" w:hAnsi="Calibri" w:cs="Calibri"/>
                <w:sz w:val="20"/>
                <w:szCs w:val="20"/>
              </w:rPr>
              <w:fldChar w:fldCharType="begin"/>
            </w:r>
            <w:r w:rsidR="00E3332A">
              <w:rPr>
                <w:rFonts w:ascii="Calibri" w:hAnsi="Calibri" w:cs="Calibri"/>
                <w:sz w:val="20"/>
                <w:szCs w:val="20"/>
              </w:rPr>
              <w:instrText xml:space="preserve"> PAGEREF _Toc169739173 \h </w:instrText>
            </w:r>
            <w:r w:rsidR="00E3332A">
              <w:rPr>
                <w:rFonts w:ascii="Calibri" w:hAnsi="Calibri" w:cs="Calibri"/>
                <w:sz w:val="20"/>
                <w:szCs w:val="20"/>
              </w:rPr>
            </w:r>
            <w:r w:rsidR="00E3332A">
              <w:rPr>
                <w:rFonts w:ascii="Calibri" w:hAnsi="Calibri" w:cs="Calibri"/>
                <w:sz w:val="20"/>
                <w:szCs w:val="20"/>
              </w:rPr>
              <w:fldChar w:fldCharType="separate"/>
            </w:r>
            <w:r w:rsidR="00E3332A">
              <w:rPr>
                <w:rFonts w:ascii="Calibri" w:hAnsi="Calibri" w:cs="Calibri"/>
                <w:sz w:val="20"/>
                <w:szCs w:val="20"/>
              </w:rPr>
              <w:t>112</w:t>
            </w:r>
            <w:r w:rsidR="00E3332A">
              <w:rPr>
                <w:rFonts w:ascii="Calibri" w:hAnsi="Calibri" w:cs="Calibri"/>
                <w:sz w:val="20"/>
                <w:szCs w:val="20"/>
              </w:rPr>
              <w:fldChar w:fldCharType="end"/>
            </w:r>
          </w:hyperlink>
        </w:p>
        <w:p w14:paraId="6808F6E2" w14:textId="77777777" w:rsidR="00CF33D9" w:rsidRDefault="009B0270">
          <w:pPr>
            <w:pStyle w:val="TOC2"/>
            <w:tabs>
              <w:tab w:val="right" w:leader="dot" w:pos="9350"/>
            </w:tabs>
            <w:rPr>
              <w:rFonts w:ascii="Calibri" w:eastAsiaTheme="minorEastAsia" w:hAnsi="Calibri" w:cs="Calibri"/>
              <w:b w:val="0"/>
              <w:bCs w:val="0"/>
              <w:kern w:val="2"/>
              <w:sz w:val="20"/>
              <w:szCs w:val="20"/>
              <w:lang w:val="zh-CN"/>
              <w14:ligatures w14:val="standardContextual"/>
            </w:rPr>
          </w:pPr>
          <w:hyperlink w:anchor="_Toc169739174" w:history="1">
            <w:r w:rsidR="00E3332A">
              <w:rPr>
                <w:rStyle w:val="Hyperlink"/>
                <w:rFonts w:ascii="Calibri" w:hAnsi="Calibri" w:cs="Calibri"/>
                <w:sz w:val="20"/>
                <w:szCs w:val="20"/>
              </w:rPr>
              <w:t>Annex 5: UNDP Risk Register</w:t>
            </w:r>
            <w:r w:rsidR="00E3332A">
              <w:rPr>
                <w:rFonts w:ascii="Calibri" w:hAnsi="Calibri" w:cs="Calibri"/>
                <w:sz w:val="20"/>
                <w:szCs w:val="20"/>
              </w:rPr>
              <w:tab/>
            </w:r>
            <w:r w:rsidR="00E3332A">
              <w:rPr>
                <w:rFonts w:ascii="Calibri" w:hAnsi="Calibri" w:cs="Calibri"/>
                <w:sz w:val="20"/>
                <w:szCs w:val="20"/>
              </w:rPr>
              <w:fldChar w:fldCharType="begin"/>
            </w:r>
            <w:r w:rsidR="00E3332A">
              <w:rPr>
                <w:rFonts w:ascii="Calibri" w:hAnsi="Calibri" w:cs="Calibri"/>
                <w:sz w:val="20"/>
                <w:szCs w:val="20"/>
              </w:rPr>
              <w:instrText xml:space="preserve"> PAGEREF _Toc169739174 \h </w:instrText>
            </w:r>
            <w:r w:rsidR="00E3332A">
              <w:rPr>
                <w:rFonts w:ascii="Calibri" w:hAnsi="Calibri" w:cs="Calibri"/>
                <w:sz w:val="20"/>
                <w:szCs w:val="20"/>
              </w:rPr>
            </w:r>
            <w:r w:rsidR="00E3332A">
              <w:rPr>
                <w:rFonts w:ascii="Calibri" w:hAnsi="Calibri" w:cs="Calibri"/>
                <w:sz w:val="20"/>
                <w:szCs w:val="20"/>
              </w:rPr>
              <w:fldChar w:fldCharType="separate"/>
            </w:r>
            <w:r w:rsidR="00E3332A">
              <w:rPr>
                <w:rFonts w:ascii="Calibri" w:hAnsi="Calibri" w:cs="Calibri"/>
                <w:sz w:val="20"/>
                <w:szCs w:val="20"/>
              </w:rPr>
              <w:t>128</w:t>
            </w:r>
            <w:r w:rsidR="00E3332A">
              <w:rPr>
                <w:rFonts w:ascii="Calibri" w:hAnsi="Calibri" w:cs="Calibri"/>
                <w:sz w:val="20"/>
                <w:szCs w:val="20"/>
              </w:rPr>
              <w:fldChar w:fldCharType="end"/>
            </w:r>
          </w:hyperlink>
        </w:p>
        <w:p w14:paraId="6808F6E3" w14:textId="77777777" w:rsidR="00CF33D9" w:rsidRDefault="009B0270">
          <w:pPr>
            <w:pStyle w:val="TOC2"/>
            <w:tabs>
              <w:tab w:val="right" w:leader="dot" w:pos="9350"/>
            </w:tabs>
            <w:rPr>
              <w:rFonts w:ascii="Calibri" w:eastAsiaTheme="minorEastAsia" w:hAnsi="Calibri" w:cs="Calibri"/>
              <w:b w:val="0"/>
              <w:bCs w:val="0"/>
              <w:kern w:val="2"/>
              <w:sz w:val="20"/>
              <w:szCs w:val="20"/>
              <w:lang w:val="zh-CN"/>
              <w14:ligatures w14:val="standardContextual"/>
            </w:rPr>
          </w:pPr>
          <w:hyperlink w:anchor="_Toc169739175" w:history="1">
            <w:r w:rsidR="00E3332A">
              <w:rPr>
                <w:rStyle w:val="Hyperlink"/>
                <w:rFonts w:ascii="Calibri" w:hAnsi="Calibri" w:cs="Calibri"/>
                <w:sz w:val="20"/>
                <w:szCs w:val="20"/>
              </w:rPr>
              <w:t xml:space="preserve">Annex 6: </w:t>
            </w:r>
            <w:r w:rsidR="00E3332A">
              <w:rPr>
                <w:rStyle w:val="Hyperlink"/>
                <w:rFonts w:ascii="Calibri" w:eastAsia="Calibri" w:hAnsi="Calibri" w:cs="Calibri"/>
                <w:sz w:val="20"/>
                <w:szCs w:val="20"/>
              </w:rPr>
              <w:t>Overview of Technical Consultancies</w:t>
            </w:r>
            <w:r w:rsidR="00E3332A">
              <w:rPr>
                <w:rFonts w:ascii="Calibri" w:hAnsi="Calibri" w:cs="Calibri"/>
                <w:sz w:val="20"/>
                <w:szCs w:val="20"/>
              </w:rPr>
              <w:tab/>
            </w:r>
            <w:r w:rsidR="00E3332A">
              <w:rPr>
                <w:rFonts w:ascii="Calibri" w:hAnsi="Calibri" w:cs="Calibri"/>
                <w:sz w:val="20"/>
                <w:szCs w:val="20"/>
              </w:rPr>
              <w:fldChar w:fldCharType="begin"/>
            </w:r>
            <w:r w:rsidR="00E3332A">
              <w:rPr>
                <w:rFonts w:ascii="Calibri" w:hAnsi="Calibri" w:cs="Calibri"/>
                <w:sz w:val="20"/>
                <w:szCs w:val="20"/>
              </w:rPr>
              <w:instrText xml:space="preserve"> PAGEREF _Toc169739175 \h </w:instrText>
            </w:r>
            <w:r w:rsidR="00E3332A">
              <w:rPr>
                <w:rFonts w:ascii="Calibri" w:hAnsi="Calibri" w:cs="Calibri"/>
                <w:sz w:val="20"/>
                <w:szCs w:val="20"/>
              </w:rPr>
            </w:r>
            <w:r w:rsidR="00E3332A">
              <w:rPr>
                <w:rFonts w:ascii="Calibri" w:hAnsi="Calibri" w:cs="Calibri"/>
                <w:sz w:val="20"/>
                <w:szCs w:val="20"/>
              </w:rPr>
              <w:fldChar w:fldCharType="separate"/>
            </w:r>
            <w:r w:rsidR="00E3332A">
              <w:rPr>
                <w:rFonts w:ascii="Calibri" w:hAnsi="Calibri" w:cs="Calibri"/>
                <w:sz w:val="20"/>
                <w:szCs w:val="20"/>
              </w:rPr>
              <w:t>136</w:t>
            </w:r>
            <w:r w:rsidR="00E3332A">
              <w:rPr>
                <w:rFonts w:ascii="Calibri" w:hAnsi="Calibri" w:cs="Calibri"/>
                <w:sz w:val="20"/>
                <w:szCs w:val="20"/>
              </w:rPr>
              <w:fldChar w:fldCharType="end"/>
            </w:r>
          </w:hyperlink>
        </w:p>
        <w:p w14:paraId="6808F6E4" w14:textId="77777777" w:rsidR="00CF33D9" w:rsidRDefault="009B0270">
          <w:pPr>
            <w:pStyle w:val="TOC2"/>
            <w:tabs>
              <w:tab w:val="right" w:leader="dot" w:pos="9350"/>
            </w:tabs>
            <w:rPr>
              <w:rFonts w:ascii="Calibri" w:eastAsiaTheme="minorEastAsia" w:hAnsi="Calibri" w:cs="Calibri"/>
              <w:b w:val="0"/>
              <w:bCs w:val="0"/>
              <w:kern w:val="2"/>
              <w:sz w:val="20"/>
              <w:szCs w:val="20"/>
              <w:lang w:val="zh-CN"/>
              <w14:ligatures w14:val="standardContextual"/>
            </w:rPr>
          </w:pPr>
          <w:hyperlink w:anchor="_Toc169739176" w:history="1">
            <w:r w:rsidR="00E3332A">
              <w:rPr>
                <w:rStyle w:val="Hyperlink"/>
                <w:rFonts w:ascii="Calibri" w:hAnsi="Calibri" w:cs="Calibri"/>
                <w:sz w:val="20"/>
                <w:szCs w:val="20"/>
              </w:rPr>
              <w:t>Annex 7: Stakeholder Engagement Plan</w:t>
            </w:r>
            <w:r w:rsidR="00E3332A">
              <w:rPr>
                <w:rFonts w:ascii="Calibri" w:hAnsi="Calibri" w:cs="Calibri"/>
                <w:sz w:val="20"/>
                <w:szCs w:val="20"/>
              </w:rPr>
              <w:tab/>
            </w:r>
            <w:r w:rsidR="00E3332A">
              <w:rPr>
                <w:rFonts w:ascii="Calibri" w:hAnsi="Calibri" w:cs="Calibri"/>
                <w:sz w:val="20"/>
                <w:szCs w:val="20"/>
              </w:rPr>
              <w:fldChar w:fldCharType="begin"/>
            </w:r>
            <w:r w:rsidR="00E3332A">
              <w:rPr>
                <w:rFonts w:ascii="Calibri" w:hAnsi="Calibri" w:cs="Calibri"/>
                <w:sz w:val="20"/>
                <w:szCs w:val="20"/>
              </w:rPr>
              <w:instrText xml:space="preserve"> PAGEREF _Toc169739176 \h </w:instrText>
            </w:r>
            <w:r w:rsidR="00E3332A">
              <w:rPr>
                <w:rFonts w:ascii="Calibri" w:hAnsi="Calibri" w:cs="Calibri"/>
                <w:sz w:val="20"/>
                <w:szCs w:val="20"/>
              </w:rPr>
            </w:r>
            <w:r w:rsidR="00E3332A">
              <w:rPr>
                <w:rFonts w:ascii="Calibri" w:hAnsi="Calibri" w:cs="Calibri"/>
                <w:sz w:val="20"/>
                <w:szCs w:val="20"/>
              </w:rPr>
              <w:fldChar w:fldCharType="separate"/>
            </w:r>
            <w:r w:rsidR="00E3332A">
              <w:rPr>
                <w:rFonts w:ascii="Calibri" w:hAnsi="Calibri" w:cs="Calibri"/>
                <w:sz w:val="20"/>
                <w:szCs w:val="20"/>
              </w:rPr>
              <w:t>137</w:t>
            </w:r>
            <w:r w:rsidR="00E3332A">
              <w:rPr>
                <w:rFonts w:ascii="Calibri" w:hAnsi="Calibri" w:cs="Calibri"/>
                <w:sz w:val="20"/>
                <w:szCs w:val="20"/>
              </w:rPr>
              <w:fldChar w:fldCharType="end"/>
            </w:r>
          </w:hyperlink>
        </w:p>
        <w:p w14:paraId="6808F6E5" w14:textId="77777777" w:rsidR="00CF33D9" w:rsidRDefault="009B0270">
          <w:pPr>
            <w:pStyle w:val="TOC2"/>
            <w:tabs>
              <w:tab w:val="right" w:leader="dot" w:pos="9350"/>
            </w:tabs>
            <w:rPr>
              <w:rFonts w:ascii="Calibri" w:eastAsiaTheme="minorEastAsia" w:hAnsi="Calibri" w:cs="Calibri"/>
              <w:b w:val="0"/>
              <w:bCs w:val="0"/>
              <w:kern w:val="2"/>
              <w:sz w:val="20"/>
              <w:szCs w:val="20"/>
              <w:lang w:val="zh-CN"/>
              <w14:ligatures w14:val="standardContextual"/>
            </w:rPr>
          </w:pPr>
          <w:hyperlink w:anchor="_Toc169739177" w:history="1">
            <w:r w:rsidR="00E3332A">
              <w:rPr>
                <w:rStyle w:val="Hyperlink"/>
                <w:rFonts w:ascii="Calibri" w:hAnsi="Calibri" w:cs="Calibri"/>
                <w:sz w:val="20"/>
                <w:szCs w:val="20"/>
              </w:rPr>
              <w:t>Annex 8: Environmental and Social Management Framework</w:t>
            </w:r>
            <w:r w:rsidR="00E3332A">
              <w:rPr>
                <w:rFonts w:ascii="Calibri" w:hAnsi="Calibri" w:cs="Calibri"/>
                <w:sz w:val="20"/>
                <w:szCs w:val="20"/>
              </w:rPr>
              <w:tab/>
            </w:r>
            <w:r w:rsidR="00E3332A">
              <w:rPr>
                <w:rFonts w:ascii="Calibri" w:hAnsi="Calibri" w:cs="Calibri"/>
                <w:sz w:val="20"/>
                <w:szCs w:val="20"/>
              </w:rPr>
              <w:fldChar w:fldCharType="begin"/>
            </w:r>
            <w:r w:rsidR="00E3332A">
              <w:rPr>
                <w:rFonts w:ascii="Calibri" w:hAnsi="Calibri" w:cs="Calibri"/>
                <w:sz w:val="20"/>
                <w:szCs w:val="20"/>
              </w:rPr>
              <w:instrText xml:space="preserve"> PAGEREF _Toc169739177 \h </w:instrText>
            </w:r>
            <w:r w:rsidR="00E3332A">
              <w:rPr>
                <w:rFonts w:ascii="Calibri" w:hAnsi="Calibri" w:cs="Calibri"/>
                <w:sz w:val="20"/>
                <w:szCs w:val="20"/>
              </w:rPr>
            </w:r>
            <w:r w:rsidR="00E3332A">
              <w:rPr>
                <w:rFonts w:ascii="Calibri" w:hAnsi="Calibri" w:cs="Calibri"/>
                <w:sz w:val="20"/>
                <w:szCs w:val="20"/>
              </w:rPr>
              <w:fldChar w:fldCharType="separate"/>
            </w:r>
            <w:r w:rsidR="00E3332A">
              <w:rPr>
                <w:rFonts w:ascii="Calibri" w:hAnsi="Calibri" w:cs="Calibri"/>
                <w:sz w:val="20"/>
                <w:szCs w:val="20"/>
              </w:rPr>
              <w:t>160</w:t>
            </w:r>
            <w:r w:rsidR="00E3332A">
              <w:rPr>
                <w:rFonts w:ascii="Calibri" w:hAnsi="Calibri" w:cs="Calibri"/>
                <w:sz w:val="20"/>
                <w:szCs w:val="20"/>
              </w:rPr>
              <w:fldChar w:fldCharType="end"/>
            </w:r>
          </w:hyperlink>
        </w:p>
        <w:p w14:paraId="6808F6E6" w14:textId="77777777" w:rsidR="00CF33D9" w:rsidRDefault="00E3332A">
          <w:pPr>
            <w:rPr>
              <w:rFonts w:ascii="Calibri" w:hAnsi="Calibri" w:cs="Calibri"/>
              <w:sz w:val="20"/>
              <w:szCs w:val="20"/>
            </w:rPr>
          </w:pPr>
          <w:r>
            <w:rPr>
              <w:rFonts w:ascii="Calibri" w:hAnsi="Calibri" w:cs="Calibri"/>
              <w:b/>
              <w:bCs/>
              <w:sz w:val="20"/>
              <w:szCs w:val="20"/>
            </w:rPr>
            <w:fldChar w:fldCharType="end"/>
          </w:r>
        </w:p>
      </w:sdtContent>
    </w:sdt>
    <w:p w14:paraId="6808F6E7" w14:textId="77777777" w:rsidR="00CF33D9" w:rsidRDefault="00CF33D9">
      <w:pPr>
        <w:spacing w:after="240"/>
        <w:jc w:val="both"/>
        <w:rPr>
          <w:rFonts w:ascii="Calibri" w:eastAsia="Calibri" w:hAnsi="Calibri" w:cs="Calibri"/>
          <w:b/>
          <w:i/>
          <w:sz w:val="20"/>
          <w:szCs w:val="20"/>
          <w:highlight w:val="yellow"/>
        </w:rPr>
      </w:pPr>
    </w:p>
    <w:p w14:paraId="6808F6E8" w14:textId="77777777" w:rsidR="00CF33D9" w:rsidRDefault="00CF33D9">
      <w:pPr>
        <w:spacing w:after="240"/>
        <w:jc w:val="both"/>
        <w:rPr>
          <w:rFonts w:ascii="Calibri" w:eastAsia="Calibri" w:hAnsi="Calibri" w:cs="Calibri"/>
          <w:b/>
          <w:i/>
          <w:sz w:val="20"/>
          <w:szCs w:val="20"/>
          <w:highlight w:val="yellow"/>
        </w:rPr>
      </w:pPr>
    </w:p>
    <w:p w14:paraId="6808F6E9" w14:textId="77777777" w:rsidR="00CF33D9" w:rsidRDefault="00CF33D9">
      <w:pPr>
        <w:spacing w:after="240"/>
        <w:jc w:val="both"/>
        <w:rPr>
          <w:rFonts w:ascii="Calibri" w:eastAsia="Calibri" w:hAnsi="Calibri" w:cs="Calibri"/>
          <w:b/>
          <w:i/>
          <w:sz w:val="20"/>
          <w:szCs w:val="20"/>
          <w:highlight w:val="yellow"/>
        </w:rPr>
      </w:pPr>
    </w:p>
    <w:p w14:paraId="6808F6EA" w14:textId="77777777" w:rsidR="00CF33D9" w:rsidRDefault="00CF33D9">
      <w:pPr>
        <w:spacing w:after="240"/>
        <w:jc w:val="both"/>
        <w:rPr>
          <w:rFonts w:ascii="Calibri" w:eastAsia="Calibri" w:hAnsi="Calibri" w:cs="Calibri"/>
          <w:b/>
          <w:i/>
          <w:sz w:val="20"/>
          <w:szCs w:val="20"/>
          <w:highlight w:val="yellow"/>
          <w:lang w:val="en-US"/>
        </w:rPr>
        <w:sectPr w:rsidR="00CF33D9">
          <w:footerReference w:type="even" r:id="rId13"/>
          <w:footerReference w:type="default" r:id="rId14"/>
          <w:footerReference w:type="first" r:id="rId15"/>
          <w:pgSz w:w="12240" w:h="15840"/>
          <w:pgMar w:top="1440" w:right="1440" w:bottom="1440" w:left="1440" w:header="720" w:footer="432" w:gutter="0"/>
          <w:pgNumType w:start="1"/>
          <w:cols w:space="720"/>
          <w:titlePg/>
        </w:sectPr>
      </w:pPr>
    </w:p>
    <w:p w14:paraId="6808F6EB" w14:textId="77777777" w:rsidR="00CF33D9" w:rsidRDefault="00E3332A">
      <w:pPr>
        <w:pStyle w:val="Heading1"/>
        <w:rPr>
          <w:rFonts w:ascii="Calibri" w:hAnsi="Calibri" w:cs="Calibri"/>
          <w:sz w:val="20"/>
          <w:szCs w:val="20"/>
        </w:rPr>
      </w:pPr>
      <w:bookmarkStart w:id="2" w:name="_Toc169739143"/>
      <w:r>
        <w:rPr>
          <w:rFonts w:ascii="Calibri" w:hAnsi="Calibri" w:cs="Calibri"/>
          <w:sz w:val="20"/>
          <w:szCs w:val="20"/>
        </w:rPr>
        <w:lastRenderedPageBreak/>
        <w:t>List of acronyms</w:t>
      </w:r>
      <w:bookmarkEnd w:id="2"/>
    </w:p>
    <w:p w14:paraId="6808F6EC" w14:textId="77777777" w:rsidR="00CF33D9" w:rsidRDefault="00CF33D9">
      <w:pPr>
        <w:rPr>
          <w:rFonts w:ascii="Calibri" w:hAnsi="Calibri" w:cs="Calibri"/>
          <w:sz w:val="20"/>
          <w:szCs w:val="20"/>
        </w:rPr>
      </w:pPr>
    </w:p>
    <w:tbl>
      <w:tblPr>
        <w:tblStyle w:val="Style258"/>
        <w:tblW w:w="9360" w:type="dxa"/>
        <w:tblLayout w:type="fixed"/>
        <w:tblLook w:val="04A0" w:firstRow="1" w:lastRow="0" w:firstColumn="1" w:lastColumn="0" w:noHBand="0" w:noVBand="1"/>
      </w:tblPr>
      <w:tblGrid>
        <w:gridCol w:w="1203"/>
        <w:gridCol w:w="8157"/>
      </w:tblGrid>
      <w:tr w:rsidR="00CF33D9" w14:paraId="6808F70F" w14:textId="77777777">
        <w:trPr>
          <w:trHeight w:val="288"/>
        </w:trPr>
        <w:tc>
          <w:tcPr>
            <w:tcW w:w="1203" w:type="dxa"/>
            <w:shd w:val="clear" w:color="auto" w:fill="auto"/>
          </w:tcPr>
          <w:p w14:paraId="6808F6ED" w14:textId="77777777" w:rsidR="00CF33D9" w:rsidRDefault="00CF33D9">
            <w:pPr>
              <w:spacing w:after="60"/>
              <w:jc w:val="both"/>
              <w:rPr>
                <w:rFonts w:eastAsia="Calibri"/>
                <w:sz w:val="20"/>
                <w:szCs w:val="20"/>
              </w:rPr>
            </w:pPr>
          </w:p>
          <w:p w14:paraId="6808F6EE" w14:textId="77777777" w:rsidR="00CF33D9" w:rsidRDefault="00E3332A">
            <w:pPr>
              <w:spacing w:after="60"/>
              <w:jc w:val="both"/>
              <w:rPr>
                <w:rFonts w:eastAsia="Calibri"/>
                <w:sz w:val="20"/>
                <w:szCs w:val="20"/>
              </w:rPr>
            </w:pPr>
            <w:r>
              <w:rPr>
                <w:rFonts w:eastAsia="Calibri"/>
                <w:sz w:val="20"/>
                <w:szCs w:val="20"/>
              </w:rPr>
              <w:t>ADLFG</w:t>
            </w:r>
          </w:p>
          <w:p w14:paraId="6808F6EF" w14:textId="77777777" w:rsidR="00CF33D9" w:rsidRDefault="00E3332A">
            <w:pPr>
              <w:spacing w:after="60"/>
              <w:jc w:val="both"/>
              <w:rPr>
                <w:rFonts w:eastAsia="Calibri"/>
                <w:sz w:val="20"/>
                <w:szCs w:val="20"/>
              </w:rPr>
            </w:pPr>
            <w:r>
              <w:rPr>
                <w:rFonts w:eastAsia="Calibri"/>
                <w:sz w:val="20"/>
                <w:szCs w:val="20"/>
              </w:rPr>
              <w:t>AI</w:t>
            </w:r>
          </w:p>
          <w:p w14:paraId="6808F6F0" w14:textId="77777777" w:rsidR="00CF33D9" w:rsidRDefault="00E3332A">
            <w:pPr>
              <w:spacing w:after="60"/>
              <w:jc w:val="both"/>
              <w:rPr>
                <w:rFonts w:eastAsia="Calibri"/>
                <w:sz w:val="20"/>
                <w:szCs w:val="20"/>
              </w:rPr>
            </w:pPr>
            <w:r>
              <w:rPr>
                <w:rFonts w:eastAsia="Calibri"/>
                <w:sz w:val="20"/>
                <w:szCs w:val="20"/>
              </w:rPr>
              <w:t>BCC</w:t>
            </w:r>
          </w:p>
          <w:p w14:paraId="6808F6F1" w14:textId="77777777" w:rsidR="00CF33D9" w:rsidRDefault="00E3332A">
            <w:pPr>
              <w:spacing w:after="60"/>
              <w:jc w:val="both"/>
              <w:rPr>
                <w:rFonts w:eastAsia="Calibri"/>
                <w:sz w:val="20"/>
                <w:szCs w:val="20"/>
              </w:rPr>
            </w:pPr>
            <w:r>
              <w:rPr>
                <w:rFonts w:eastAsia="Calibri"/>
                <w:sz w:val="20"/>
                <w:szCs w:val="20"/>
              </w:rPr>
              <w:t>BCLME</w:t>
            </w:r>
          </w:p>
          <w:p w14:paraId="6808F6F2" w14:textId="77777777" w:rsidR="00CF33D9" w:rsidRDefault="00E3332A">
            <w:pPr>
              <w:spacing w:after="60"/>
              <w:jc w:val="both"/>
              <w:rPr>
                <w:rFonts w:eastAsia="Calibri"/>
                <w:sz w:val="20"/>
                <w:szCs w:val="20"/>
              </w:rPr>
            </w:pPr>
            <w:r>
              <w:rPr>
                <w:rFonts w:eastAsia="Calibri"/>
                <w:sz w:val="20"/>
                <w:szCs w:val="20"/>
              </w:rPr>
              <w:t>CBD</w:t>
            </w:r>
          </w:p>
          <w:p w14:paraId="6808F6F3" w14:textId="77777777" w:rsidR="00CF33D9" w:rsidRDefault="00E3332A">
            <w:pPr>
              <w:spacing w:after="60"/>
              <w:jc w:val="both"/>
              <w:rPr>
                <w:rFonts w:eastAsia="Calibri"/>
                <w:sz w:val="20"/>
                <w:szCs w:val="20"/>
              </w:rPr>
            </w:pPr>
            <w:r>
              <w:rPr>
                <w:rFonts w:eastAsia="Calibri"/>
                <w:sz w:val="20"/>
                <w:szCs w:val="20"/>
              </w:rPr>
              <w:t>CNA</w:t>
            </w:r>
          </w:p>
          <w:p w14:paraId="6808F6F4" w14:textId="77777777" w:rsidR="00CF33D9" w:rsidRDefault="00E3332A">
            <w:pPr>
              <w:spacing w:after="60"/>
              <w:jc w:val="both"/>
              <w:rPr>
                <w:rFonts w:eastAsia="Calibri"/>
                <w:sz w:val="20"/>
                <w:szCs w:val="20"/>
              </w:rPr>
            </w:pPr>
            <w:r>
              <w:rPr>
                <w:rFonts w:eastAsia="Calibri"/>
                <w:sz w:val="20"/>
                <w:szCs w:val="20"/>
              </w:rPr>
              <w:t>CO</w:t>
            </w:r>
          </w:p>
          <w:p w14:paraId="6808F6F5" w14:textId="77777777" w:rsidR="00CF33D9" w:rsidRDefault="00E3332A">
            <w:pPr>
              <w:spacing w:after="60"/>
              <w:jc w:val="both"/>
              <w:rPr>
                <w:rFonts w:eastAsia="Calibri"/>
                <w:sz w:val="20"/>
                <w:szCs w:val="20"/>
              </w:rPr>
            </w:pPr>
            <w:r>
              <w:rPr>
                <w:rFonts w:eastAsia="Calibri"/>
                <w:sz w:val="20"/>
                <w:szCs w:val="20"/>
              </w:rPr>
              <w:t>CPA</w:t>
            </w:r>
          </w:p>
          <w:p w14:paraId="6808F6F6" w14:textId="77777777" w:rsidR="00CF33D9" w:rsidRDefault="00E3332A">
            <w:pPr>
              <w:spacing w:after="60"/>
              <w:jc w:val="both"/>
              <w:rPr>
                <w:rFonts w:eastAsia="Calibri"/>
                <w:sz w:val="20"/>
                <w:szCs w:val="20"/>
              </w:rPr>
            </w:pPr>
            <w:r>
              <w:rPr>
                <w:rFonts w:eastAsia="Calibri"/>
                <w:sz w:val="20"/>
                <w:szCs w:val="20"/>
              </w:rPr>
              <w:t>CTA</w:t>
            </w:r>
          </w:p>
          <w:p w14:paraId="6808F6F7" w14:textId="77777777" w:rsidR="00CF33D9" w:rsidRDefault="00E3332A">
            <w:pPr>
              <w:spacing w:after="60"/>
              <w:jc w:val="both"/>
              <w:rPr>
                <w:rFonts w:eastAsia="Calibri"/>
                <w:sz w:val="20"/>
                <w:szCs w:val="20"/>
              </w:rPr>
            </w:pPr>
            <w:r>
              <w:rPr>
                <w:rFonts w:eastAsia="Calibri"/>
                <w:sz w:val="20"/>
                <w:szCs w:val="20"/>
              </w:rPr>
              <w:t>DIM</w:t>
            </w:r>
          </w:p>
          <w:p w14:paraId="6808F6F8" w14:textId="77777777" w:rsidR="00CF33D9" w:rsidRDefault="00E3332A">
            <w:pPr>
              <w:spacing w:after="60"/>
              <w:jc w:val="both"/>
              <w:rPr>
                <w:rFonts w:eastAsia="Calibri"/>
                <w:sz w:val="20"/>
                <w:szCs w:val="20"/>
              </w:rPr>
            </w:pPr>
            <w:r>
              <w:rPr>
                <w:rFonts w:eastAsia="Calibri"/>
                <w:sz w:val="20"/>
                <w:szCs w:val="20"/>
              </w:rPr>
              <w:t>EBSA</w:t>
            </w:r>
          </w:p>
          <w:p w14:paraId="6808F6F9" w14:textId="77777777" w:rsidR="00CF33D9" w:rsidRDefault="00E3332A">
            <w:pPr>
              <w:spacing w:after="60"/>
              <w:jc w:val="both"/>
              <w:rPr>
                <w:rFonts w:eastAsia="Calibri"/>
                <w:sz w:val="20"/>
                <w:szCs w:val="20"/>
              </w:rPr>
            </w:pPr>
            <w:r>
              <w:rPr>
                <w:rFonts w:eastAsia="Calibri"/>
                <w:sz w:val="20"/>
                <w:szCs w:val="20"/>
              </w:rPr>
              <w:t>EEZ</w:t>
            </w:r>
          </w:p>
          <w:p w14:paraId="6808F6FA" w14:textId="77777777" w:rsidR="00CF33D9" w:rsidRDefault="00E3332A">
            <w:pPr>
              <w:spacing w:after="60"/>
              <w:jc w:val="both"/>
              <w:rPr>
                <w:rFonts w:eastAsia="Calibri"/>
                <w:sz w:val="20"/>
                <w:szCs w:val="20"/>
                <w:lang w:val="hr-HR"/>
              </w:rPr>
            </w:pPr>
            <w:r>
              <w:rPr>
                <w:rFonts w:eastAsia="Calibri"/>
                <w:sz w:val="20"/>
                <w:szCs w:val="20"/>
                <w:lang w:val="hr-HR"/>
              </w:rPr>
              <w:t>ESIA</w:t>
            </w:r>
          </w:p>
          <w:p w14:paraId="6808F6FB" w14:textId="77777777" w:rsidR="00CF33D9" w:rsidRDefault="00E3332A">
            <w:pPr>
              <w:spacing w:after="60"/>
              <w:jc w:val="both"/>
              <w:rPr>
                <w:rFonts w:eastAsia="Calibri"/>
                <w:sz w:val="20"/>
                <w:szCs w:val="20"/>
              </w:rPr>
            </w:pPr>
            <w:r>
              <w:rPr>
                <w:rFonts w:eastAsia="Calibri"/>
                <w:sz w:val="20"/>
                <w:szCs w:val="20"/>
              </w:rPr>
              <w:t>ESMF</w:t>
            </w:r>
          </w:p>
          <w:p w14:paraId="6808F6FC" w14:textId="77777777" w:rsidR="00CF33D9" w:rsidRDefault="00E3332A">
            <w:pPr>
              <w:spacing w:after="60"/>
              <w:jc w:val="both"/>
              <w:rPr>
                <w:rFonts w:eastAsia="Calibri"/>
                <w:sz w:val="20"/>
                <w:szCs w:val="20"/>
                <w:lang w:val="hr-HR"/>
              </w:rPr>
            </w:pPr>
            <w:r>
              <w:rPr>
                <w:rFonts w:eastAsia="Calibri"/>
                <w:sz w:val="20"/>
                <w:szCs w:val="20"/>
                <w:lang w:val="hr-HR"/>
              </w:rPr>
              <w:t>ESMP</w:t>
            </w:r>
          </w:p>
          <w:p w14:paraId="6808F6FD" w14:textId="77777777" w:rsidR="00CF33D9" w:rsidRDefault="00E3332A">
            <w:pPr>
              <w:spacing w:after="60"/>
              <w:jc w:val="both"/>
              <w:rPr>
                <w:rFonts w:eastAsia="Calibri"/>
                <w:sz w:val="20"/>
                <w:szCs w:val="20"/>
              </w:rPr>
            </w:pPr>
            <w:r>
              <w:rPr>
                <w:rFonts w:eastAsia="Calibri"/>
                <w:sz w:val="20"/>
                <w:szCs w:val="20"/>
              </w:rPr>
              <w:t>FSP</w:t>
            </w:r>
          </w:p>
        </w:tc>
        <w:tc>
          <w:tcPr>
            <w:tcW w:w="8157" w:type="dxa"/>
            <w:shd w:val="clear" w:color="auto" w:fill="auto"/>
          </w:tcPr>
          <w:p w14:paraId="6808F6FE" w14:textId="77777777" w:rsidR="00CF33D9" w:rsidRDefault="00CF33D9">
            <w:pPr>
              <w:spacing w:after="60"/>
              <w:ind w:left="96"/>
              <w:jc w:val="both"/>
              <w:rPr>
                <w:rFonts w:eastAsia="Calibri"/>
                <w:sz w:val="20"/>
                <w:szCs w:val="20"/>
              </w:rPr>
            </w:pPr>
          </w:p>
          <w:p w14:paraId="6808F6FF" w14:textId="77777777" w:rsidR="00CF33D9" w:rsidRDefault="00E3332A">
            <w:pPr>
              <w:spacing w:after="60"/>
              <w:ind w:left="96"/>
              <w:jc w:val="both"/>
              <w:rPr>
                <w:rFonts w:eastAsia="Calibri"/>
                <w:sz w:val="20"/>
                <w:szCs w:val="20"/>
              </w:rPr>
            </w:pPr>
            <w:r>
              <w:rPr>
                <w:rFonts w:eastAsia="Calibri"/>
                <w:sz w:val="20"/>
                <w:szCs w:val="20"/>
              </w:rPr>
              <w:t>Abandoned, Discarded &amp; Lost Fishing Gear / Ghost Gear</w:t>
            </w:r>
          </w:p>
          <w:p w14:paraId="6808F700" w14:textId="77777777" w:rsidR="00CF33D9" w:rsidRDefault="00E3332A">
            <w:pPr>
              <w:spacing w:after="60"/>
              <w:ind w:left="96"/>
              <w:jc w:val="both"/>
              <w:rPr>
                <w:rFonts w:eastAsia="Calibri"/>
                <w:sz w:val="20"/>
                <w:szCs w:val="20"/>
                <w:lang w:val="fr-FR"/>
              </w:rPr>
            </w:pPr>
            <w:r>
              <w:rPr>
                <w:rFonts w:eastAsia="Calibri"/>
                <w:sz w:val="20"/>
                <w:szCs w:val="20"/>
                <w:lang w:val="fr-FR"/>
              </w:rPr>
              <w:t>Artificial Intelligence</w:t>
            </w:r>
          </w:p>
          <w:p w14:paraId="6808F701" w14:textId="77777777" w:rsidR="00CF33D9" w:rsidRDefault="00E3332A">
            <w:pPr>
              <w:spacing w:after="60"/>
              <w:ind w:left="96"/>
              <w:jc w:val="both"/>
              <w:rPr>
                <w:rFonts w:eastAsia="Calibri"/>
                <w:sz w:val="20"/>
                <w:szCs w:val="20"/>
                <w:lang w:val="fr-FR"/>
              </w:rPr>
            </w:pPr>
            <w:r>
              <w:rPr>
                <w:rFonts w:eastAsia="Calibri"/>
                <w:sz w:val="20"/>
                <w:szCs w:val="20"/>
                <w:lang w:val="fr-FR"/>
              </w:rPr>
              <w:t>Benguela Current Commission</w:t>
            </w:r>
          </w:p>
          <w:p w14:paraId="6808F702" w14:textId="77777777" w:rsidR="00CF33D9" w:rsidRDefault="00E3332A">
            <w:pPr>
              <w:spacing w:after="60"/>
              <w:ind w:left="96"/>
              <w:jc w:val="both"/>
              <w:rPr>
                <w:rFonts w:eastAsia="Calibri"/>
                <w:sz w:val="20"/>
                <w:szCs w:val="20"/>
                <w:lang w:val="fr-FR"/>
              </w:rPr>
            </w:pPr>
            <w:r>
              <w:rPr>
                <w:rFonts w:eastAsia="Calibri"/>
                <w:sz w:val="20"/>
                <w:szCs w:val="20"/>
                <w:lang w:val="fr-FR"/>
              </w:rPr>
              <w:t>Benguela Current Large Marine Ecosystem</w:t>
            </w:r>
          </w:p>
          <w:p w14:paraId="6808F703" w14:textId="77777777" w:rsidR="00CF33D9" w:rsidRDefault="00E3332A">
            <w:pPr>
              <w:spacing w:after="60"/>
              <w:ind w:left="96"/>
              <w:jc w:val="both"/>
              <w:rPr>
                <w:rFonts w:eastAsia="Calibri"/>
                <w:sz w:val="20"/>
                <w:szCs w:val="20"/>
              </w:rPr>
            </w:pPr>
            <w:r>
              <w:rPr>
                <w:rFonts w:eastAsia="Calibri"/>
                <w:sz w:val="20"/>
                <w:szCs w:val="20"/>
              </w:rPr>
              <w:t>Convention of Biological Diversity</w:t>
            </w:r>
          </w:p>
          <w:p w14:paraId="6808F704" w14:textId="77777777" w:rsidR="00CF33D9" w:rsidRDefault="00E3332A">
            <w:pPr>
              <w:spacing w:after="60"/>
              <w:ind w:left="96"/>
              <w:jc w:val="both"/>
              <w:rPr>
                <w:rFonts w:eastAsia="Calibri"/>
                <w:sz w:val="20"/>
                <w:szCs w:val="20"/>
              </w:rPr>
            </w:pPr>
            <w:r>
              <w:rPr>
                <w:rFonts w:eastAsia="Calibri"/>
                <w:color w:val="000000"/>
                <w:sz w:val="20"/>
                <w:szCs w:val="20"/>
              </w:rPr>
              <w:t>Capacity Needs Analysis</w:t>
            </w:r>
          </w:p>
          <w:p w14:paraId="6808F705" w14:textId="77777777" w:rsidR="00CF33D9" w:rsidRDefault="00E3332A">
            <w:pPr>
              <w:spacing w:after="60"/>
              <w:ind w:left="96"/>
              <w:jc w:val="both"/>
              <w:rPr>
                <w:rFonts w:eastAsia="Calibri"/>
                <w:color w:val="000000"/>
                <w:sz w:val="20"/>
                <w:szCs w:val="20"/>
              </w:rPr>
            </w:pPr>
            <w:r>
              <w:rPr>
                <w:rFonts w:eastAsia="Calibri"/>
                <w:color w:val="000000"/>
                <w:sz w:val="20"/>
                <w:szCs w:val="20"/>
              </w:rPr>
              <w:t>Country Office</w:t>
            </w:r>
          </w:p>
          <w:p w14:paraId="6808F706" w14:textId="77777777" w:rsidR="00CF33D9" w:rsidRDefault="00E3332A">
            <w:pPr>
              <w:spacing w:after="60"/>
              <w:ind w:left="96"/>
              <w:jc w:val="both"/>
              <w:rPr>
                <w:rFonts w:eastAsia="Calibri"/>
                <w:sz w:val="20"/>
                <w:szCs w:val="20"/>
              </w:rPr>
            </w:pPr>
            <w:r>
              <w:rPr>
                <w:rFonts w:eastAsia="Calibri"/>
                <w:color w:val="000000"/>
                <w:sz w:val="20"/>
                <w:szCs w:val="20"/>
              </w:rPr>
              <w:t>Artisanal Fisheries Centre (Angola)</w:t>
            </w:r>
          </w:p>
          <w:p w14:paraId="6808F707" w14:textId="77777777" w:rsidR="00CF33D9" w:rsidRDefault="00E3332A">
            <w:pPr>
              <w:spacing w:after="60"/>
              <w:ind w:left="96"/>
              <w:jc w:val="both"/>
              <w:rPr>
                <w:rFonts w:eastAsia="Calibri"/>
                <w:sz w:val="20"/>
                <w:szCs w:val="20"/>
              </w:rPr>
            </w:pPr>
            <w:r>
              <w:rPr>
                <w:rFonts w:eastAsia="Calibri"/>
                <w:sz w:val="20"/>
                <w:szCs w:val="20"/>
              </w:rPr>
              <w:t>Chief Technical Advisor</w:t>
            </w:r>
          </w:p>
          <w:p w14:paraId="6808F708" w14:textId="77777777" w:rsidR="00CF33D9" w:rsidRDefault="00E3332A">
            <w:pPr>
              <w:spacing w:after="60"/>
              <w:ind w:left="96"/>
              <w:jc w:val="both"/>
              <w:rPr>
                <w:rFonts w:eastAsia="Calibri"/>
                <w:sz w:val="20"/>
                <w:szCs w:val="20"/>
              </w:rPr>
            </w:pPr>
            <w:r>
              <w:rPr>
                <w:rFonts w:eastAsia="Calibri"/>
                <w:sz w:val="20"/>
                <w:szCs w:val="20"/>
              </w:rPr>
              <w:t>Direct Implementation Modality</w:t>
            </w:r>
          </w:p>
          <w:p w14:paraId="6808F709" w14:textId="77777777" w:rsidR="00CF33D9" w:rsidRDefault="00E3332A">
            <w:pPr>
              <w:spacing w:after="60"/>
              <w:ind w:left="96"/>
              <w:jc w:val="both"/>
              <w:rPr>
                <w:rFonts w:eastAsia="Calibri"/>
                <w:sz w:val="20"/>
                <w:szCs w:val="20"/>
              </w:rPr>
            </w:pPr>
            <w:r>
              <w:rPr>
                <w:rFonts w:eastAsia="Calibri"/>
                <w:sz w:val="20"/>
                <w:szCs w:val="20"/>
              </w:rPr>
              <w:t>Environmentally and Biologically Sensitive Area</w:t>
            </w:r>
          </w:p>
          <w:p w14:paraId="6808F70A" w14:textId="77777777" w:rsidR="00CF33D9" w:rsidRDefault="00E3332A">
            <w:pPr>
              <w:spacing w:after="60"/>
              <w:ind w:left="96"/>
              <w:jc w:val="both"/>
              <w:rPr>
                <w:rFonts w:eastAsia="Calibri"/>
                <w:sz w:val="20"/>
                <w:szCs w:val="20"/>
              </w:rPr>
            </w:pPr>
            <w:r>
              <w:rPr>
                <w:rFonts w:eastAsia="Calibri"/>
                <w:sz w:val="20"/>
                <w:szCs w:val="20"/>
              </w:rPr>
              <w:t>Exclusive Economic Zone</w:t>
            </w:r>
          </w:p>
          <w:p w14:paraId="6808F70B" w14:textId="77777777" w:rsidR="00CF33D9" w:rsidRDefault="00E3332A">
            <w:pPr>
              <w:spacing w:after="60"/>
              <w:ind w:left="96"/>
              <w:jc w:val="both"/>
              <w:rPr>
                <w:rFonts w:eastAsia="Calibri"/>
                <w:sz w:val="20"/>
                <w:szCs w:val="20"/>
              </w:rPr>
            </w:pPr>
            <w:r>
              <w:rPr>
                <w:rFonts w:eastAsia="Calibri"/>
                <w:sz w:val="20"/>
                <w:szCs w:val="20"/>
              </w:rPr>
              <w:t>Environmental and Social Impact Assessment</w:t>
            </w:r>
          </w:p>
          <w:p w14:paraId="6808F70C" w14:textId="77777777" w:rsidR="00CF33D9" w:rsidRDefault="00E3332A">
            <w:pPr>
              <w:spacing w:after="60"/>
              <w:ind w:left="96"/>
              <w:jc w:val="both"/>
              <w:rPr>
                <w:rFonts w:eastAsia="Calibri"/>
                <w:sz w:val="20"/>
                <w:szCs w:val="20"/>
              </w:rPr>
            </w:pPr>
            <w:r>
              <w:rPr>
                <w:rFonts w:eastAsia="Calibri"/>
                <w:sz w:val="20"/>
                <w:szCs w:val="20"/>
              </w:rPr>
              <w:t>Environmental and Social Safeguards Management Framework</w:t>
            </w:r>
          </w:p>
          <w:p w14:paraId="6808F70D" w14:textId="77777777" w:rsidR="00CF33D9" w:rsidRDefault="00E3332A">
            <w:pPr>
              <w:spacing w:after="60"/>
              <w:ind w:left="96"/>
              <w:jc w:val="both"/>
              <w:rPr>
                <w:rFonts w:eastAsia="Calibri"/>
                <w:sz w:val="20"/>
                <w:szCs w:val="20"/>
                <w:lang w:val="hr-HR"/>
              </w:rPr>
            </w:pPr>
            <w:r>
              <w:rPr>
                <w:rFonts w:eastAsia="Calibri"/>
                <w:sz w:val="20"/>
                <w:szCs w:val="20"/>
              </w:rPr>
              <w:t>Environmental and Social</w:t>
            </w:r>
            <w:r>
              <w:rPr>
                <w:rFonts w:eastAsia="Calibri"/>
                <w:sz w:val="20"/>
                <w:szCs w:val="20"/>
                <w:lang w:val="hr-HR"/>
              </w:rPr>
              <w:t xml:space="preserve"> Management Plan</w:t>
            </w:r>
          </w:p>
          <w:p w14:paraId="6808F70E" w14:textId="77777777" w:rsidR="00CF33D9" w:rsidRDefault="00E3332A">
            <w:pPr>
              <w:spacing w:after="60"/>
              <w:ind w:left="96"/>
              <w:jc w:val="both"/>
              <w:rPr>
                <w:rFonts w:eastAsia="Calibri"/>
                <w:sz w:val="20"/>
                <w:szCs w:val="20"/>
                <w:lang w:val="hr-HR"/>
              </w:rPr>
            </w:pPr>
            <w:r>
              <w:rPr>
                <w:rFonts w:eastAsia="Calibri"/>
                <w:sz w:val="20"/>
                <w:szCs w:val="20"/>
              </w:rPr>
              <w:t>Full Sized Project</w:t>
            </w:r>
          </w:p>
        </w:tc>
      </w:tr>
      <w:tr w:rsidR="00CF33D9" w14:paraId="6808F714" w14:textId="77777777">
        <w:trPr>
          <w:trHeight w:val="288"/>
        </w:trPr>
        <w:tc>
          <w:tcPr>
            <w:tcW w:w="1203" w:type="dxa"/>
            <w:shd w:val="clear" w:color="auto" w:fill="auto"/>
          </w:tcPr>
          <w:p w14:paraId="6808F710" w14:textId="77777777" w:rsidR="00CF33D9" w:rsidRDefault="00E3332A">
            <w:pPr>
              <w:spacing w:after="60"/>
              <w:jc w:val="both"/>
              <w:rPr>
                <w:rFonts w:eastAsia="Calibri"/>
                <w:sz w:val="20"/>
                <w:szCs w:val="20"/>
              </w:rPr>
            </w:pPr>
            <w:r>
              <w:rPr>
                <w:rFonts w:eastAsia="Calibri"/>
                <w:sz w:val="20"/>
                <w:szCs w:val="20"/>
              </w:rPr>
              <w:t>GAP</w:t>
            </w:r>
          </w:p>
          <w:p w14:paraId="6808F711" w14:textId="77777777" w:rsidR="00CF33D9" w:rsidRDefault="00E3332A">
            <w:pPr>
              <w:spacing w:after="60"/>
              <w:jc w:val="both"/>
              <w:rPr>
                <w:rFonts w:eastAsia="Calibri"/>
                <w:sz w:val="20"/>
                <w:szCs w:val="20"/>
              </w:rPr>
            </w:pPr>
            <w:r>
              <w:rPr>
                <w:rFonts w:eastAsia="Calibri"/>
                <w:sz w:val="20"/>
                <w:szCs w:val="20"/>
              </w:rPr>
              <w:t>GEF</w:t>
            </w:r>
          </w:p>
        </w:tc>
        <w:tc>
          <w:tcPr>
            <w:tcW w:w="8157" w:type="dxa"/>
            <w:shd w:val="clear" w:color="auto" w:fill="auto"/>
          </w:tcPr>
          <w:p w14:paraId="6808F712" w14:textId="77777777" w:rsidR="00CF33D9" w:rsidRDefault="00E3332A">
            <w:pPr>
              <w:spacing w:after="60"/>
              <w:ind w:left="96"/>
              <w:jc w:val="both"/>
              <w:rPr>
                <w:rFonts w:eastAsia="Calibri"/>
                <w:sz w:val="20"/>
                <w:szCs w:val="20"/>
              </w:rPr>
            </w:pPr>
            <w:r>
              <w:rPr>
                <w:rFonts w:eastAsia="Calibri"/>
                <w:sz w:val="20"/>
                <w:szCs w:val="20"/>
              </w:rPr>
              <w:t>Gender Action Plan</w:t>
            </w:r>
          </w:p>
          <w:p w14:paraId="6808F713" w14:textId="77777777" w:rsidR="00CF33D9" w:rsidRDefault="00E3332A">
            <w:pPr>
              <w:spacing w:after="60"/>
              <w:ind w:left="96"/>
              <w:jc w:val="both"/>
              <w:rPr>
                <w:rFonts w:eastAsia="Calibri"/>
                <w:sz w:val="20"/>
                <w:szCs w:val="20"/>
              </w:rPr>
            </w:pPr>
            <w:r>
              <w:rPr>
                <w:rFonts w:eastAsia="Calibri"/>
                <w:sz w:val="20"/>
                <w:szCs w:val="20"/>
              </w:rPr>
              <w:t>Global Environment Facility</w:t>
            </w:r>
          </w:p>
        </w:tc>
      </w:tr>
      <w:tr w:rsidR="00CF33D9" w14:paraId="6808F73F" w14:textId="77777777">
        <w:trPr>
          <w:trHeight w:val="288"/>
        </w:trPr>
        <w:tc>
          <w:tcPr>
            <w:tcW w:w="1203" w:type="dxa"/>
            <w:shd w:val="clear" w:color="auto" w:fill="auto"/>
          </w:tcPr>
          <w:p w14:paraId="6808F715" w14:textId="77777777" w:rsidR="00CF33D9" w:rsidRDefault="00E3332A">
            <w:pPr>
              <w:spacing w:after="60"/>
              <w:jc w:val="both"/>
              <w:rPr>
                <w:rFonts w:eastAsia="Calibri"/>
                <w:sz w:val="20"/>
                <w:szCs w:val="20"/>
              </w:rPr>
            </w:pPr>
            <w:r>
              <w:rPr>
                <w:rFonts w:eastAsia="Calibri"/>
                <w:sz w:val="20"/>
                <w:szCs w:val="20"/>
              </w:rPr>
              <w:t>GEFSEC</w:t>
            </w:r>
          </w:p>
          <w:p w14:paraId="6808F716" w14:textId="77777777" w:rsidR="00CF33D9" w:rsidRDefault="00E3332A">
            <w:pPr>
              <w:spacing w:after="60"/>
              <w:jc w:val="both"/>
              <w:rPr>
                <w:rFonts w:eastAsia="Calibri"/>
                <w:sz w:val="20"/>
                <w:szCs w:val="20"/>
              </w:rPr>
            </w:pPr>
            <w:r>
              <w:rPr>
                <w:rFonts w:eastAsia="Calibri"/>
                <w:sz w:val="20"/>
                <w:szCs w:val="20"/>
              </w:rPr>
              <w:t>GIS</w:t>
            </w:r>
          </w:p>
          <w:p w14:paraId="6808F717" w14:textId="77777777" w:rsidR="00CF33D9" w:rsidRDefault="00E3332A">
            <w:pPr>
              <w:spacing w:after="60"/>
              <w:jc w:val="both"/>
              <w:rPr>
                <w:rFonts w:eastAsia="Calibri"/>
                <w:sz w:val="20"/>
                <w:szCs w:val="20"/>
              </w:rPr>
            </w:pPr>
            <w:r>
              <w:rPr>
                <w:rFonts w:eastAsia="Calibri"/>
                <w:sz w:val="20"/>
                <w:szCs w:val="20"/>
              </w:rPr>
              <w:t>GRM</w:t>
            </w:r>
          </w:p>
          <w:p w14:paraId="6808F718" w14:textId="77777777" w:rsidR="00CF33D9" w:rsidRDefault="00E3332A">
            <w:pPr>
              <w:spacing w:after="60"/>
              <w:jc w:val="both"/>
              <w:rPr>
                <w:rFonts w:eastAsia="Calibri"/>
                <w:sz w:val="20"/>
                <w:szCs w:val="20"/>
              </w:rPr>
            </w:pPr>
            <w:r>
              <w:rPr>
                <w:rFonts w:eastAsia="Calibri"/>
                <w:sz w:val="20"/>
                <w:szCs w:val="20"/>
              </w:rPr>
              <w:t>ICZM</w:t>
            </w:r>
          </w:p>
          <w:p w14:paraId="6808F719" w14:textId="77777777" w:rsidR="00CF33D9" w:rsidRDefault="00E3332A">
            <w:pPr>
              <w:spacing w:after="60"/>
              <w:jc w:val="both"/>
              <w:rPr>
                <w:rFonts w:eastAsia="Calibri"/>
                <w:sz w:val="20"/>
                <w:szCs w:val="20"/>
              </w:rPr>
            </w:pPr>
            <w:r>
              <w:rPr>
                <w:rFonts w:eastAsia="Calibri"/>
                <w:sz w:val="20"/>
                <w:szCs w:val="20"/>
              </w:rPr>
              <w:t>IFAD</w:t>
            </w:r>
          </w:p>
          <w:p w14:paraId="6808F71A" w14:textId="77777777" w:rsidR="00CF33D9" w:rsidRDefault="00E3332A">
            <w:pPr>
              <w:spacing w:after="60"/>
              <w:jc w:val="both"/>
              <w:rPr>
                <w:rFonts w:eastAsia="Calibri"/>
                <w:sz w:val="20"/>
                <w:szCs w:val="20"/>
              </w:rPr>
            </w:pPr>
            <w:r>
              <w:rPr>
                <w:rFonts w:eastAsia="Calibri"/>
                <w:sz w:val="20"/>
                <w:szCs w:val="20"/>
              </w:rPr>
              <w:t>IGO</w:t>
            </w:r>
          </w:p>
          <w:p w14:paraId="6808F71B" w14:textId="77777777" w:rsidR="00CF33D9" w:rsidRDefault="00E3332A">
            <w:pPr>
              <w:spacing w:after="60"/>
              <w:jc w:val="both"/>
              <w:rPr>
                <w:rFonts w:eastAsia="Calibri"/>
                <w:sz w:val="20"/>
                <w:szCs w:val="20"/>
              </w:rPr>
            </w:pPr>
            <w:r>
              <w:rPr>
                <w:rFonts w:eastAsia="Calibri"/>
                <w:sz w:val="20"/>
                <w:szCs w:val="20"/>
              </w:rPr>
              <w:t>IMO</w:t>
            </w:r>
          </w:p>
          <w:p w14:paraId="6808F71C" w14:textId="77777777" w:rsidR="00CF33D9" w:rsidRDefault="00E3332A">
            <w:pPr>
              <w:spacing w:after="60"/>
              <w:jc w:val="both"/>
              <w:rPr>
                <w:rFonts w:eastAsia="Calibri"/>
                <w:sz w:val="20"/>
                <w:szCs w:val="20"/>
              </w:rPr>
            </w:pPr>
            <w:r>
              <w:rPr>
                <w:rFonts w:eastAsia="Calibri"/>
                <w:sz w:val="20"/>
                <w:szCs w:val="20"/>
              </w:rPr>
              <w:t>IUU</w:t>
            </w:r>
          </w:p>
          <w:p w14:paraId="6808F71D" w14:textId="77777777" w:rsidR="00CF33D9" w:rsidRDefault="00E3332A">
            <w:pPr>
              <w:spacing w:after="60"/>
              <w:jc w:val="both"/>
              <w:rPr>
                <w:rFonts w:eastAsia="Calibri"/>
                <w:sz w:val="20"/>
                <w:szCs w:val="20"/>
              </w:rPr>
            </w:pPr>
            <w:r>
              <w:rPr>
                <w:rFonts w:eastAsia="Calibri"/>
                <w:sz w:val="20"/>
                <w:szCs w:val="20"/>
              </w:rPr>
              <w:t>IW:LEARN</w:t>
            </w:r>
          </w:p>
          <w:p w14:paraId="6808F71E" w14:textId="77777777" w:rsidR="00CF33D9" w:rsidRDefault="00E3332A">
            <w:pPr>
              <w:spacing w:after="60"/>
              <w:jc w:val="both"/>
              <w:rPr>
                <w:rFonts w:eastAsia="Calibri"/>
                <w:sz w:val="20"/>
                <w:szCs w:val="20"/>
              </w:rPr>
            </w:pPr>
            <w:r>
              <w:rPr>
                <w:rFonts w:eastAsia="Calibri"/>
                <w:sz w:val="20"/>
                <w:szCs w:val="20"/>
              </w:rPr>
              <w:t>KM</w:t>
            </w:r>
          </w:p>
          <w:p w14:paraId="6808F71F" w14:textId="77777777" w:rsidR="00CF33D9" w:rsidRDefault="00E3332A">
            <w:pPr>
              <w:spacing w:after="60"/>
              <w:jc w:val="both"/>
              <w:rPr>
                <w:rFonts w:eastAsia="Calibri"/>
                <w:sz w:val="20"/>
                <w:szCs w:val="20"/>
              </w:rPr>
            </w:pPr>
            <w:r>
              <w:rPr>
                <w:rFonts w:eastAsia="Calibri"/>
                <w:sz w:val="20"/>
                <w:szCs w:val="20"/>
              </w:rPr>
              <w:t>LME</w:t>
            </w:r>
          </w:p>
          <w:p w14:paraId="6808F720" w14:textId="77777777" w:rsidR="00CF33D9" w:rsidRDefault="00E3332A">
            <w:pPr>
              <w:spacing w:after="60"/>
              <w:jc w:val="both"/>
              <w:rPr>
                <w:rFonts w:eastAsia="Calibri"/>
                <w:sz w:val="20"/>
                <w:szCs w:val="20"/>
              </w:rPr>
            </w:pPr>
            <w:r>
              <w:rPr>
                <w:rFonts w:eastAsia="Calibri"/>
                <w:sz w:val="20"/>
                <w:szCs w:val="20"/>
              </w:rPr>
              <w:t>LMMA</w:t>
            </w:r>
          </w:p>
          <w:p w14:paraId="6808F721" w14:textId="77777777" w:rsidR="00CF33D9" w:rsidRDefault="00E3332A">
            <w:pPr>
              <w:spacing w:after="60"/>
              <w:jc w:val="both"/>
              <w:rPr>
                <w:rFonts w:eastAsia="Calibri"/>
                <w:sz w:val="20"/>
                <w:szCs w:val="20"/>
              </w:rPr>
            </w:pPr>
            <w:r>
              <w:rPr>
                <w:rFonts w:eastAsia="Calibri"/>
                <w:sz w:val="20"/>
                <w:szCs w:val="20"/>
              </w:rPr>
              <w:t>LOA</w:t>
            </w:r>
          </w:p>
          <w:p w14:paraId="6808F722" w14:textId="77777777" w:rsidR="00CF33D9" w:rsidRDefault="00E3332A">
            <w:pPr>
              <w:spacing w:after="60"/>
              <w:jc w:val="both"/>
              <w:rPr>
                <w:rFonts w:eastAsia="Calibri"/>
                <w:sz w:val="20"/>
                <w:szCs w:val="20"/>
              </w:rPr>
            </w:pPr>
            <w:r>
              <w:rPr>
                <w:rFonts w:eastAsia="Calibri"/>
                <w:sz w:val="20"/>
                <w:szCs w:val="20"/>
              </w:rPr>
              <w:t>MARISMA</w:t>
            </w:r>
          </w:p>
          <w:p w14:paraId="6808F723" w14:textId="77777777" w:rsidR="00CF33D9" w:rsidRDefault="00E3332A">
            <w:pPr>
              <w:spacing w:after="60"/>
              <w:jc w:val="both"/>
              <w:rPr>
                <w:rFonts w:eastAsia="Calibri"/>
                <w:sz w:val="20"/>
                <w:szCs w:val="20"/>
              </w:rPr>
            </w:pPr>
            <w:r>
              <w:rPr>
                <w:rFonts w:eastAsia="Calibri"/>
                <w:sz w:val="20"/>
                <w:szCs w:val="20"/>
              </w:rPr>
              <w:t>MARPOL</w:t>
            </w:r>
          </w:p>
          <w:p w14:paraId="6808F724" w14:textId="77777777" w:rsidR="00CF33D9" w:rsidRDefault="00E3332A">
            <w:pPr>
              <w:spacing w:after="60"/>
              <w:jc w:val="both"/>
              <w:rPr>
                <w:rFonts w:eastAsia="Calibri"/>
                <w:sz w:val="20"/>
                <w:szCs w:val="20"/>
              </w:rPr>
            </w:pPr>
            <w:r>
              <w:rPr>
                <w:rFonts w:eastAsia="Calibri"/>
                <w:sz w:val="20"/>
                <w:szCs w:val="20"/>
              </w:rPr>
              <w:t>M&amp;E</w:t>
            </w:r>
          </w:p>
          <w:p w14:paraId="6808F725" w14:textId="77777777" w:rsidR="00CF33D9" w:rsidRDefault="00E3332A">
            <w:pPr>
              <w:spacing w:after="60"/>
              <w:jc w:val="both"/>
              <w:rPr>
                <w:rFonts w:eastAsia="Calibri"/>
                <w:sz w:val="20"/>
                <w:szCs w:val="20"/>
              </w:rPr>
            </w:pPr>
            <w:r>
              <w:rPr>
                <w:rFonts w:eastAsia="Calibri"/>
                <w:sz w:val="20"/>
                <w:szCs w:val="20"/>
              </w:rPr>
              <w:t>MEA</w:t>
            </w:r>
          </w:p>
          <w:p w14:paraId="6808F726" w14:textId="77777777" w:rsidR="00CF33D9" w:rsidRDefault="00E3332A">
            <w:pPr>
              <w:spacing w:after="60"/>
              <w:jc w:val="both"/>
              <w:rPr>
                <w:rFonts w:eastAsia="Calibri"/>
                <w:sz w:val="20"/>
                <w:szCs w:val="20"/>
              </w:rPr>
            </w:pPr>
            <w:r>
              <w:rPr>
                <w:rFonts w:eastAsia="Calibri"/>
                <w:sz w:val="20"/>
                <w:szCs w:val="20"/>
              </w:rPr>
              <w:t>MPA</w:t>
            </w:r>
          </w:p>
          <w:p w14:paraId="6808F727" w14:textId="77777777" w:rsidR="00CF33D9" w:rsidRDefault="00E3332A">
            <w:pPr>
              <w:spacing w:after="60"/>
              <w:jc w:val="both"/>
              <w:rPr>
                <w:rFonts w:eastAsia="Calibri"/>
                <w:sz w:val="20"/>
                <w:szCs w:val="20"/>
              </w:rPr>
            </w:pPr>
            <w:r>
              <w:rPr>
                <w:rFonts w:eastAsia="Calibri"/>
                <w:sz w:val="20"/>
                <w:szCs w:val="20"/>
              </w:rPr>
              <w:t>MTR</w:t>
            </w:r>
          </w:p>
          <w:p w14:paraId="6808F728" w14:textId="77777777" w:rsidR="00CF33D9" w:rsidRDefault="00E3332A">
            <w:pPr>
              <w:spacing w:after="60"/>
              <w:jc w:val="both"/>
              <w:rPr>
                <w:rFonts w:eastAsia="Calibri"/>
                <w:sz w:val="20"/>
                <w:szCs w:val="20"/>
              </w:rPr>
            </w:pPr>
            <w:r>
              <w:rPr>
                <w:rFonts w:eastAsia="Calibri"/>
                <w:sz w:val="20"/>
                <w:szCs w:val="20"/>
              </w:rPr>
              <w:t>MSP</w:t>
            </w:r>
          </w:p>
          <w:p w14:paraId="6808F729" w14:textId="77777777" w:rsidR="00CF33D9" w:rsidRDefault="00E3332A">
            <w:pPr>
              <w:spacing w:after="60"/>
              <w:jc w:val="both"/>
              <w:rPr>
                <w:rFonts w:eastAsia="Calibri"/>
                <w:sz w:val="20"/>
                <w:szCs w:val="20"/>
              </w:rPr>
            </w:pPr>
            <w:r>
              <w:rPr>
                <w:rFonts w:eastAsia="Calibri"/>
                <w:sz w:val="20"/>
                <w:szCs w:val="20"/>
              </w:rPr>
              <w:t>NAP</w:t>
            </w:r>
          </w:p>
        </w:tc>
        <w:tc>
          <w:tcPr>
            <w:tcW w:w="8157" w:type="dxa"/>
            <w:shd w:val="clear" w:color="auto" w:fill="auto"/>
          </w:tcPr>
          <w:p w14:paraId="6808F72A" w14:textId="77777777" w:rsidR="00CF33D9" w:rsidRDefault="00E3332A">
            <w:pPr>
              <w:spacing w:after="60"/>
              <w:ind w:left="96"/>
              <w:jc w:val="both"/>
              <w:rPr>
                <w:rFonts w:eastAsia="Calibri"/>
                <w:sz w:val="20"/>
                <w:szCs w:val="20"/>
              </w:rPr>
            </w:pPr>
            <w:r>
              <w:rPr>
                <w:rFonts w:eastAsia="Calibri"/>
                <w:sz w:val="20"/>
                <w:szCs w:val="20"/>
              </w:rPr>
              <w:t>Global Environment Facility Secretariat</w:t>
            </w:r>
          </w:p>
          <w:p w14:paraId="6808F72B" w14:textId="77777777" w:rsidR="00CF33D9" w:rsidRDefault="00E3332A">
            <w:pPr>
              <w:spacing w:after="60"/>
              <w:ind w:left="96"/>
              <w:jc w:val="both"/>
              <w:rPr>
                <w:rFonts w:eastAsia="Calibri"/>
                <w:sz w:val="20"/>
                <w:szCs w:val="20"/>
              </w:rPr>
            </w:pPr>
            <w:r>
              <w:rPr>
                <w:rFonts w:eastAsia="Calibri"/>
                <w:sz w:val="20"/>
                <w:szCs w:val="20"/>
              </w:rPr>
              <w:t>Geographical Information System</w:t>
            </w:r>
          </w:p>
          <w:p w14:paraId="6808F72C" w14:textId="77777777" w:rsidR="00CF33D9" w:rsidRDefault="00E3332A">
            <w:pPr>
              <w:spacing w:after="60"/>
              <w:ind w:left="96"/>
              <w:jc w:val="both"/>
              <w:rPr>
                <w:rFonts w:eastAsia="Calibri"/>
                <w:sz w:val="20"/>
                <w:szCs w:val="20"/>
              </w:rPr>
            </w:pPr>
            <w:r>
              <w:rPr>
                <w:rFonts w:eastAsia="Calibri"/>
                <w:sz w:val="20"/>
                <w:szCs w:val="20"/>
              </w:rPr>
              <w:t>Grievance Redress Mechanism</w:t>
            </w:r>
          </w:p>
          <w:p w14:paraId="6808F72D" w14:textId="77777777" w:rsidR="00CF33D9" w:rsidRDefault="00E3332A">
            <w:pPr>
              <w:spacing w:after="60"/>
              <w:ind w:left="96"/>
              <w:jc w:val="both"/>
              <w:rPr>
                <w:rFonts w:eastAsia="Calibri"/>
                <w:sz w:val="20"/>
                <w:szCs w:val="20"/>
              </w:rPr>
            </w:pPr>
            <w:r>
              <w:rPr>
                <w:rFonts w:eastAsia="Calibri"/>
                <w:sz w:val="20"/>
                <w:szCs w:val="20"/>
              </w:rPr>
              <w:t>Integrated Coastal Zone Management</w:t>
            </w:r>
          </w:p>
          <w:p w14:paraId="6808F72E" w14:textId="77777777" w:rsidR="00CF33D9" w:rsidRDefault="00E3332A">
            <w:pPr>
              <w:spacing w:after="60"/>
              <w:ind w:left="96"/>
              <w:jc w:val="both"/>
              <w:rPr>
                <w:rFonts w:eastAsia="Calibri"/>
                <w:color w:val="000000"/>
                <w:sz w:val="20"/>
                <w:szCs w:val="20"/>
              </w:rPr>
            </w:pPr>
            <w:r>
              <w:rPr>
                <w:rFonts w:eastAsia="Calibri"/>
                <w:color w:val="000000"/>
                <w:sz w:val="20"/>
                <w:szCs w:val="20"/>
              </w:rPr>
              <w:t>International Fund for Agricultural Development</w:t>
            </w:r>
          </w:p>
          <w:p w14:paraId="6808F72F" w14:textId="77777777" w:rsidR="00CF33D9" w:rsidRDefault="00E3332A">
            <w:pPr>
              <w:spacing w:after="60"/>
              <w:ind w:left="96"/>
              <w:jc w:val="both"/>
              <w:rPr>
                <w:rFonts w:eastAsia="Calibri"/>
                <w:color w:val="000000"/>
                <w:sz w:val="20"/>
                <w:szCs w:val="20"/>
              </w:rPr>
            </w:pPr>
            <w:r>
              <w:rPr>
                <w:rFonts w:eastAsia="Calibri"/>
                <w:color w:val="000000"/>
                <w:sz w:val="20"/>
                <w:szCs w:val="20"/>
              </w:rPr>
              <w:t>Inter-Governmental Organisation</w:t>
            </w:r>
          </w:p>
          <w:p w14:paraId="6808F730" w14:textId="77777777" w:rsidR="00CF33D9" w:rsidRDefault="00E3332A">
            <w:pPr>
              <w:spacing w:after="60"/>
              <w:ind w:left="96"/>
              <w:jc w:val="both"/>
              <w:rPr>
                <w:rFonts w:eastAsia="Calibri"/>
                <w:color w:val="000000"/>
                <w:sz w:val="20"/>
                <w:szCs w:val="20"/>
              </w:rPr>
            </w:pPr>
            <w:r>
              <w:rPr>
                <w:rFonts w:eastAsia="Calibri"/>
                <w:color w:val="000000"/>
                <w:sz w:val="20"/>
                <w:szCs w:val="20"/>
              </w:rPr>
              <w:t>International Maritime Organisation</w:t>
            </w:r>
          </w:p>
          <w:p w14:paraId="6808F731" w14:textId="77777777" w:rsidR="00CF33D9" w:rsidRDefault="00E3332A">
            <w:pPr>
              <w:spacing w:after="60"/>
              <w:ind w:left="96"/>
              <w:jc w:val="both"/>
              <w:rPr>
                <w:rFonts w:eastAsia="Calibri"/>
                <w:sz w:val="20"/>
                <w:szCs w:val="20"/>
              </w:rPr>
            </w:pPr>
            <w:r>
              <w:rPr>
                <w:rFonts w:eastAsia="Calibri"/>
                <w:color w:val="000000"/>
                <w:sz w:val="20"/>
                <w:szCs w:val="20"/>
              </w:rPr>
              <w:t>Illegal Unreported and Unregulated (Fishing)</w:t>
            </w:r>
          </w:p>
          <w:p w14:paraId="6808F732" w14:textId="77777777" w:rsidR="00CF33D9" w:rsidRDefault="00E3332A">
            <w:pPr>
              <w:spacing w:after="60"/>
              <w:ind w:left="96"/>
              <w:jc w:val="both"/>
              <w:rPr>
                <w:rFonts w:eastAsia="Calibri"/>
                <w:sz w:val="20"/>
                <w:szCs w:val="20"/>
              </w:rPr>
            </w:pPr>
            <w:r>
              <w:rPr>
                <w:rFonts w:eastAsia="Calibri"/>
                <w:sz w:val="20"/>
                <w:szCs w:val="20"/>
              </w:rPr>
              <w:t>International Waters Learning and Exchange Network</w:t>
            </w:r>
          </w:p>
          <w:p w14:paraId="6808F733" w14:textId="77777777" w:rsidR="00CF33D9" w:rsidRDefault="00E3332A">
            <w:pPr>
              <w:spacing w:after="60"/>
              <w:ind w:left="96"/>
              <w:jc w:val="both"/>
              <w:rPr>
                <w:rFonts w:eastAsia="Calibri"/>
                <w:color w:val="000000"/>
                <w:sz w:val="20"/>
                <w:szCs w:val="20"/>
                <w:highlight w:val="white"/>
              </w:rPr>
            </w:pPr>
            <w:r>
              <w:rPr>
                <w:rFonts w:eastAsia="Calibri"/>
                <w:color w:val="000000"/>
                <w:sz w:val="20"/>
                <w:szCs w:val="20"/>
                <w:highlight w:val="white"/>
              </w:rPr>
              <w:t>Knowledge Management</w:t>
            </w:r>
          </w:p>
          <w:p w14:paraId="6808F734" w14:textId="77777777" w:rsidR="00CF33D9" w:rsidRDefault="00E3332A">
            <w:pPr>
              <w:spacing w:after="60"/>
              <w:ind w:left="96"/>
              <w:jc w:val="both"/>
              <w:rPr>
                <w:rFonts w:eastAsia="Calibri"/>
                <w:color w:val="000000"/>
                <w:sz w:val="20"/>
                <w:szCs w:val="20"/>
                <w:highlight w:val="white"/>
              </w:rPr>
            </w:pPr>
            <w:r>
              <w:rPr>
                <w:rFonts w:eastAsia="Calibri"/>
                <w:color w:val="000000"/>
                <w:sz w:val="20"/>
                <w:szCs w:val="20"/>
                <w:highlight w:val="white"/>
              </w:rPr>
              <w:t>Large Marine Ecosystem</w:t>
            </w:r>
          </w:p>
          <w:p w14:paraId="6808F735" w14:textId="77777777" w:rsidR="00CF33D9" w:rsidRDefault="00E3332A">
            <w:pPr>
              <w:spacing w:after="60"/>
              <w:ind w:left="96"/>
              <w:jc w:val="both"/>
              <w:rPr>
                <w:rFonts w:eastAsia="Calibri"/>
                <w:color w:val="000000"/>
                <w:sz w:val="20"/>
                <w:szCs w:val="20"/>
                <w:highlight w:val="white"/>
              </w:rPr>
            </w:pPr>
            <w:r>
              <w:rPr>
                <w:rFonts w:eastAsia="Calibri"/>
                <w:color w:val="000000"/>
                <w:sz w:val="20"/>
                <w:szCs w:val="20"/>
                <w:highlight w:val="white"/>
              </w:rPr>
              <w:t>Locally Managed Marine Area</w:t>
            </w:r>
          </w:p>
          <w:p w14:paraId="6808F736" w14:textId="77777777" w:rsidR="00CF33D9" w:rsidRDefault="00E3332A">
            <w:pPr>
              <w:spacing w:after="60"/>
              <w:ind w:left="96"/>
              <w:jc w:val="both"/>
              <w:rPr>
                <w:rFonts w:eastAsia="Calibri"/>
                <w:color w:val="000000"/>
                <w:sz w:val="20"/>
                <w:szCs w:val="20"/>
                <w:highlight w:val="white"/>
              </w:rPr>
            </w:pPr>
            <w:r>
              <w:rPr>
                <w:rFonts w:eastAsia="Calibri"/>
                <w:color w:val="000000"/>
                <w:sz w:val="20"/>
                <w:szCs w:val="20"/>
                <w:highlight w:val="white"/>
              </w:rPr>
              <w:t>Letter of Agreement</w:t>
            </w:r>
          </w:p>
          <w:p w14:paraId="6808F737" w14:textId="77777777" w:rsidR="00CF33D9" w:rsidRDefault="00E3332A">
            <w:pPr>
              <w:spacing w:after="60"/>
              <w:ind w:left="96"/>
              <w:jc w:val="both"/>
              <w:rPr>
                <w:rFonts w:eastAsia="Calibri"/>
                <w:color w:val="000000"/>
                <w:sz w:val="20"/>
                <w:szCs w:val="20"/>
              </w:rPr>
            </w:pPr>
            <w:r>
              <w:rPr>
                <w:rFonts w:eastAsia="Calibri"/>
                <w:color w:val="000000"/>
                <w:sz w:val="20"/>
                <w:szCs w:val="20"/>
                <w:highlight w:val="white"/>
              </w:rPr>
              <w:t>Marine Spatial Planning (MSP) in the Benguela Current Large Marine Ecosystem (BCLME)</w:t>
            </w:r>
          </w:p>
          <w:p w14:paraId="6808F738" w14:textId="77777777" w:rsidR="00CF33D9" w:rsidRDefault="00E3332A">
            <w:pPr>
              <w:spacing w:after="60"/>
              <w:ind w:left="96"/>
              <w:jc w:val="both"/>
              <w:rPr>
                <w:rFonts w:eastAsia="Calibri"/>
                <w:sz w:val="20"/>
                <w:szCs w:val="20"/>
              </w:rPr>
            </w:pPr>
            <w:r>
              <w:rPr>
                <w:rFonts w:eastAsia="Calibri"/>
                <w:sz w:val="20"/>
                <w:szCs w:val="20"/>
              </w:rPr>
              <w:t>International Convention for the Prevention of Pollution from Ships</w:t>
            </w:r>
          </w:p>
          <w:p w14:paraId="6808F739" w14:textId="77777777" w:rsidR="00CF33D9" w:rsidRDefault="00E3332A">
            <w:pPr>
              <w:spacing w:after="60"/>
              <w:ind w:left="96"/>
              <w:jc w:val="both"/>
              <w:rPr>
                <w:rFonts w:eastAsia="Calibri"/>
                <w:sz w:val="20"/>
                <w:szCs w:val="20"/>
              </w:rPr>
            </w:pPr>
            <w:r>
              <w:rPr>
                <w:rFonts w:eastAsia="Calibri"/>
                <w:sz w:val="20"/>
                <w:szCs w:val="20"/>
              </w:rPr>
              <w:t>Monitoring &amp; Evaluation</w:t>
            </w:r>
          </w:p>
          <w:p w14:paraId="6808F73A" w14:textId="77777777" w:rsidR="00CF33D9" w:rsidRDefault="00E3332A">
            <w:pPr>
              <w:spacing w:after="60"/>
              <w:ind w:left="96"/>
              <w:jc w:val="both"/>
              <w:rPr>
                <w:rFonts w:eastAsia="Calibri"/>
                <w:sz w:val="20"/>
                <w:szCs w:val="20"/>
              </w:rPr>
            </w:pPr>
            <w:r>
              <w:rPr>
                <w:rFonts w:eastAsia="Calibri"/>
                <w:sz w:val="20"/>
                <w:szCs w:val="20"/>
              </w:rPr>
              <w:t>Multilateral Environmental Agreements</w:t>
            </w:r>
          </w:p>
          <w:p w14:paraId="6808F73B" w14:textId="77777777" w:rsidR="00CF33D9" w:rsidRDefault="00E3332A">
            <w:pPr>
              <w:spacing w:after="60"/>
              <w:ind w:left="96"/>
              <w:jc w:val="both"/>
              <w:rPr>
                <w:rFonts w:eastAsia="Calibri"/>
                <w:sz w:val="20"/>
                <w:szCs w:val="20"/>
              </w:rPr>
            </w:pPr>
            <w:r>
              <w:rPr>
                <w:rFonts w:eastAsia="Calibri"/>
                <w:sz w:val="20"/>
                <w:szCs w:val="20"/>
              </w:rPr>
              <w:t xml:space="preserve">Marine Protected Area   </w:t>
            </w:r>
          </w:p>
          <w:p w14:paraId="6808F73C" w14:textId="77777777" w:rsidR="00CF33D9" w:rsidRDefault="00E3332A">
            <w:pPr>
              <w:spacing w:after="60"/>
              <w:ind w:left="96"/>
              <w:jc w:val="both"/>
              <w:rPr>
                <w:rFonts w:eastAsia="Calibri"/>
                <w:sz w:val="20"/>
                <w:szCs w:val="20"/>
              </w:rPr>
            </w:pPr>
            <w:r>
              <w:rPr>
                <w:rFonts w:eastAsia="Calibri"/>
                <w:sz w:val="20"/>
                <w:szCs w:val="20"/>
              </w:rPr>
              <w:t>Mid-Term Review</w:t>
            </w:r>
          </w:p>
          <w:p w14:paraId="6808F73D" w14:textId="77777777" w:rsidR="00CF33D9" w:rsidRDefault="00E3332A">
            <w:pPr>
              <w:spacing w:after="60"/>
              <w:ind w:left="96"/>
              <w:jc w:val="both"/>
              <w:rPr>
                <w:rFonts w:eastAsia="Calibri"/>
                <w:sz w:val="20"/>
                <w:szCs w:val="20"/>
              </w:rPr>
            </w:pPr>
            <w:r>
              <w:rPr>
                <w:rFonts w:eastAsia="Calibri"/>
                <w:sz w:val="20"/>
                <w:szCs w:val="20"/>
              </w:rPr>
              <w:t>Marine Spatial Planning</w:t>
            </w:r>
          </w:p>
          <w:p w14:paraId="6808F73E" w14:textId="77777777" w:rsidR="00CF33D9" w:rsidRDefault="00E3332A">
            <w:pPr>
              <w:spacing w:after="60"/>
              <w:ind w:left="96"/>
              <w:jc w:val="both"/>
              <w:rPr>
                <w:rFonts w:eastAsia="Calibri"/>
                <w:sz w:val="20"/>
                <w:szCs w:val="20"/>
              </w:rPr>
            </w:pPr>
            <w:r>
              <w:rPr>
                <w:rFonts w:eastAsia="Calibri"/>
                <w:sz w:val="20"/>
                <w:szCs w:val="20"/>
              </w:rPr>
              <w:t>National Action Plan</w:t>
            </w:r>
          </w:p>
        </w:tc>
      </w:tr>
      <w:tr w:rsidR="00CF33D9" w14:paraId="6808F74A" w14:textId="77777777">
        <w:trPr>
          <w:trHeight w:val="288"/>
        </w:trPr>
        <w:tc>
          <w:tcPr>
            <w:tcW w:w="1203" w:type="dxa"/>
            <w:shd w:val="clear" w:color="auto" w:fill="auto"/>
          </w:tcPr>
          <w:p w14:paraId="6808F740" w14:textId="77777777" w:rsidR="00CF33D9" w:rsidRDefault="00E3332A">
            <w:pPr>
              <w:spacing w:after="60"/>
              <w:jc w:val="both"/>
              <w:rPr>
                <w:rFonts w:eastAsia="Calibri"/>
                <w:sz w:val="20"/>
                <w:szCs w:val="20"/>
              </w:rPr>
            </w:pPr>
            <w:r>
              <w:rPr>
                <w:rFonts w:eastAsia="Calibri"/>
                <w:sz w:val="20"/>
                <w:szCs w:val="20"/>
              </w:rPr>
              <w:t>NGO</w:t>
            </w:r>
          </w:p>
          <w:p w14:paraId="6808F741" w14:textId="77777777" w:rsidR="00CF33D9" w:rsidRDefault="00E3332A">
            <w:pPr>
              <w:spacing w:after="60"/>
              <w:jc w:val="both"/>
              <w:rPr>
                <w:rFonts w:eastAsia="Calibri"/>
                <w:sz w:val="20"/>
                <w:szCs w:val="20"/>
              </w:rPr>
            </w:pPr>
            <w:r>
              <w:rPr>
                <w:rFonts w:eastAsia="Calibri"/>
                <w:color w:val="000000"/>
                <w:sz w:val="20"/>
                <w:szCs w:val="20"/>
              </w:rPr>
              <w:lastRenderedPageBreak/>
              <w:t>NIMPA</w:t>
            </w:r>
          </w:p>
          <w:p w14:paraId="6808F742" w14:textId="77777777" w:rsidR="00CF33D9" w:rsidRDefault="00E3332A">
            <w:pPr>
              <w:spacing w:after="60"/>
              <w:jc w:val="both"/>
              <w:rPr>
                <w:rFonts w:eastAsia="Calibri"/>
                <w:sz w:val="20"/>
                <w:szCs w:val="20"/>
              </w:rPr>
            </w:pPr>
            <w:r>
              <w:rPr>
                <w:rFonts w:eastAsia="Calibri"/>
                <w:sz w:val="20"/>
                <w:szCs w:val="20"/>
              </w:rPr>
              <w:t>NLMR</w:t>
            </w:r>
          </w:p>
          <w:p w14:paraId="6808F743" w14:textId="77777777" w:rsidR="00CF33D9" w:rsidRDefault="00E3332A">
            <w:pPr>
              <w:spacing w:after="60"/>
              <w:jc w:val="both"/>
              <w:rPr>
                <w:rFonts w:eastAsia="Calibri"/>
                <w:sz w:val="20"/>
                <w:szCs w:val="20"/>
              </w:rPr>
            </w:pPr>
            <w:r>
              <w:rPr>
                <w:rFonts w:eastAsia="Calibri"/>
                <w:sz w:val="20"/>
                <w:szCs w:val="20"/>
              </w:rPr>
              <w:t>PCU</w:t>
            </w:r>
          </w:p>
          <w:p w14:paraId="6808F744" w14:textId="77777777" w:rsidR="00CF33D9" w:rsidRDefault="00E3332A">
            <w:pPr>
              <w:spacing w:after="60"/>
              <w:jc w:val="both"/>
              <w:rPr>
                <w:rFonts w:eastAsia="Calibri"/>
                <w:sz w:val="20"/>
                <w:szCs w:val="20"/>
              </w:rPr>
            </w:pPr>
            <w:r>
              <w:rPr>
                <w:rFonts w:eastAsia="Calibri"/>
                <w:sz w:val="20"/>
                <w:szCs w:val="20"/>
              </w:rPr>
              <w:t>PIF</w:t>
            </w:r>
          </w:p>
        </w:tc>
        <w:tc>
          <w:tcPr>
            <w:tcW w:w="8157" w:type="dxa"/>
            <w:shd w:val="clear" w:color="auto" w:fill="auto"/>
          </w:tcPr>
          <w:p w14:paraId="6808F745" w14:textId="77777777" w:rsidR="00CF33D9" w:rsidRDefault="00E3332A">
            <w:pPr>
              <w:spacing w:after="60"/>
              <w:ind w:left="96"/>
              <w:jc w:val="both"/>
              <w:rPr>
                <w:rFonts w:eastAsia="Calibri"/>
                <w:sz w:val="20"/>
                <w:szCs w:val="20"/>
              </w:rPr>
            </w:pPr>
            <w:r>
              <w:rPr>
                <w:rFonts w:eastAsia="Calibri"/>
                <w:sz w:val="20"/>
                <w:szCs w:val="20"/>
              </w:rPr>
              <w:lastRenderedPageBreak/>
              <w:t>Non-Governmental Organisation</w:t>
            </w:r>
          </w:p>
          <w:p w14:paraId="6808F746" w14:textId="77777777" w:rsidR="00CF33D9" w:rsidRDefault="00E3332A">
            <w:pPr>
              <w:spacing w:after="60"/>
              <w:ind w:left="96"/>
              <w:jc w:val="both"/>
              <w:rPr>
                <w:rFonts w:eastAsia="Calibri"/>
                <w:sz w:val="20"/>
                <w:szCs w:val="20"/>
              </w:rPr>
            </w:pPr>
            <w:r>
              <w:rPr>
                <w:rFonts w:eastAsia="Calibri"/>
                <w:color w:val="000000"/>
                <w:sz w:val="20"/>
                <w:szCs w:val="20"/>
              </w:rPr>
              <w:lastRenderedPageBreak/>
              <w:t xml:space="preserve">Namibia Islands Marine Protected Area </w:t>
            </w:r>
          </w:p>
          <w:p w14:paraId="6808F747" w14:textId="77777777" w:rsidR="00CF33D9" w:rsidRDefault="00E3332A">
            <w:pPr>
              <w:spacing w:after="60"/>
              <w:ind w:left="96"/>
              <w:jc w:val="both"/>
              <w:rPr>
                <w:rFonts w:eastAsia="Calibri"/>
                <w:sz w:val="20"/>
                <w:szCs w:val="20"/>
              </w:rPr>
            </w:pPr>
            <w:r>
              <w:rPr>
                <w:rFonts w:eastAsia="Calibri"/>
                <w:sz w:val="20"/>
                <w:szCs w:val="20"/>
              </w:rPr>
              <w:t>Non-Living Marine Resources</w:t>
            </w:r>
          </w:p>
          <w:p w14:paraId="6808F748" w14:textId="77777777" w:rsidR="00CF33D9" w:rsidRDefault="00E3332A">
            <w:pPr>
              <w:spacing w:after="60"/>
              <w:ind w:left="96"/>
              <w:jc w:val="both"/>
              <w:rPr>
                <w:rFonts w:eastAsia="Calibri"/>
                <w:sz w:val="20"/>
                <w:szCs w:val="20"/>
              </w:rPr>
            </w:pPr>
            <w:r>
              <w:rPr>
                <w:rFonts w:eastAsia="Calibri"/>
                <w:sz w:val="20"/>
                <w:szCs w:val="20"/>
              </w:rPr>
              <w:t>Project Coordination Unit</w:t>
            </w:r>
          </w:p>
          <w:p w14:paraId="6808F749" w14:textId="77777777" w:rsidR="00CF33D9" w:rsidRDefault="00E3332A">
            <w:pPr>
              <w:spacing w:after="60"/>
              <w:ind w:left="96"/>
              <w:jc w:val="both"/>
              <w:rPr>
                <w:rFonts w:eastAsia="Calibri"/>
                <w:sz w:val="20"/>
                <w:szCs w:val="20"/>
              </w:rPr>
            </w:pPr>
            <w:r>
              <w:rPr>
                <w:rFonts w:eastAsia="Calibri"/>
                <w:sz w:val="20"/>
                <w:szCs w:val="20"/>
              </w:rPr>
              <w:t>Project Identification Form</w:t>
            </w:r>
          </w:p>
        </w:tc>
      </w:tr>
      <w:tr w:rsidR="00CF33D9" w14:paraId="6808F74D" w14:textId="77777777">
        <w:trPr>
          <w:trHeight w:val="288"/>
        </w:trPr>
        <w:tc>
          <w:tcPr>
            <w:tcW w:w="1203" w:type="dxa"/>
            <w:shd w:val="clear" w:color="auto" w:fill="auto"/>
          </w:tcPr>
          <w:p w14:paraId="6808F74B" w14:textId="77777777" w:rsidR="00CF33D9" w:rsidRDefault="00E3332A">
            <w:pPr>
              <w:spacing w:after="60"/>
              <w:jc w:val="both"/>
              <w:rPr>
                <w:rFonts w:eastAsia="Calibri"/>
                <w:sz w:val="20"/>
                <w:szCs w:val="20"/>
              </w:rPr>
            </w:pPr>
            <w:r>
              <w:rPr>
                <w:rFonts w:eastAsia="Calibri"/>
                <w:sz w:val="20"/>
                <w:szCs w:val="20"/>
              </w:rPr>
              <w:lastRenderedPageBreak/>
              <w:t>PIR</w:t>
            </w:r>
          </w:p>
        </w:tc>
        <w:tc>
          <w:tcPr>
            <w:tcW w:w="8157" w:type="dxa"/>
            <w:shd w:val="clear" w:color="auto" w:fill="auto"/>
          </w:tcPr>
          <w:p w14:paraId="6808F74C" w14:textId="77777777" w:rsidR="00CF33D9" w:rsidRDefault="00E3332A">
            <w:pPr>
              <w:spacing w:after="60"/>
              <w:ind w:left="96"/>
              <w:jc w:val="both"/>
              <w:rPr>
                <w:rFonts w:eastAsia="Calibri"/>
                <w:sz w:val="20"/>
                <w:szCs w:val="20"/>
              </w:rPr>
            </w:pPr>
            <w:r>
              <w:rPr>
                <w:rFonts w:eastAsia="Calibri"/>
                <w:sz w:val="20"/>
                <w:szCs w:val="20"/>
              </w:rPr>
              <w:t>GEF Project Implementation Report</w:t>
            </w:r>
          </w:p>
        </w:tc>
      </w:tr>
      <w:tr w:rsidR="00CF33D9" w14:paraId="6808F754" w14:textId="77777777">
        <w:trPr>
          <w:trHeight w:val="288"/>
        </w:trPr>
        <w:tc>
          <w:tcPr>
            <w:tcW w:w="1203" w:type="dxa"/>
            <w:shd w:val="clear" w:color="auto" w:fill="auto"/>
          </w:tcPr>
          <w:p w14:paraId="6808F74E" w14:textId="77777777" w:rsidR="00CF33D9" w:rsidRDefault="00E3332A">
            <w:pPr>
              <w:spacing w:after="60"/>
              <w:jc w:val="both"/>
              <w:rPr>
                <w:rFonts w:eastAsia="Calibri"/>
                <w:sz w:val="20"/>
                <w:szCs w:val="20"/>
              </w:rPr>
            </w:pPr>
            <w:r>
              <w:rPr>
                <w:rFonts w:eastAsia="Calibri"/>
                <w:sz w:val="20"/>
                <w:szCs w:val="20"/>
              </w:rPr>
              <w:t>PM</w:t>
            </w:r>
          </w:p>
          <w:p w14:paraId="6808F74F" w14:textId="77777777" w:rsidR="00CF33D9" w:rsidRDefault="00E3332A">
            <w:pPr>
              <w:spacing w:after="60"/>
              <w:jc w:val="both"/>
              <w:rPr>
                <w:rFonts w:eastAsia="Calibri"/>
                <w:sz w:val="20"/>
                <w:szCs w:val="20"/>
              </w:rPr>
            </w:pPr>
            <w:r>
              <w:rPr>
                <w:rFonts w:eastAsia="Calibri"/>
                <w:sz w:val="20"/>
                <w:szCs w:val="20"/>
              </w:rPr>
              <w:t>PMC</w:t>
            </w:r>
          </w:p>
          <w:p w14:paraId="6808F750" w14:textId="77777777" w:rsidR="00CF33D9" w:rsidRDefault="00E3332A">
            <w:pPr>
              <w:spacing w:after="60"/>
              <w:jc w:val="both"/>
              <w:rPr>
                <w:rFonts w:eastAsia="Calibri"/>
                <w:sz w:val="20"/>
                <w:szCs w:val="20"/>
              </w:rPr>
            </w:pPr>
            <w:r>
              <w:rPr>
                <w:rFonts w:eastAsia="Calibri"/>
                <w:sz w:val="20"/>
                <w:szCs w:val="20"/>
              </w:rPr>
              <w:t>POPP</w:t>
            </w:r>
          </w:p>
        </w:tc>
        <w:tc>
          <w:tcPr>
            <w:tcW w:w="8157" w:type="dxa"/>
            <w:shd w:val="clear" w:color="auto" w:fill="auto"/>
          </w:tcPr>
          <w:p w14:paraId="6808F751" w14:textId="77777777" w:rsidR="00CF33D9" w:rsidRDefault="00E3332A">
            <w:pPr>
              <w:spacing w:after="60"/>
              <w:ind w:left="96"/>
              <w:jc w:val="both"/>
              <w:rPr>
                <w:rFonts w:eastAsia="Calibri"/>
                <w:sz w:val="20"/>
                <w:szCs w:val="20"/>
              </w:rPr>
            </w:pPr>
            <w:r>
              <w:rPr>
                <w:rFonts w:eastAsia="Calibri"/>
                <w:sz w:val="20"/>
                <w:szCs w:val="20"/>
              </w:rPr>
              <w:t>Project Manager</w:t>
            </w:r>
          </w:p>
          <w:p w14:paraId="6808F752" w14:textId="77777777" w:rsidR="00CF33D9" w:rsidRDefault="00E3332A">
            <w:pPr>
              <w:spacing w:after="60"/>
              <w:ind w:left="96"/>
              <w:jc w:val="both"/>
              <w:rPr>
                <w:rFonts w:eastAsia="Calibri"/>
                <w:sz w:val="20"/>
                <w:szCs w:val="20"/>
              </w:rPr>
            </w:pPr>
            <w:r>
              <w:rPr>
                <w:rFonts w:eastAsia="Calibri"/>
                <w:sz w:val="20"/>
                <w:szCs w:val="20"/>
              </w:rPr>
              <w:t>Project Management Cost</w:t>
            </w:r>
          </w:p>
          <w:p w14:paraId="6808F753" w14:textId="77777777" w:rsidR="00CF33D9" w:rsidRDefault="00E3332A">
            <w:pPr>
              <w:spacing w:after="60"/>
              <w:ind w:left="96"/>
              <w:jc w:val="both"/>
              <w:rPr>
                <w:rFonts w:eastAsia="Calibri"/>
                <w:b/>
                <w:sz w:val="20"/>
                <w:szCs w:val="20"/>
              </w:rPr>
            </w:pPr>
            <w:r>
              <w:rPr>
                <w:rFonts w:eastAsia="Calibri"/>
                <w:sz w:val="20"/>
                <w:szCs w:val="20"/>
              </w:rPr>
              <w:t>Programme and Operations Policies and Procedures</w:t>
            </w:r>
          </w:p>
        </w:tc>
      </w:tr>
      <w:tr w:rsidR="00CF33D9" w14:paraId="6808F761" w14:textId="77777777">
        <w:trPr>
          <w:trHeight w:val="288"/>
        </w:trPr>
        <w:tc>
          <w:tcPr>
            <w:tcW w:w="1203" w:type="dxa"/>
            <w:shd w:val="clear" w:color="auto" w:fill="auto"/>
          </w:tcPr>
          <w:p w14:paraId="6808F755" w14:textId="77777777" w:rsidR="00CF33D9" w:rsidRDefault="00E3332A">
            <w:pPr>
              <w:spacing w:after="60"/>
              <w:jc w:val="both"/>
              <w:rPr>
                <w:rFonts w:eastAsia="Calibri"/>
                <w:sz w:val="20"/>
                <w:szCs w:val="20"/>
              </w:rPr>
            </w:pPr>
            <w:r>
              <w:rPr>
                <w:rFonts w:eastAsia="Calibri"/>
                <w:sz w:val="20"/>
                <w:szCs w:val="20"/>
              </w:rPr>
              <w:t>PPG</w:t>
            </w:r>
          </w:p>
          <w:p w14:paraId="6808F756" w14:textId="77777777" w:rsidR="00CF33D9" w:rsidRDefault="00E3332A">
            <w:pPr>
              <w:spacing w:after="60"/>
              <w:jc w:val="both"/>
              <w:rPr>
                <w:rFonts w:eastAsia="Calibri"/>
                <w:color w:val="000000"/>
                <w:sz w:val="20"/>
                <w:szCs w:val="20"/>
              </w:rPr>
            </w:pPr>
            <w:r>
              <w:rPr>
                <w:rFonts w:eastAsia="Calibri"/>
                <w:color w:val="000000"/>
                <w:sz w:val="20"/>
                <w:szCs w:val="20"/>
              </w:rPr>
              <w:t>PSC</w:t>
            </w:r>
          </w:p>
          <w:p w14:paraId="6808F757" w14:textId="77777777" w:rsidR="00CF33D9" w:rsidRDefault="00E3332A">
            <w:pPr>
              <w:spacing w:after="60"/>
              <w:jc w:val="both"/>
              <w:rPr>
                <w:rFonts w:eastAsia="Calibri"/>
                <w:color w:val="000000"/>
                <w:sz w:val="20"/>
                <w:szCs w:val="20"/>
              </w:rPr>
            </w:pPr>
            <w:r>
              <w:rPr>
                <w:rFonts w:eastAsia="Calibri"/>
                <w:color w:val="000000"/>
                <w:sz w:val="20"/>
                <w:szCs w:val="20"/>
              </w:rPr>
              <w:t>RTA</w:t>
            </w:r>
          </w:p>
          <w:p w14:paraId="6808F758" w14:textId="77777777" w:rsidR="00CF33D9" w:rsidRDefault="00E3332A">
            <w:pPr>
              <w:spacing w:after="60"/>
              <w:jc w:val="both"/>
              <w:rPr>
                <w:rFonts w:eastAsia="Calibri"/>
                <w:color w:val="000000"/>
                <w:sz w:val="20"/>
                <w:szCs w:val="20"/>
              </w:rPr>
            </w:pPr>
            <w:r>
              <w:rPr>
                <w:rFonts w:eastAsia="Calibri"/>
                <w:color w:val="000000"/>
                <w:sz w:val="20"/>
                <w:szCs w:val="20"/>
              </w:rPr>
              <w:t>RWG</w:t>
            </w:r>
          </w:p>
          <w:p w14:paraId="6808F759" w14:textId="77777777" w:rsidR="00CF33D9" w:rsidRDefault="00E3332A">
            <w:pPr>
              <w:spacing w:after="60"/>
              <w:jc w:val="both"/>
              <w:rPr>
                <w:rFonts w:eastAsia="Calibri"/>
                <w:sz w:val="20"/>
                <w:szCs w:val="20"/>
              </w:rPr>
            </w:pPr>
            <w:r>
              <w:rPr>
                <w:rFonts w:eastAsia="Calibri"/>
                <w:color w:val="000000"/>
                <w:sz w:val="20"/>
                <w:szCs w:val="20"/>
              </w:rPr>
              <w:t xml:space="preserve">SADC </w:t>
            </w:r>
          </w:p>
          <w:p w14:paraId="6808F75A" w14:textId="77777777" w:rsidR="00CF33D9" w:rsidRDefault="00E3332A">
            <w:pPr>
              <w:spacing w:after="60"/>
              <w:jc w:val="both"/>
              <w:rPr>
                <w:rFonts w:eastAsia="Calibri"/>
                <w:sz w:val="20"/>
                <w:szCs w:val="20"/>
              </w:rPr>
            </w:pPr>
            <w:r>
              <w:rPr>
                <w:rFonts w:eastAsia="Calibri"/>
                <w:sz w:val="20"/>
                <w:szCs w:val="20"/>
              </w:rPr>
              <w:t>SAP</w:t>
            </w:r>
          </w:p>
        </w:tc>
        <w:tc>
          <w:tcPr>
            <w:tcW w:w="8157" w:type="dxa"/>
            <w:shd w:val="clear" w:color="auto" w:fill="auto"/>
          </w:tcPr>
          <w:p w14:paraId="6808F75B" w14:textId="77777777" w:rsidR="00CF33D9" w:rsidRDefault="00E3332A">
            <w:pPr>
              <w:spacing w:after="60"/>
              <w:ind w:left="96"/>
              <w:jc w:val="both"/>
              <w:rPr>
                <w:rFonts w:eastAsia="Calibri"/>
                <w:sz w:val="20"/>
                <w:szCs w:val="20"/>
              </w:rPr>
            </w:pPr>
            <w:r>
              <w:rPr>
                <w:rFonts w:eastAsia="Calibri"/>
                <w:sz w:val="20"/>
                <w:szCs w:val="20"/>
              </w:rPr>
              <w:t>Project Preparation Grant</w:t>
            </w:r>
          </w:p>
          <w:p w14:paraId="6808F75C" w14:textId="77777777" w:rsidR="00CF33D9" w:rsidRDefault="00E3332A">
            <w:pPr>
              <w:spacing w:after="60"/>
              <w:ind w:left="96"/>
              <w:jc w:val="both"/>
              <w:rPr>
                <w:rFonts w:eastAsia="Calibri"/>
                <w:color w:val="000000"/>
                <w:sz w:val="20"/>
                <w:szCs w:val="20"/>
              </w:rPr>
            </w:pPr>
            <w:r>
              <w:rPr>
                <w:rFonts w:eastAsia="Calibri"/>
                <w:color w:val="000000"/>
                <w:sz w:val="20"/>
                <w:szCs w:val="20"/>
              </w:rPr>
              <w:t>Project Steering Committee</w:t>
            </w:r>
          </w:p>
          <w:p w14:paraId="6808F75D" w14:textId="77777777" w:rsidR="00CF33D9" w:rsidRDefault="00E3332A">
            <w:pPr>
              <w:spacing w:after="60"/>
              <w:ind w:left="96"/>
              <w:jc w:val="both"/>
              <w:rPr>
                <w:rFonts w:eastAsia="Calibri"/>
                <w:color w:val="000000"/>
                <w:sz w:val="20"/>
                <w:szCs w:val="20"/>
              </w:rPr>
            </w:pPr>
            <w:r>
              <w:rPr>
                <w:rFonts w:eastAsia="Calibri"/>
                <w:color w:val="000000"/>
                <w:sz w:val="20"/>
                <w:szCs w:val="20"/>
              </w:rPr>
              <w:t>Regional Technical Advisor</w:t>
            </w:r>
          </w:p>
          <w:p w14:paraId="6808F75E" w14:textId="77777777" w:rsidR="00CF33D9" w:rsidRDefault="00E3332A">
            <w:pPr>
              <w:spacing w:after="60"/>
              <w:ind w:left="96"/>
              <w:jc w:val="both"/>
              <w:rPr>
                <w:rFonts w:eastAsia="Calibri"/>
                <w:color w:val="000000"/>
                <w:sz w:val="20"/>
                <w:szCs w:val="20"/>
              </w:rPr>
            </w:pPr>
            <w:r>
              <w:rPr>
                <w:rFonts w:eastAsia="Calibri"/>
                <w:color w:val="000000"/>
                <w:sz w:val="20"/>
                <w:szCs w:val="20"/>
              </w:rPr>
              <w:t>Regional Working Group</w:t>
            </w:r>
          </w:p>
          <w:p w14:paraId="6808F75F" w14:textId="77777777" w:rsidR="00CF33D9" w:rsidRDefault="00E3332A">
            <w:pPr>
              <w:spacing w:after="60"/>
              <w:ind w:left="96"/>
              <w:jc w:val="both"/>
              <w:rPr>
                <w:rFonts w:eastAsia="Calibri"/>
                <w:sz w:val="20"/>
                <w:szCs w:val="20"/>
              </w:rPr>
            </w:pPr>
            <w:r>
              <w:rPr>
                <w:rFonts w:eastAsia="Calibri"/>
                <w:color w:val="000000"/>
                <w:sz w:val="20"/>
                <w:szCs w:val="20"/>
              </w:rPr>
              <w:t>Southern African Development Community</w:t>
            </w:r>
          </w:p>
          <w:p w14:paraId="6808F760" w14:textId="77777777" w:rsidR="00CF33D9" w:rsidRDefault="00E3332A">
            <w:pPr>
              <w:spacing w:after="60"/>
              <w:ind w:left="96"/>
              <w:jc w:val="both"/>
              <w:rPr>
                <w:rFonts w:eastAsia="Calibri"/>
                <w:sz w:val="20"/>
                <w:szCs w:val="20"/>
              </w:rPr>
            </w:pPr>
            <w:r>
              <w:rPr>
                <w:rFonts w:eastAsia="Calibri"/>
                <w:sz w:val="20"/>
                <w:szCs w:val="20"/>
              </w:rPr>
              <w:t>Strategic Action Programme</w:t>
            </w:r>
          </w:p>
        </w:tc>
      </w:tr>
      <w:tr w:rsidR="00CF33D9" w14:paraId="6808F77E" w14:textId="77777777">
        <w:trPr>
          <w:trHeight w:val="288"/>
        </w:trPr>
        <w:tc>
          <w:tcPr>
            <w:tcW w:w="1203" w:type="dxa"/>
            <w:shd w:val="clear" w:color="auto" w:fill="auto"/>
          </w:tcPr>
          <w:p w14:paraId="6808F762" w14:textId="77777777" w:rsidR="00CF33D9" w:rsidRDefault="00E3332A">
            <w:pPr>
              <w:spacing w:after="60"/>
              <w:jc w:val="both"/>
              <w:rPr>
                <w:rFonts w:eastAsia="Calibri"/>
                <w:sz w:val="20"/>
                <w:szCs w:val="20"/>
                <w:lang w:val="fr-FR"/>
              </w:rPr>
            </w:pPr>
            <w:r>
              <w:rPr>
                <w:rFonts w:eastAsia="Calibri"/>
                <w:sz w:val="20"/>
                <w:szCs w:val="20"/>
                <w:lang w:val="fr-FR"/>
              </w:rPr>
              <w:t>SBE</w:t>
            </w:r>
          </w:p>
          <w:p w14:paraId="6808F763" w14:textId="77777777" w:rsidR="00CF33D9" w:rsidRDefault="00E3332A">
            <w:pPr>
              <w:spacing w:after="60"/>
              <w:jc w:val="both"/>
              <w:rPr>
                <w:rFonts w:eastAsia="Calibri"/>
                <w:sz w:val="20"/>
                <w:szCs w:val="20"/>
                <w:lang w:val="fr-FR"/>
              </w:rPr>
            </w:pPr>
            <w:r>
              <w:rPr>
                <w:rFonts w:eastAsia="Calibri"/>
                <w:sz w:val="20"/>
                <w:szCs w:val="20"/>
                <w:lang w:val="fr-FR"/>
              </w:rPr>
              <w:t>SEP</w:t>
            </w:r>
          </w:p>
          <w:p w14:paraId="6808F764" w14:textId="77777777" w:rsidR="00CF33D9" w:rsidRDefault="00E3332A">
            <w:pPr>
              <w:spacing w:after="60"/>
              <w:jc w:val="both"/>
              <w:rPr>
                <w:rFonts w:eastAsia="Calibri"/>
                <w:sz w:val="20"/>
                <w:szCs w:val="20"/>
                <w:lang w:val="hr-HR"/>
              </w:rPr>
            </w:pPr>
            <w:r>
              <w:rPr>
                <w:rFonts w:eastAsia="Calibri"/>
                <w:sz w:val="20"/>
                <w:szCs w:val="20"/>
                <w:lang w:val="hr-HR"/>
              </w:rPr>
              <w:t>SES</w:t>
            </w:r>
          </w:p>
          <w:p w14:paraId="6808F765" w14:textId="77777777" w:rsidR="00CF33D9" w:rsidRDefault="00E3332A">
            <w:pPr>
              <w:spacing w:after="60"/>
              <w:jc w:val="both"/>
              <w:rPr>
                <w:rFonts w:eastAsia="Calibri"/>
                <w:sz w:val="20"/>
                <w:szCs w:val="20"/>
                <w:lang w:val="fr-FR"/>
              </w:rPr>
            </w:pPr>
            <w:r>
              <w:rPr>
                <w:rFonts w:eastAsia="Calibri"/>
                <w:sz w:val="20"/>
                <w:szCs w:val="20"/>
                <w:lang w:val="fr-FR"/>
              </w:rPr>
              <w:t>SESP</w:t>
            </w:r>
          </w:p>
          <w:p w14:paraId="6808F766" w14:textId="77777777" w:rsidR="00CF33D9" w:rsidRDefault="00E3332A">
            <w:pPr>
              <w:spacing w:after="60"/>
              <w:jc w:val="both"/>
              <w:rPr>
                <w:rFonts w:eastAsia="Calibri"/>
                <w:sz w:val="20"/>
                <w:szCs w:val="20"/>
                <w:lang w:val="fr-FR"/>
              </w:rPr>
            </w:pPr>
            <w:r>
              <w:rPr>
                <w:rFonts w:eastAsia="Calibri"/>
                <w:sz w:val="20"/>
                <w:szCs w:val="20"/>
                <w:lang w:val="fr-FR"/>
              </w:rPr>
              <w:t>SFPA</w:t>
            </w:r>
          </w:p>
          <w:p w14:paraId="6808F767" w14:textId="77777777" w:rsidR="00CF33D9" w:rsidRDefault="00E3332A">
            <w:pPr>
              <w:spacing w:after="60"/>
              <w:jc w:val="both"/>
              <w:rPr>
                <w:rFonts w:eastAsia="Calibri"/>
                <w:sz w:val="20"/>
                <w:szCs w:val="20"/>
                <w:lang w:val="fr-FR"/>
              </w:rPr>
            </w:pPr>
            <w:r>
              <w:rPr>
                <w:rFonts w:eastAsia="Calibri"/>
                <w:sz w:val="20"/>
                <w:szCs w:val="20"/>
                <w:lang w:val="fr-FR"/>
              </w:rPr>
              <w:t>SMA</w:t>
            </w:r>
          </w:p>
          <w:p w14:paraId="6808F768" w14:textId="77777777" w:rsidR="00CF33D9" w:rsidRDefault="00E3332A">
            <w:pPr>
              <w:spacing w:after="60"/>
              <w:jc w:val="both"/>
              <w:rPr>
                <w:rFonts w:eastAsia="Calibri"/>
                <w:sz w:val="20"/>
                <w:szCs w:val="20"/>
                <w:lang w:val="fr-FR"/>
              </w:rPr>
            </w:pPr>
            <w:r>
              <w:rPr>
                <w:rFonts w:eastAsia="Calibri"/>
                <w:sz w:val="20"/>
                <w:szCs w:val="20"/>
                <w:lang w:val="fr-FR"/>
              </w:rPr>
              <w:t>SME</w:t>
            </w:r>
          </w:p>
          <w:p w14:paraId="6808F769" w14:textId="77777777" w:rsidR="00CF33D9" w:rsidRDefault="00E3332A">
            <w:pPr>
              <w:spacing w:after="60"/>
              <w:jc w:val="both"/>
              <w:rPr>
                <w:rFonts w:eastAsia="Calibri"/>
                <w:sz w:val="20"/>
                <w:szCs w:val="20"/>
                <w:lang w:val="fr-FR"/>
              </w:rPr>
            </w:pPr>
            <w:r>
              <w:rPr>
                <w:rFonts w:eastAsia="Calibri"/>
                <w:sz w:val="20"/>
                <w:szCs w:val="20"/>
                <w:lang w:val="fr-FR"/>
              </w:rPr>
              <w:t>STAP</w:t>
            </w:r>
          </w:p>
          <w:p w14:paraId="6808F76A" w14:textId="77777777" w:rsidR="00CF33D9" w:rsidRDefault="00E3332A">
            <w:pPr>
              <w:spacing w:after="60"/>
              <w:jc w:val="both"/>
              <w:rPr>
                <w:rFonts w:eastAsia="Calibri"/>
                <w:sz w:val="20"/>
                <w:szCs w:val="20"/>
                <w:lang w:val="fr-FR"/>
              </w:rPr>
            </w:pPr>
            <w:r>
              <w:rPr>
                <w:rFonts w:eastAsia="Calibri"/>
                <w:sz w:val="20"/>
                <w:szCs w:val="20"/>
                <w:lang w:val="fr-FR"/>
              </w:rPr>
              <w:t>TA</w:t>
            </w:r>
          </w:p>
          <w:p w14:paraId="6808F76B" w14:textId="77777777" w:rsidR="00CF33D9" w:rsidRDefault="00E3332A">
            <w:pPr>
              <w:spacing w:after="60"/>
              <w:jc w:val="both"/>
              <w:rPr>
                <w:rFonts w:eastAsia="Calibri"/>
                <w:sz w:val="20"/>
                <w:szCs w:val="20"/>
                <w:lang w:val="fr-FR"/>
              </w:rPr>
            </w:pPr>
            <w:r>
              <w:rPr>
                <w:rFonts w:eastAsia="Calibri"/>
                <w:sz w:val="20"/>
                <w:szCs w:val="20"/>
                <w:lang w:val="fr-FR"/>
              </w:rPr>
              <w:t>TBWP</w:t>
            </w:r>
          </w:p>
          <w:p w14:paraId="6808F76C" w14:textId="77777777" w:rsidR="00CF33D9" w:rsidRDefault="00E3332A">
            <w:pPr>
              <w:spacing w:after="60"/>
              <w:jc w:val="both"/>
              <w:rPr>
                <w:rFonts w:eastAsia="Calibri"/>
                <w:sz w:val="20"/>
                <w:szCs w:val="20"/>
                <w:lang w:val="fr-FR"/>
              </w:rPr>
            </w:pPr>
            <w:r>
              <w:rPr>
                <w:rFonts w:eastAsia="Calibri"/>
                <w:sz w:val="20"/>
                <w:szCs w:val="20"/>
                <w:lang w:val="fr-FR"/>
              </w:rPr>
              <w:t>TDA</w:t>
            </w:r>
          </w:p>
          <w:p w14:paraId="6808F76D" w14:textId="77777777" w:rsidR="00CF33D9" w:rsidRDefault="00E3332A">
            <w:pPr>
              <w:spacing w:after="60"/>
              <w:jc w:val="both"/>
              <w:rPr>
                <w:rFonts w:eastAsia="Calibri"/>
                <w:sz w:val="20"/>
                <w:szCs w:val="20"/>
                <w:lang w:val="fr-FR"/>
              </w:rPr>
            </w:pPr>
            <w:r>
              <w:rPr>
                <w:rFonts w:eastAsia="Calibri"/>
                <w:sz w:val="20"/>
                <w:szCs w:val="20"/>
                <w:lang w:val="fr-FR"/>
              </w:rPr>
              <w:t>TE</w:t>
            </w:r>
          </w:p>
          <w:p w14:paraId="6808F76E" w14:textId="77777777" w:rsidR="00CF33D9" w:rsidRDefault="00E3332A">
            <w:pPr>
              <w:spacing w:after="60"/>
              <w:jc w:val="both"/>
              <w:rPr>
                <w:rFonts w:eastAsia="Calibri"/>
                <w:sz w:val="20"/>
                <w:szCs w:val="20"/>
              </w:rPr>
            </w:pPr>
            <w:r>
              <w:rPr>
                <w:rFonts w:eastAsia="Calibri"/>
                <w:sz w:val="20"/>
                <w:szCs w:val="20"/>
              </w:rPr>
              <w:t>UNCTAD</w:t>
            </w:r>
          </w:p>
          <w:p w14:paraId="6808F76F" w14:textId="77777777" w:rsidR="00CF33D9" w:rsidRDefault="00E3332A">
            <w:pPr>
              <w:spacing w:after="60"/>
              <w:jc w:val="both"/>
              <w:rPr>
                <w:rFonts w:eastAsia="Calibri"/>
                <w:sz w:val="20"/>
                <w:szCs w:val="20"/>
              </w:rPr>
            </w:pPr>
            <w:r>
              <w:rPr>
                <w:rFonts w:eastAsia="Calibri"/>
                <w:sz w:val="20"/>
                <w:szCs w:val="20"/>
              </w:rPr>
              <w:t>UNDP</w:t>
            </w:r>
          </w:p>
        </w:tc>
        <w:tc>
          <w:tcPr>
            <w:tcW w:w="8157" w:type="dxa"/>
            <w:shd w:val="clear" w:color="auto" w:fill="auto"/>
          </w:tcPr>
          <w:p w14:paraId="6808F770" w14:textId="77777777" w:rsidR="00CF33D9" w:rsidRDefault="00E3332A">
            <w:pPr>
              <w:spacing w:after="60"/>
              <w:ind w:left="96"/>
              <w:jc w:val="both"/>
              <w:rPr>
                <w:rFonts w:eastAsia="Calibri"/>
                <w:sz w:val="20"/>
                <w:szCs w:val="20"/>
              </w:rPr>
            </w:pPr>
            <w:r>
              <w:rPr>
                <w:rFonts w:eastAsia="Calibri"/>
                <w:sz w:val="20"/>
                <w:szCs w:val="20"/>
              </w:rPr>
              <w:t>Sustainable Blue Economy</w:t>
            </w:r>
          </w:p>
          <w:p w14:paraId="6808F771" w14:textId="77777777" w:rsidR="00CF33D9" w:rsidRDefault="00E3332A">
            <w:pPr>
              <w:spacing w:after="60"/>
              <w:ind w:left="96"/>
              <w:jc w:val="both"/>
              <w:rPr>
                <w:rFonts w:eastAsia="Calibri"/>
                <w:color w:val="000000"/>
                <w:sz w:val="20"/>
                <w:szCs w:val="20"/>
              </w:rPr>
            </w:pPr>
            <w:r>
              <w:rPr>
                <w:rFonts w:eastAsia="Calibri"/>
                <w:color w:val="000000"/>
                <w:sz w:val="20"/>
                <w:szCs w:val="20"/>
              </w:rPr>
              <w:t>Stakeholders Engagement Plan</w:t>
            </w:r>
          </w:p>
          <w:p w14:paraId="6808F772" w14:textId="77777777" w:rsidR="00CF33D9" w:rsidRDefault="00E3332A">
            <w:pPr>
              <w:spacing w:after="60"/>
              <w:ind w:left="96"/>
              <w:jc w:val="both"/>
              <w:rPr>
                <w:rFonts w:eastAsia="Calibri"/>
                <w:color w:val="000000"/>
                <w:sz w:val="20"/>
                <w:szCs w:val="20"/>
              </w:rPr>
            </w:pPr>
            <w:r>
              <w:rPr>
                <w:rFonts w:eastAsia="Calibri"/>
                <w:color w:val="000000"/>
                <w:sz w:val="20"/>
                <w:szCs w:val="20"/>
              </w:rPr>
              <w:t>Social and Environmental Safeguards</w:t>
            </w:r>
          </w:p>
          <w:p w14:paraId="6808F773" w14:textId="77777777" w:rsidR="00CF33D9" w:rsidRDefault="00E3332A">
            <w:pPr>
              <w:spacing w:after="60"/>
              <w:ind w:left="96"/>
              <w:jc w:val="both"/>
              <w:rPr>
                <w:rFonts w:eastAsia="Calibri"/>
                <w:color w:val="000000"/>
                <w:sz w:val="20"/>
                <w:szCs w:val="20"/>
              </w:rPr>
            </w:pPr>
            <w:r>
              <w:rPr>
                <w:rFonts w:eastAsia="Calibri"/>
                <w:color w:val="000000"/>
                <w:sz w:val="20"/>
                <w:szCs w:val="20"/>
              </w:rPr>
              <w:t>Social and Environmental Safeguards Procedure</w:t>
            </w:r>
          </w:p>
          <w:p w14:paraId="6808F774" w14:textId="77777777" w:rsidR="00CF33D9" w:rsidRDefault="00E3332A">
            <w:pPr>
              <w:spacing w:after="60"/>
              <w:ind w:left="96"/>
              <w:jc w:val="both"/>
              <w:rPr>
                <w:rFonts w:eastAsia="Calibri"/>
                <w:sz w:val="20"/>
                <w:szCs w:val="20"/>
              </w:rPr>
            </w:pPr>
            <w:r>
              <w:rPr>
                <w:rFonts w:eastAsia="Calibri"/>
                <w:color w:val="000000"/>
                <w:sz w:val="20"/>
                <w:szCs w:val="20"/>
              </w:rPr>
              <w:t>Sustainable Fisheries Partnership Agreement</w:t>
            </w:r>
          </w:p>
          <w:p w14:paraId="6808F775" w14:textId="77777777" w:rsidR="00CF33D9" w:rsidRDefault="00E3332A">
            <w:pPr>
              <w:spacing w:after="60"/>
              <w:ind w:left="96"/>
              <w:jc w:val="both"/>
              <w:rPr>
                <w:rFonts w:eastAsia="Calibri"/>
                <w:sz w:val="20"/>
                <w:szCs w:val="20"/>
              </w:rPr>
            </w:pPr>
            <w:r>
              <w:rPr>
                <w:rFonts w:eastAsia="Calibri"/>
                <w:sz w:val="20"/>
                <w:szCs w:val="20"/>
              </w:rPr>
              <w:t>Specially Managed Area</w:t>
            </w:r>
          </w:p>
          <w:p w14:paraId="6808F776" w14:textId="77777777" w:rsidR="00CF33D9" w:rsidRDefault="00E3332A">
            <w:pPr>
              <w:spacing w:after="60"/>
              <w:ind w:left="96"/>
              <w:jc w:val="both"/>
              <w:rPr>
                <w:rFonts w:eastAsia="Calibri"/>
                <w:sz w:val="20"/>
                <w:szCs w:val="20"/>
              </w:rPr>
            </w:pPr>
            <w:r>
              <w:rPr>
                <w:rFonts w:eastAsia="Calibri"/>
                <w:sz w:val="20"/>
                <w:szCs w:val="20"/>
              </w:rPr>
              <w:t>Small and Medium-Sized Enterprises</w:t>
            </w:r>
          </w:p>
          <w:p w14:paraId="6808F777" w14:textId="77777777" w:rsidR="00CF33D9" w:rsidRDefault="00E3332A">
            <w:pPr>
              <w:spacing w:after="60"/>
              <w:ind w:left="96"/>
              <w:jc w:val="both"/>
              <w:rPr>
                <w:rFonts w:eastAsia="Calibri"/>
                <w:sz w:val="20"/>
                <w:szCs w:val="20"/>
              </w:rPr>
            </w:pPr>
            <w:r>
              <w:rPr>
                <w:rFonts w:eastAsia="Calibri"/>
                <w:sz w:val="20"/>
                <w:szCs w:val="20"/>
              </w:rPr>
              <w:t>GEF Scientific Technical Advisory Panel</w:t>
            </w:r>
          </w:p>
          <w:p w14:paraId="6808F778" w14:textId="77777777" w:rsidR="00CF33D9" w:rsidRDefault="00E3332A">
            <w:pPr>
              <w:spacing w:after="60"/>
              <w:ind w:left="96"/>
              <w:jc w:val="both"/>
              <w:rPr>
                <w:rFonts w:eastAsia="Calibri"/>
                <w:sz w:val="20"/>
                <w:szCs w:val="20"/>
              </w:rPr>
            </w:pPr>
            <w:r>
              <w:rPr>
                <w:rFonts w:eastAsia="Calibri"/>
                <w:sz w:val="20"/>
                <w:szCs w:val="20"/>
              </w:rPr>
              <w:t>Technical Assistance</w:t>
            </w:r>
          </w:p>
          <w:p w14:paraId="6808F779" w14:textId="77777777" w:rsidR="00CF33D9" w:rsidRDefault="00E3332A">
            <w:pPr>
              <w:spacing w:after="60"/>
              <w:ind w:left="96"/>
              <w:jc w:val="both"/>
              <w:rPr>
                <w:rFonts w:eastAsia="Calibri"/>
                <w:sz w:val="20"/>
                <w:szCs w:val="20"/>
              </w:rPr>
            </w:pPr>
            <w:r>
              <w:rPr>
                <w:rFonts w:eastAsia="Calibri"/>
                <w:sz w:val="20"/>
                <w:szCs w:val="20"/>
              </w:rPr>
              <w:t>Total Budget and Work Plan</w:t>
            </w:r>
          </w:p>
          <w:p w14:paraId="6808F77A" w14:textId="77777777" w:rsidR="00CF33D9" w:rsidRDefault="00E3332A">
            <w:pPr>
              <w:spacing w:after="60"/>
              <w:ind w:left="96"/>
              <w:jc w:val="both"/>
              <w:rPr>
                <w:rFonts w:eastAsia="Calibri"/>
                <w:sz w:val="20"/>
                <w:szCs w:val="20"/>
              </w:rPr>
            </w:pPr>
            <w:r>
              <w:rPr>
                <w:rFonts w:eastAsia="Calibri"/>
                <w:sz w:val="20"/>
                <w:szCs w:val="20"/>
              </w:rPr>
              <w:t>Transboundary Diagnostic Analysis</w:t>
            </w:r>
          </w:p>
          <w:p w14:paraId="6808F77B" w14:textId="77777777" w:rsidR="00CF33D9" w:rsidRDefault="00E3332A">
            <w:pPr>
              <w:spacing w:after="60"/>
              <w:ind w:left="96"/>
              <w:jc w:val="both"/>
              <w:rPr>
                <w:rFonts w:eastAsia="Calibri"/>
                <w:sz w:val="20"/>
                <w:szCs w:val="20"/>
              </w:rPr>
            </w:pPr>
            <w:r>
              <w:rPr>
                <w:rFonts w:eastAsia="Calibri"/>
                <w:sz w:val="20"/>
                <w:szCs w:val="20"/>
              </w:rPr>
              <w:t>Terminal Evaluation</w:t>
            </w:r>
          </w:p>
          <w:p w14:paraId="6808F77C" w14:textId="77777777" w:rsidR="00CF33D9" w:rsidRDefault="00E3332A">
            <w:pPr>
              <w:spacing w:after="60"/>
              <w:ind w:left="96"/>
              <w:jc w:val="both"/>
              <w:rPr>
                <w:rFonts w:eastAsia="Calibri"/>
                <w:sz w:val="20"/>
                <w:szCs w:val="20"/>
              </w:rPr>
            </w:pPr>
            <w:r>
              <w:rPr>
                <w:rFonts w:eastAsia="Calibri"/>
                <w:sz w:val="20"/>
                <w:szCs w:val="20"/>
              </w:rPr>
              <w:t>United Nations Trade and Development</w:t>
            </w:r>
          </w:p>
          <w:p w14:paraId="6808F77D" w14:textId="77777777" w:rsidR="00CF33D9" w:rsidRDefault="00E3332A">
            <w:pPr>
              <w:spacing w:after="60"/>
              <w:ind w:left="96"/>
              <w:jc w:val="both"/>
              <w:rPr>
                <w:rFonts w:eastAsia="Calibri"/>
                <w:sz w:val="20"/>
                <w:szCs w:val="20"/>
              </w:rPr>
            </w:pPr>
            <w:r>
              <w:rPr>
                <w:rFonts w:eastAsia="Calibri"/>
                <w:sz w:val="20"/>
                <w:szCs w:val="20"/>
              </w:rPr>
              <w:t>United Nations Development Program</w:t>
            </w:r>
          </w:p>
        </w:tc>
      </w:tr>
      <w:tr w:rsidR="00CF33D9" w14:paraId="6808F781" w14:textId="77777777">
        <w:trPr>
          <w:trHeight w:val="288"/>
        </w:trPr>
        <w:tc>
          <w:tcPr>
            <w:tcW w:w="1203" w:type="dxa"/>
            <w:shd w:val="clear" w:color="auto" w:fill="auto"/>
          </w:tcPr>
          <w:p w14:paraId="6808F77F" w14:textId="77777777" w:rsidR="00CF33D9" w:rsidRDefault="00CF33D9">
            <w:pPr>
              <w:spacing w:after="60"/>
              <w:jc w:val="both"/>
              <w:rPr>
                <w:rFonts w:eastAsia="Calibri"/>
                <w:sz w:val="20"/>
                <w:szCs w:val="20"/>
              </w:rPr>
            </w:pPr>
          </w:p>
        </w:tc>
        <w:tc>
          <w:tcPr>
            <w:tcW w:w="8157" w:type="dxa"/>
            <w:shd w:val="clear" w:color="auto" w:fill="auto"/>
          </w:tcPr>
          <w:p w14:paraId="6808F780" w14:textId="77777777" w:rsidR="00CF33D9" w:rsidRDefault="00CF33D9">
            <w:pPr>
              <w:spacing w:after="60"/>
              <w:ind w:left="116"/>
              <w:jc w:val="both"/>
              <w:rPr>
                <w:rFonts w:eastAsia="Calibri"/>
                <w:sz w:val="20"/>
                <w:szCs w:val="20"/>
              </w:rPr>
            </w:pPr>
          </w:p>
        </w:tc>
      </w:tr>
    </w:tbl>
    <w:p w14:paraId="6808F782" w14:textId="77777777" w:rsidR="00CF33D9" w:rsidRDefault="00E3332A">
      <w:pPr>
        <w:pStyle w:val="Heading1"/>
        <w:rPr>
          <w:rFonts w:ascii="Calibri" w:hAnsi="Calibri" w:cs="Calibri"/>
          <w:sz w:val="20"/>
          <w:szCs w:val="20"/>
        </w:rPr>
      </w:pPr>
      <w:bookmarkStart w:id="3" w:name="_Toc169739144"/>
      <w:r>
        <w:rPr>
          <w:rFonts w:ascii="Calibri" w:hAnsi="Calibri" w:cs="Calibri"/>
          <w:sz w:val="20"/>
          <w:szCs w:val="20"/>
        </w:rPr>
        <w:t>List of Figures</w:t>
      </w:r>
      <w:bookmarkEnd w:id="3"/>
    </w:p>
    <w:p w14:paraId="6808F783" w14:textId="77777777" w:rsidR="00CF33D9" w:rsidRDefault="00CF33D9">
      <w:pPr>
        <w:rPr>
          <w:rFonts w:ascii="Calibri" w:hAnsi="Calibri" w:cs="Calibri"/>
          <w:sz w:val="20"/>
          <w:szCs w:val="20"/>
        </w:rPr>
      </w:pPr>
    </w:p>
    <w:p w14:paraId="6808F784" w14:textId="77777777" w:rsidR="00CF33D9" w:rsidRDefault="00E3332A">
      <w:pPr>
        <w:rPr>
          <w:rFonts w:ascii="Calibri" w:eastAsia="Calibri" w:hAnsi="Calibri" w:cs="Calibri"/>
          <w:sz w:val="20"/>
          <w:szCs w:val="20"/>
        </w:rPr>
      </w:pPr>
      <w:r>
        <w:rPr>
          <w:rFonts w:ascii="Calibri" w:eastAsia="Calibri" w:hAnsi="Calibri" w:cs="Calibri"/>
          <w:sz w:val="20"/>
          <w:szCs w:val="20"/>
        </w:rPr>
        <w:t>Figure 1:</w:t>
      </w:r>
      <w:r>
        <w:rPr>
          <w:rFonts w:ascii="Calibri" w:eastAsia="Calibri" w:hAnsi="Calibri" w:cs="Calibri"/>
          <w:sz w:val="20"/>
          <w:szCs w:val="20"/>
        </w:rPr>
        <w:tab/>
        <w:t>Theory of Change</w:t>
      </w:r>
    </w:p>
    <w:p w14:paraId="6808F785" w14:textId="77777777" w:rsidR="00CF33D9" w:rsidRDefault="00E3332A">
      <w:pPr>
        <w:rPr>
          <w:rFonts w:ascii="Calibri" w:eastAsia="Calibri" w:hAnsi="Calibri" w:cs="Calibri"/>
          <w:sz w:val="20"/>
          <w:szCs w:val="20"/>
        </w:rPr>
      </w:pPr>
      <w:r>
        <w:rPr>
          <w:rFonts w:ascii="Calibri" w:eastAsia="Calibri" w:hAnsi="Calibri" w:cs="Calibri"/>
          <w:color w:val="000000"/>
          <w:sz w:val="20"/>
          <w:szCs w:val="20"/>
        </w:rPr>
        <w:t>Figure 2: Location and extent of the Revised delineation of the Namibian Islands EBSA</w:t>
      </w:r>
    </w:p>
    <w:p w14:paraId="6808F786" w14:textId="77777777" w:rsidR="00CF33D9" w:rsidRDefault="00E3332A">
      <w:pPr>
        <w:jc w:val="both"/>
        <w:rPr>
          <w:rFonts w:ascii="Calibri" w:eastAsia="Calibri" w:hAnsi="Calibri" w:cs="Calibri"/>
          <w:color w:val="000000"/>
          <w:sz w:val="20"/>
          <w:szCs w:val="20"/>
        </w:rPr>
      </w:pPr>
      <w:r>
        <w:rPr>
          <w:rFonts w:ascii="Calibri" w:eastAsia="Calibri" w:hAnsi="Calibri" w:cs="Calibri"/>
          <w:color w:val="000000"/>
          <w:sz w:val="20"/>
          <w:szCs w:val="20"/>
        </w:rPr>
        <w:t>Figure 3: Location and extent of the Orange Cone EBSA</w:t>
      </w:r>
    </w:p>
    <w:p w14:paraId="6808F787"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t>Figure 4: Location of the Barra do Dande Municipality</w:t>
      </w:r>
    </w:p>
    <w:p w14:paraId="6808F788" w14:textId="77777777" w:rsidR="00CF33D9" w:rsidRDefault="00E3332A">
      <w:pPr>
        <w:jc w:val="both"/>
        <w:rPr>
          <w:rFonts w:ascii="Calibri" w:hAnsi="Calibri" w:cs="Calibri"/>
          <w:sz w:val="20"/>
          <w:szCs w:val="20"/>
        </w:rPr>
      </w:pPr>
      <w:r>
        <w:rPr>
          <w:rFonts w:ascii="Calibri" w:eastAsia="Calibri" w:hAnsi="Calibri" w:cs="Calibri"/>
          <w:color w:val="000000"/>
          <w:sz w:val="20"/>
          <w:szCs w:val="20"/>
        </w:rPr>
        <w:t xml:space="preserve">Figure 5: Location of the </w:t>
      </w:r>
      <w:r>
        <w:rPr>
          <w:rFonts w:ascii="Calibri" w:eastAsia="Calibri" w:hAnsi="Calibri" w:cs="Calibri"/>
          <w:color w:val="363636"/>
          <w:sz w:val="20"/>
          <w:szCs w:val="20"/>
        </w:rPr>
        <w:t>Mussulo-Kwanza-Cabo Ledo Complex</w:t>
      </w:r>
    </w:p>
    <w:p w14:paraId="6808F789"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 xml:space="preserve">Figure 6: </w:t>
      </w:r>
      <w:r>
        <w:rPr>
          <w:rFonts w:ascii="Calibri" w:eastAsia="Calibri" w:hAnsi="Calibri" w:cs="Calibri"/>
          <w:color w:val="000000"/>
          <w:sz w:val="20"/>
          <w:szCs w:val="20"/>
        </w:rPr>
        <w:t>Location of the Barra do Dande Free Integrated Development Zone Project</w:t>
      </w:r>
    </w:p>
    <w:p w14:paraId="6808F78A"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Figure 7: Map of Saldanha Bay, South Africa</w:t>
      </w:r>
    </w:p>
    <w:p w14:paraId="6808F78B" w14:textId="77777777" w:rsidR="00CF33D9" w:rsidRDefault="00E3332A">
      <w:pPr>
        <w:jc w:val="both"/>
        <w:rPr>
          <w:rFonts w:ascii="Calibri" w:hAnsi="Calibri" w:cs="Calibri"/>
          <w:sz w:val="20"/>
          <w:szCs w:val="20"/>
        </w:rPr>
      </w:pPr>
      <w:r>
        <w:rPr>
          <w:rFonts w:ascii="Calibri" w:eastAsia="Calibri" w:hAnsi="Calibri" w:cs="Calibri"/>
          <w:sz w:val="20"/>
          <w:szCs w:val="20"/>
        </w:rPr>
        <w:t>Figure 8: Location of Namibe area</w:t>
      </w:r>
    </w:p>
    <w:p w14:paraId="6808F78C" w14:textId="77777777" w:rsidR="00CF33D9" w:rsidRDefault="00E3332A">
      <w:pPr>
        <w:rPr>
          <w:rFonts w:ascii="Calibri" w:eastAsia="Calibri" w:hAnsi="Calibri" w:cs="Calibri"/>
          <w:bCs/>
          <w:sz w:val="20"/>
          <w:szCs w:val="20"/>
        </w:rPr>
      </w:pPr>
      <w:r>
        <w:rPr>
          <w:rFonts w:ascii="Calibri" w:eastAsia="Calibri" w:hAnsi="Calibri" w:cs="Calibri"/>
          <w:bCs/>
          <w:sz w:val="20"/>
          <w:szCs w:val="20"/>
        </w:rPr>
        <w:t>Figure 9: Project organisation structure</w:t>
      </w:r>
    </w:p>
    <w:p w14:paraId="6808F78D" w14:textId="77777777" w:rsidR="00CF33D9" w:rsidRDefault="00CF33D9">
      <w:pPr>
        <w:rPr>
          <w:rFonts w:ascii="Calibri" w:hAnsi="Calibri" w:cs="Calibri"/>
          <w:sz w:val="20"/>
          <w:szCs w:val="20"/>
        </w:rPr>
      </w:pPr>
    </w:p>
    <w:p w14:paraId="6808F78E" w14:textId="77777777" w:rsidR="00CF33D9" w:rsidRDefault="00CF33D9">
      <w:pPr>
        <w:rPr>
          <w:rFonts w:ascii="Calibri" w:hAnsi="Calibri" w:cs="Calibri"/>
          <w:sz w:val="20"/>
          <w:szCs w:val="20"/>
        </w:rPr>
        <w:sectPr w:rsidR="00CF33D9">
          <w:pgSz w:w="12240" w:h="15840"/>
          <w:pgMar w:top="1440" w:right="1440" w:bottom="1440" w:left="1440" w:header="720" w:footer="432" w:gutter="0"/>
          <w:cols w:space="720"/>
          <w:titlePg/>
        </w:sectPr>
      </w:pPr>
    </w:p>
    <w:p w14:paraId="6808F78F" w14:textId="77777777" w:rsidR="00CF33D9" w:rsidRDefault="00E3332A">
      <w:pPr>
        <w:pStyle w:val="Heading1"/>
        <w:rPr>
          <w:rFonts w:ascii="Calibri" w:hAnsi="Calibri" w:cs="Calibri"/>
          <w:sz w:val="20"/>
          <w:szCs w:val="20"/>
        </w:rPr>
      </w:pPr>
      <w:bookmarkStart w:id="4" w:name="_Toc169739145"/>
      <w:r>
        <w:rPr>
          <w:rFonts w:ascii="Calibri" w:hAnsi="Calibri" w:cs="Calibri"/>
          <w:sz w:val="20"/>
          <w:szCs w:val="20"/>
        </w:rPr>
        <w:lastRenderedPageBreak/>
        <w:t>I.</w:t>
      </w:r>
      <w:r>
        <w:rPr>
          <w:rFonts w:ascii="Calibri" w:hAnsi="Calibri" w:cs="Calibri"/>
          <w:sz w:val="20"/>
          <w:szCs w:val="20"/>
        </w:rPr>
        <w:tab/>
        <w:t>Development Challenge</w:t>
      </w:r>
      <w:bookmarkEnd w:id="4"/>
      <w:r>
        <w:rPr>
          <w:rFonts w:ascii="Calibri" w:hAnsi="Calibri" w:cs="Calibri"/>
          <w:sz w:val="20"/>
          <w:szCs w:val="20"/>
        </w:rPr>
        <w:t xml:space="preserve"> </w:t>
      </w:r>
    </w:p>
    <w:p w14:paraId="6808F790" w14:textId="77777777" w:rsidR="00CF33D9" w:rsidRDefault="00CF33D9">
      <w:pPr>
        <w:jc w:val="both"/>
        <w:rPr>
          <w:rFonts w:ascii="Calibri" w:eastAsia="Calibri" w:hAnsi="Calibri" w:cs="Calibri"/>
          <w:sz w:val="20"/>
          <w:szCs w:val="20"/>
        </w:rPr>
      </w:pPr>
      <w:bookmarkStart w:id="5" w:name="_heading=h.2u6wntf" w:colFirst="0" w:colLast="0"/>
      <w:bookmarkEnd w:id="5"/>
    </w:p>
    <w:p w14:paraId="6808F791" w14:textId="77777777" w:rsidR="00CF33D9" w:rsidRDefault="00E3332A">
      <w:pPr>
        <w:jc w:val="both"/>
        <w:rPr>
          <w:rFonts w:ascii="Calibri" w:eastAsia="Calibri" w:hAnsi="Calibri" w:cs="Calibri"/>
          <w:color w:val="000000"/>
          <w:sz w:val="20"/>
          <w:szCs w:val="20"/>
        </w:rPr>
      </w:pPr>
      <w:r>
        <w:rPr>
          <w:rFonts w:ascii="Calibri" w:eastAsia="Calibri" w:hAnsi="Calibri" w:cs="Calibri"/>
          <w:color w:val="000000"/>
          <w:sz w:val="20"/>
          <w:szCs w:val="20"/>
        </w:rPr>
        <w:t xml:space="preserve">The BCLME is situated in the south-east Atlantic, stretching along the coasts of Angola, Namibia and South Africa over approximately 6800 km. The BCLME covers the marine area east of the Cape of Good Hope in South Africa to the province of Cabinda in Angola and </w:t>
      </w:r>
      <w:r>
        <w:rPr>
          <w:rFonts w:ascii="Calibri" w:eastAsia="Calibri" w:hAnsi="Calibri" w:cs="Calibri"/>
          <w:sz w:val="20"/>
          <w:szCs w:val="20"/>
        </w:rPr>
        <w:t>encompasses</w:t>
      </w:r>
      <w:r>
        <w:rPr>
          <w:rFonts w:ascii="Calibri" w:eastAsia="Calibri" w:hAnsi="Calibri" w:cs="Calibri"/>
          <w:color w:val="000000"/>
          <w:sz w:val="20"/>
          <w:szCs w:val="20"/>
        </w:rPr>
        <w:t xml:space="preserve"> Namibia’s entire marine environment. The territorial waters and exclusive economic zones (EEZ’s) that form part of the LME extend over an area of approximately 1,485,000 km2. The cold Benguela Current influences the marine environment, which – together with the Humboldt, California and Canary currents – is one of the world’s four eastern boundary upwelling systems. A strong, wind-driven coastal upwelling system dominates the BCLME. The high primary production of the ecosystem makes it a unique region in terms of biodiversity and biomass).</w:t>
      </w:r>
    </w:p>
    <w:p w14:paraId="6808F792" w14:textId="77777777" w:rsidR="00CF33D9" w:rsidRDefault="00CF33D9">
      <w:pPr>
        <w:jc w:val="both"/>
        <w:rPr>
          <w:rFonts w:ascii="Calibri" w:eastAsia="Calibri" w:hAnsi="Calibri" w:cs="Calibri"/>
          <w:color w:val="000000"/>
          <w:sz w:val="20"/>
          <w:szCs w:val="20"/>
        </w:rPr>
      </w:pPr>
    </w:p>
    <w:p w14:paraId="6808F793" w14:textId="77777777" w:rsidR="00CF33D9" w:rsidRDefault="00E3332A">
      <w:pPr>
        <w:jc w:val="both"/>
        <w:rPr>
          <w:rFonts w:ascii="Calibri" w:eastAsia="Calibri" w:hAnsi="Calibri" w:cs="Calibri"/>
          <w:color w:val="000000"/>
          <w:sz w:val="20"/>
          <w:szCs w:val="20"/>
        </w:rPr>
      </w:pPr>
      <w:r>
        <w:rPr>
          <w:rFonts w:ascii="Calibri" w:eastAsia="Calibri" w:hAnsi="Calibri" w:cs="Calibri"/>
          <w:color w:val="000000"/>
          <w:sz w:val="20"/>
          <w:szCs w:val="20"/>
        </w:rPr>
        <w:t>The three countries bordering the BCLME (Angola, Namibia and South Africa)  are part of the Southern African Development Community (SADC) and classified as upper-middle income developing countries. Poverty, unemployment and social inequalities are high in all three countries but highest in Angola, followed by Namibia and South Africa. Life expectancy and education are highest in South Africa, followed by Namibia and Angola. Whilst Namibia has a population of about 2.3 million inhabitants of which only approximately 200,000 live on the coast, approximately 40% of the 58.8 million South African and 50% of the 32 million Angolan citizens live on the coast. This distinct difference in coastal populations is attributed to the harsh living conditions along the entire Namibian coast, especially the lack of freshwater. Angola and South Africa have always had a much larger coastal population; especially in South Africa’s large coastal towns this number is expected to grow</w:t>
      </w:r>
      <w:r>
        <w:rPr>
          <w:rFonts w:ascii="Calibri" w:eastAsia="Arial" w:hAnsi="Calibri" w:cs="Calibri"/>
          <w:color w:val="000000"/>
          <w:sz w:val="20"/>
          <w:szCs w:val="20"/>
          <w:vertAlign w:val="superscript"/>
        </w:rPr>
        <w:footnoteReference w:id="1"/>
      </w:r>
      <w:r>
        <w:rPr>
          <w:rFonts w:ascii="Calibri" w:eastAsia="Calibri" w:hAnsi="Calibri" w:cs="Calibri"/>
          <w:color w:val="000000"/>
          <w:sz w:val="20"/>
          <w:szCs w:val="20"/>
        </w:rPr>
        <w:t xml:space="preserve">. </w:t>
      </w:r>
    </w:p>
    <w:p w14:paraId="6808F794" w14:textId="77777777" w:rsidR="00CF33D9" w:rsidRDefault="00CF33D9">
      <w:pPr>
        <w:jc w:val="both"/>
        <w:rPr>
          <w:rFonts w:ascii="Calibri" w:eastAsia="Calibri" w:hAnsi="Calibri" w:cs="Calibri"/>
          <w:color w:val="000000"/>
          <w:sz w:val="20"/>
          <w:szCs w:val="20"/>
        </w:rPr>
      </w:pPr>
    </w:p>
    <w:p w14:paraId="6808F795" w14:textId="77777777" w:rsidR="00CF33D9" w:rsidRDefault="00E3332A">
      <w:pPr>
        <w:jc w:val="both"/>
        <w:rPr>
          <w:rFonts w:ascii="Calibri" w:eastAsia="Calibri" w:hAnsi="Calibri" w:cs="Calibri"/>
          <w:color w:val="000000"/>
          <w:sz w:val="20"/>
          <w:szCs w:val="20"/>
        </w:rPr>
      </w:pPr>
      <w:r>
        <w:rPr>
          <w:rFonts w:ascii="Calibri" w:eastAsia="Calibri" w:hAnsi="Calibri" w:cs="Calibri"/>
          <w:color w:val="000000"/>
          <w:sz w:val="20"/>
          <w:szCs w:val="20"/>
        </w:rPr>
        <w:t>The Benguela Current Large Marine Ecosystem (BCLME) is one of the world’s richest marine ecosystems and supports an abundance of life, sustaining both artisanal and large-scale fishery activities which contribute to local food security and employment for hundreds of thousands of people in areas of limited alternatives; these fisheries activities serve as important drivers of economic development. In addition to fisheries, non-living marine resources exploitation is socially and economically important with total marine goods extraction recently estimated to be worth some US$269 billion per annum. Commercial fisheries and the extraction of non-living natural resources such as oil, gas, diamonds and other minerals, are the focus of industrial activities in the region.</w:t>
      </w:r>
    </w:p>
    <w:p w14:paraId="6808F796" w14:textId="77777777" w:rsidR="00CF33D9" w:rsidRDefault="00CF33D9">
      <w:pPr>
        <w:jc w:val="both"/>
        <w:rPr>
          <w:rFonts w:ascii="Calibri" w:eastAsia="Calibri" w:hAnsi="Calibri" w:cs="Calibri"/>
          <w:color w:val="000000"/>
          <w:sz w:val="20"/>
          <w:szCs w:val="20"/>
        </w:rPr>
      </w:pPr>
    </w:p>
    <w:p w14:paraId="6808F797" w14:textId="77777777" w:rsidR="00CF33D9" w:rsidRDefault="00E3332A">
      <w:pPr>
        <w:jc w:val="both"/>
        <w:rPr>
          <w:rFonts w:ascii="Calibri" w:eastAsia="Calibri" w:hAnsi="Calibri" w:cs="Calibri"/>
          <w:color w:val="000000"/>
          <w:sz w:val="20"/>
          <w:szCs w:val="20"/>
        </w:rPr>
      </w:pPr>
      <w:r>
        <w:rPr>
          <w:rFonts w:ascii="Calibri" w:eastAsia="Calibri" w:hAnsi="Calibri" w:cs="Calibri"/>
          <w:color w:val="000000"/>
          <w:sz w:val="20"/>
          <w:szCs w:val="20"/>
        </w:rPr>
        <w:t>The shared nature of the BCLME and its many natural resources, combined with the transboundary sources and the environmental pressures to which it is subjected, made it imperative for the Parties to adopt a collaborative and coordinated ecosystem approach to the sustainable use and management of the BCLME. In this context, the development of Transboundary Diagnostic Analysis (TDA) in 2013 (updated in 2020) and Strategic Action Programme (SAP) in 2014 (updated in 2023), provided a framework for coordination and integration of regional and national interventions for sustainable use of the BCLME ecosystem resources.</w:t>
      </w:r>
    </w:p>
    <w:p w14:paraId="6808F798" w14:textId="77777777" w:rsidR="00CF33D9" w:rsidRDefault="00CF33D9">
      <w:pPr>
        <w:rPr>
          <w:rFonts w:ascii="Calibri" w:hAnsi="Calibri" w:cs="Calibri"/>
          <w:sz w:val="20"/>
          <w:szCs w:val="20"/>
        </w:rPr>
      </w:pPr>
    </w:p>
    <w:p w14:paraId="6808F799"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The Transboundary Diagnostic Analysis (TDA)</w:t>
      </w:r>
      <w:r>
        <w:rPr>
          <w:rFonts w:ascii="Calibri" w:eastAsia="Arial" w:hAnsi="Calibri" w:cs="Calibri"/>
          <w:sz w:val="20"/>
          <w:szCs w:val="20"/>
          <w:vertAlign w:val="superscript"/>
        </w:rPr>
        <w:footnoteReference w:id="2"/>
      </w:r>
      <w:r>
        <w:rPr>
          <w:rFonts w:ascii="Calibri" w:eastAsia="Calibri" w:hAnsi="Calibri" w:cs="Calibri"/>
          <w:sz w:val="20"/>
          <w:szCs w:val="20"/>
        </w:rPr>
        <w:t xml:space="preserve"> identified the following major environmental problems that the BCLME region is facing, including the drivers and root causes:</w:t>
      </w:r>
    </w:p>
    <w:p w14:paraId="6808F79A" w14:textId="77777777" w:rsidR="00CF33D9" w:rsidRDefault="00CF33D9">
      <w:pPr>
        <w:jc w:val="both"/>
        <w:rPr>
          <w:rFonts w:ascii="Calibri" w:eastAsia="Calibri" w:hAnsi="Calibri" w:cs="Calibri"/>
          <w:sz w:val="20"/>
          <w:szCs w:val="20"/>
        </w:rPr>
      </w:pPr>
    </w:p>
    <w:p w14:paraId="6808F79B" w14:textId="77777777" w:rsidR="00CF33D9" w:rsidRDefault="00E3332A">
      <w:pPr>
        <w:numPr>
          <w:ilvl w:val="0"/>
          <w:numId w:val="12"/>
        </w:num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ind w:left="426" w:hanging="426"/>
        <w:jc w:val="both"/>
        <w:rPr>
          <w:rFonts w:ascii="Calibri" w:eastAsia="Calibri" w:hAnsi="Calibri" w:cs="Calibri"/>
          <w:color w:val="000000"/>
          <w:sz w:val="20"/>
          <w:szCs w:val="20"/>
        </w:rPr>
      </w:pPr>
      <w:r>
        <w:rPr>
          <w:rFonts w:ascii="Calibri" w:eastAsia="Calibri" w:hAnsi="Calibri" w:cs="Calibri"/>
          <w:color w:val="000000"/>
          <w:sz w:val="20"/>
          <w:szCs w:val="20"/>
        </w:rPr>
        <w:t xml:space="preserve">Unsustainable exploitation of fisheries: Major drivers for overfishing and IUU are population and cultural pressures (high dependence on fisheries for food security, employment, livelihoods, income, and export earnings), limited alternative livelihood opportunities, unsustainable development models, and conflicts over rights of access. Root causes include weak governance, low public awareness, inadequate fisheries management, limited regional collaboration in managing shared stocks, inadequate data and information, inadequate monitoring, surveillance and enforcement, and limited human, technical, and institutional capacity. </w:t>
      </w:r>
    </w:p>
    <w:p w14:paraId="6808F79C" w14:textId="77777777" w:rsidR="00CF33D9" w:rsidRDefault="00E3332A">
      <w:pPr>
        <w:numPr>
          <w:ilvl w:val="0"/>
          <w:numId w:val="12"/>
        </w:num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ind w:left="426" w:hanging="426"/>
        <w:jc w:val="both"/>
        <w:rPr>
          <w:rFonts w:ascii="Calibri" w:eastAsia="Arial" w:hAnsi="Calibri" w:cs="Calibri"/>
          <w:color w:val="000000"/>
          <w:sz w:val="20"/>
          <w:szCs w:val="20"/>
        </w:rPr>
      </w:pPr>
      <w:r>
        <w:rPr>
          <w:rFonts w:ascii="Calibri" w:eastAsia="Calibri" w:hAnsi="Calibri" w:cs="Calibri"/>
          <w:color w:val="000000"/>
          <w:sz w:val="20"/>
          <w:szCs w:val="20"/>
        </w:rPr>
        <w:t xml:space="preserve">Habitat degradation and biodiversity loss: Drivers </w:t>
      </w:r>
      <w:r>
        <w:rPr>
          <w:rFonts w:ascii="Calibri" w:eastAsia="Calibri" w:hAnsi="Calibri" w:cs="Calibri"/>
          <w:sz w:val="20"/>
          <w:szCs w:val="20"/>
        </w:rPr>
        <w:t>for habitat</w:t>
      </w:r>
      <w:r>
        <w:rPr>
          <w:rFonts w:ascii="Calibri" w:eastAsia="Calibri" w:hAnsi="Calibri" w:cs="Calibri"/>
          <w:color w:val="000000"/>
          <w:sz w:val="20"/>
          <w:szCs w:val="20"/>
        </w:rPr>
        <w:t xml:space="preserve"> degradation and biodiversity loss include growing coastal population, low political will and commitment to confront harmful fishing, </w:t>
      </w:r>
      <w:r>
        <w:rPr>
          <w:rFonts w:ascii="Calibri" w:eastAsia="Calibri" w:hAnsi="Calibri" w:cs="Calibri"/>
          <w:color w:val="000000"/>
          <w:sz w:val="20"/>
          <w:szCs w:val="20"/>
        </w:rPr>
        <w:lastRenderedPageBreak/>
        <w:t xml:space="preserve">unsustainable agricultural and tourism practices, improperly planned coastal development, land-use changes, and inadequate waste management, and high dependence on marine ecosystem goods and services for socio-economic development. Root causes include weak and ineffective legal, policy and institutional frameworks, no </w:t>
      </w:r>
      <w:r>
        <w:rPr>
          <w:rFonts w:ascii="Calibri" w:eastAsia="Calibri" w:hAnsi="Calibri" w:cs="Calibri"/>
          <w:sz w:val="20"/>
          <w:szCs w:val="20"/>
        </w:rPr>
        <w:t>internalisation</w:t>
      </w:r>
      <w:r>
        <w:rPr>
          <w:rFonts w:ascii="Calibri" w:eastAsia="Calibri" w:hAnsi="Calibri" w:cs="Calibri"/>
          <w:color w:val="000000"/>
          <w:sz w:val="20"/>
          <w:szCs w:val="20"/>
        </w:rPr>
        <w:t xml:space="preserve"> of the cost of ecosystem degradation, limited data and information, and low public awareness.</w:t>
      </w:r>
    </w:p>
    <w:p w14:paraId="6808F79D" w14:textId="77777777" w:rsidR="00CF33D9" w:rsidRDefault="00E3332A">
      <w:pPr>
        <w:numPr>
          <w:ilvl w:val="0"/>
          <w:numId w:val="12"/>
        </w:num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ind w:left="426" w:hanging="426"/>
        <w:jc w:val="both"/>
        <w:rPr>
          <w:rFonts w:ascii="Calibri" w:eastAsia="Calibri" w:hAnsi="Calibri" w:cs="Calibri"/>
          <w:color w:val="000000"/>
          <w:sz w:val="20"/>
          <w:szCs w:val="20"/>
        </w:rPr>
      </w:pPr>
      <w:r>
        <w:rPr>
          <w:rFonts w:ascii="Calibri" w:eastAsia="Calibri" w:hAnsi="Calibri" w:cs="Calibri"/>
          <w:color w:val="000000"/>
          <w:sz w:val="20"/>
          <w:szCs w:val="20"/>
        </w:rPr>
        <w:t>Marine pollution: Drivers of marine pollution include population growth, weak political will and commitment, low public awareness, few incentives for sustainable practices, and poverty of coastal communities. Root causes of marine pollution include inadequate waste treatment infrastructure and inadequate waste management, improperly planned coastal development, uncontrolled growth of informal coastal settlements, land-use changes, harmful agricultural practices, leakage and accidents at sea, and inadequate surveillance and compliance monitoring.</w:t>
      </w:r>
    </w:p>
    <w:p w14:paraId="6808F79E" w14:textId="77777777" w:rsidR="00CF33D9" w:rsidRDefault="00E3332A">
      <w:pPr>
        <w:numPr>
          <w:ilvl w:val="0"/>
          <w:numId w:val="12"/>
        </w:num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ind w:left="426" w:hanging="426"/>
        <w:jc w:val="both"/>
        <w:rPr>
          <w:rFonts w:ascii="Calibri" w:eastAsia="Calibri" w:hAnsi="Calibri" w:cs="Calibri"/>
          <w:color w:val="000000"/>
          <w:sz w:val="20"/>
          <w:szCs w:val="20"/>
        </w:rPr>
      </w:pPr>
      <w:r>
        <w:rPr>
          <w:rFonts w:ascii="Calibri" w:eastAsia="Calibri" w:hAnsi="Calibri" w:cs="Calibri"/>
          <w:color w:val="000000"/>
          <w:sz w:val="20"/>
          <w:szCs w:val="20"/>
        </w:rPr>
        <w:t>Global warming and climate change: Drivers for climate change include greenhouse gas emissions, inappropriate technologies, and limited access to and investment in green technologies, energy inefficiency, unsustainable agricultural practices, land-use change/ deforestation, limited implementation of international obligations (Paris Agreement), ineffective legal, policy and institutional frameworks, limited financial resources, knowledge, and human capacity.</w:t>
      </w:r>
    </w:p>
    <w:p w14:paraId="6808F79F" w14:textId="77777777" w:rsidR="00CF33D9" w:rsidRDefault="00CF33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Calibri" w:hAnsi="Calibri" w:cs="Calibri"/>
          <w:sz w:val="20"/>
          <w:szCs w:val="20"/>
        </w:rPr>
      </w:pPr>
    </w:p>
    <w:p w14:paraId="6808F7A0" w14:textId="77777777" w:rsidR="00CF33D9" w:rsidRDefault="00E333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libri" w:eastAsia="Calibri" w:hAnsi="Calibri" w:cs="Calibri"/>
          <w:color w:val="000000"/>
          <w:sz w:val="20"/>
          <w:szCs w:val="20"/>
        </w:rPr>
      </w:pPr>
      <w:r>
        <w:rPr>
          <w:rFonts w:ascii="Calibri" w:eastAsia="Calibri" w:hAnsi="Calibri" w:cs="Calibri"/>
          <w:color w:val="000000"/>
          <w:sz w:val="20"/>
          <w:szCs w:val="20"/>
        </w:rPr>
        <w:t xml:space="preserve">In the baseline scenario, or if nothing or not enough is done, problems enumerated above will lead to further impoverishment of coastal communities in all three countries and to  increased unsustainable use of marine and coastal resources. If left unchecked, this will be accompanied by increases in pollution and wastes to the ocean, and leading to increased biodiversity, habitat and ecosystem degradation. This in turn will lead to reduced ocean capacity </w:t>
      </w:r>
      <w:r>
        <w:rPr>
          <w:rFonts w:ascii="Calibri" w:eastAsia="Calibri" w:hAnsi="Calibri" w:cs="Calibri"/>
          <w:sz w:val="20"/>
          <w:szCs w:val="20"/>
        </w:rPr>
        <w:t>to regenerate</w:t>
      </w:r>
      <w:r>
        <w:rPr>
          <w:rFonts w:ascii="Calibri" w:eastAsia="Calibri" w:hAnsi="Calibri" w:cs="Calibri"/>
          <w:color w:val="000000"/>
          <w:sz w:val="20"/>
          <w:szCs w:val="20"/>
        </w:rPr>
        <w:t xml:space="preserve"> species and maintain food web balance, and to produce oxygen, to sequester and capture carbon. It will also lead to reduced resource viability, not only in terms of harvestable biomass volumes but access to fishing grounds amidst rougher seas and unpredictable and ongoing changes in resource distribution. </w:t>
      </w:r>
    </w:p>
    <w:p w14:paraId="6808F7A1" w14:textId="77777777" w:rsidR="00CF33D9" w:rsidRDefault="00CF33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libri" w:eastAsia="Calibri" w:hAnsi="Calibri" w:cs="Calibri"/>
          <w:color w:val="000000"/>
          <w:sz w:val="20"/>
          <w:szCs w:val="20"/>
        </w:rPr>
      </w:pPr>
    </w:p>
    <w:p w14:paraId="6808F7A2" w14:textId="77777777" w:rsidR="00CF33D9" w:rsidRDefault="00E333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libri" w:eastAsia="Calibri" w:hAnsi="Calibri" w:cs="Calibri"/>
          <w:color w:val="000000"/>
          <w:sz w:val="20"/>
          <w:szCs w:val="20"/>
        </w:rPr>
      </w:pPr>
      <w:r>
        <w:rPr>
          <w:rFonts w:ascii="Calibri" w:eastAsia="Calibri" w:hAnsi="Calibri" w:cs="Calibri"/>
          <w:color w:val="000000"/>
          <w:sz w:val="20"/>
          <w:szCs w:val="20"/>
        </w:rPr>
        <w:t xml:space="preserve">Coastal areas are projected to become more populous around Africa, including the BCLME region, implying higher demand for decent lives, incomes, improved livelihood security, and to pursue business opportunities. The current critical demand for jobs, incomes and food security in the region, if not addressed with viable, sustainable and scalable blue/ocean economy solutions, will result in higher incidences of illegal use of ocean resources, over harvesting and the implementation of poorly coordinated and designed income-generating interventions. Job losses and business closures in the three countries have been significant, as experienced elsewhere in Africa and the world which, aside from pre-existing migrations to coastal areas for better opportunities, places higher pressures on national and local level resources. In Namibia, it is estimated that more than 14,500 persons lost their jobs, while in South Africa the number exceeds 3 million people. The countries have on average above 35% youth unemployment levels with women making up the highest proportion. Many youths have not completed secondary schooling, have limited skills and are lured into easy-money-making schemes that include illegal use of resources. This can exacerbate in time if opportunities for upskilling, vocational training and or entrepreneurship are not offered and financed. Addressing environmental problems and resulting socio-economic impacts in the BCLME region requires innovative climate-resilient, and sustainability-driven approaches for economic growth, based on adequate competencies for successful implementation. </w:t>
      </w:r>
    </w:p>
    <w:p w14:paraId="6808F7A3" w14:textId="77777777" w:rsidR="00CF33D9" w:rsidRDefault="00CF33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libri" w:eastAsia="Calibri" w:hAnsi="Calibri" w:cs="Calibri"/>
          <w:color w:val="000000"/>
          <w:sz w:val="20"/>
          <w:szCs w:val="20"/>
        </w:rPr>
      </w:pPr>
    </w:p>
    <w:p w14:paraId="6808F7A4" w14:textId="77777777" w:rsidR="00CF33D9" w:rsidRDefault="00E3332A">
      <w:pPr>
        <w:jc w:val="both"/>
        <w:rPr>
          <w:rFonts w:ascii="Calibri" w:hAnsi="Calibri" w:cs="Calibri"/>
          <w:sz w:val="20"/>
          <w:szCs w:val="20"/>
        </w:rPr>
      </w:pPr>
      <w:r>
        <w:rPr>
          <w:rFonts w:ascii="Calibri" w:eastAsia="Calibri" w:hAnsi="Calibri" w:cs="Calibri"/>
          <w:color w:val="000000"/>
          <w:sz w:val="20"/>
          <w:szCs w:val="20"/>
        </w:rPr>
        <w:t xml:space="preserve">Implementation of BCLME  SAP requires a strong political will and awareness of economic benefits from long-term sustainable development. Although there is a growing appreciation of this link among decision makers, the critical ties between the need for marine ecosystem preservation and conservation and sustainable use of coastal and marine resources, and coastal and marine economic development may not yet be fully understood. In other words, the concept of the Sustainable Blue Economy (SBE) has not yet fully taken roots in the countries of the BCLME region. Governments may also pursue sectoral economic development at the cost of long-term sustainable development within and between the BCLME countries. Failure to harmonise informed efforts at the local, national and transboundary levels is likely to have negative effects. </w:t>
      </w:r>
    </w:p>
    <w:p w14:paraId="6808F7A5" w14:textId="77777777" w:rsidR="00CF33D9" w:rsidRDefault="00CF33D9">
      <w:pPr>
        <w:rPr>
          <w:rFonts w:ascii="Calibri" w:hAnsi="Calibri" w:cs="Calibri"/>
          <w:sz w:val="20"/>
          <w:szCs w:val="20"/>
        </w:rPr>
      </w:pPr>
    </w:p>
    <w:p w14:paraId="6808F7A6" w14:textId="77777777" w:rsidR="00CF33D9" w:rsidRDefault="00E333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libri" w:eastAsia="Calibri" w:hAnsi="Calibri" w:cs="Calibri"/>
          <w:color w:val="000000"/>
          <w:sz w:val="20"/>
          <w:szCs w:val="20"/>
        </w:rPr>
      </w:pPr>
      <w:r>
        <w:rPr>
          <w:rFonts w:ascii="Calibri" w:eastAsia="Calibri" w:hAnsi="Calibri" w:cs="Calibri"/>
          <w:color w:val="000000"/>
          <w:sz w:val="20"/>
          <w:szCs w:val="20"/>
        </w:rPr>
        <w:t xml:space="preserve">While one of the SAP’s main aims was to reduce negative impacts of the above problems and pave the way for a successful transition of regional economies from the ocean one to SBE, in particular by improving </w:t>
      </w:r>
      <w:r>
        <w:rPr>
          <w:rFonts w:ascii="Calibri" w:eastAsia="Calibri" w:hAnsi="Calibri" w:cs="Calibri"/>
          <w:color w:val="000000"/>
          <w:sz w:val="20"/>
          <w:szCs w:val="20"/>
        </w:rPr>
        <w:lastRenderedPageBreak/>
        <w:t>sustainable marine resource management practices,  its implementation is still facing a number of barriers, which this project is aiming to address and create a favourable context for a transition to a climate resilient SBE. The following barriers were identified:</w:t>
      </w:r>
    </w:p>
    <w:p w14:paraId="6808F7A7" w14:textId="77777777" w:rsidR="00CF33D9" w:rsidRDefault="00CF33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libri" w:eastAsia="Calibri" w:hAnsi="Calibri" w:cs="Calibri"/>
          <w:color w:val="000000"/>
          <w:sz w:val="20"/>
          <w:szCs w:val="20"/>
        </w:rPr>
      </w:pPr>
    </w:p>
    <w:p w14:paraId="6808F7A8" w14:textId="77777777" w:rsidR="00CF33D9" w:rsidRDefault="00E3332A">
      <w:pPr>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26" w:hanging="426"/>
        <w:jc w:val="both"/>
        <w:rPr>
          <w:rFonts w:ascii="Calibri" w:eastAsia="Calibri" w:hAnsi="Calibri" w:cs="Calibri"/>
          <w:color w:val="000000"/>
          <w:sz w:val="20"/>
          <w:szCs w:val="20"/>
        </w:rPr>
      </w:pPr>
      <w:r>
        <w:rPr>
          <w:rFonts w:ascii="Calibri" w:eastAsia="Calibri" w:hAnsi="Calibri" w:cs="Calibri"/>
          <w:color w:val="000000"/>
          <w:sz w:val="20"/>
          <w:szCs w:val="20"/>
        </w:rPr>
        <w:t>Policy &amp; Regulatory:</w:t>
      </w:r>
    </w:p>
    <w:p w14:paraId="6808F7A9" w14:textId="77777777" w:rsidR="00CF33D9" w:rsidRDefault="00E3332A">
      <w:pPr>
        <w:numPr>
          <w:ilvl w:val="1"/>
          <w:numId w:val="13"/>
        </w:numPr>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ind w:left="709" w:hanging="283"/>
        <w:jc w:val="both"/>
        <w:rPr>
          <w:rFonts w:ascii="Calibri" w:eastAsia="Calibri" w:hAnsi="Calibri" w:cs="Calibri"/>
          <w:color w:val="000000"/>
          <w:sz w:val="20"/>
          <w:szCs w:val="20"/>
        </w:rPr>
      </w:pPr>
      <w:r>
        <w:rPr>
          <w:rFonts w:ascii="Calibri" w:eastAsia="Calibri" w:hAnsi="Calibri" w:cs="Calibri"/>
          <w:color w:val="000000"/>
          <w:sz w:val="20"/>
          <w:szCs w:val="20"/>
        </w:rPr>
        <w:t>Lack of sufficient capacity to implement the existing legislation effectively</w:t>
      </w:r>
    </w:p>
    <w:p w14:paraId="6808F7AA" w14:textId="77777777" w:rsidR="00CF33D9" w:rsidRDefault="00E3332A">
      <w:pPr>
        <w:numPr>
          <w:ilvl w:val="0"/>
          <w:numId w:val="14"/>
        </w:numPr>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ind w:hanging="294"/>
        <w:rPr>
          <w:rFonts w:ascii="Calibri" w:eastAsia="Calibri" w:hAnsi="Calibri" w:cs="Calibri"/>
          <w:color w:val="000000"/>
          <w:sz w:val="20"/>
          <w:szCs w:val="20"/>
        </w:rPr>
      </w:pPr>
      <w:r>
        <w:rPr>
          <w:rFonts w:ascii="Calibri" w:eastAsia="Calibri" w:hAnsi="Calibri" w:cs="Calibri"/>
          <w:color w:val="000000"/>
          <w:sz w:val="20"/>
          <w:szCs w:val="20"/>
        </w:rPr>
        <w:t>Lack of sustainable finance to support ecosystem protection and the transition to a Sustainable Blue Economy</w:t>
      </w:r>
    </w:p>
    <w:p w14:paraId="6808F7AB" w14:textId="77777777" w:rsidR="00CF33D9" w:rsidRDefault="00E3332A">
      <w:pPr>
        <w:numPr>
          <w:ilvl w:val="0"/>
          <w:numId w:val="14"/>
        </w:numPr>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ind w:hanging="294"/>
        <w:rPr>
          <w:rFonts w:ascii="Calibri" w:eastAsia="Calibri" w:hAnsi="Calibri" w:cs="Calibri"/>
          <w:color w:val="000000"/>
          <w:sz w:val="20"/>
          <w:szCs w:val="20"/>
        </w:rPr>
      </w:pPr>
      <w:r>
        <w:rPr>
          <w:rFonts w:ascii="Calibri" w:eastAsia="Calibri" w:hAnsi="Calibri" w:cs="Calibri"/>
          <w:color w:val="000000"/>
          <w:sz w:val="20"/>
          <w:szCs w:val="20"/>
        </w:rPr>
        <w:t>Limited participation of the private sector in efforts to reduce stress on the coastal and marine ecosystems</w:t>
      </w:r>
    </w:p>
    <w:p w14:paraId="6808F7AC" w14:textId="77777777" w:rsidR="00CF33D9" w:rsidRDefault="00E3332A">
      <w:pPr>
        <w:numPr>
          <w:ilvl w:val="0"/>
          <w:numId w:val="13"/>
        </w:numPr>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ind w:left="426" w:hanging="426"/>
        <w:jc w:val="both"/>
        <w:rPr>
          <w:rFonts w:ascii="Calibri" w:eastAsia="Calibri" w:hAnsi="Calibri" w:cs="Calibri"/>
          <w:color w:val="000000"/>
          <w:sz w:val="20"/>
          <w:szCs w:val="20"/>
        </w:rPr>
      </w:pPr>
      <w:r>
        <w:rPr>
          <w:rFonts w:ascii="Calibri" w:eastAsia="Calibri" w:hAnsi="Calibri" w:cs="Calibri"/>
          <w:color w:val="000000"/>
          <w:sz w:val="20"/>
          <w:szCs w:val="20"/>
        </w:rPr>
        <w:t>Institutional:</w:t>
      </w:r>
    </w:p>
    <w:p w14:paraId="6808F7AD" w14:textId="77777777" w:rsidR="00CF33D9" w:rsidRDefault="00E3332A">
      <w:pPr>
        <w:numPr>
          <w:ilvl w:val="1"/>
          <w:numId w:val="13"/>
        </w:numPr>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ind w:left="709" w:hanging="283"/>
        <w:jc w:val="both"/>
        <w:rPr>
          <w:rFonts w:ascii="Calibri" w:eastAsia="Calibri" w:hAnsi="Calibri" w:cs="Calibri"/>
          <w:color w:val="000000"/>
          <w:sz w:val="20"/>
          <w:szCs w:val="20"/>
        </w:rPr>
      </w:pPr>
      <w:r>
        <w:rPr>
          <w:rFonts w:ascii="Calibri" w:eastAsia="Calibri" w:hAnsi="Calibri" w:cs="Calibri"/>
          <w:color w:val="000000"/>
          <w:sz w:val="20"/>
          <w:szCs w:val="20"/>
        </w:rPr>
        <w:t xml:space="preserve">Limited capacities to monitor the health of marine and coastal habitats </w:t>
      </w:r>
    </w:p>
    <w:p w14:paraId="6808F7AE" w14:textId="77777777" w:rsidR="00CF33D9" w:rsidRDefault="00E3332A">
      <w:pPr>
        <w:numPr>
          <w:ilvl w:val="1"/>
          <w:numId w:val="13"/>
        </w:numPr>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ind w:left="709" w:hanging="283"/>
        <w:jc w:val="both"/>
        <w:rPr>
          <w:rFonts w:ascii="Calibri" w:eastAsia="Calibri" w:hAnsi="Calibri" w:cs="Calibri"/>
          <w:color w:val="000000"/>
          <w:sz w:val="20"/>
          <w:szCs w:val="20"/>
        </w:rPr>
      </w:pPr>
      <w:r>
        <w:rPr>
          <w:rFonts w:ascii="Calibri" w:eastAsia="Calibri" w:hAnsi="Calibri" w:cs="Calibri"/>
          <w:color w:val="000000"/>
          <w:sz w:val="20"/>
          <w:szCs w:val="20"/>
        </w:rPr>
        <w:t>Lack of sufficient capacity to fulfil the demanding and multi-faceted task of fisheries management effectively</w:t>
      </w:r>
    </w:p>
    <w:p w14:paraId="6808F7AF" w14:textId="77777777" w:rsidR="00CF33D9" w:rsidRDefault="00E3332A">
      <w:pPr>
        <w:numPr>
          <w:ilvl w:val="0"/>
          <w:numId w:val="13"/>
        </w:numPr>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ind w:left="426" w:hanging="426"/>
        <w:jc w:val="both"/>
        <w:rPr>
          <w:rFonts w:ascii="Calibri" w:eastAsia="Calibri" w:hAnsi="Calibri" w:cs="Calibri"/>
          <w:color w:val="000000"/>
          <w:sz w:val="20"/>
          <w:szCs w:val="20"/>
        </w:rPr>
      </w:pPr>
      <w:r>
        <w:rPr>
          <w:rFonts w:ascii="Calibri" w:eastAsia="Calibri" w:hAnsi="Calibri" w:cs="Calibri"/>
          <w:color w:val="000000"/>
          <w:sz w:val="20"/>
          <w:szCs w:val="20"/>
        </w:rPr>
        <w:t>Knowledge/informational:</w:t>
      </w:r>
    </w:p>
    <w:p w14:paraId="6808F7B0" w14:textId="77777777" w:rsidR="00CF33D9" w:rsidRDefault="00E3332A">
      <w:pPr>
        <w:numPr>
          <w:ilvl w:val="1"/>
          <w:numId w:val="13"/>
        </w:numPr>
        <w:tabs>
          <w:tab w:val="left" w:pos="1120"/>
          <w:tab w:val="left" w:pos="1680"/>
          <w:tab w:val="left" w:pos="2240"/>
          <w:tab w:val="left" w:pos="2800"/>
          <w:tab w:val="left" w:pos="3360"/>
          <w:tab w:val="left" w:pos="3920"/>
          <w:tab w:val="left" w:pos="4480"/>
          <w:tab w:val="left" w:pos="5040"/>
          <w:tab w:val="left" w:pos="5600"/>
          <w:tab w:val="left" w:pos="6160"/>
          <w:tab w:val="left" w:pos="6720"/>
        </w:tabs>
        <w:ind w:left="709" w:hanging="283"/>
        <w:rPr>
          <w:rFonts w:ascii="Calibri" w:eastAsia="Calibri" w:hAnsi="Calibri" w:cs="Calibri"/>
          <w:color w:val="000000"/>
          <w:sz w:val="20"/>
          <w:szCs w:val="20"/>
        </w:rPr>
      </w:pPr>
      <w:r>
        <w:rPr>
          <w:rFonts w:ascii="Calibri" w:eastAsia="Calibri" w:hAnsi="Calibri" w:cs="Calibri"/>
          <w:color w:val="000000"/>
          <w:sz w:val="20"/>
          <w:szCs w:val="20"/>
        </w:rPr>
        <w:t>Insufficient and limited availability of scientific knowledge/data concerning the impact of human activities on the BCLME</w:t>
      </w:r>
    </w:p>
    <w:p w14:paraId="6808F7B1" w14:textId="77777777" w:rsidR="00CF33D9" w:rsidRDefault="00E3332A">
      <w:pPr>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libri" w:eastAsia="Calibri" w:hAnsi="Calibri" w:cs="Calibri"/>
          <w:color w:val="000000"/>
          <w:sz w:val="20"/>
          <w:szCs w:val="20"/>
        </w:rPr>
      </w:pPr>
      <w:r>
        <w:rPr>
          <w:rFonts w:ascii="Calibri" w:eastAsia="Calibri" w:hAnsi="Calibri" w:cs="Calibri"/>
          <w:color w:val="000000"/>
          <w:sz w:val="20"/>
          <w:szCs w:val="20"/>
        </w:rPr>
        <w:t xml:space="preserve"> </w:t>
      </w:r>
    </w:p>
    <w:p w14:paraId="6808F7B2" w14:textId="77777777" w:rsidR="00CF33D9" w:rsidRDefault="00E3332A">
      <w:pPr>
        <w:pStyle w:val="Heading1"/>
        <w:rPr>
          <w:rFonts w:ascii="Calibri" w:hAnsi="Calibri" w:cs="Calibri"/>
          <w:sz w:val="20"/>
          <w:szCs w:val="20"/>
        </w:rPr>
      </w:pPr>
      <w:r>
        <w:rPr>
          <w:rFonts w:ascii="Calibri" w:hAnsi="Calibri" w:cs="Calibri"/>
          <w:sz w:val="20"/>
          <w:szCs w:val="20"/>
        </w:rPr>
        <w:t xml:space="preserve"> </w:t>
      </w:r>
      <w:bookmarkStart w:id="6" w:name="_Toc169739146"/>
      <w:r>
        <w:rPr>
          <w:rFonts w:ascii="Calibri" w:hAnsi="Calibri" w:cs="Calibri"/>
          <w:sz w:val="20"/>
          <w:szCs w:val="20"/>
        </w:rPr>
        <w:t>II.</w:t>
      </w:r>
      <w:r>
        <w:rPr>
          <w:rFonts w:ascii="Calibri" w:hAnsi="Calibri" w:cs="Calibri"/>
          <w:sz w:val="20"/>
          <w:szCs w:val="20"/>
        </w:rPr>
        <w:tab/>
        <w:t>Strategy</w:t>
      </w:r>
      <w:bookmarkEnd w:id="6"/>
      <w:r>
        <w:rPr>
          <w:rFonts w:ascii="Calibri" w:hAnsi="Calibri" w:cs="Calibri"/>
          <w:sz w:val="20"/>
          <w:szCs w:val="20"/>
        </w:rPr>
        <w:t xml:space="preserve"> </w:t>
      </w:r>
    </w:p>
    <w:p w14:paraId="6808F7B3" w14:textId="77777777" w:rsidR="00CF33D9" w:rsidRDefault="00CF33D9">
      <w:pPr>
        <w:jc w:val="both"/>
        <w:rPr>
          <w:rFonts w:ascii="Calibri" w:eastAsia="Calibri" w:hAnsi="Calibri" w:cs="Calibri"/>
          <w:i/>
          <w:sz w:val="20"/>
          <w:szCs w:val="20"/>
          <w:highlight w:val="yellow"/>
        </w:rPr>
      </w:pPr>
    </w:p>
    <w:p w14:paraId="6808F7B4" w14:textId="77777777" w:rsidR="00CF33D9" w:rsidRDefault="00E333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libri" w:eastAsia="Calibri" w:hAnsi="Calibri" w:cs="Calibri"/>
          <w:color w:val="000000"/>
          <w:sz w:val="20"/>
          <w:szCs w:val="20"/>
        </w:rPr>
      </w:pPr>
      <w:r>
        <w:rPr>
          <w:rFonts w:ascii="Calibri" w:eastAsia="Calibri" w:hAnsi="Calibri" w:cs="Calibri"/>
          <w:color w:val="000000"/>
          <w:sz w:val="20"/>
          <w:szCs w:val="20"/>
        </w:rPr>
        <w:t>This project has been selected because it addresses the problems described above building on current and past initiatives while providing solutions to emerging issues in the BCLME region. This project builds on the previous investments under 3 UNDP- GEF phases in the BCLME region to ensure sustainability. This project will support the implementation of the BCC’s updated Strategic Action Program (SAP). The BCLME IV project will work to address the priority transboundary environmental concerns of the SAP, in relation to: living marine resources, non-living marine resources, ecosystem health and biodiversity loss, pollution, and climate change, as well as addressing the human dimensions and governance concerns. The objective of the SAP and NAPs is to promote the sustainable use of the BCLME marine resources within a climate-resilient, blue economy/sustainable ocean economy framework. Over the longer term, implementation of the SAP will restore depleted living marine resources and degraded marine habitats, thus enhancing sustainable development opportunities within the BCLME region and increasing the resilience of marine ecosystems as well as dependent coastal communities to climate change impacts.</w:t>
      </w:r>
    </w:p>
    <w:p w14:paraId="6808F7B5" w14:textId="77777777" w:rsidR="00CF33D9" w:rsidRDefault="00CF33D9">
      <w:pPr>
        <w:jc w:val="both"/>
        <w:rPr>
          <w:rFonts w:ascii="Calibri" w:eastAsia="Calibri" w:hAnsi="Calibri" w:cs="Calibri"/>
          <w:color w:val="000000"/>
          <w:sz w:val="20"/>
          <w:szCs w:val="20"/>
        </w:rPr>
      </w:pPr>
    </w:p>
    <w:p w14:paraId="6808F7B6" w14:textId="77777777" w:rsidR="00CF33D9" w:rsidRDefault="00E333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libri" w:eastAsia="Calibri" w:hAnsi="Calibri" w:cs="Calibri"/>
          <w:color w:val="000000"/>
          <w:sz w:val="20"/>
          <w:szCs w:val="20"/>
        </w:rPr>
      </w:pPr>
      <w:r>
        <w:rPr>
          <w:rFonts w:ascii="Calibri" w:eastAsia="Calibri" w:hAnsi="Calibri" w:cs="Calibri"/>
          <w:color w:val="000000"/>
          <w:sz w:val="20"/>
          <w:szCs w:val="20"/>
        </w:rPr>
        <w:t>The Blue Economy / sustainable ocean economy concept is recognized as central to sustainable development seeking a balance between socio-economic benefits and ecological conservation. The World Bank defines the Blue Economy as the “</w:t>
      </w:r>
      <w:r>
        <w:rPr>
          <w:rFonts w:ascii="Calibri" w:eastAsia="Calibri" w:hAnsi="Calibri" w:cs="Calibri"/>
          <w:i/>
          <w:color w:val="000000"/>
          <w:sz w:val="20"/>
          <w:szCs w:val="20"/>
        </w:rPr>
        <w:t xml:space="preserve">sustainable use of ocean resources for economic growth, improved livelihoods, and jobs while preserving the health </w:t>
      </w:r>
      <w:r>
        <w:rPr>
          <w:rFonts w:ascii="Calibri" w:eastAsia="Calibri" w:hAnsi="Calibri" w:cs="Calibri"/>
          <w:i/>
          <w:sz w:val="20"/>
          <w:szCs w:val="20"/>
        </w:rPr>
        <w:t>of the ocean</w:t>
      </w:r>
      <w:r>
        <w:rPr>
          <w:rFonts w:ascii="Calibri" w:eastAsia="Calibri" w:hAnsi="Calibri" w:cs="Calibri"/>
          <w:i/>
          <w:color w:val="000000"/>
          <w:sz w:val="20"/>
          <w:szCs w:val="20"/>
        </w:rPr>
        <w:t xml:space="preserve"> ecosystem</w:t>
      </w:r>
      <w:r>
        <w:rPr>
          <w:rFonts w:ascii="Calibri" w:eastAsia="Calibri" w:hAnsi="Calibri" w:cs="Calibri"/>
          <w:color w:val="000000"/>
          <w:sz w:val="20"/>
          <w:szCs w:val="20"/>
        </w:rPr>
        <w:t>”. The project will be implementing its activities following basic principles of the above definition of SBE and be building upon the SAP promoted integrated approach to the blue economy / sustainable ocean economy, pushing for the sustainable use of ocean resources for economic growth, improved sustainable livelihoods, and maintaining/restoring the health and productivity of the BCLME. It explicitly calls for the integration of blue economy / ocean economy principles in the solutions to address the priority transboundary issues confronting the BCLME.</w:t>
      </w:r>
    </w:p>
    <w:p w14:paraId="6808F7B7" w14:textId="77777777" w:rsidR="00CF33D9" w:rsidRDefault="00CF33D9">
      <w:pPr>
        <w:jc w:val="both"/>
        <w:rPr>
          <w:rFonts w:ascii="Calibri" w:eastAsia="Calibri" w:hAnsi="Calibri" w:cs="Calibri"/>
          <w:color w:val="000000"/>
          <w:sz w:val="20"/>
          <w:szCs w:val="20"/>
        </w:rPr>
      </w:pPr>
    </w:p>
    <w:p w14:paraId="6808F7B8" w14:textId="77777777" w:rsidR="00CF33D9" w:rsidRDefault="00E3332A">
      <w:pPr>
        <w:jc w:val="both"/>
        <w:rPr>
          <w:rFonts w:ascii="Calibri" w:eastAsia="Calibri" w:hAnsi="Calibri" w:cs="Calibri"/>
          <w:sz w:val="20"/>
          <w:szCs w:val="20"/>
        </w:rPr>
      </w:pPr>
      <w:r>
        <w:rPr>
          <w:rFonts w:ascii="Calibri" w:eastAsia="Calibri" w:hAnsi="Calibri" w:cs="Calibri"/>
          <w:color w:val="000000"/>
          <w:sz w:val="20"/>
          <w:szCs w:val="20"/>
        </w:rPr>
        <w:t>The Africa Blue Economy Strategy does not come forward with a definition, but it states as its objective to “…</w:t>
      </w:r>
      <w:r>
        <w:rPr>
          <w:rFonts w:ascii="Calibri" w:eastAsia="Calibri" w:hAnsi="Calibri" w:cs="Calibri"/>
          <w:i/>
          <w:color w:val="000000"/>
          <w:sz w:val="20"/>
          <w:szCs w:val="20"/>
        </w:rPr>
        <w:t>guide the development of an inclusive and sustainable blue economy that becomes a significant contributor to continental transformation and growth, through advancing knowledge on marine and aquatic biotechnology, environmental sustainability, the growth of an Africa-wide shipping industry, the development of sea, river and lake transport, the management of fishing activities on these aquatic spaces, and the exploitation and beneficiation of deep sea mineral and other resources.”</w:t>
      </w:r>
      <w:r>
        <w:rPr>
          <w:rFonts w:ascii="Calibri" w:eastAsia="Calibri" w:hAnsi="Calibri" w:cs="Calibri"/>
          <w:i/>
          <w:color w:val="000000"/>
          <w:sz w:val="20"/>
          <w:szCs w:val="20"/>
          <w:vertAlign w:val="superscript"/>
        </w:rPr>
        <w:footnoteReference w:id="3"/>
      </w:r>
      <w:r>
        <w:rPr>
          <w:rFonts w:ascii="Calibri" w:eastAsia="Calibri" w:hAnsi="Calibri" w:cs="Calibri"/>
          <w:i/>
          <w:color w:val="000000"/>
          <w:sz w:val="20"/>
          <w:szCs w:val="20"/>
        </w:rPr>
        <w:t xml:space="preserve"> </w:t>
      </w:r>
      <w:r>
        <w:rPr>
          <w:rFonts w:ascii="Calibri" w:eastAsia="Calibri" w:hAnsi="Calibri" w:cs="Calibri"/>
          <w:color w:val="000000"/>
          <w:sz w:val="20"/>
          <w:szCs w:val="20"/>
        </w:rPr>
        <w:t xml:space="preserve">Strategy promotes an integrated approach to the Blue Economy / sustainable ocean economy, pushing for the sustainable use of ocean </w:t>
      </w:r>
      <w:r>
        <w:rPr>
          <w:rFonts w:ascii="Calibri" w:eastAsia="Calibri" w:hAnsi="Calibri" w:cs="Calibri"/>
          <w:color w:val="000000"/>
          <w:sz w:val="20"/>
          <w:szCs w:val="20"/>
        </w:rPr>
        <w:lastRenderedPageBreak/>
        <w:t>resources for economic growth, improved sustainable livelihoods, and maintaining/restoring the health and productivity in all Africa’s coastal and marine regions, including the BCLME region. </w:t>
      </w:r>
    </w:p>
    <w:p w14:paraId="6808F7B9" w14:textId="77777777" w:rsidR="00CF33D9" w:rsidRDefault="00CF33D9">
      <w:pPr>
        <w:jc w:val="both"/>
        <w:rPr>
          <w:rFonts w:ascii="Calibri" w:eastAsia="Calibri" w:hAnsi="Calibri" w:cs="Calibri"/>
          <w:sz w:val="20"/>
          <w:szCs w:val="20"/>
        </w:rPr>
      </w:pPr>
    </w:p>
    <w:p w14:paraId="6808F7BA" w14:textId="77777777" w:rsidR="00CF33D9" w:rsidRDefault="00E3332A">
      <w:pPr>
        <w:jc w:val="both"/>
        <w:rPr>
          <w:rFonts w:ascii="Calibri" w:eastAsia="Calibri" w:hAnsi="Calibri" w:cs="Calibri"/>
          <w:sz w:val="20"/>
          <w:szCs w:val="20"/>
        </w:rPr>
      </w:pPr>
      <w:r>
        <w:rPr>
          <w:rFonts w:ascii="Calibri" w:eastAsia="Calibri" w:hAnsi="Calibri" w:cs="Calibri"/>
          <w:color w:val="000000"/>
          <w:sz w:val="20"/>
          <w:szCs w:val="20"/>
        </w:rPr>
        <w:t xml:space="preserve">Currently, the Blue Economy in Africa generates US $296 billion per annum, and it is predicted that by 2030 this figure will have increased by 37% and that it will have almost doubled by 2063. These revenues support 49 million jobs, and by 2063 this number is expected to increase by approximately 60% to nearly 80 million jobs. The major sectors underpinning this projected growth are fisheries, aquaculture, international shipping, tourism and offshore oil and gas. Expected new and emerging growth areas include offshore renewable energy, regional shipping, seabed mineral extraction, ‘blue carbon’ and other natural capital investments, education, research and technology. </w:t>
      </w:r>
    </w:p>
    <w:p w14:paraId="6808F7BB" w14:textId="77777777" w:rsidR="00CF33D9" w:rsidRDefault="00CF33D9">
      <w:pPr>
        <w:jc w:val="both"/>
        <w:rPr>
          <w:rFonts w:ascii="Calibri" w:eastAsia="Calibri" w:hAnsi="Calibri" w:cs="Calibri"/>
          <w:sz w:val="20"/>
          <w:szCs w:val="20"/>
        </w:rPr>
      </w:pPr>
    </w:p>
    <w:p w14:paraId="6808F7BC" w14:textId="77777777" w:rsidR="00CF33D9" w:rsidRDefault="00E3332A">
      <w:pPr>
        <w:jc w:val="both"/>
        <w:rPr>
          <w:rFonts w:ascii="Calibri" w:eastAsia="Calibri" w:hAnsi="Calibri" w:cs="Calibri"/>
          <w:sz w:val="20"/>
          <w:szCs w:val="20"/>
        </w:rPr>
      </w:pPr>
      <w:r>
        <w:rPr>
          <w:rFonts w:ascii="Calibri" w:eastAsia="Calibri" w:hAnsi="Calibri" w:cs="Calibri"/>
          <w:color w:val="000000"/>
          <w:sz w:val="20"/>
          <w:szCs w:val="20"/>
        </w:rPr>
        <w:t>South Africa launched its Operation Phakisa initiative in 2014 as a framework policy for the creation of development and wealth from South Africa’s Ocean economy. Operation Phakisa prioritises transport and manufacturing, offshore oil and gas, aquaculture, marine and coastal tourism, small harbour development and protection and governance as sectors of the country’s ocean growth. It sought to increase South Africa’s annual ocean economy contribution from US $3.7 billion to $11.5 billion while also creating 800,000–1 million jobs by 2030.</w:t>
      </w:r>
    </w:p>
    <w:p w14:paraId="6808F7BD" w14:textId="77777777" w:rsidR="00CF33D9" w:rsidRDefault="00CF33D9">
      <w:pPr>
        <w:rPr>
          <w:rFonts w:ascii="Calibri" w:eastAsia="Calibri" w:hAnsi="Calibri" w:cs="Calibri"/>
          <w:sz w:val="20"/>
          <w:szCs w:val="20"/>
        </w:rPr>
      </w:pPr>
    </w:p>
    <w:p w14:paraId="6808F7BE"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The ocean economy has a determining structural weight in Angola, having represented 33.20% of GDP in 2020. In sectoral terms, it can be seen that the oil and gas sector is the one that contributes the most to GDP with 24.61% in 2020. The fishing sector, being the third sector that contributes most to GDP, presents a value of 2.68%. Tourism contributes to GDP with 3.82%. From an employment point of view, the ocean economy is also very significant, with the 4 main sectors accounting for more than 8% of total national employment. Angola’s NAP (2022) mentions national aspirations to develop blue economy that include “…key industries and resources such as fisheries and aquaculture, water resources, shipping and transport, tourism, marine renewable energy, minerals, genetic resources, pharmaceutical, blue carbon trading, biotechnology and general sea-based product, to benefit our economy and its people”. Its Ocean Strategy (2022) puts the SBE at the centre of its vision to be achieved by 2030.</w:t>
      </w:r>
    </w:p>
    <w:p w14:paraId="6808F7BF" w14:textId="77777777" w:rsidR="00CF33D9" w:rsidRDefault="00CF33D9">
      <w:pPr>
        <w:jc w:val="both"/>
        <w:rPr>
          <w:rFonts w:ascii="Calibri" w:eastAsia="Calibri" w:hAnsi="Calibri" w:cs="Calibri"/>
          <w:sz w:val="20"/>
          <w:szCs w:val="20"/>
          <w:highlight w:val="yellow"/>
        </w:rPr>
      </w:pPr>
    </w:p>
    <w:p w14:paraId="6808F7C0" w14:textId="77777777" w:rsidR="00CF33D9" w:rsidRDefault="00E333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libri" w:eastAsia="Calibri" w:hAnsi="Calibri" w:cs="Calibri"/>
          <w:sz w:val="20"/>
          <w:szCs w:val="20"/>
        </w:rPr>
      </w:pPr>
      <w:r>
        <w:rPr>
          <w:rFonts w:ascii="Calibri" w:eastAsia="Calibri" w:hAnsi="Calibri" w:cs="Calibri"/>
          <w:sz w:val="20"/>
          <w:szCs w:val="20"/>
        </w:rPr>
        <w:t>Namibia’s main ocean-related economic sectors are  f</w:t>
      </w:r>
      <w:r>
        <w:rPr>
          <w:rFonts w:ascii="Calibri" w:eastAsia="Calibri" w:hAnsi="Calibri" w:cs="Calibri"/>
          <w:color w:val="000000"/>
          <w:sz w:val="20"/>
          <w:szCs w:val="20"/>
        </w:rPr>
        <w:t xml:space="preserve">ishing, tourism, mining, manufacturing and transport, which contributed 31% to the country’s GDP  in 2017. The aquatic ecosystem also possesses potential </w:t>
      </w:r>
      <w:r>
        <w:rPr>
          <w:rFonts w:ascii="Calibri" w:eastAsia="Calibri" w:hAnsi="Calibri" w:cs="Calibri"/>
          <w:sz w:val="20"/>
          <w:szCs w:val="20"/>
        </w:rPr>
        <w:t>for offshore</w:t>
      </w:r>
      <w:r>
        <w:rPr>
          <w:rFonts w:ascii="Calibri" w:eastAsia="Calibri" w:hAnsi="Calibri" w:cs="Calibri"/>
          <w:color w:val="000000"/>
          <w:sz w:val="20"/>
          <w:szCs w:val="20"/>
        </w:rPr>
        <w:t xml:space="preserve"> and coastal wind energy, green hydrogen, tidal and wave energy, hydro-power, marine biotechnology and bioprospecting, carbon sequestration and carbon trading as </w:t>
      </w:r>
      <w:r>
        <w:rPr>
          <w:rFonts w:ascii="Calibri" w:eastAsia="Calibri" w:hAnsi="Calibri" w:cs="Calibri"/>
          <w:sz w:val="20"/>
          <w:szCs w:val="20"/>
        </w:rPr>
        <w:t>opportunities</w:t>
      </w:r>
      <w:r>
        <w:rPr>
          <w:rFonts w:ascii="Calibri" w:eastAsia="Calibri" w:hAnsi="Calibri" w:cs="Calibri"/>
          <w:color w:val="000000"/>
          <w:sz w:val="20"/>
          <w:szCs w:val="20"/>
        </w:rPr>
        <w:t xml:space="preserve"> for expansion and growth. These sectors are also major drivers for the country’s economic development</w:t>
      </w:r>
      <w:r>
        <w:rPr>
          <w:rFonts w:ascii="Calibri" w:eastAsia="Calibri" w:hAnsi="Calibri" w:cs="Calibri"/>
          <w:sz w:val="20"/>
          <w:szCs w:val="20"/>
        </w:rPr>
        <w:t xml:space="preserve">. </w:t>
      </w:r>
      <w:r>
        <w:rPr>
          <w:rFonts w:ascii="Calibri" w:eastAsia="Calibri" w:hAnsi="Calibri" w:cs="Calibri"/>
          <w:color w:val="000000"/>
          <w:sz w:val="20"/>
          <w:szCs w:val="20"/>
        </w:rPr>
        <w:t>The challenges facing Namibia are the threats of pollution of aquatic ecosystems (such as plastic litter, hazardous chemical, effluent discharge), overfishing and Illegal, Unreported and Unregulated Fishing (IUU) and loss of biodiversity on which a large part of Namibia’s economy relies for employment, foreign exchange earnings, food security among other benefits successful management requires concerted effort among responsible ministries.</w:t>
      </w:r>
      <w:r>
        <w:rPr>
          <w:rFonts w:ascii="Calibri" w:eastAsia="Calibri" w:hAnsi="Calibri" w:cs="Calibri"/>
          <w:sz w:val="20"/>
          <w:szCs w:val="20"/>
        </w:rPr>
        <w:t xml:space="preserve"> Namibia adopted Blue Economic Policy in October 2023.</w:t>
      </w:r>
    </w:p>
    <w:p w14:paraId="6808F7C1" w14:textId="77777777" w:rsidR="00CF33D9" w:rsidRDefault="00CF33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libri" w:eastAsia="Calibri" w:hAnsi="Calibri" w:cs="Calibri"/>
          <w:sz w:val="20"/>
          <w:szCs w:val="20"/>
        </w:rPr>
      </w:pPr>
    </w:p>
    <w:p w14:paraId="6808F7C2" w14:textId="77777777" w:rsidR="00CF33D9" w:rsidRDefault="00E333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libri" w:eastAsia="Calibri" w:hAnsi="Calibri" w:cs="Calibri"/>
          <w:sz w:val="20"/>
          <w:szCs w:val="20"/>
        </w:rPr>
        <w:sectPr w:rsidR="00CF33D9">
          <w:pgSz w:w="12240" w:h="15840"/>
          <w:pgMar w:top="1272" w:right="2011" w:bottom="1375" w:left="1440" w:header="720" w:footer="432" w:gutter="0"/>
          <w:cols w:space="720"/>
          <w:titlePg/>
        </w:sectPr>
      </w:pPr>
      <w:r>
        <w:rPr>
          <w:rFonts w:ascii="Calibri" w:eastAsia="Calibri" w:hAnsi="Calibri" w:cs="Calibri"/>
          <w:color w:val="000000"/>
          <w:sz w:val="20"/>
          <w:szCs w:val="20"/>
        </w:rPr>
        <w:t>The logical framework of the proposed project is rooted in the Theory of Change diagram presented in Figure 1. Its design assumes that by addressing priority concerns on the wider context of marine and coastal management (Component 1), management of marine living resources, which are the main source of income for coastal communities in the BCLME (Components 2), issues of pollution that may hinder successful transformation to SBE (Component 3), promoting innovative and sustainable blue/ocean economy finance as a critical prerequisite for a successful transformation of coastal and ocean economies into the SBE one (Component 4), the project  will contribute to the development and implementation of climate-resilient sustainable blue/ocean economies in the BCLME region (long-term impact).</w:t>
      </w:r>
    </w:p>
    <w:p w14:paraId="6808F7C3" w14:textId="77777777" w:rsidR="00CF33D9" w:rsidRDefault="00E333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libri" w:eastAsia="Calibri" w:hAnsi="Calibri" w:cs="Calibri"/>
          <w:color w:val="000000"/>
          <w:sz w:val="20"/>
          <w:szCs w:val="20"/>
        </w:rPr>
      </w:pPr>
      <w:r>
        <w:rPr>
          <w:rFonts w:ascii="Calibri" w:eastAsia="Calibri" w:hAnsi="Calibri" w:cs="Calibri"/>
          <w:noProof/>
          <w:color w:val="000000"/>
          <w:sz w:val="20"/>
          <w:szCs w:val="20"/>
        </w:rPr>
        <w:lastRenderedPageBreak/>
        <mc:AlternateContent>
          <mc:Choice Requires="wps">
            <w:drawing>
              <wp:anchor distT="0" distB="0" distL="114300" distR="114300" simplePos="0" relativeHeight="251784704" behindDoc="0" locked="0" layoutInCell="1" allowOverlap="1" wp14:anchorId="68092211" wp14:editId="68092212">
                <wp:simplePos x="0" y="0"/>
                <wp:positionH relativeFrom="column">
                  <wp:posOffset>1059180</wp:posOffset>
                </wp:positionH>
                <wp:positionV relativeFrom="paragraph">
                  <wp:posOffset>-262255</wp:posOffset>
                </wp:positionV>
                <wp:extent cx="6173470" cy="376555"/>
                <wp:effectExtent l="0" t="50800" r="0" b="17780"/>
                <wp:wrapNone/>
                <wp:docPr id="729498747" name="Straight Arrow Connector 7"/>
                <wp:cNvGraphicFramePr/>
                <a:graphic xmlns:a="http://schemas.openxmlformats.org/drawingml/2006/main">
                  <a:graphicData uri="http://schemas.microsoft.com/office/word/2010/wordprocessingShape">
                    <wps:wsp>
                      <wps:cNvCnPr/>
                      <wps:spPr>
                        <a:xfrm flipV="1">
                          <a:off x="0" y="0"/>
                          <a:ext cx="6173776" cy="376358"/>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62EEAA6" id="_x0000_t32" coordsize="21600,21600" o:spt="32" o:oned="t" path="m,l21600,21600e" filled="f">
                <v:path arrowok="t" fillok="f" o:connecttype="none"/>
                <o:lock v:ext="edit" shapetype="t"/>
              </v:shapetype>
              <v:shape id="Straight Arrow Connector 7" o:spid="_x0000_s1026" type="#_x0000_t32" style="position:absolute;margin-left:83.4pt;margin-top:-20.65pt;width:486.1pt;height:29.65pt;flip:y;z-index:251784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" strokecolor="black [3213]" strokeweight=".5pt">
                <v:stroke endarrow="block" joinstyle="miter"/>
              </v:shape>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757056" behindDoc="0" locked="0" layoutInCell="1" allowOverlap="1" wp14:anchorId="68092213" wp14:editId="68092214">
                <wp:simplePos x="0" y="0"/>
                <wp:positionH relativeFrom="column">
                  <wp:posOffset>5732145</wp:posOffset>
                </wp:positionH>
                <wp:positionV relativeFrom="paragraph">
                  <wp:posOffset>-262255</wp:posOffset>
                </wp:positionV>
                <wp:extent cx="1557655" cy="369570"/>
                <wp:effectExtent l="0" t="38100" r="5080" b="24765"/>
                <wp:wrapNone/>
                <wp:docPr id="1634032319" name="Straight Arrow Connector 7"/>
                <wp:cNvGraphicFramePr/>
                <a:graphic xmlns:a="http://schemas.openxmlformats.org/drawingml/2006/main">
                  <a:graphicData uri="http://schemas.microsoft.com/office/word/2010/wordprocessingShape">
                    <wps:wsp>
                      <wps:cNvCnPr/>
                      <wps:spPr>
                        <a:xfrm flipV="1">
                          <a:off x="0" y="0"/>
                          <a:ext cx="1557633" cy="36928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32788E6" id="Straight Arrow Connector 7" o:spid="_x0000_s1026" type="#_x0000_t32" style="position:absolute;margin-left:451.35pt;margin-top:-20.65pt;width:122.65pt;height:29.1pt;flip:y;z-index:251757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" strokecolor="black [3213]" strokeweight=".5pt">
                <v:stroke endarrow="block" joinstyle="miter"/>
              </v:shape>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781632" behindDoc="0" locked="0" layoutInCell="1" allowOverlap="1" wp14:anchorId="68092215" wp14:editId="68092216">
                <wp:simplePos x="0" y="0"/>
                <wp:positionH relativeFrom="column">
                  <wp:posOffset>3342005</wp:posOffset>
                </wp:positionH>
                <wp:positionV relativeFrom="paragraph">
                  <wp:posOffset>-264160</wp:posOffset>
                </wp:positionV>
                <wp:extent cx="3822065" cy="368300"/>
                <wp:effectExtent l="0" t="50800" r="0" b="12700"/>
                <wp:wrapNone/>
                <wp:docPr id="2020098219" name="Straight Arrow Connector 7"/>
                <wp:cNvGraphicFramePr/>
                <a:graphic xmlns:a="http://schemas.openxmlformats.org/drawingml/2006/main">
                  <a:graphicData uri="http://schemas.microsoft.com/office/word/2010/wordprocessingShape">
                    <wps:wsp>
                      <wps:cNvCnPr/>
                      <wps:spPr>
                        <a:xfrm flipV="1">
                          <a:off x="0" y="0"/>
                          <a:ext cx="3821824" cy="36843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A89F339" id="Straight Arrow Connector 7" o:spid="_x0000_s1026" type="#_x0000_t32" style="position:absolute;margin-left:263.15pt;margin-top:-20.8pt;width:300.95pt;height:29pt;flip:y;z-index:251781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" strokecolor="black [3213]" strokeweight=".5pt">
                <v:stroke endarrow="block" joinstyle="miter"/>
              </v:shape>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772416" behindDoc="0" locked="0" layoutInCell="1" allowOverlap="1" wp14:anchorId="68092217" wp14:editId="68092218">
                <wp:simplePos x="0" y="0"/>
                <wp:positionH relativeFrom="column">
                  <wp:posOffset>7403465</wp:posOffset>
                </wp:positionH>
                <wp:positionV relativeFrom="paragraph">
                  <wp:posOffset>1878330</wp:posOffset>
                </wp:positionV>
                <wp:extent cx="346710" cy="156845"/>
                <wp:effectExtent l="12700" t="12700" r="21590" b="21590"/>
                <wp:wrapNone/>
                <wp:docPr id="1845361694" name="Left-right Arrow 8"/>
                <wp:cNvGraphicFramePr/>
                <a:graphic xmlns:a="http://schemas.openxmlformats.org/drawingml/2006/main">
                  <a:graphicData uri="http://schemas.microsoft.com/office/word/2010/wordprocessingShape">
                    <wps:wsp>
                      <wps:cNvSpPr/>
                      <wps:spPr>
                        <a:xfrm>
                          <a:off x="0" y="0"/>
                          <a:ext cx="347017" cy="156736"/>
                        </a:xfrm>
                        <a:prstGeom prst="leftRightArrow">
                          <a:avLst/>
                        </a:prstGeom>
                        <a:solidFill>
                          <a:schemeClr val="tx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w14:anchorId="6D19C088"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Left-right Arrow 8" o:spid="_x0000_s1026" type="#_x0000_t69" style="position:absolute;margin-left:582.95pt;margin-top:147.9pt;width:27.3pt;height:12.35pt;z-index:251772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" adj="4878" fillcolor="black [3213]" strokecolor="#091723 [484]" strokeweight="1p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775488" behindDoc="0" locked="0" layoutInCell="1" allowOverlap="1" wp14:anchorId="68092219" wp14:editId="6809221A">
                <wp:simplePos x="0" y="0"/>
                <wp:positionH relativeFrom="column">
                  <wp:posOffset>5842635</wp:posOffset>
                </wp:positionH>
                <wp:positionV relativeFrom="paragraph">
                  <wp:posOffset>1880235</wp:posOffset>
                </wp:positionV>
                <wp:extent cx="346710" cy="156845"/>
                <wp:effectExtent l="12700" t="12700" r="21590" b="21590"/>
                <wp:wrapNone/>
                <wp:docPr id="433771382" name="Left-right Arrow 8"/>
                <wp:cNvGraphicFramePr/>
                <a:graphic xmlns:a="http://schemas.openxmlformats.org/drawingml/2006/main">
                  <a:graphicData uri="http://schemas.microsoft.com/office/word/2010/wordprocessingShape">
                    <wps:wsp>
                      <wps:cNvSpPr/>
                      <wps:spPr>
                        <a:xfrm>
                          <a:off x="0" y="0"/>
                          <a:ext cx="347017" cy="156736"/>
                        </a:xfrm>
                        <a:prstGeom prst="leftRightArrow">
                          <a:avLst/>
                        </a:prstGeom>
                        <a:solidFill>
                          <a:schemeClr val="tx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669A9773" id="Left-right Arrow 8" o:spid="_x0000_s1026" type="#_x0000_t69" style="position:absolute;margin-left:460.05pt;margin-top:148.05pt;width:27.3pt;height:12.35pt;z-index:251775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" adj="4878" fillcolor="black [3213]" strokecolor="#091723 [484]" strokeweight="1p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769344" behindDoc="0" locked="0" layoutInCell="1" allowOverlap="1" wp14:anchorId="6809221B" wp14:editId="6809221C">
                <wp:simplePos x="0" y="0"/>
                <wp:positionH relativeFrom="column">
                  <wp:posOffset>3971925</wp:posOffset>
                </wp:positionH>
                <wp:positionV relativeFrom="paragraph">
                  <wp:posOffset>1878965</wp:posOffset>
                </wp:positionV>
                <wp:extent cx="346710" cy="156845"/>
                <wp:effectExtent l="12700" t="12700" r="21590" b="21590"/>
                <wp:wrapNone/>
                <wp:docPr id="1377086316" name="Left-right Arrow 8"/>
                <wp:cNvGraphicFramePr/>
                <a:graphic xmlns:a="http://schemas.openxmlformats.org/drawingml/2006/main">
                  <a:graphicData uri="http://schemas.microsoft.com/office/word/2010/wordprocessingShape">
                    <wps:wsp>
                      <wps:cNvSpPr/>
                      <wps:spPr>
                        <a:xfrm>
                          <a:off x="0" y="0"/>
                          <a:ext cx="347017" cy="156736"/>
                        </a:xfrm>
                        <a:prstGeom prst="leftRightArrow">
                          <a:avLst/>
                        </a:prstGeom>
                        <a:solidFill>
                          <a:schemeClr val="tx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3F446904" id="Left-right Arrow 8" o:spid="_x0000_s1026" type="#_x0000_t69" style="position:absolute;margin-left:312.75pt;margin-top:147.95pt;width:27.3pt;height:12.35pt;z-index:251769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" adj="4878" fillcolor="black [3213]" strokecolor="#091723 [484]" strokeweight="1p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778560" behindDoc="0" locked="0" layoutInCell="1" allowOverlap="1" wp14:anchorId="6809221D" wp14:editId="6809221E">
                <wp:simplePos x="0" y="0"/>
                <wp:positionH relativeFrom="column">
                  <wp:posOffset>2360295</wp:posOffset>
                </wp:positionH>
                <wp:positionV relativeFrom="paragraph">
                  <wp:posOffset>1887855</wp:posOffset>
                </wp:positionV>
                <wp:extent cx="346710" cy="156845"/>
                <wp:effectExtent l="12700" t="38100" r="21590" b="57150"/>
                <wp:wrapNone/>
                <wp:docPr id="2113536189" name="Left-right Arrow 8"/>
                <wp:cNvGraphicFramePr/>
                <a:graphic xmlns:a="http://schemas.openxmlformats.org/drawingml/2006/main">
                  <a:graphicData uri="http://schemas.microsoft.com/office/word/2010/wordprocessingShape">
                    <wps:wsp>
                      <wps:cNvSpPr/>
                      <wps:spPr>
                        <a:xfrm>
                          <a:off x="0" y="0"/>
                          <a:ext cx="347017" cy="156736"/>
                        </a:xfrm>
                        <a:prstGeom prst="leftRightArrow">
                          <a:avLst/>
                        </a:prstGeom>
                        <a:solidFill>
                          <a:schemeClr val="tx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01A78D28" id="Left-right Arrow 8" o:spid="_x0000_s1026" type="#_x0000_t69" style="position:absolute;margin-left:185.85pt;margin-top:148.65pt;width:27.3pt;height:12.35pt;z-index:251778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" adj="4878" fillcolor="black [3213]" strokecolor="#091723 [484]" strokeweight="1p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766272" behindDoc="0" locked="0" layoutInCell="1" allowOverlap="1" wp14:anchorId="6809221F" wp14:editId="68092220">
                <wp:simplePos x="0" y="0"/>
                <wp:positionH relativeFrom="column">
                  <wp:posOffset>1059180</wp:posOffset>
                </wp:positionH>
                <wp:positionV relativeFrom="paragraph">
                  <wp:posOffset>-264160</wp:posOffset>
                </wp:positionV>
                <wp:extent cx="3367405" cy="381000"/>
                <wp:effectExtent l="0" t="50800" r="0" b="13335"/>
                <wp:wrapNone/>
                <wp:docPr id="1310484941" name="Straight Arrow Connector 7"/>
                <wp:cNvGraphicFramePr/>
                <a:graphic xmlns:a="http://schemas.openxmlformats.org/drawingml/2006/main">
                  <a:graphicData uri="http://schemas.microsoft.com/office/word/2010/wordprocessingShape">
                    <wps:wsp>
                      <wps:cNvCnPr/>
                      <wps:spPr>
                        <a:xfrm flipV="1">
                          <a:off x="0" y="0"/>
                          <a:ext cx="3367514" cy="38078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4B4CE2E" id="Straight Arrow Connector 7" o:spid="_x0000_s1026" type="#_x0000_t32" style="position:absolute;margin-left:83.4pt;margin-top:-20.8pt;width:265.15pt;height:30pt;flip:y;z-index:251766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" strokecolor="black [3213]" strokeweight=".5pt">
                <v:stroke endarrow="block" joinstyle="miter"/>
              </v:shape>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763200" behindDoc="0" locked="0" layoutInCell="1" allowOverlap="1" wp14:anchorId="68092221" wp14:editId="68092222">
                <wp:simplePos x="0" y="0"/>
                <wp:positionH relativeFrom="column">
                  <wp:posOffset>4464685</wp:posOffset>
                </wp:positionH>
                <wp:positionV relativeFrom="paragraph">
                  <wp:posOffset>-268605</wp:posOffset>
                </wp:positionV>
                <wp:extent cx="3738245" cy="387985"/>
                <wp:effectExtent l="0" t="50800" r="8890" b="18415"/>
                <wp:wrapNone/>
                <wp:docPr id="1185228166" name="Straight Arrow Connector 7"/>
                <wp:cNvGraphicFramePr/>
                <a:graphic xmlns:a="http://schemas.openxmlformats.org/drawingml/2006/main">
                  <a:graphicData uri="http://schemas.microsoft.com/office/word/2010/wordprocessingShape">
                    <wps:wsp>
                      <wps:cNvCnPr/>
                      <wps:spPr>
                        <a:xfrm flipH="1" flipV="1">
                          <a:off x="0" y="0"/>
                          <a:ext cx="3737961" cy="388203"/>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B9588B0" id="Straight Arrow Connector 7" o:spid="_x0000_s1026" type="#_x0000_t32" style="position:absolute;margin-left:351.55pt;margin-top:-21.15pt;width:294.35pt;height:30.55pt;flip:x y;z-index:251763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" strokecolor="black [3213]" strokeweight=".5pt">
                <v:stroke endarrow="block" joinstyle="miter"/>
              </v:shape>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760128" behindDoc="0" locked="0" layoutInCell="1" allowOverlap="1" wp14:anchorId="68092223" wp14:editId="68092224">
                <wp:simplePos x="0" y="0"/>
                <wp:positionH relativeFrom="column">
                  <wp:posOffset>2005330</wp:posOffset>
                </wp:positionH>
                <wp:positionV relativeFrom="paragraph">
                  <wp:posOffset>-251460</wp:posOffset>
                </wp:positionV>
                <wp:extent cx="6198870" cy="370205"/>
                <wp:effectExtent l="0" t="50800" r="11430" b="23495"/>
                <wp:wrapNone/>
                <wp:docPr id="1027389309" name="Straight Arrow Connector 7"/>
                <wp:cNvGraphicFramePr/>
                <a:graphic xmlns:a="http://schemas.openxmlformats.org/drawingml/2006/main">
                  <a:graphicData uri="http://schemas.microsoft.com/office/word/2010/wordprocessingShape">
                    <wps:wsp>
                      <wps:cNvCnPr/>
                      <wps:spPr>
                        <a:xfrm flipH="1" flipV="1">
                          <a:off x="0" y="0"/>
                          <a:ext cx="6199001" cy="3702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97E2F9D" id="Straight Arrow Connector 7" o:spid="_x0000_s1026" type="#_x0000_t32" style="position:absolute;margin-left:157.9pt;margin-top:-19.8pt;width:488.1pt;height:29.15pt;flip:x y;z-index:251760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" strokecolor="black [3213]" strokeweight=".5pt">
                <v:stroke endarrow="block" joinstyle="miter"/>
              </v:shape>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747840" behindDoc="0" locked="0" layoutInCell="1" allowOverlap="1" wp14:anchorId="68092225" wp14:editId="68092226">
                <wp:simplePos x="0" y="0"/>
                <wp:positionH relativeFrom="column">
                  <wp:posOffset>3316605</wp:posOffset>
                </wp:positionH>
                <wp:positionV relativeFrom="paragraph">
                  <wp:posOffset>-262255</wp:posOffset>
                </wp:positionV>
                <wp:extent cx="1185545" cy="374650"/>
                <wp:effectExtent l="0" t="38100" r="0" b="19050"/>
                <wp:wrapNone/>
                <wp:docPr id="1385132716" name="Straight Arrow Connector 7"/>
                <wp:cNvGraphicFramePr/>
                <a:graphic xmlns:a="http://schemas.openxmlformats.org/drawingml/2006/main">
                  <a:graphicData uri="http://schemas.microsoft.com/office/word/2010/wordprocessingShape">
                    <wps:wsp>
                      <wps:cNvCnPr/>
                      <wps:spPr>
                        <a:xfrm flipV="1">
                          <a:off x="0" y="0"/>
                          <a:ext cx="1185567" cy="37471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46D1692" id="Straight Arrow Connector 7" o:spid="_x0000_s1026" type="#_x0000_t32" style="position:absolute;margin-left:261.15pt;margin-top:-20.65pt;width:93.35pt;height:29.5pt;flip:y;z-index:251747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" strokecolor="black [3213]" strokeweight=".5pt">
                <v:stroke endarrow="block" joinstyle="miter"/>
              </v:shape>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753984" behindDoc="0" locked="0" layoutInCell="1" allowOverlap="1" wp14:anchorId="68092227" wp14:editId="68092228">
                <wp:simplePos x="0" y="0"/>
                <wp:positionH relativeFrom="column">
                  <wp:posOffset>4464685</wp:posOffset>
                </wp:positionH>
                <wp:positionV relativeFrom="paragraph">
                  <wp:posOffset>-264160</wp:posOffset>
                </wp:positionV>
                <wp:extent cx="1266825" cy="372110"/>
                <wp:effectExtent l="0" t="38100" r="16510" b="22225"/>
                <wp:wrapNone/>
                <wp:docPr id="504275068" name="Straight Arrow Connector 7"/>
                <wp:cNvGraphicFramePr/>
                <a:graphic xmlns:a="http://schemas.openxmlformats.org/drawingml/2006/main">
                  <a:graphicData uri="http://schemas.microsoft.com/office/word/2010/wordprocessingShape">
                    <wps:wsp>
                      <wps:cNvCnPr/>
                      <wps:spPr>
                        <a:xfrm flipH="1" flipV="1">
                          <a:off x="0" y="0"/>
                          <a:ext cx="1266672" cy="37200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3C99FC8" id="Straight Arrow Connector 7" o:spid="_x0000_s1026" type="#_x0000_t32" style="position:absolute;margin-left:351.55pt;margin-top:-20.8pt;width:99.75pt;height:29.3pt;flip:x y;z-index:251753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" strokecolor="black [3213]" strokeweight=".5pt">
                <v:stroke endarrow="block" joinstyle="miter"/>
              </v:shape>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750912" behindDoc="0" locked="0" layoutInCell="1" allowOverlap="1" wp14:anchorId="68092229" wp14:editId="6809222A">
                <wp:simplePos x="0" y="0"/>
                <wp:positionH relativeFrom="column">
                  <wp:posOffset>1960880</wp:posOffset>
                </wp:positionH>
                <wp:positionV relativeFrom="paragraph">
                  <wp:posOffset>-264160</wp:posOffset>
                </wp:positionV>
                <wp:extent cx="1356360" cy="370840"/>
                <wp:effectExtent l="0" t="38100" r="15240" b="23495"/>
                <wp:wrapNone/>
                <wp:docPr id="582244944" name="Straight Arrow Connector 7"/>
                <wp:cNvGraphicFramePr/>
                <a:graphic xmlns:a="http://schemas.openxmlformats.org/drawingml/2006/main">
                  <a:graphicData uri="http://schemas.microsoft.com/office/word/2010/wordprocessingShape">
                    <wps:wsp>
                      <wps:cNvCnPr/>
                      <wps:spPr>
                        <a:xfrm flipH="1" flipV="1">
                          <a:off x="0" y="0"/>
                          <a:ext cx="1356535" cy="370643"/>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67829E0" id="Straight Arrow Connector 7" o:spid="_x0000_s1026" type="#_x0000_t32" style="position:absolute;margin-left:154.4pt;margin-top:-20.8pt;width:106.8pt;height:29.2pt;flip:x y;z-index:251750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" strokecolor="black [3213]" strokeweight=".5pt">
                <v:stroke endarrow="block" joinstyle="miter"/>
              </v:shape>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744768" behindDoc="0" locked="0" layoutInCell="1" allowOverlap="1" wp14:anchorId="6809222B" wp14:editId="6809222C">
                <wp:simplePos x="0" y="0"/>
                <wp:positionH relativeFrom="column">
                  <wp:posOffset>1059180</wp:posOffset>
                </wp:positionH>
                <wp:positionV relativeFrom="paragraph">
                  <wp:posOffset>-262890</wp:posOffset>
                </wp:positionV>
                <wp:extent cx="901700" cy="375285"/>
                <wp:effectExtent l="0" t="25400" r="38100" b="19050"/>
                <wp:wrapNone/>
                <wp:docPr id="641648667" name="Straight Arrow Connector 7"/>
                <wp:cNvGraphicFramePr/>
                <a:graphic xmlns:a="http://schemas.openxmlformats.org/drawingml/2006/main">
                  <a:graphicData uri="http://schemas.microsoft.com/office/word/2010/wordprocessingShape">
                    <wps:wsp>
                      <wps:cNvCnPr/>
                      <wps:spPr>
                        <a:xfrm flipV="1">
                          <a:off x="0" y="0"/>
                          <a:ext cx="901875" cy="375263"/>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E80680A" id="Straight Arrow Connector 7" o:spid="_x0000_s1026" type="#_x0000_t32" style="position:absolute;margin-left:83.4pt;margin-top:-20.7pt;width:71pt;height:29.55pt;flip:y;z-index:251744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" strokecolor="black [3213]" strokeweight=".5pt">
                <v:stroke endarrow="block" joinstyle="miter"/>
              </v:shape>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557376" behindDoc="0" locked="0" layoutInCell="1" allowOverlap="1" wp14:anchorId="6809222D" wp14:editId="6809222E">
                <wp:simplePos x="0" y="0"/>
                <wp:positionH relativeFrom="column">
                  <wp:posOffset>-750570</wp:posOffset>
                </wp:positionH>
                <wp:positionV relativeFrom="paragraph">
                  <wp:posOffset>-812165</wp:posOffset>
                </wp:positionV>
                <wp:extent cx="654050" cy="635635"/>
                <wp:effectExtent l="0" t="0" r="19050" b="12065"/>
                <wp:wrapNone/>
                <wp:docPr id="634584274" name="Rectangle 2"/>
                <wp:cNvGraphicFramePr/>
                <a:graphic xmlns:a="http://schemas.openxmlformats.org/drawingml/2006/main">
                  <a:graphicData uri="http://schemas.microsoft.com/office/word/2010/wordprocessingShape">
                    <wps:wsp>
                      <wps:cNvSpPr/>
                      <wps:spPr>
                        <a:xfrm>
                          <a:off x="0" y="0"/>
                          <a:ext cx="654050" cy="635635"/>
                        </a:xfrm>
                        <a:prstGeom prst="rect">
                          <a:avLst/>
                        </a:prstGeom>
                        <a:solidFill>
                          <a:schemeClr val="bg2"/>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09236F" w14:textId="77777777" w:rsidR="00CF33D9" w:rsidRDefault="00CF33D9">
                            <w:pPr>
                              <w:ind w:left="-105" w:right="-136"/>
                              <w:jc w:val="center"/>
                              <w:rPr>
                                <w:b/>
                                <w:bCs/>
                                <w:color w:val="000000" w:themeColor="text1"/>
                                <w:sz w:val="18"/>
                                <w:szCs w:val="18"/>
                              </w:rPr>
                            </w:pPr>
                          </w:p>
                          <w:p w14:paraId="68092370" w14:textId="77777777" w:rsidR="00CF33D9" w:rsidRDefault="00E3332A">
                            <w:pPr>
                              <w:ind w:left="-105" w:right="-136"/>
                              <w:jc w:val="center"/>
                              <w:rPr>
                                <w:rFonts w:ascii="Calibri" w:hAnsi="Calibri" w:cs="Calibri"/>
                                <w:b/>
                                <w:bCs/>
                                <w:color w:val="000000" w:themeColor="text1"/>
                                <w:sz w:val="18"/>
                                <w:szCs w:val="18"/>
                              </w:rPr>
                            </w:pPr>
                            <w:r>
                              <w:rPr>
                                <w:rFonts w:ascii="Calibri" w:hAnsi="Calibri" w:cs="Calibri"/>
                                <w:b/>
                                <w:bCs/>
                                <w:color w:val="000000" w:themeColor="text1"/>
                                <w:sz w:val="18"/>
                                <w:szCs w:val="18"/>
                              </w:rPr>
                              <w:t>Long term impacts</w:t>
                            </w:r>
                          </w:p>
                          <w:p w14:paraId="68092371" w14:textId="77777777" w:rsidR="00CF33D9" w:rsidRDefault="00CF33D9"/>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2D" id="Rectangle 2" o:spid="_x0000_s1026" style="position:absolute;left:0;text-align:left;margin-left:-59.1pt;margin-top:-63.95pt;width:51.5pt;height:50.05pt;z-index:251557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" fillcolor="#e7e6e6 [3214]" strokecolor="black [3213]" strokeweight="1pt">
                <v:textbox>
                  <w:txbxContent>
                    <w:p w14:paraId="6809236F" w14:textId="77777777" w:rsidR="00CF33D9" w:rsidRDefault="00CF33D9">
                      <w:pPr>
                        <w:ind w:left="-105" w:right="-136"/>
                        <w:jc w:val="center"/>
                        <w:rPr>
                          <w:b/>
                          <w:bCs/>
                          <w:color w:val="000000" w:themeColor="text1"/>
                          <w:sz w:val="18"/>
                          <w:szCs w:val="18"/>
                        </w:rPr>
                      </w:pPr>
                    </w:p>
                    <w:p w14:paraId="68092370" w14:textId="77777777" w:rsidR="00CF33D9" w:rsidRDefault="00E3332A">
                      <w:pPr>
                        <w:ind w:left="-105" w:right="-136"/>
                        <w:jc w:val="center"/>
                        <w:rPr>
                          <w:rFonts w:ascii="Calibri" w:hAnsi="Calibri" w:cs="Calibri"/>
                          <w:b/>
                          <w:bCs/>
                          <w:color w:val="000000" w:themeColor="text1"/>
                          <w:sz w:val="18"/>
                          <w:szCs w:val="18"/>
                        </w:rPr>
                      </w:pPr>
                      <w:r>
                        <w:rPr>
                          <w:rFonts w:ascii="Calibri" w:hAnsi="Calibri" w:cs="Calibri"/>
                          <w:b/>
                          <w:bCs/>
                          <w:color w:val="000000" w:themeColor="text1"/>
                          <w:sz w:val="18"/>
                          <w:szCs w:val="18"/>
                        </w:rPr>
                        <w:t>Long term impacts</w:t>
                      </w:r>
                    </w:p>
                    <w:p w14:paraId="68092371" w14:textId="77777777" w:rsidR="00CF33D9" w:rsidRDefault="00CF33D9"/>
                  </w:txbxContent>
                </v:textbox>
              </v: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710976" behindDoc="0" locked="0" layoutInCell="1" allowOverlap="1" wp14:anchorId="6809222F" wp14:editId="68092230">
                <wp:simplePos x="0" y="0"/>
                <wp:positionH relativeFrom="column">
                  <wp:posOffset>1289685</wp:posOffset>
                </wp:positionH>
                <wp:positionV relativeFrom="paragraph">
                  <wp:posOffset>-798830</wp:posOffset>
                </wp:positionV>
                <wp:extent cx="1416685" cy="538480"/>
                <wp:effectExtent l="0" t="0" r="5715" b="0"/>
                <wp:wrapNone/>
                <wp:docPr id="34570154" name="Rounded Rectangle 6"/>
                <wp:cNvGraphicFramePr/>
                <a:graphic xmlns:a="http://schemas.openxmlformats.org/drawingml/2006/main">
                  <a:graphicData uri="http://schemas.microsoft.com/office/word/2010/wordprocessingShape">
                    <wps:wsp>
                      <wps:cNvSpPr/>
                      <wps:spPr>
                        <a:xfrm>
                          <a:off x="0" y="0"/>
                          <a:ext cx="1416685" cy="538480"/>
                        </a:xfrm>
                        <a:prstGeom prst="roundRect">
                          <a:avLst/>
                        </a:prstGeom>
                        <a:solidFill>
                          <a:srgbClr val="92D05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8092372" w14:textId="77777777" w:rsidR="00CF33D9" w:rsidRDefault="00E3332A">
                            <w:pPr>
                              <w:jc w:val="center"/>
                              <w:rPr>
                                <w:rFonts w:ascii="Calibri" w:hAnsi="Calibri" w:cs="Calibri"/>
                                <w:b/>
                                <w:bCs/>
                                <w:color w:val="000000" w:themeColor="text1"/>
                                <w:sz w:val="16"/>
                                <w:szCs w:val="16"/>
                              </w:rPr>
                            </w:pPr>
                            <w:r>
                              <w:rPr>
                                <w:rFonts w:ascii="Calibri" w:hAnsi="Calibri" w:cs="Calibri"/>
                                <w:b/>
                                <w:bCs/>
                                <w:color w:val="000000" w:themeColor="text1"/>
                                <w:sz w:val="16"/>
                                <w:szCs w:val="16"/>
                              </w:rPr>
                              <w:t>Improved ocean protection and health in the BCLME region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6809222F" id="Rounded Rectangle 6" o:spid="_x0000_s1027" style="position:absolute;left:0;text-align:left;margin-left:101.55pt;margin-top:-62.9pt;width:111.55pt;height:42.4pt;z-index:2517109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" fillcolor="#92d050" stroked="f" strokeweight="1pt">
                <v:stroke joinstyle="miter"/>
                <v:textbox>
                  <w:txbxContent>
                    <w:p w14:paraId="68092372" w14:textId="77777777" w:rsidR="00CF33D9" w:rsidRDefault="00E3332A">
                      <w:pPr>
                        <w:jc w:val="center"/>
                        <w:rPr>
                          <w:rFonts w:ascii="Calibri" w:hAnsi="Calibri" w:cs="Calibri"/>
                          <w:b/>
                          <w:bCs/>
                          <w:color w:val="000000" w:themeColor="text1"/>
                          <w:sz w:val="16"/>
                          <w:szCs w:val="16"/>
                        </w:rPr>
                      </w:pPr>
                      <w:r>
                        <w:rPr>
                          <w:rFonts w:ascii="Calibri" w:hAnsi="Calibri" w:cs="Calibri"/>
                          <w:b/>
                          <w:bCs/>
                          <w:color w:val="000000" w:themeColor="text1"/>
                          <w:sz w:val="16"/>
                          <w:szCs w:val="16"/>
                        </w:rPr>
                        <w:t>Improved ocean protection and health in the BCLME region</w:t>
                      </w:r>
                    </w:p>
                  </w:txbxContent>
                </v:textbox>
              </v:round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738624" behindDoc="0" locked="0" layoutInCell="1" allowOverlap="1" wp14:anchorId="68092231" wp14:editId="68092232">
                <wp:simplePos x="0" y="0"/>
                <wp:positionH relativeFrom="column">
                  <wp:posOffset>3735705</wp:posOffset>
                </wp:positionH>
                <wp:positionV relativeFrom="paragraph">
                  <wp:posOffset>-805815</wp:posOffset>
                </wp:positionV>
                <wp:extent cx="1464945" cy="538480"/>
                <wp:effectExtent l="0" t="0" r="0" b="0"/>
                <wp:wrapNone/>
                <wp:docPr id="380303658" name="Rounded Rectangle 6"/>
                <wp:cNvGraphicFramePr/>
                <a:graphic xmlns:a="http://schemas.openxmlformats.org/drawingml/2006/main">
                  <a:graphicData uri="http://schemas.microsoft.com/office/word/2010/wordprocessingShape">
                    <wps:wsp>
                      <wps:cNvSpPr/>
                      <wps:spPr>
                        <a:xfrm>
                          <a:off x="0" y="0"/>
                          <a:ext cx="1464945" cy="538480"/>
                        </a:xfrm>
                        <a:prstGeom prst="roundRect">
                          <a:avLst/>
                        </a:prstGeom>
                        <a:solidFill>
                          <a:srgbClr val="92D05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8092373" w14:textId="77777777" w:rsidR="00CF33D9" w:rsidRDefault="00E3332A">
                            <w:pPr>
                              <w:jc w:val="center"/>
                              <w:rPr>
                                <w:rFonts w:ascii="Calibri" w:hAnsi="Calibri" w:cs="Calibri"/>
                                <w:b/>
                                <w:bCs/>
                                <w:color w:val="000000" w:themeColor="text1"/>
                                <w:sz w:val="16"/>
                                <w:szCs w:val="16"/>
                              </w:rPr>
                            </w:pPr>
                            <w:r>
                              <w:rPr>
                                <w:rFonts w:ascii="Calibri" w:hAnsi="Calibri" w:cs="Calibri"/>
                                <w:b/>
                                <w:bCs/>
                                <w:color w:val="000000" w:themeColor="text1"/>
                                <w:sz w:val="16"/>
                                <w:szCs w:val="16"/>
                              </w:rPr>
                              <w:t>Reduced poverty, increased jobs and adaptive capacities in BCLME countries</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68092231" id="_x0000_s1028" style="position:absolute;left:0;text-align:left;margin-left:294.15pt;margin-top:-63.45pt;width:115.35pt;height:42.4pt;z-index:2517386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" fillcolor="#92d050" stroked="f" strokeweight="1pt">
                <v:stroke joinstyle="miter"/>
                <v:textbox>
                  <w:txbxContent>
                    <w:p w14:paraId="68092373" w14:textId="77777777" w:rsidR="00CF33D9" w:rsidRDefault="00E3332A">
                      <w:pPr>
                        <w:jc w:val="center"/>
                        <w:rPr>
                          <w:rFonts w:ascii="Calibri" w:hAnsi="Calibri" w:cs="Calibri"/>
                          <w:b/>
                          <w:bCs/>
                          <w:color w:val="000000" w:themeColor="text1"/>
                          <w:sz w:val="16"/>
                          <w:szCs w:val="16"/>
                        </w:rPr>
                      </w:pPr>
                      <w:r>
                        <w:rPr>
                          <w:rFonts w:ascii="Calibri" w:hAnsi="Calibri" w:cs="Calibri"/>
                          <w:b/>
                          <w:bCs/>
                          <w:color w:val="000000" w:themeColor="text1"/>
                          <w:sz w:val="16"/>
                          <w:szCs w:val="16"/>
                        </w:rPr>
                        <w:t>Reduced poverty, increased jobs and adaptive capacities in BCLME countries</w:t>
                      </w:r>
                    </w:p>
                  </w:txbxContent>
                </v:textbox>
              </v:round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741696" behindDoc="0" locked="0" layoutInCell="1" allowOverlap="1" wp14:anchorId="68092233" wp14:editId="68092234">
                <wp:simplePos x="0" y="0"/>
                <wp:positionH relativeFrom="column">
                  <wp:posOffset>6424930</wp:posOffset>
                </wp:positionH>
                <wp:positionV relativeFrom="paragraph">
                  <wp:posOffset>-798830</wp:posOffset>
                </wp:positionV>
                <wp:extent cx="1480820" cy="537845"/>
                <wp:effectExtent l="0" t="0" r="5080" b="0"/>
                <wp:wrapNone/>
                <wp:docPr id="1714824521" name="Rounded Rectangle 6"/>
                <wp:cNvGraphicFramePr/>
                <a:graphic xmlns:a="http://schemas.openxmlformats.org/drawingml/2006/main">
                  <a:graphicData uri="http://schemas.microsoft.com/office/word/2010/wordprocessingShape">
                    <wps:wsp>
                      <wps:cNvSpPr/>
                      <wps:spPr>
                        <a:xfrm>
                          <a:off x="0" y="0"/>
                          <a:ext cx="1480820" cy="537845"/>
                        </a:xfrm>
                        <a:prstGeom prst="roundRect">
                          <a:avLst/>
                        </a:prstGeom>
                        <a:solidFill>
                          <a:srgbClr val="92D05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8092374" w14:textId="77777777" w:rsidR="00CF33D9" w:rsidRDefault="00E3332A">
                            <w:pPr>
                              <w:jc w:val="center"/>
                              <w:rPr>
                                <w:rFonts w:ascii="Calibri" w:hAnsi="Calibri" w:cs="Calibri"/>
                                <w:b/>
                                <w:bCs/>
                                <w:color w:val="000000" w:themeColor="text1"/>
                                <w:sz w:val="16"/>
                                <w:szCs w:val="16"/>
                              </w:rPr>
                            </w:pPr>
                            <w:r>
                              <w:rPr>
                                <w:rFonts w:ascii="Calibri" w:hAnsi="Calibri" w:cs="Calibri"/>
                                <w:b/>
                                <w:bCs/>
                                <w:color w:val="000000" w:themeColor="text1"/>
                                <w:sz w:val="16"/>
                                <w:szCs w:val="16"/>
                              </w:rPr>
                              <w:t>Sustainable finance supports successful SBE sectors in BCLME region</w:t>
                            </w:r>
                          </w:p>
                          <w:p w14:paraId="68092375" w14:textId="77777777" w:rsidR="00CF33D9" w:rsidRDefault="00CF33D9">
                            <w:pPr>
                              <w:rPr>
                                <w:rFonts w:ascii="Calibri" w:hAnsi="Calibri" w:cs="Calibri"/>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68092233" id="_x0000_s1029" style="position:absolute;left:0;text-align:left;margin-left:505.9pt;margin-top:-62.9pt;width:116.6pt;height:42.35pt;z-index:2517416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" fillcolor="#92d050" stroked="f" strokeweight="1pt">
                <v:stroke joinstyle="miter"/>
                <v:textbox>
                  <w:txbxContent>
                    <w:p w14:paraId="68092374" w14:textId="77777777" w:rsidR="00CF33D9" w:rsidRDefault="00E3332A">
                      <w:pPr>
                        <w:jc w:val="center"/>
                        <w:rPr>
                          <w:rFonts w:ascii="Calibri" w:hAnsi="Calibri" w:cs="Calibri"/>
                          <w:b/>
                          <w:bCs/>
                          <w:color w:val="000000" w:themeColor="text1"/>
                          <w:sz w:val="16"/>
                          <w:szCs w:val="16"/>
                        </w:rPr>
                      </w:pPr>
                      <w:r>
                        <w:rPr>
                          <w:rFonts w:ascii="Calibri" w:hAnsi="Calibri" w:cs="Calibri"/>
                          <w:b/>
                          <w:bCs/>
                          <w:color w:val="000000" w:themeColor="text1"/>
                          <w:sz w:val="16"/>
                          <w:szCs w:val="16"/>
                        </w:rPr>
                        <w:t>Sustainable finance supports successful SBE sectors in BCLME region</w:t>
                      </w:r>
                    </w:p>
                    <w:p w14:paraId="68092375" w14:textId="77777777" w:rsidR="00CF33D9" w:rsidRDefault="00CF33D9">
                      <w:pPr>
                        <w:rPr>
                          <w:rFonts w:ascii="Calibri" w:hAnsi="Calibri" w:cs="Calibri"/>
                        </w:rPr>
                      </w:pPr>
                    </w:p>
                  </w:txbxContent>
                </v:textbox>
              </v:round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664896" behindDoc="0" locked="0" layoutInCell="1" allowOverlap="1" wp14:anchorId="68092235" wp14:editId="68092236">
                <wp:simplePos x="0" y="0"/>
                <wp:positionH relativeFrom="column">
                  <wp:posOffset>2208530</wp:posOffset>
                </wp:positionH>
                <wp:positionV relativeFrom="paragraph">
                  <wp:posOffset>1861185</wp:posOffset>
                </wp:positionV>
                <wp:extent cx="0" cy="204470"/>
                <wp:effectExtent l="38100" t="25400" r="38100" b="11430"/>
                <wp:wrapNone/>
                <wp:docPr id="1204199601" name="Straight Arrow Connector 5"/>
                <wp:cNvGraphicFramePr/>
                <a:graphic xmlns:a="http://schemas.openxmlformats.org/drawingml/2006/main">
                  <a:graphicData uri="http://schemas.microsoft.com/office/word/2010/wordprocessingShape">
                    <wps:wsp>
                      <wps:cNvCnPr/>
                      <wps:spPr>
                        <a:xfrm flipV="1">
                          <a:off x="0" y="0"/>
                          <a:ext cx="0" cy="20447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1E0C68C" id="Straight Arrow Connector 5" o:spid="_x0000_s1026" type="#_x0000_t32" style="position:absolute;margin-left:173.9pt;margin-top:146.55pt;width:0;height:16.1pt;flip:y;z-index:251664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" strokecolor="black [3213]" strokeweight="2.25pt">
                <v:stroke endarrow="block" joinstyle="miter"/>
              </v:shape>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671040" behindDoc="0" locked="0" layoutInCell="1" allowOverlap="1" wp14:anchorId="68092237" wp14:editId="68092238">
                <wp:simplePos x="0" y="0"/>
                <wp:positionH relativeFrom="column">
                  <wp:posOffset>4462145</wp:posOffset>
                </wp:positionH>
                <wp:positionV relativeFrom="paragraph">
                  <wp:posOffset>1859915</wp:posOffset>
                </wp:positionV>
                <wp:extent cx="0" cy="204470"/>
                <wp:effectExtent l="38100" t="25400" r="38100" b="11430"/>
                <wp:wrapNone/>
                <wp:docPr id="947540745" name="Straight Arrow Connector 5"/>
                <wp:cNvGraphicFramePr/>
                <a:graphic xmlns:a="http://schemas.openxmlformats.org/drawingml/2006/main">
                  <a:graphicData uri="http://schemas.microsoft.com/office/word/2010/wordprocessingShape">
                    <wps:wsp>
                      <wps:cNvCnPr/>
                      <wps:spPr>
                        <a:xfrm flipV="1">
                          <a:off x="0" y="0"/>
                          <a:ext cx="0" cy="20447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BBC1ADD" id="Straight Arrow Connector 5" o:spid="_x0000_s1026" type="#_x0000_t32" style="position:absolute;margin-left:351.35pt;margin-top:146.45pt;width:0;height:16.1pt;flip:y;z-index:251671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" strokecolor="black [3213]" strokeweight="2.25pt">
                <v:stroke endarrow="block" joinstyle="miter"/>
              </v:shape>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686400" behindDoc="0" locked="0" layoutInCell="1" allowOverlap="1" wp14:anchorId="68092239" wp14:editId="6809223A">
                <wp:simplePos x="0" y="0"/>
                <wp:positionH relativeFrom="column">
                  <wp:posOffset>5097145</wp:posOffset>
                </wp:positionH>
                <wp:positionV relativeFrom="paragraph">
                  <wp:posOffset>1851025</wp:posOffset>
                </wp:positionV>
                <wp:extent cx="0" cy="204470"/>
                <wp:effectExtent l="38100" t="25400" r="38100" b="11430"/>
                <wp:wrapNone/>
                <wp:docPr id="211536771" name="Straight Arrow Connector 5"/>
                <wp:cNvGraphicFramePr/>
                <a:graphic xmlns:a="http://schemas.openxmlformats.org/drawingml/2006/main">
                  <a:graphicData uri="http://schemas.microsoft.com/office/word/2010/wordprocessingShape">
                    <wps:wsp>
                      <wps:cNvCnPr/>
                      <wps:spPr>
                        <a:xfrm flipV="1">
                          <a:off x="0" y="0"/>
                          <a:ext cx="0" cy="20447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80E8CC9" id="Straight Arrow Connector 5" o:spid="_x0000_s1026" type="#_x0000_t32" style="position:absolute;margin-left:401.35pt;margin-top:145.75pt;width:0;height:16.1pt;flip:y;z-index:251686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" strokecolor="black [3213]" strokeweight="2.25pt">
                <v:stroke endarrow="block" joinstyle="miter"/>
              </v:shape>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732480" behindDoc="0" locked="0" layoutInCell="1" allowOverlap="1" wp14:anchorId="6809223B" wp14:editId="6809223C">
                <wp:simplePos x="0" y="0"/>
                <wp:positionH relativeFrom="column">
                  <wp:posOffset>3488055</wp:posOffset>
                </wp:positionH>
                <wp:positionV relativeFrom="paragraph">
                  <wp:posOffset>733425</wp:posOffset>
                </wp:positionV>
                <wp:extent cx="1591310" cy="270510"/>
                <wp:effectExtent l="0" t="50800" r="8890" b="21590"/>
                <wp:wrapNone/>
                <wp:docPr id="1772006528" name="Straight Arrow Connector 5"/>
                <wp:cNvGraphicFramePr/>
                <a:graphic xmlns:a="http://schemas.openxmlformats.org/drawingml/2006/main">
                  <a:graphicData uri="http://schemas.microsoft.com/office/word/2010/wordprocessingShape">
                    <wps:wsp>
                      <wps:cNvCnPr/>
                      <wps:spPr>
                        <a:xfrm flipH="1" flipV="1">
                          <a:off x="0" y="0"/>
                          <a:ext cx="1591310" cy="270510"/>
                        </a:xfrm>
                        <a:prstGeom prst="straightConnector1">
                          <a:avLst/>
                        </a:prstGeom>
                        <a:ln w="28575">
                          <a:solidFill>
                            <a:schemeClr val="accent4">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4295B9E" id="Straight Arrow Connector 5" o:spid="_x0000_s1026" type="#_x0000_t32" style="position:absolute;margin-left:274.65pt;margin-top:57.75pt;width:125.3pt;height:21.3pt;flip:x y;z-index:251732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" strokecolor="#bf8f00 [2407]" strokeweight="2.25pt">
                <v:stroke endarrow="block" joinstyle="miter"/>
              </v:shape>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735552" behindDoc="0" locked="0" layoutInCell="1" allowOverlap="1" wp14:anchorId="6809223D" wp14:editId="6809223E">
                <wp:simplePos x="0" y="0"/>
                <wp:positionH relativeFrom="column">
                  <wp:posOffset>3226435</wp:posOffset>
                </wp:positionH>
                <wp:positionV relativeFrom="paragraph">
                  <wp:posOffset>733425</wp:posOffset>
                </wp:positionV>
                <wp:extent cx="0" cy="266065"/>
                <wp:effectExtent l="38100" t="25400" r="38100" b="635"/>
                <wp:wrapNone/>
                <wp:docPr id="1240783874" name="Straight Arrow Connector 5"/>
                <wp:cNvGraphicFramePr/>
                <a:graphic xmlns:a="http://schemas.openxmlformats.org/drawingml/2006/main">
                  <a:graphicData uri="http://schemas.microsoft.com/office/word/2010/wordprocessingShape">
                    <wps:wsp>
                      <wps:cNvCnPr/>
                      <wps:spPr>
                        <a:xfrm flipH="1" flipV="1">
                          <a:off x="0" y="0"/>
                          <a:ext cx="0" cy="266351"/>
                        </a:xfrm>
                        <a:prstGeom prst="straightConnector1">
                          <a:avLst/>
                        </a:prstGeom>
                        <a:ln w="28575">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54E1C95" id="Straight Arrow Connector 5" o:spid="_x0000_s1026" type="#_x0000_t32" style="position:absolute;margin-left:254.05pt;margin-top:57.75pt;width:0;height:20.95pt;flip:x y;z-index:251735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" strokecolor="#00b050" strokeweight="2.25pt">
                <v:stroke endarrow="block" joinstyle="miter"/>
              </v:shape>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714048" behindDoc="0" locked="0" layoutInCell="1" allowOverlap="1" wp14:anchorId="6809223F" wp14:editId="68092240">
                <wp:simplePos x="0" y="0"/>
                <wp:positionH relativeFrom="column">
                  <wp:posOffset>2397760</wp:posOffset>
                </wp:positionH>
                <wp:positionV relativeFrom="paragraph">
                  <wp:posOffset>108585</wp:posOffset>
                </wp:positionV>
                <wp:extent cx="1816735" cy="624840"/>
                <wp:effectExtent l="0" t="0" r="0" b="0"/>
                <wp:wrapNone/>
                <wp:docPr id="1901774371" name="Rounded Rectangle 6"/>
                <wp:cNvGraphicFramePr/>
                <a:graphic xmlns:a="http://schemas.openxmlformats.org/drawingml/2006/main">
                  <a:graphicData uri="http://schemas.microsoft.com/office/word/2010/wordprocessingShape">
                    <wps:wsp>
                      <wps:cNvSpPr/>
                      <wps:spPr>
                        <a:xfrm>
                          <a:off x="0" y="0"/>
                          <a:ext cx="1816689" cy="624908"/>
                        </a:xfrm>
                        <a:prstGeom prst="roundRect">
                          <a:avLst/>
                        </a:prstGeom>
                        <a:solidFill>
                          <a:schemeClr val="accent6">
                            <a:lumMod val="60000"/>
                            <a:lumOff val="4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8092376" w14:textId="77777777" w:rsidR="00CF33D9" w:rsidRDefault="00E3332A">
                            <w:pPr>
                              <w:jc w:val="center"/>
                              <w:rPr>
                                <w:rFonts w:ascii="Calibri" w:hAnsi="Calibri" w:cs="Calibri"/>
                                <w:color w:val="000000" w:themeColor="text1"/>
                                <w:sz w:val="16"/>
                                <w:szCs w:val="16"/>
                              </w:rPr>
                            </w:pPr>
                            <w:r>
                              <w:rPr>
                                <w:rFonts w:ascii="Calibri" w:hAnsi="Calibri" w:cs="Calibri"/>
                                <w:b/>
                                <w:bCs/>
                                <w:color w:val="000000" w:themeColor="text1"/>
                                <w:sz w:val="16"/>
                                <w:szCs w:val="16"/>
                              </w:rPr>
                              <w:t>Private sector and local communities are fully engaged</w:t>
                            </w:r>
                            <w:r>
                              <w:rPr>
                                <w:rFonts w:ascii="Calibri" w:hAnsi="Calibri" w:cs="Calibri"/>
                                <w:color w:val="000000" w:themeColor="text1"/>
                                <w:sz w:val="16"/>
                                <w:szCs w:val="16"/>
                              </w:rPr>
                              <w:t xml:space="preserve"> and deliver successful SBE outputs and outcomes</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6809223F" id="_x0000_s1030" style="position:absolute;left:0;text-align:left;margin-left:188.8pt;margin-top:8.55pt;width:143.05pt;height:49.2pt;z-index:2517140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" fillcolor="#a8d08d [1945]" stroked="f" strokeweight="1pt">
                <v:stroke joinstyle="miter"/>
                <v:textbox>
                  <w:txbxContent>
                    <w:p w14:paraId="68092376" w14:textId="77777777" w:rsidR="00CF33D9" w:rsidRDefault="00E3332A">
                      <w:pPr>
                        <w:jc w:val="center"/>
                        <w:rPr>
                          <w:rFonts w:ascii="Calibri" w:hAnsi="Calibri" w:cs="Calibri"/>
                          <w:color w:val="000000" w:themeColor="text1"/>
                          <w:sz w:val="16"/>
                          <w:szCs w:val="16"/>
                        </w:rPr>
                      </w:pPr>
                      <w:r>
                        <w:rPr>
                          <w:rFonts w:ascii="Calibri" w:hAnsi="Calibri" w:cs="Calibri"/>
                          <w:b/>
                          <w:bCs/>
                          <w:color w:val="000000" w:themeColor="text1"/>
                          <w:sz w:val="16"/>
                          <w:szCs w:val="16"/>
                        </w:rPr>
                        <w:t>Private sector and local communities are fully engaged</w:t>
                      </w:r>
                      <w:r>
                        <w:rPr>
                          <w:rFonts w:ascii="Calibri" w:hAnsi="Calibri" w:cs="Calibri"/>
                          <w:color w:val="000000" w:themeColor="text1"/>
                          <w:sz w:val="16"/>
                          <w:szCs w:val="16"/>
                        </w:rPr>
                        <w:t xml:space="preserve"> and deliver successful SBE outputs and outcomes</w:t>
                      </w:r>
                    </w:p>
                  </w:txbxContent>
                </v:textbox>
              </v:round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729408" behindDoc="0" locked="0" layoutInCell="1" allowOverlap="1" wp14:anchorId="68092241" wp14:editId="68092242">
                <wp:simplePos x="0" y="0"/>
                <wp:positionH relativeFrom="column">
                  <wp:posOffset>1006475</wp:posOffset>
                </wp:positionH>
                <wp:positionV relativeFrom="paragraph">
                  <wp:posOffset>734695</wp:posOffset>
                </wp:positionV>
                <wp:extent cx="0" cy="275590"/>
                <wp:effectExtent l="38100" t="25400" r="38100" b="3810"/>
                <wp:wrapNone/>
                <wp:docPr id="884133875" name="Straight Arrow Connector 5"/>
                <wp:cNvGraphicFramePr/>
                <a:graphic xmlns:a="http://schemas.openxmlformats.org/drawingml/2006/main">
                  <a:graphicData uri="http://schemas.microsoft.com/office/word/2010/wordprocessingShape">
                    <wps:wsp>
                      <wps:cNvCnPr/>
                      <wps:spPr>
                        <a:xfrm flipV="1">
                          <a:off x="0" y="0"/>
                          <a:ext cx="0" cy="275813"/>
                        </a:xfrm>
                        <a:prstGeom prst="straightConnector1">
                          <a:avLst/>
                        </a:prstGeom>
                        <a:ln w="28575">
                          <a:solidFill>
                            <a:schemeClr val="accent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B819677" id="Straight Arrow Connector 5" o:spid="_x0000_s1026" type="#_x0000_t32" style="position:absolute;margin-left:79.25pt;margin-top:57.85pt;width:0;height:21.7pt;flip:y;z-index:251729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" strokecolor="#5b9bd5 [3204]" strokeweight="2.25pt">
                <v:stroke endarrow="block" joinstyle="miter"/>
              </v:shape>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717120" behindDoc="0" locked="0" layoutInCell="1" allowOverlap="1" wp14:anchorId="68092243" wp14:editId="68092244">
                <wp:simplePos x="0" y="0"/>
                <wp:positionH relativeFrom="column">
                  <wp:posOffset>66040</wp:posOffset>
                </wp:positionH>
                <wp:positionV relativeFrom="paragraph">
                  <wp:posOffset>108585</wp:posOffset>
                </wp:positionV>
                <wp:extent cx="2004060" cy="628650"/>
                <wp:effectExtent l="0" t="0" r="3175" b="6350"/>
                <wp:wrapNone/>
                <wp:docPr id="919284087" name="Rounded Rectangle 6"/>
                <wp:cNvGraphicFramePr/>
                <a:graphic xmlns:a="http://schemas.openxmlformats.org/drawingml/2006/main">
                  <a:graphicData uri="http://schemas.microsoft.com/office/word/2010/wordprocessingShape">
                    <wps:wsp>
                      <wps:cNvSpPr/>
                      <wps:spPr>
                        <a:xfrm>
                          <a:off x="0" y="0"/>
                          <a:ext cx="2003866" cy="628650"/>
                        </a:xfrm>
                        <a:prstGeom prst="roundRect">
                          <a:avLst/>
                        </a:prstGeom>
                        <a:solidFill>
                          <a:schemeClr val="accent1">
                            <a:lumMod val="60000"/>
                            <a:lumOff val="4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8092377" w14:textId="77777777" w:rsidR="00CF33D9" w:rsidRDefault="00E3332A">
                            <w:pPr>
                              <w:jc w:val="center"/>
                              <w:rPr>
                                <w:rFonts w:ascii="Calibri" w:hAnsi="Calibri" w:cs="Calibri"/>
                                <w:color w:val="000000" w:themeColor="text1"/>
                                <w:sz w:val="16"/>
                                <w:szCs w:val="16"/>
                              </w:rPr>
                            </w:pPr>
                            <w:r>
                              <w:rPr>
                                <w:rFonts w:ascii="Calibri" w:hAnsi="Calibri" w:cs="Calibri"/>
                                <w:color w:val="000000" w:themeColor="text1"/>
                                <w:sz w:val="16"/>
                                <w:szCs w:val="16"/>
                              </w:rPr>
                              <w:t xml:space="preserve">BCC, line ministries and national and local stakeholders have </w:t>
                            </w:r>
                            <w:r>
                              <w:rPr>
                                <w:rFonts w:ascii="Calibri" w:hAnsi="Calibri" w:cs="Calibri"/>
                                <w:b/>
                                <w:bCs/>
                                <w:color w:val="000000" w:themeColor="text1"/>
                                <w:sz w:val="16"/>
                                <w:szCs w:val="16"/>
                              </w:rPr>
                              <w:t>requisite capacities to implement replicate and upscale</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68092243" id="_x0000_s1031" style="position:absolute;left:0;text-align:left;margin-left:5.2pt;margin-top:8.55pt;width:157.8pt;height:49.5pt;z-index:2517171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" fillcolor="#9cc2e5 [1940]" stroked="f" strokeweight="1pt">
                <v:stroke joinstyle="miter"/>
                <v:textbox>
                  <w:txbxContent>
                    <w:p w14:paraId="68092377" w14:textId="77777777" w:rsidR="00CF33D9" w:rsidRDefault="00E3332A">
                      <w:pPr>
                        <w:jc w:val="center"/>
                        <w:rPr>
                          <w:rFonts w:ascii="Calibri" w:hAnsi="Calibri" w:cs="Calibri"/>
                          <w:color w:val="000000" w:themeColor="text1"/>
                          <w:sz w:val="16"/>
                          <w:szCs w:val="16"/>
                        </w:rPr>
                      </w:pPr>
                      <w:r>
                        <w:rPr>
                          <w:rFonts w:ascii="Calibri" w:hAnsi="Calibri" w:cs="Calibri"/>
                          <w:color w:val="000000" w:themeColor="text1"/>
                          <w:sz w:val="16"/>
                          <w:szCs w:val="16"/>
                        </w:rPr>
                        <w:t xml:space="preserve">BCC, line ministries and national and local stakeholders have </w:t>
                      </w:r>
                      <w:r>
                        <w:rPr>
                          <w:rFonts w:ascii="Calibri" w:hAnsi="Calibri" w:cs="Calibri"/>
                          <w:b/>
                          <w:bCs/>
                          <w:color w:val="000000" w:themeColor="text1"/>
                          <w:sz w:val="16"/>
                          <w:szCs w:val="16"/>
                        </w:rPr>
                        <w:t>requisite capacities to implement replicate and upscale</w:t>
                      </w:r>
                    </w:p>
                  </w:txbxContent>
                </v:textbox>
              </v:round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726336" behindDoc="0" locked="0" layoutInCell="1" allowOverlap="1" wp14:anchorId="68092245" wp14:editId="68092246">
                <wp:simplePos x="0" y="0"/>
                <wp:positionH relativeFrom="column">
                  <wp:posOffset>5680075</wp:posOffset>
                </wp:positionH>
                <wp:positionV relativeFrom="paragraph">
                  <wp:posOffset>751840</wp:posOffset>
                </wp:positionV>
                <wp:extent cx="1119505" cy="230505"/>
                <wp:effectExtent l="0" t="50800" r="10795" b="23495"/>
                <wp:wrapNone/>
                <wp:docPr id="449677028" name="Straight Arrow Connector 5"/>
                <wp:cNvGraphicFramePr/>
                <a:graphic xmlns:a="http://schemas.openxmlformats.org/drawingml/2006/main">
                  <a:graphicData uri="http://schemas.microsoft.com/office/word/2010/wordprocessingShape">
                    <wps:wsp>
                      <wps:cNvCnPr/>
                      <wps:spPr>
                        <a:xfrm flipH="1" flipV="1">
                          <a:off x="0" y="0"/>
                          <a:ext cx="1119505" cy="230707"/>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9BE8212" id="Straight Arrow Connector 5" o:spid="_x0000_s1026" type="#_x0000_t32" style="position:absolute;margin-left:447.25pt;margin-top:59.2pt;width:88.15pt;height:18.15pt;flip:x y;z-index:251726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" strokecolor="#747070 [1614]" strokeweight="2.25pt">
                <v:stroke endarrow="block" joinstyle="miter"/>
              </v:shape>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720192" behindDoc="0" locked="0" layoutInCell="1" allowOverlap="1" wp14:anchorId="68092247" wp14:editId="68092248">
                <wp:simplePos x="0" y="0"/>
                <wp:positionH relativeFrom="column">
                  <wp:posOffset>4555490</wp:posOffset>
                </wp:positionH>
                <wp:positionV relativeFrom="paragraph">
                  <wp:posOffset>97790</wp:posOffset>
                </wp:positionV>
                <wp:extent cx="2442210" cy="653415"/>
                <wp:effectExtent l="0" t="0" r="0" b="0"/>
                <wp:wrapNone/>
                <wp:docPr id="79963979" name="Rounded Rectangle 6"/>
                <wp:cNvGraphicFramePr/>
                <a:graphic xmlns:a="http://schemas.openxmlformats.org/drawingml/2006/main">
                  <a:graphicData uri="http://schemas.microsoft.com/office/word/2010/wordprocessingShape">
                    <wps:wsp>
                      <wps:cNvSpPr/>
                      <wps:spPr>
                        <a:xfrm>
                          <a:off x="0" y="0"/>
                          <a:ext cx="2442210" cy="653415"/>
                        </a:xfrm>
                        <a:prstGeom prst="roundRect">
                          <a:avLst/>
                        </a:prstGeom>
                        <a:solidFill>
                          <a:schemeClr val="tx2">
                            <a:lumMod val="60000"/>
                            <a:lumOff val="4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8092378" w14:textId="77777777" w:rsidR="00CF33D9" w:rsidRDefault="00E3332A">
                            <w:pPr>
                              <w:jc w:val="center"/>
                              <w:rPr>
                                <w:rFonts w:ascii="Calibri" w:hAnsi="Calibri" w:cs="Calibri"/>
                                <w:color w:val="000000" w:themeColor="text1"/>
                                <w:sz w:val="16"/>
                                <w:szCs w:val="16"/>
                              </w:rPr>
                            </w:pPr>
                            <w:r>
                              <w:rPr>
                                <w:rFonts w:ascii="Calibri" w:hAnsi="Calibri" w:cs="Calibri"/>
                                <w:b/>
                                <w:bCs/>
                                <w:color w:val="000000" w:themeColor="text1"/>
                                <w:sz w:val="16"/>
                                <w:szCs w:val="16"/>
                              </w:rPr>
                              <w:t>Private sector, innovative and new finance</w:t>
                            </w:r>
                            <w:r>
                              <w:rPr>
                                <w:rFonts w:ascii="Calibri" w:hAnsi="Calibri" w:cs="Calibri"/>
                                <w:color w:val="000000" w:themeColor="text1"/>
                                <w:sz w:val="16"/>
                                <w:szCs w:val="16"/>
                              </w:rPr>
                              <w:t xml:space="preserve"> unlocked and increase the positive  economic impacts, improving livelihoods and embedding financial sustainability</w:t>
                            </w:r>
                          </w:p>
                          <w:p w14:paraId="68092379" w14:textId="77777777" w:rsidR="00CF33D9" w:rsidRDefault="00CF33D9">
                            <w:pPr>
                              <w:rPr>
                                <w:rFonts w:ascii="Calibri" w:hAnsi="Calibri" w:cs="Calibri"/>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68092247" id="_x0000_s1032" style="position:absolute;left:0;text-align:left;margin-left:358.7pt;margin-top:7.7pt;width:192.3pt;height:51.45pt;z-index:25172019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" fillcolor="#8496b0 [1951]" stroked="f" strokeweight="1pt">
                <v:stroke joinstyle="miter"/>
                <v:textbox>
                  <w:txbxContent>
                    <w:p w14:paraId="68092378" w14:textId="77777777" w:rsidR="00CF33D9" w:rsidRDefault="00E3332A">
                      <w:pPr>
                        <w:jc w:val="center"/>
                        <w:rPr>
                          <w:rFonts w:ascii="Calibri" w:hAnsi="Calibri" w:cs="Calibri"/>
                          <w:color w:val="000000" w:themeColor="text1"/>
                          <w:sz w:val="16"/>
                          <w:szCs w:val="16"/>
                        </w:rPr>
                      </w:pPr>
                      <w:r>
                        <w:rPr>
                          <w:rFonts w:ascii="Calibri" w:hAnsi="Calibri" w:cs="Calibri"/>
                          <w:b/>
                          <w:bCs/>
                          <w:color w:val="000000" w:themeColor="text1"/>
                          <w:sz w:val="16"/>
                          <w:szCs w:val="16"/>
                        </w:rPr>
                        <w:t>Private sector, innovative and new finance</w:t>
                      </w:r>
                      <w:r>
                        <w:rPr>
                          <w:rFonts w:ascii="Calibri" w:hAnsi="Calibri" w:cs="Calibri"/>
                          <w:color w:val="000000" w:themeColor="text1"/>
                          <w:sz w:val="16"/>
                          <w:szCs w:val="16"/>
                        </w:rPr>
                        <w:t xml:space="preserve"> unlocked and increase the positive  economic impacts, improving livelihoods and embedding financial sustainability</w:t>
                      </w:r>
                    </w:p>
                    <w:p w14:paraId="68092379" w14:textId="77777777" w:rsidR="00CF33D9" w:rsidRDefault="00CF33D9">
                      <w:pPr>
                        <w:rPr>
                          <w:rFonts w:ascii="Calibri" w:hAnsi="Calibri" w:cs="Calibri"/>
                        </w:rPr>
                      </w:pPr>
                    </w:p>
                  </w:txbxContent>
                </v:textbox>
              </v:round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723264" behindDoc="0" locked="0" layoutInCell="1" allowOverlap="1" wp14:anchorId="68092249" wp14:editId="6809224A">
                <wp:simplePos x="0" y="0"/>
                <wp:positionH relativeFrom="column">
                  <wp:posOffset>8202930</wp:posOffset>
                </wp:positionH>
                <wp:positionV relativeFrom="paragraph">
                  <wp:posOffset>752475</wp:posOffset>
                </wp:positionV>
                <wp:extent cx="0" cy="233680"/>
                <wp:effectExtent l="38100" t="25400" r="38100" b="8255"/>
                <wp:wrapNone/>
                <wp:docPr id="1403523379" name="Straight Arrow Connector 5"/>
                <wp:cNvGraphicFramePr/>
                <a:graphic xmlns:a="http://schemas.openxmlformats.org/drawingml/2006/main">
                  <a:graphicData uri="http://schemas.microsoft.com/office/word/2010/wordprocessingShape">
                    <wps:wsp>
                      <wps:cNvCnPr/>
                      <wps:spPr>
                        <a:xfrm flipV="1">
                          <a:off x="0" y="0"/>
                          <a:ext cx="0" cy="233449"/>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8DF28DC" id="Straight Arrow Connector 5" o:spid="_x0000_s1026" type="#_x0000_t32" style="position:absolute;margin-left:645.9pt;margin-top:59.25pt;width:0;height:18.4pt;flip:y;z-index:251723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" strokecolor="red" strokeweight="2.25pt">
                <v:stroke endarrow="block" joinstyle="miter"/>
              </v:shape>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707904" behindDoc="0" locked="0" layoutInCell="1" allowOverlap="1" wp14:anchorId="6809224B" wp14:editId="6809224C">
                <wp:simplePos x="0" y="0"/>
                <wp:positionH relativeFrom="column">
                  <wp:posOffset>7323455</wp:posOffset>
                </wp:positionH>
                <wp:positionV relativeFrom="paragraph">
                  <wp:posOffset>102235</wp:posOffset>
                </wp:positionV>
                <wp:extent cx="1774190" cy="635000"/>
                <wp:effectExtent l="0" t="0" r="3810" b="635"/>
                <wp:wrapNone/>
                <wp:docPr id="312962141" name="Rounded Rectangle 6"/>
                <wp:cNvGraphicFramePr/>
                <a:graphic xmlns:a="http://schemas.openxmlformats.org/drawingml/2006/main">
                  <a:graphicData uri="http://schemas.microsoft.com/office/word/2010/wordprocessingShape">
                    <wps:wsp>
                      <wps:cNvSpPr/>
                      <wps:spPr>
                        <a:xfrm>
                          <a:off x="0" y="0"/>
                          <a:ext cx="1774190" cy="634752"/>
                        </a:xfrm>
                        <a:prstGeom prst="roundRect">
                          <a:avLst/>
                        </a:prstGeom>
                        <a:solidFill>
                          <a:schemeClr val="accent2">
                            <a:lumMod val="60000"/>
                            <a:lumOff val="4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809237A" w14:textId="77777777" w:rsidR="00CF33D9" w:rsidRDefault="00E3332A">
                            <w:pPr>
                              <w:jc w:val="center"/>
                              <w:rPr>
                                <w:rFonts w:ascii="Calibri" w:hAnsi="Calibri" w:cs="Calibri"/>
                                <w:color w:val="000000" w:themeColor="text1"/>
                                <w:sz w:val="16"/>
                                <w:szCs w:val="16"/>
                              </w:rPr>
                            </w:pPr>
                            <w:r>
                              <w:rPr>
                                <w:rFonts w:ascii="Calibri" w:hAnsi="Calibri" w:cs="Calibri"/>
                                <w:b/>
                                <w:bCs/>
                                <w:color w:val="000000" w:themeColor="text1"/>
                                <w:sz w:val="16"/>
                                <w:szCs w:val="16"/>
                              </w:rPr>
                              <w:t>Science -to-governance</w:t>
                            </w:r>
                            <w:r>
                              <w:rPr>
                                <w:rFonts w:ascii="Calibri" w:hAnsi="Calibri" w:cs="Calibri"/>
                                <w:color w:val="000000" w:themeColor="text1"/>
                                <w:sz w:val="16"/>
                                <w:szCs w:val="16"/>
                              </w:rPr>
                              <w:t xml:space="preserve"> is politically supported leading to decisions that enable transition to SBE</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6809224B" id="_x0000_s1033" style="position:absolute;left:0;text-align:left;margin-left:576.65pt;margin-top:8.05pt;width:139.7pt;height:50pt;z-index:2517079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" fillcolor="#f4b083 [1941]" stroked="f" strokeweight="1pt">
                <v:stroke joinstyle="miter"/>
                <v:textbox>
                  <w:txbxContent>
                    <w:p w14:paraId="6809237A" w14:textId="77777777" w:rsidR="00CF33D9" w:rsidRDefault="00E3332A">
                      <w:pPr>
                        <w:jc w:val="center"/>
                        <w:rPr>
                          <w:rFonts w:ascii="Calibri" w:hAnsi="Calibri" w:cs="Calibri"/>
                          <w:color w:val="000000" w:themeColor="text1"/>
                          <w:sz w:val="16"/>
                          <w:szCs w:val="16"/>
                        </w:rPr>
                      </w:pPr>
                      <w:r>
                        <w:rPr>
                          <w:rFonts w:ascii="Calibri" w:hAnsi="Calibri" w:cs="Calibri"/>
                          <w:b/>
                          <w:bCs/>
                          <w:color w:val="000000" w:themeColor="text1"/>
                          <w:sz w:val="16"/>
                          <w:szCs w:val="16"/>
                        </w:rPr>
                        <w:t>Science -to-governance</w:t>
                      </w:r>
                      <w:r>
                        <w:rPr>
                          <w:rFonts w:ascii="Calibri" w:hAnsi="Calibri" w:cs="Calibri"/>
                          <w:color w:val="000000" w:themeColor="text1"/>
                          <w:sz w:val="16"/>
                          <w:szCs w:val="16"/>
                        </w:rPr>
                        <w:t xml:space="preserve"> is politically supported leading to decisions that enable transition to SBE</w:t>
                      </w:r>
                    </w:p>
                  </w:txbxContent>
                </v:textbox>
              </v:round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554304" behindDoc="0" locked="0" layoutInCell="1" allowOverlap="1" wp14:anchorId="6809224D" wp14:editId="6809224E">
                <wp:simplePos x="0" y="0"/>
                <wp:positionH relativeFrom="column">
                  <wp:posOffset>-750570</wp:posOffset>
                </wp:positionH>
                <wp:positionV relativeFrom="paragraph">
                  <wp:posOffset>103505</wp:posOffset>
                </wp:positionV>
                <wp:extent cx="654050" cy="582295"/>
                <wp:effectExtent l="0" t="0" r="19050" b="14605"/>
                <wp:wrapNone/>
                <wp:docPr id="499118763" name="Rectangle 2"/>
                <wp:cNvGraphicFramePr/>
                <a:graphic xmlns:a="http://schemas.openxmlformats.org/drawingml/2006/main">
                  <a:graphicData uri="http://schemas.microsoft.com/office/word/2010/wordprocessingShape">
                    <wps:wsp>
                      <wps:cNvSpPr/>
                      <wps:spPr>
                        <a:xfrm>
                          <a:off x="0" y="0"/>
                          <a:ext cx="654050" cy="582295"/>
                        </a:xfrm>
                        <a:prstGeom prst="rect">
                          <a:avLst/>
                        </a:prstGeom>
                        <a:solidFill>
                          <a:schemeClr val="bg2"/>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09237B" w14:textId="77777777" w:rsidR="00CF33D9" w:rsidRDefault="00E3332A">
                            <w:pPr>
                              <w:jc w:val="center"/>
                              <w:rPr>
                                <w:rFonts w:ascii="Calibri" w:hAnsi="Calibri" w:cs="Calibri"/>
                                <w:b/>
                                <w:bCs/>
                                <w:color w:val="000000" w:themeColor="text1"/>
                                <w:sz w:val="18"/>
                                <w:szCs w:val="18"/>
                              </w:rPr>
                            </w:pPr>
                            <w:r>
                              <w:rPr>
                                <w:rFonts w:ascii="Calibri" w:hAnsi="Calibri" w:cs="Calibri"/>
                                <w:b/>
                                <w:bCs/>
                                <w:color w:val="000000" w:themeColor="text1"/>
                                <w:sz w:val="18"/>
                                <w:szCs w:val="18"/>
                              </w:rPr>
                              <w:t>Medium term states</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4D" id="_x0000_s1034" style="position:absolute;left:0;text-align:left;margin-left:-59.1pt;margin-top:8.15pt;width:51.5pt;height:45.85pt;z-index:251554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" fillcolor="#e7e6e6 [3214]" strokecolor="black [3213]" strokeweight="1pt">
                <v:textbox>
                  <w:txbxContent>
                    <w:p w14:paraId="6809237B" w14:textId="77777777" w:rsidR="00CF33D9" w:rsidRDefault="00E3332A">
                      <w:pPr>
                        <w:jc w:val="center"/>
                        <w:rPr>
                          <w:rFonts w:ascii="Calibri" w:hAnsi="Calibri" w:cs="Calibri"/>
                          <w:b/>
                          <w:bCs/>
                          <w:color w:val="000000" w:themeColor="text1"/>
                          <w:sz w:val="18"/>
                          <w:szCs w:val="18"/>
                        </w:rPr>
                      </w:pPr>
                      <w:r>
                        <w:rPr>
                          <w:rFonts w:ascii="Calibri" w:hAnsi="Calibri" w:cs="Calibri"/>
                          <w:b/>
                          <w:bCs/>
                          <w:color w:val="000000" w:themeColor="text1"/>
                          <w:sz w:val="18"/>
                          <w:szCs w:val="18"/>
                        </w:rPr>
                        <w:t>Medium term states</w:t>
                      </w:r>
                    </w:p>
                  </w:txbxContent>
                </v:textbox>
              </v: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523584" behindDoc="0" locked="0" layoutInCell="1" allowOverlap="1" wp14:anchorId="6809224F" wp14:editId="68092250">
                <wp:simplePos x="0" y="0"/>
                <wp:positionH relativeFrom="column">
                  <wp:posOffset>6005195</wp:posOffset>
                </wp:positionH>
                <wp:positionV relativeFrom="paragraph">
                  <wp:posOffset>6126480</wp:posOffset>
                </wp:positionV>
                <wp:extent cx="233045" cy="236220"/>
                <wp:effectExtent l="0" t="12700" r="20955" b="30480"/>
                <wp:wrapNone/>
                <wp:docPr id="799871166" name="Right Arrow 3"/>
                <wp:cNvGraphicFramePr/>
                <a:graphic xmlns:a="http://schemas.openxmlformats.org/drawingml/2006/main">
                  <a:graphicData uri="http://schemas.microsoft.com/office/word/2010/wordprocessingShape">
                    <wps:wsp>
                      <wps:cNvSpPr/>
                      <wps:spPr>
                        <a:xfrm>
                          <a:off x="0" y="0"/>
                          <a:ext cx="233045" cy="236220"/>
                        </a:xfrm>
                        <a:prstGeom prst="rightArrow">
                          <a:avLst>
                            <a:gd name="adj1" fmla="val 50000"/>
                            <a:gd name="adj2" fmla="val 55728"/>
                          </a:avLst>
                        </a:prstGeom>
                        <a:solidFill>
                          <a:srgbClr val="FF0000"/>
                        </a:solidFill>
                      </wps:spPr>
                      <wps:style>
                        <a:lnRef idx="2">
                          <a:schemeClr val="accent1">
                            <a:shade val="15000"/>
                          </a:schemeClr>
                        </a:lnRef>
                        <a:fillRef idx="1">
                          <a:schemeClr val="accent1"/>
                        </a:fillRef>
                        <a:effectRef idx="0">
                          <a:schemeClr val="accent1"/>
                        </a:effectRef>
                        <a:fontRef idx="minor">
                          <a:schemeClr val="lt1"/>
                        </a:fontRef>
                      </wps:style>
                      <wps:txbx>
                        <w:txbxContent>
                          <w:p w14:paraId="6809237C" w14:textId="77777777" w:rsidR="00CF33D9" w:rsidRDefault="00CF33D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w14:anchorId="6809224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 o:spid="_x0000_s1035" type="#_x0000_t13" style="position:absolute;left:0;text-align:left;margin-left:472.85pt;margin-top:482.4pt;width:18.35pt;height:18.6pt;z-index:251523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" adj="9563" fillcolor="red" strokecolor="#091723 [484]" strokeweight="1pt">
                <v:textbox>
                  <w:txbxContent>
                    <w:p w14:paraId="6809237C" w14:textId="77777777" w:rsidR="00CF33D9" w:rsidRDefault="00CF33D9">
                      <w:pPr>
                        <w:jc w:val="center"/>
                      </w:pPr>
                    </w:p>
                  </w:txbxContent>
                </v:textbox>
              </v:shape>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486720" behindDoc="0" locked="0" layoutInCell="1" allowOverlap="1" wp14:anchorId="68092251" wp14:editId="68092252">
                <wp:simplePos x="0" y="0"/>
                <wp:positionH relativeFrom="column">
                  <wp:posOffset>-750570</wp:posOffset>
                </wp:positionH>
                <wp:positionV relativeFrom="paragraph">
                  <wp:posOffset>5988685</wp:posOffset>
                </wp:positionV>
                <wp:extent cx="9949180" cy="566420"/>
                <wp:effectExtent l="0" t="0" r="7620" b="17780"/>
                <wp:wrapNone/>
                <wp:docPr id="1853486150" name="Rectangle 2"/>
                <wp:cNvGraphicFramePr/>
                <a:graphic xmlns:a="http://schemas.openxmlformats.org/drawingml/2006/main">
                  <a:graphicData uri="http://schemas.microsoft.com/office/word/2010/wordprocessingShape">
                    <wps:wsp>
                      <wps:cNvSpPr/>
                      <wps:spPr>
                        <a:xfrm>
                          <a:off x="0" y="0"/>
                          <a:ext cx="9949399" cy="566420"/>
                        </a:xfrm>
                        <a:prstGeom prst="rect">
                          <a:avLst/>
                        </a:prstGeom>
                        <a:solidFill>
                          <a:schemeClr val="bg2">
                            <a:lumMod val="9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09237D" w14:textId="77777777" w:rsidR="00CF33D9" w:rsidRDefault="00CF33D9"/>
                          <w:p w14:paraId="6809237E" w14:textId="77777777" w:rsidR="00CF33D9" w:rsidRDefault="00CF33D9">
                            <w:pPr>
                              <w:ind w:right="-39"/>
                              <w:rPr>
                                <w:color w:val="000000" w:themeColor="text1"/>
                                <w:sz w:val="18"/>
                                <w:szCs w:val="18"/>
                              </w:rPr>
                            </w:pPr>
                          </w:p>
                          <w:p w14:paraId="6809237F" w14:textId="77777777" w:rsidR="00CF33D9" w:rsidRDefault="00CF33D9"/>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51" id="_x0000_s1036" style="position:absolute;left:0;text-align:left;margin-left:-59.1pt;margin-top:471.55pt;width:783.4pt;height:44.6pt;z-index:251486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" fillcolor="#cfcdcd [2894]" strokecolor="black [3213]" strokeweight="1pt">
                <v:textbox>
                  <w:txbxContent>
                    <w:p w14:paraId="6809237D" w14:textId="77777777" w:rsidR="00CF33D9" w:rsidRDefault="00CF33D9"/>
                    <w:p w14:paraId="6809237E" w14:textId="77777777" w:rsidR="00CF33D9" w:rsidRDefault="00CF33D9">
                      <w:pPr>
                        <w:ind w:right="-39"/>
                        <w:rPr>
                          <w:color w:val="000000" w:themeColor="text1"/>
                          <w:sz w:val="18"/>
                          <w:szCs w:val="18"/>
                        </w:rPr>
                      </w:pPr>
                    </w:p>
                    <w:p w14:paraId="6809237F" w14:textId="77777777" w:rsidR="00CF33D9" w:rsidRDefault="00CF33D9"/>
                  </w:txbxContent>
                </v:textbox>
              </v: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695616" behindDoc="0" locked="0" layoutInCell="1" allowOverlap="1" wp14:anchorId="68092253" wp14:editId="68092254">
                <wp:simplePos x="0" y="0"/>
                <wp:positionH relativeFrom="column">
                  <wp:posOffset>3935730</wp:posOffset>
                </wp:positionH>
                <wp:positionV relativeFrom="paragraph">
                  <wp:posOffset>4943475</wp:posOffset>
                </wp:positionV>
                <wp:extent cx="1144270" cy="302895"/>
                <wp:effectExtent l="12700" t="63500" r="0" b="40640"/>
                <wp:wrapNone/>
                <wp:docPr id="1766554429" name="Straight Arrow Connector 5"/>
                <wp:cNvGraphicFramePr/>
                <a:graphic xmlns:a="http://schemas.openxmlformats.org/drawingml/2006/main">
                  <a:graphicData uri="http://schemas.microsoft.com/office/word/2010/wordprocessingShape">
                    <wps:wsp>
                      <wps:cNvCnPr/>
                      <wps:spPr>
                        <a:xfrm flipV="1">
                          <a:off x="0" y="0"/>
                          <a:ext cx="1144173" cy="302601"/>
                        </a:xfrm>
                        <a:prstGeom prst="straightConnector1">
                          <a:avLst/>
                        </a:prstGeom>
                        <a:ln w="57150">
                          <a:solidFill>
                            <a:schemeClr val="accent4">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857CD73" id="Straight Arrow Connector 5" o:spid="_x0000_s1026" type="#_x0000_t32" style="position:absolute;margin-left:309.9pt;margin-top:389.25pt;width:90.1pt;height:23.85pt;flip:y;z-index:251695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" strokecolor="#bf8f00 [2407]" strokeweight="4.5pt">
                <v:stroke endarrow="block" joinstyle="miter"/>
              </v:shape>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667968" behindDoc="0" locked="0" layoutInCell="1" allowOverlap="1" wp14:anchorId="68092255" wp14:editId="68092256">
                <wp:simplePos x="0" y="0"/>
                <wp:positionH relativeFrom="column">
                  <wp:posOffset>8756015</wp:posOffset>
                </wp:positionH>
                <wp:positionV relativeFrom="paragraph">
                  <wp:posOffset>1846580</wp:posOffset>
                </wp:positionV>
                <wp:extent cx="0" cy="204470"/>
                <wp:effectExtent l="38100" t="25400" r="38100" b="11430"/>
                <wp:wrapNone/>
                <wp:docPr id="1545168010" name="Straight Arrow Connector 5"/>
                <wp:cNvGraphicFramePr/>
                <a:graphic xmlns:a="http://schemas.openxmlformats.org/drawingml/2006/main">
                  <a:graphicData uri="http://schemas.microsoft.com/office/word/2010/wordprocessingShape">
                    <wps:wsp>
                      <wps:cNvCnPr/>
                      <wps:spPr>
                        <a:xfrm flipV="1">
                          <a:off x="0" y="0"/>
                          <a:ext cx="0" cy="20471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95A1F92" id="Straight Arrow Connector 5" o:spid="_x0000_s1026" type="#_x0000_t32" style="position:absolute;margin-left:689.45pt;margin-top:145.4pt;width:0;height:16.1pt;flip:y;z-index:251667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" strokecolor="black [3213]" strokeweight="2.25pt">
                <v:stroke endarrow="block" joinstyle="miter"/>
              </v:shape>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674112" behindDoc="0" locked="0" layoutInCell="1" allowOverlap="1" wp14:anchorId="68092257" wp14:editId="68092258">
                <wp:simplePos x="0" y="0"/>
                <wp:positionH relativeFrom="column">
                  <wp:posOffset>7994015</wp:posOffset>
                </wp:positionH>
                <wp:positionV relativeFrom="paragraph">
                  <wp:posOffset>1847850</wp:posOffset>
                </wp:positionV>
                <wp:extent cx="0" cy="204470"/>
                <wp:effectExtent l="38100" t="25400" r="38100" b="11430"/>
                <wp:wrapNone/>
                <wp:docPr id="828354393" name="Straight Arrow Connector 5"/>
                <wp:cNvGraphicFramePr/>
                <a:graphic xmlns:a="http://schemas.openxmlformats.org/drawingml/2006/main">
                  <a:graphicData uri="http://schemas.microsoft.com/office/word/2010/wordprocessingShape">
                    <wps:wsp>
                      <wps:cNvCnPr/>
                      <wps:spPr>
                        <a:xfrm flipV="1">
                          <a:off x="0" y="0"/>
                          <a:ext cx="0" cy="20471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7CAD16D" id="Straight Arrow Connector 5" o:spid="_x0000_s1026" type="#_x0000_t32" style="position:absolute;margin-left:629.45pt;margin-top:145.5pt;width:0;height:16.1pt;flip:y;z-index:251674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" strokecolor="black [3213]" strokeweight="2.25pt">
                <v:stroke endarrow="block" joinstyle="miter"/>
              </v:shape>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677184" behindDoc="0" locked="0" layoutInCell="1" allowOverlap="1" wp14:anchorId="68092259" wp14:editId="6809225A">
                <wp:simplePos x="0" y="0"/>
                <wp:positionH relativeFrom="column">
                  <wp:posOffset>7165340</wp:posOffset>
                </wp:positionH>
                <wp:positionV relativeFrom="paragraph">
                  <wp:posOffset>1854835</wp:posOffset>
                </wp:positionV>
                <wp:extent cx="0" cy="204470"/>
                <wp:effectExtent l="38100" t="25400" r="38100" b="11430"/>
                <wp:wrapNone/>
                <wp:docPr id="982138928" name="Straight Arrow Connector 5"/>
                <wp:cNvGraphicFramePr/>
                <a:graphic xmlns:a="http://schemas.openxmlformats.org/drawingml/2006/main">
                  <a:graphicData uri="http://schemas.microsoft.com/office/word/2010/wordprocessingShape">
                    <wps:wsp>
                      <wps:cNvCnPr/>
                      <wps:spPr>
                        <a:xfrm flipV="1">
                          <a:off x="0" y="0"/>
                          <a:ext cx="0" cy="20471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2330B1F" id="Straight Arrow Connector 5" o:spid="_x0000_s1026" type="#_x0000_t32" style="position:absolute;margin-left:564.2pt;margin-top:146.05pt;width:0;height:16.1pt;flip:y;z-index:251677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" strokecolor="black [3213]" strokeweight="2.25pt">
                <v:stroke endarrow="block" joinstyle="miter"/>
              </v:shape>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680256" behindDoc="0" locked="0" layoutInCell="1" allowOverlap="1" wp14:anchorId="6809225B" wp14:editId="6809225C">
                <wp:simplePos x="0" y="0"/>
                <wp:positionH relativeFrom="column">
                  <wp:posOffset>6427470</wp:posOffset>
                </wp:positionH>
                <wp:positionV relativeFrom="paragraph">
                  <wp:posOffset>1849755</wp:posOffset>
                </wp:positionV>
                <wp:extent cx="0" cy="204470"/>
                <wp:effectExtent l="38100" t="25400" r="38100" b="11430"/>
                <wp:wrapNone/>
                <wp:docPr id="183881997" name="Straight Arrow Connector 5"/>
                <wp:cNvGraphicFramePr/>
                <a:graphic xmlns:a="http://schemas.openxmlformats.org/drawingml/2006/main">
                  <a:graphicData uri="http://schemas.microsoft.com/office/word/2010/wordprocessingShape">
                    <wps:wsp>
                      <wps:cNvCnPr/>
                      <wps:spPr>
                        <a:xfrm flipV="1">
                          <a:off x="0" y="0"/>
                          <a:ext cx="0" cy="20471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C254274" id="Straight Arrow Connector 5" o:spid="_x0000_s1026" type="#_x0000_t32" style="position:absolute;margin-left:506.1pt;margin-top:145.65pt;width:0;height:16.1pt;flip:y;z-index:251680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" strokecolor="black [3213]" strokeweight="2.25pt">
                <v:stroke endarrow="block" joinstyle="miter"/>
              </v:shape>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683328" behindDoc="0" locked="0" layoutInCell="1" allowOverlap="1" wp14:anchorId="6809225D" wp14:editId="6809225E">
                <wp:simplePos x="0" y="0"/>
                <wp:positionH relativeFrom="column">
                  <wp:posOffset>5683885</wp:posOffset>
                </wp:positionH>
                <wp:positionV relativeFrom="paragraph">
                  <wp:posOffset>1850390</wp:posOffset>
                </wp:positionV>
                <wp:extent cx="0" cy="204470"/>
                <wp:effectExtent l="38100" t="25400" r="38100" b="11430"/>
                <wp:wrapNone/>
                <wp:docPr id="1246295691" name="Straight Arrow Connector 5"/>
                <wp:cNvGraphicFramePr/>
                <a:graphic xmlns:a="http://schemas.openxmlformats.org/drawingml/2006/main">
                  <a:graphicData uri="http://schemas.microsoft.com/office/word/2010/wordprocessingShape">
                    <wps:wsp>
                      <wps:cNvCnPr/>
                      <wps:spPr>
                        <a:xfrm flipV="1">
                          <a:off x="0" y="0"/>
                          <a:ext cx="0" cy="20471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575516A" id="Straight Arrow Connector 5" o:spid="_x0000_s1026" type="#_x0000_t32" style="position:absolute;margin-left:447.55pt;margin-top:145.7pt;width:0;height:16.1pt;flip:y;z-index:251683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" strokecolor="black [3213]" strokeweight="2.25pt">
                <v:stroke endarrow="block" joinstyle="miter"/>
              </v:shape>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658752" behindDoc="0" locked="0" layoutInCell="1" allowOverlap="1" wp14:anchorId="6809225F" wp14:editId="68092260">
                <wp:simplePos x="0" y="0"/>
                <wp:positionH relativeFrom="column">
                  <wp:posOffset>3696335</wp:posOffset>
                </wp:positionH>
                <wp:positionV relativeFrom="paragraph">
                  <wp:posOffset>1848485</wp:posOffset>
                </wp:positionV>
                <wp:extent cx="0" cy="204470"/>
                <wp:effectExtent l="38100" t="25400" r="38100" b="11430"/>
                <wp:wrapNone/>
                <wp:docPr id="2002846096" name="Straight Arrow Connector 5"/>
                <wp:cNvGraphicFramePr/>
                <a:graphic xmlns:a="http://schemas.openxmlformats.org/drawingml/2006/main">
                  <a:graphicData uri="http://schemas.microsoft.com/office/word/2010/wordprocessingShape">
                    <wps:wsp>
                      <wps:cNvCnPr/>
                      <wps:spPr>
                        <a:xfrm flipV="1">
                          <a:off x="0" y="0"/>
                          <a:ext cx="0" cy="20471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0FBFC97" id="Straight Arrow Connector 5" o:spid="_x0000_s1026" type="#_x0000_t32" style="position:absolute;margin-left:291.05pt;margin-top:145.55pt;width:0;height:16.1pt;flip:y;z-index:251658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" strokecolor="black [3213]" strokeweight="2.25pt">
                <v:stroke endarrow="block" joinstyle="miter"/>
              </v:shape>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661824" behindDoc="0" locked="0" layoutInCell="1" allowOverlap="1" wp14:anchorId="68092261" wp14:editId="68092262">
                <wp:simplePos x="0" y="0"/>
                <wp:positionH relativeFrom="column">
                  <wp:posOffset>2937510</wp:posOffset>
                </wp:positionH>
                <wp:positionV relativeFrom="paragraph">
                  <wp:posOffset>1846580</wp:posOffset>
                </wp:positionV>
                <wp:extent cx="0" cy="204470"/>
                <wp:effectExtent l="38100" t="25400" r="38100" b="11430"/>
                <wp:wrapNone/>
                <wp:docPr id="857005587" name="Straight Arrow Connector 5"/>
                <wp:cNvGraphicFramePr/>
                <a:graphic xmlns:a="http://schemas.openxmlformats.org/drawingml/2006/main">
                  <a:graphicData uri="http://schemas.microsoft.com/office/word/2010/wordprocessingShape">
                    <wps:wsp>
                      <wps:cNvCnPr/>
                      <wps:spPr>
                        <a:xfrm flipV="1">
                          <a:off x="0" y="0"/>
                          <a:ext cx="0" cy="20471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657CAF3" id="Straight Arrow Connector 5" o:spid="_x0000_s1026" type="#_x0000_t32" style="position:absolute;margin-left:231.3pt;margin-top:145.4pt;width:0;height:16.1pt;flip:y;z-index:251661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" strokecolor="black [3213]" strokeweight="2.25pt">
                <v:stroke endarrow="block" joinstyle="miter"/>
              </v:shape>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655680" behindDoc="0" locked="0" layoutInCell="1" allowOverlap="1" wp14:anchorId="68092263" wp14:editId="68092264">
                <wp:simplePos x="0" y="0"/>
                <wp:positionH relativeFrom="column">
                  <wp:posOffset>1007110</wp:posOffset>
                </wp:positionH>
                <wp:positionV relativeFrom="paragraph">
                  <wp:posOffset>1862455</wp:posOffset>
                </wp:positionV>
                <wp:extent cx="0" cy="204470"/>
                <wp:effectExtent l="38100" t="25400" r="38100" b="11430"/>
                <wp:wrapNone/>
                <wp:docPr id="2023393568" name="Straight Arrow Connector 5"/>
                <wp:cNvGraphicFramePr/>
                <a:graphic xmlns:a="http://schemas.openxmlformats.org/drawingml/2006/main">
                  <a:graphicData uri="http://schemas.microsoft.com/office/word/2010/wordprocessingShape">
                    <wps:wsp>
                      <wps:cNvCnPr/>
                      <wps:spPr>
                        <a:xfrm flipV="1">
                          <a:off x="0" y="0"/>
                          <a:ext cx="0" cy="20447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7F0E0D7" id="Straight Arrow Connector 5" o:spid="_x0000_s1026" type="#_x0000_t32" style="position:absolute;margin-left:79.3pt;margin-top:146.65pt;width:0;height:16.1pt;flip:y;z-index:251655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" strokecolor="black [3213]" strokeweight="2.25pt">
                <v:stroke endarrow="block" joinstyle="miter"/>
              </v:shape>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652608" behindDoc="0" locked="0" layoutInCell="1" allowOverlap="1" wp14:anchorId="68092265" wp14:editId="68092266">
                <wp:simplePos x="0" y="0"/>
                <wp:positionH relativeFrom="column">
                  <wp:posOffset>1591310</wp:posOffset>
                </wp:positionH>
                <wp:positionV relativeFrom="paragraph">
                  <wp:posOffset>1847215</wp:posOffset>
                </wp:positionV>
                <wp:extent cx="0" cy="204470"/>
                <wp:effectExtent l="38100" t="25400" r="38100" b="11430"/>
                <wp:wrapNone/>
                <wp:docPr id="1982681684" name="Straight Arrow Connector 5"/>
                <wp:cNvGraphicFramePr/>
                <a:graphic xmlns:a="http://schemas.openxmlformats.org/drawingml/2006/main">
                  <a:graphicData uri="http://schemas.microsoft.com/office/word/2010/wordprocessingShape">
                    <wps:wsp>
                      <wps:cNvCnPr/>
                      <wps:spPr>
                        <a:xfrm flipV="1">
                          <a:off x="0" y="0"/>
                          <a:ext cx="0" cy="20471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4B440A3" id="Straight Arrow Connector 5" o:spid="_x0000_s1026" type="#_x0000_t32" style="position:absolute;margin-left:125.3pt;margin-top:145.45pt;width:0;height:16.1pt;flip:y;z-index:251652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" strokecolor="black [3213]" strokeweight="2.25pt">
                <v:stroke endarrow="block" joinstyle="miter"/>
              </v:shape>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649536" behindDoc="0" locked="0" layoutInCell="1" allowOverlap="1" wp14:anchorId="68092267" wp14:editId="68092268">
                <wp:simplePos x="0" y="0"/>
                <wp:positionH relativeFrom="column">
                  <wp:posOffset>366395</wp:posOffset>
                </wp:positionH>
                <wp:positionV relativeFrom="paragraph">
                  <wp:posOffset>1859915</wp:posOffset>
                </wp:positionV>
                <wp:extent cx="0" cy="204470"/>
                <wp:effectExtent l="38100" t="25400" r="38100" b="11430"/>
                <wp:wrapNone/>
                <wp:docPr id="715687770" name="Straight Arrow Connector 5"/>
                <wp:cNvGraphicFramePr/>
                <a:graphic xmlns:a="http://schemas.openxmlformats.org/drawingml/2006/main">
                  <a:graphicData uri="http://schemas.microsoft.com/office/word/2010/wordprocessingShape">
                    <wps:wsp>
                      <wps:cNvCnPr/>
                      <wps:spPr>
                        <a:xfrm flipV="1">
                          <a:off x="0" y="0"/>
                          <a:ext cx="0" cy="20471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E16D40D" id="Straight Arrow Connector 5" o:spid="_x0000_s1026" type="#_x0000_t32" style="position:absolute;margin-left:28.85pt;margin-top:146.45pt;width:0;height:16.1pt;flip:y;z-index:251649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" strokecolor="black [3213]" strokeweight="2.25pt">
                <v:stroke endarrow="block" joinstyle="miter"/>
              </v:shape>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646464" behindDoc="0" locked="0" layoutInCell="1" allowOverlap="1" wp14:anchorId="68092269" wp14:editId="6809226A">
                <wp:simplePos x="0" y="0"/>
                <wp:positionH relativeFrom="column">
                  <wp:posOffset>8395970</wp:posOffset>
                </wp:positionH>
                <wp:positionV relativeFrom="paragraph">
                  <wp:posOffset>2054860</wp:posOffset>
                </wp:positionV>
                <wp:extent cx="705485" cy="2203450"/>
                <wp:effectExtent l="0" t="0" r="18415" b="19050"/>
                <wp:wrapNone/>
                <wp:docPr id="1002549209" name="Rectangle 2"/>
                <wp:cNvGraphicFramePr/>
                <a:graphic xmlns:a="http://schemas.openxmlformats.org/drawingml/2006/main">
                  <a:graphicData uri="http://schemas.microsoft.com/office/word/2010/wordprocessingShape">
                    <wps:wsp>
                      <wps:cNvSpPr/>
                      <wps:spPr>
                        <a:xfrm>
                          <a:off x="0" y="0"/>
                          <a:ext cx="705485" cy="220345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092380" w14:textId="77777777" w:rsidR="00CF33D9" w:rsidRDefault="00E3332A">
                            <w:pPr>
                              <w:jc w:val="center"/>
                              <w:rPr>
                                <w:rFonts w:ascii="Calibri" w:hAnsi="Calibri" w:cs="Calibri"/>
                                <w:color w:val="000000" w:themeColor="text1"/>
                                <w:sz w:val="11"/>
                                <w:szCs w:val="11"/>
                              </w:rPr>
                            </w:pPr>
                            <w:r>
                              <w:rPr>
                                <w:rFonts w:ascii="Calibri" w:eastAsia="Calibri" w:hAnsi="Calibri" w:cs="Calibri"/>
                                <w:color w:val="000000"/>
                                <w:sz w:val="11"/>
                                <w:szCs w:val="11"/>
                              </w:rPr>
                              <w:t xml:space="preserve">Output </w:t>
                            </w:r>
                            <w:r>
                              <w:rPr>
                                <w:rFonts w:cstheme="minorHAnsi"/>
                                <w:color w:val="000000" w:themeColor="text1"/>
                                <w:sz w:val="11"/>
                                <w:szCs w:val="11"/>
                              </w:rPr>
                              <w:t xml:space="preserve">5.2.1: </w:t>
                            </w:r>
                            <w:r>
                              <w:rPr>
                                <w:rFonts w:ascii="Calibri" w:hAnsi="Calibri" w:cs="Calibri"/>
                                <w:color w:val="000000" w:themeColor="text1"/>
                                <w:sz w:val="11"/>
                                <w:szCs w:val="11"/>
                              </w:rPr>
                              <w:t>Communications and knowledge products (information packages, tools and approaches) for upscaling developed and shared with beneficiaries via knowledge-sharing platform</w:t>
                            </w:r>
                          </w:p>
                          <w:p w14:paraId="68092381" w14:textId="77777777" w:rsidR="00CF33D9" w:rsidRDefault="00E3332A">
                            <w:pPr>
                              <w:jc w:val="center"/>
                              <w:rPr>
                                <w:rFonts w:ascii="Calibri" w:hAnsi="Calibri" w:cs="Calibri"/>
                                <w:sz w:val="11"/>
                                <w:szCs w:val="11"/>
                              </w:rPr>
                            </w:pPr>
                            <w:r>
                              <w:rPr>
                                <w:rFonts w:ascii="Calibri" w:hAnsi="Calibri" w:cs="Calibri"/>
                                <w:color w:val="000000" w:themeColor="text1"/>
                                <w:sz w:val="11"/>
                                <w:szCs w:val="11"/>
                              </w:rPr>
                              <w:t>Output 5.2.2: Sustainable blue/ocean economy practice, knowledge and lessons shared across African LMEs in partnership with IW:LEARN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69" id="_x0000_s1037" style="position:absolute;left:0;text-align:left;margin-left:661.1pt;margin-top:161.8pt;width:55.55pt;height:173.5pt;z-index:251646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" filled="f" strokecolor="black [3213]" strokeweight="1pt">
                <v:textbox>
                  <w:txbxContent>
                    <w:p w14:paraId="68092380" w14:textId="77777777" w:rsidR="00CF33D9" w:rsidRDefault="00E3332A">
                      <w:pPr>
                        <w:jc w:val="center"/>
                        <w:rPr>
                          <w:rFonts w:ascii="Calibri" w:hAnsi="Calibri" w:cs="Calibri"/>
                          <w:color w:val="000000" w:themeColor="text1"/>
                          <w:sz w:val="11"/>
                          <w:szCs w:val="11"/>
                        </w:rPr>
                      </w:pPr>
                      <w:r>
                        <w:rPr>
                          <w:rFonts w:ascii="Calibri" w:eastAsia="Calibri" w:hAnsi="Calibri" w:cs="Calibri"/>
                          <w:color w:val="000000"/>
                          <w:sz w:val="11"/>
                          <w:szCs w:val="11"/>
                        </w:rPr>
                        <w:t xml:space="preserve">Output </w:t>
                      </w:r>
                      <w:r>
                        <w:rPr>
                          <w:rFonts w:cstheme="minorHAnsi"/>
                          <w:color w:val="000000" w:themeColor="text1"/>
                          <w:sz w:val="11"/>
                          <w:szCs w:val="11"/>
                        </w:rPr>
                        <w:t xml:space="preserve">5.2.1: </w:t>
                      </w:r>
                      <w:r>
                        <w:rPr>
                          <w:rFonts w:ascii="Calibri" w:hAnsi="Calibri" w:cs="Calibri"/>
                          <w:color w:val="000000" w:themeColor="text1"/>
                          <w:sz w:val="11"/>
                          <w:szCs w:val="11"/>
                        </w:rPr>
                        <w:t>Communications and knowledge products (information packages, tools and approaches) for upscaling developed and shared with beneficiaries via knowledge-sharing platform</w:t>
                      </w:r>
                    </w:p>
                    <w:p w14:paraId="68092381" w14:textId="77777777" w:rsidR="00CF33D9" w:rsidRDefault="00E3332A">
                      <w:pPr>
                        <w:jc w:val="center"/>
                        <w:rPr>
                          <w:rFonts w:ascii="Calibri" w:hAnsi="Calibri" w:cs="Calibri"/>
                          <w:sz w:val="11"/>
                          <w:szCs w:val="11"/>
                        </w:rPr>
                      </w:pPr>
                      <w:r>
                        <w:rPr>
                          <w:rFonts w:ascii="Calibri" w:hAnsi="Calibri" w:cs="Calibri"/>
                          <w:color w:val="000000" w:themeColor="text1"/>
                          <w:sz w:val="11"/>
                          <w:szCs w:val="11"/>
                        </w:rPr>
                        <w:t>Output 5.2.2: Sustainable blue/ocean economy practice, knowledge and lessons shared across African LMEs in partnership with IW:LEARN</w:t>
                      </w:r>
                    </w:p>
                  </w:txbxContent>
                </v:textbox>
              </v: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643392" behindDoc="0" locked="0" layoutInCell="1" allowOverlap="1" wp14:anchorId="6809226B" wp14:editId="6809226C">
                <wp:simplePos x="0" y="0"/>
                <wp:positionH relativeFrom="column">
                  <wp:posOffset>8395970</wp:posOffset>
                </wp:positionH>
                <wp:positionV relativeFrom="paragraph">
                  <wp:posOffset>1050290</wp:posOffset>
                </wp:positionV>
                <wp:extent cx="705485" cy="808990"/>
                <wp:effectExtent l="0" t="0" r="18415" b="16510"/>
                <wp:wrapNone/>
                <wp:docPr id="683441170" name="Rectangle 2"/>
                <wp:cNvGraphicFramePr/>
                <a:graphic xmlns:a="http://schemas.openxmlformats.org/drawingml/2006/main">
                  <a:graphicData uri="http://schemas.microsoft.com/office/word/2010/wordprocessingShape">
                    <wps:wsp>
                      <wps:cNvSpPr/>
                      <wps:spPr>
                        <a:xfrm>
                          <a:off x="0" y="0"/>
                          <a:ext cx="705485" cy="808990"/>
                        </a:xfrm>
                        <a:prstGeom prst="rect">
                          <a:avLst/>
                        </a:prstGeom>
                        <a:solidFill>
                          <a:schemeClr val="accent2">
                            <a:lumMod val="40000"/>
                            <a:lumOff val="6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092382" w14:textId="77777777" w:rsidR="00CF33D9" w:rsidRDefault="00E3332A">
                            <w:pPr>
                              <w:jc w:val="center"/>
                              <w:rPr>
                                <w:rFonts w:ascii="Calibri" w:eastAsia="Calibri" w:hAnsi="Calibri" w:cs="Calibri"/>
                                <w:color w:val="000000"/>
                                <w:sz w:val="11"/>
                                <w:szCs w:val="11"/>
                              </w:rPr>
                            </w:pPr>
                            <w:r>
                              <w:rPr>
                                <w:rFonts w:ascii="Calibri" w:eastAsia="Calibri" w:hAnsi="Calibri" w:cs="Calibri"/>
                                <w:color w:val="000000"/>
                                <w:sz w:val="11"/>
                                <w:szCs w:val="11"/>
                              </w:rPr>
                              <w:t xml:space="preserve">Outcome </w:t>
                            </w:r>
                            <w:r>
                              <w:rPr>
                                <w:rFonts w:ascii="Calibri" w:hAnsi="Calibri" w:cs="Calibri"/>
                                <w:color w:val="000000" w:themeColor="text1"/>
                                <w:sz w:val="11"/>
                                <w:szCs w:val="11"/>
                              </w:rPr>
                              <w:t>5.2: The upscaling</w:t>
                            </w:r>
                            <w:r>
                              <w:rPr>
                                <w:rFonts w:ascii="Calibri" w:hAnsi="Calibri" w:cs="Calibri"/>
                                <w:color w:val="000000" w:themeColor="text1"/>
                                <w:sz w:val="11"/>
                                <w:szCs w:val="11"/>
                                <w:shd w:val="clear" w:color="auto" w:fill="FFFF00"/>
                              </w:rPr>
                              <w:t xml:space="preserve"> </w:t>
                            </w:r>
                            <w:r>
                              <w:rPr>
                                <w:rFonts w:ascii="Calibri" w:hAnsi="Calibri" w:cs="Calibri"/>
                                <w:color w:val="000000" w:themeColor="text1"/>
                                <w:sz w:val="11"/>
                                <w:szCs w:val="11"/>
                              </w:rPr>
                              <w:t>of sustainable</w:t>
                            </w:r>
                            <w:r>
                              <w:rPr>
                                <w:rFonts w:ascii="Calibri" w:hAnsi="Calibri" w:cs="Calibri"/>
                                <w:color w:val="000000" w:themeColor="text1"/>
                                <w:sz w:val="11"/>
                                <w:szCs w:val="11"/>
                                <w:shd w:val="clear" w:color="auto" w:fill="FFFF00"/>
                              </w:rPr>
                              <w:t xml:space="preserve"> </w:t>
                            </w:r>
                            <w:r>
                              <w:rPr>
                                <w:rFonts w:ascii="Calibri" w:hAnsi="Calibri" w:cs="Calibri"/>
                                <w:color w:val="000000" w:themeColor="text1"/>
                                <w:sz w:val="11"/>
                                <w:szCs w:val="11"/>
                              </w:rPr>
                              <w:t>and viable  blue/ocean economy interventions is promoted</w:t>
                            </w:r>
                          </w:p>
                          <w:p w14:paraId="68092383" w14:textId="77777777" w:rsidR="00CF33D9" w:rsidRDefault="00CF33D9">
                            <w:pPr>
                              <w:ind w:left="-142" w:right="-131"/>
                              <w:jc w:val="center"/>
                              <w:rPr>
                                <w:rFonts w:ascii="Calibri" w:hAnsi="Calibri" w:cs="Calibri"/>
                                <w:sz w:val="13"/>
                                <w:szCs w:val="13"/>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6B" id="_x0000_s1038" style="position:absolute;left:0;text-align:left;margin-left:661.1pt;margin-top:82.7pt;width:55.55pt;height:63.7pt;z-index:251643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" fillcolor="#f7caac [1301]" strokecolor="black [3213]" strokeweight="1pt">
                <v:textbox>
                  <w:txbxContent>
                    <w:p w14:paraId="68092382" w14:textId="77777777" w:rsidR="00CF33D9" w:rsidRDefault="00E3332A">
                      <w:pPr>
                        <w:jc w:val="center"/>
                        <w:rPr>
                          <w:rFonts w:ascii="Calibri" w:eastAsia="Calibri" w:hAnsi="Calibri" w:cs="Calibri"/>
                          <w:color w:val="000000"/>
                          <w:sz w:val="11"/>
                          <w:szCs w:val="11"/>
                        </w:rPr>
                      </w:pPr>
                      <w:r>
                        <w:rPr>
                          <w:rFonts w:ascii="Calibri" w:eastAsia="Calibri" w:hAnsi="Calibri" w:cs="Calibri"/>
                          <w:color w:val="000000"/>
                          <w:sz w:val="11"/>
                          <w:szCs w:val="11"/>
                        </w:rPr>
                        <w:t xml:space="preserve">Outcome </w:t>
                      </w:r>
                      <w:r>
                        <w:rPr>
                          <w:rFonts w:ascii="Calibri" w:hAnsi="Calibri" w:cs="Calibri"/>
                          <w:color w:val="000000" w:themeColor="text1"/>
                          <w:sz w:val="11"/>
                          <w:szCs w:val="11"/>
                        </w:rPr>
                        <w:t>5.2: The upscaling</w:t>
                      </w:r>
                      <w:r>
                        <w:rPr>
                          <w:rFonts w:ascii="Calibri" w:hAnsi="Calibri" w:cs="Calibri"/>
                          <w:color w:val="000000" w:themeColor="text1"/>
                          <w:sz w:val="11"/>
                          <w:szCs w:val="11"/>
                          <w:shd w:val="clear" w:color="auto" w:fill="FFFF00"/>
                        </w:rPr>
                        <w:t xml:space="preserve"> </w:t>
                      </w:r>
                      <w:r>
                        <w:rPr>
                          <w:rFonts w:ascii="Calibri" w:hAnsi="Calibri" w:cs="Calibri"/>
                          <w:color w:val="000000" w:themeColor="text1"/>
                          <w:sz w:val="11"/>
                          <w:szCs w:val="11"/>
                        </w:rPr>
                        <w:t>of sustainable</w:t>
                      </w:r>
                      <w:r>
                        <w:rPr>
                          <w:rFonts w:ascii="Calibri" w:hAnsi="Calibri" w:cs="Calibri"/>
                          <w:color w:val="000000" w:themeColor="text1"/>
                          <w:sz w:val="11"/>
                          <w:szCs w:val="11"/>
                          <w:shd w:val="clear" w:color="auto" w:fill="FFFF00"/>
                        </w:rPr>
                        <w:t xml:space="preserve"> </w:t>
                      </w:r>
                      <w:r>
                        <w:rPr>
                          <w:rFonts w:ascii="Calibri" w:hAnsi="Calibri" w:cs="Calibri"/>
                          <w:color w:val="000000" w:themeColor="text1"/>
                          <w:sz w:val="11"/>
                          <w:szCs w:val="11"/>
                        </w:rPr>
                        <w:t>and viable  blue/ocean economy interventions is promoted</w:t>
                      </w:r>
                    </w:p>
                    <w:p w14:paraId="68092383" w14:textId="77777777" w:rsidR="00CF33D9" w:rsidRDefault="00CF33D9">
                      <w:pPr>
                        <w:ind w:left="-142" w:right="-131"/>
                        <w:jc w:val="center"/>
                        <w:rPr>
                          <w:rFonts w:ascii="Calibri" w:hAnsi="Calibri" w:cs="Calibri"/>
                          <w:sz w:val="13"/>
                          <w:szCs w:val="13"/>
                        </w:rPr>
                      </w:pPr>
                    </w:p>
                  </w:txbxContent>
                </v:textbox>
              </v: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640320" behindDoc="0" locked="0" layoutInCell="1" allowOverlap="1" wp14:anchorId="6809226D" wp14:editId="6809226E">
                <wp:simplePos x="0" y="0"/>
                <wp:positionH relativeFrom="column">
                  <wp:posOffset>7626350</wp:posOffset>
                </wp:positionH>
                <wp:positionV relativeFrom="paragraph">
                  <wp:posOffset>2055495</wp:posOffset>
                </wp:positionV>
                <wp:extent cx="746125" cy="2204720"/>
                <wp:effectExtent l="0" t="0" r="15875" b="17780"/>
                <wp:wrapNone/>
                <wp:docPr id="726171431" name="Rectangle 2"/>
                <wp:cNvGraphicFramePr/>
                <a:graphic xmlns:a="http://schemas.openxmlformats.org/drawingml/2006/main">
                  <a:graphicData uri="http://schemas.microsoft.com/office/word/2010/wordprocessingShape">
                    <wps:wsp>
                      <wps:cNvSpPr/>
                      <wps:spPr>
                        <a:xfrm>
                          <a:off x="0" y="0"/>
                          <a:ext cx="746125" cy="22047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092384" w14:textId="77777777" w:rsidR="00CF33D9" w:rsidRDefault="00E3332A">
                            <w:pPr>
                              <w:jc w:val="center"/>
                            </w:pPr>
                            <w:r>
                              <w:rPr>
                                <w:rFonts w:ascii="Calibri" w:eastAsia="Calibri" w:hAnsi="Calibri" w:cs="Calibri"/>
                                <w:color w:val="000000"/>
                                <w:sz w:val="10"/>
                              </w:rPr>
                              <w:t>Output 5.1.1: Strengthened capacities for knowledge management in relation to SBE, ICZM, MSP and MPA, and monitoring</w:t>
                            </w:r>
                            <w:r>
                              <w:rPr>
                                <w:rFonts w:ascii="Calibri" w:eastAsia="Calibri" w:hAnsi="Calibri" w:cs="Calibri"/>
                                <w:color w:val="000000"/>
                                <w:sz w:val="20"/>
                              </w:rPr>
                              <w:t xml:space="preserve"> </w:t>
                            </w:r>
                            <w:r>
                              <w:rPr>
                                <w:rFonts w:ascii="Calibri" w:eastAsia="Calibri" w:hAnsi="Calibri" w:cs="Calibri"/>
                                <w:color w:val="000000"/>
                                <w:sz w:val="10"/>
                              </w:rPr>
                              <w:t>Knowledge Management performance</w:t>
                            </w:r>
                          </w:p>
                          <w:p w14:paraId="68092385" w14:textId="77777777" w:rsidR="00CF33D9" w:rsidRDefault="00E3332A">
                            <w:pPr>
                              <w:jc w:val="center"/>
                            </w:pPr>
                            <w:r>
                              <w:rPr>
                                <w:rFonts w:ascii="Calibri" w:eastAsia="Calibri" w:hAnsi="Calibri" w:cs="Calibri"/>
                                <w:color w:val="000000"/>
                                <w:sz w:val="10"/>
                              </w:rPr>
                              <w:t>Output 5.1.2 Communication and Outreach Programme for awareness raising on Sustainable</w:t>
                            </w:r>
                            <w:r>
                              <w:rPr>
                                <w:rFonts w:ascii="Calibri" w:eastAsia="Calibri" w:hAnsi="Calibri" w:cs="Calibri"/>
                                <w:color w:val="000000"/>
                                <w:sz w:val="20"/>
                              </w:rPr>
                              <w:t xml:space="preserve"> </w:t>
                            </w:r>
                            <w:r>
                              <w:rPr>
                                <w:rFonts w:ascii="Calibri" w:eastAsia="Calibri" w:hAnsi="Calibri" w:cs="Calibri"/>
                                <w:color w:val="000000"/>
                                <w:sz w:val="10"/>
                              </w:rPr>
                              <w:t>Blue/ocean economy and implementation</w:t>
                            </w:r>
                            <w:r>
                              <w:rPr>
                                <w:rFonts w:ascii="Calibri" w:eastAsia="Calibri" w:hAnsi="Calibri" w:cs="Calibri"/>
                                <w:color w:val="000000"/>
                                <w:sz w:val="20"/>
                              </w:rPr>
                              <w:t xml:space="preserve"> </w:t>
                            </w:r>
                            <w:r>
                              <w:rPr>
                                <w:rFonts w:ascii="Calibri" w:eastAsia="Calibri" w:hAnsi="Calibri" w:cs="Calibri"/>
                                <w:color w:val="000000"/>
                                <w:sz w:val="10"/>
                              </w:rPr>
                              <w:t>of SEP and GAP</w:t>
                            </w:r>
                          </w:p>
                          <w:p w14:paraId="68092386" w14:textId="77777777" w:rsidR="00CF33D9" w:rsidRDefault="00E3332A">
                            <w:pPr>
                              <w:jc w:val="center"/>
                            </w:pPr>
                            <w:r>
                              <w:rPr>
                                <w:rFonts w:ascii="Calibri" w:eastAsia="Calibri" w:hAnsi="Calibri" w:cs="Calibri"/>
                                <w:color w:val="000000"/>
                                <w:sz w:val="10"/>
                              </w:rPr>
                              <w:t xml:space="preserve">Output 5.1.3 </w:t>
                            </w:r>
                            <w:r>
                              <w:rPr>
                                <w:rFonts w:ascii="Calibri" w:eastAsia="Calibri" w:hAnsi="Calibri" w:cs="Calibri"/>
                                <w:color w:val="000000"/>
                                <w:sz w:val="10"/>
                                <w:highlight w:val="white"/>
                              </w:rPr>
                              <w:t>Environmental and Social Safeguards</w:t>
                            </w:r>
                            <w:r>
                              <w:rPr>
                                <w:rFonts w:ascii="Calibri" w:eastAsia="Calibri" w:hAnsi="Calibri" w:cs="Calibri"/>
                                <w:color w:val="000000"/>
                                <w:sz w:val="20"/>
                                <w:highlight w:val="white"/>
                              </w:rPr>
                              <w:t xml:space="preserve"> </w:t>
                            </w:r>
                            <w:r>
                              <w:rPr>
                                <w:rFonts w:ascii="Calibri" w:eastAsia="Calibri" w:hAnsi="Calibri" w:cs="Calibri"/>
                                <w:color w:val="000000"/>
                                <w:sz w:val="10"/>
                                <w:highlight w:val="white"/>
                              </w:rPr>
                              <w:t>Management is developed</w:t>
                            </w:r>
                            <w:r>
                              <w:rPr>
                                <w:rFonts w:ascii="Calibri" w:eastAsia="Calibri" w:hAnsi="Calibri" w:cs="Calibri"/>
                                <w:color w:val="000000"/>
                                <w:sz w:val="20"/>
                                <w:highlight w:val="white"/>
                              </w:rPr>
                              <w:t xml:space="preserve"> </w:t>
                            </w:r>
                            <w:r>
                              <w:rPr>
                                <w:rFonts w:ascii="Calibri" w:eastAsia="Calibri" w:hAnsi="Calibri" w:cs="Calibri"/>
                                <w:color w:val="000000"/>
                                <w:sz w:val="10"/>
                                <w:highlight w:val="white"/>
                              </w:rPr>
                              <w:t>and operationalized</w:t>
                            </w:r>
                          </w:p>
                          <w:p w14:paraId="68092387" w14:textId="77777777" w:rsidR="00CF33D9" w:rsidRDefault="00CF33D9">
                            <w:pPr>
                              <w:jc w:val="center"/>
                              <w:rPr>
                                <w:sz w:val="10"/>
                                <w:szCs w:val="10"/>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6D" id="_x0000_s1039" style="position:absolute;left:0;text-align:left;margin-left:600.5pt;margin-top:161.85pt;width:58.75pt;height:173.6pt;z-index:251640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" filled="f" strokecolor="black [3213]" strokeweight="1pt">
                <v:textbox>
                  <w:txbxContent>
                    <w:p w14:paraId="68092384" w14:textId="77777777" w:rsidR="00CF33D9" w:rsidRDefault="00E3332A">
                      <w:pPr>
                        <w:jc w:val="center"/>
                      </w:pPr>
                      <w:r>
                        <w:rPr>
                          <w:rFonts w:ascii="Calibri" w:eastAsia="Calibri" w:hAnsi="Calibri" w:cs="Calibri"/>
                          <w:color w:val="000000"/>
                          <w:sz w:val="10"/>
                        </w:rPr>
                        <w:t>Output 5.1.1: Strengthened capacities for knowledge management in relation to SBE, ICZM, MSP and MPA, and monitoring</w:t>
                      </w:r>
                      <w:r>
                        <w:rPr>
                          <w:rFonts w:ascii="Calibri" w:eastAsia="Calibri" w:hAnsi="Calibri" w:cs="Calibri"/>
                          <w:color w:val="000000"/>
                          <w:sz w:val="20"/>
                        </w:rPr>
                        <w:t xml:space="preserve"> </w:t>
                      </w:r>
                      <w:r>
                        <w:rPr>
                          <w:rFonts w:ascii="Calibri" w:eastAsia="Calibri" w:hAnsi="Calibri" w:cs="Calibri"/>
                          <w:color w:val="000000"/>
                          <w:sz w:val="10"/>
                        </w:rPr>
                        <w:t>Knowledge Management performance</w:t>
                      </w:r>
                    </w:p>
                    <w:p w14:paraId="68092385" w14:textId="77777777" w:rsidR="00CF33D9" w:rsidRDefault="00E3332A">
                      <w:pPr>
                        <w:jc w:val="center"/>
                      </w:pPr>
                      <w:r>
                        <w:rPr>
                          <w:rFonts w:ascii="Calibri" w:eastAsia="Calibri" w:hAnsi="Calibri" w:cs="Calibri"/>
                          <w:color w:val="000000"/>
                          <w:sz w:val="10"/>
                        </w:rPr>
                        <w:t>Output 5.1.2 Communication and Outreach Programme for awareness raising on Sustainable</w:t>
                      </w:r>
                      <w:r>
                        <w:rPr>
                          <w:rFonts w:ascii="Calibri" w:eastAsia="Calibri" w:hAnsi="Calibri" w:cs="Calibri"/>
                          <w:color w:val="000000"/>
                          <w:sz w:val="20"/>
                        </w:rPr>
                        <w:t xml:space="preserve"> </w:t>
                      </w:r>
                      <w:r>
                        <w:rPr>
                          <w:rFonts w:ascii="Calibri" w:eastAsia="Calibri" w:hAnsi="Calibri" w:cs="Calibri"/>
                          <w:color w:val="000000"/>
                          <w:sz w:val="10"/>
                        </w:rPr>
                        <w:t>Blue/ocean economy and implementation</w:t>
                      </w:r>
                      <w:r>
                        <w:rPr>
                          <w:rFonts w:ascii="Calibri" w:eastAsia="Calibri" w:hAnsi="Calibri" w:cs="Calibri"/>
                          <w:color w:val="000000"/>
                          <w:sz w:val="20"/>
                        </w:rPr>
                        <w:t xml:space="preserve"> </w:t>
                      </w:r>
                      <w:r>
                        <w:rPr>
                          <w:rFonts w:ascii="Calibri" w:eastAsia="Calibri" w:hAnsi="Calibri" w:cs="Calibri"/>
                          <w:color w:val="000000"/>
                          <w:sz w:val="10"/>
                        </w:rPr>
                        <w:t>of SEP and GAP</w:t>
                      </w:r>
                    </w:p>
                    <w:p w14:paraId="68092386" w14:textId="77777777" w:rsidR="00CF33D9" w:rsidRDefault="00E3332A">
                      <w:pPr>
                        <w:jc w:val="center"/>
                      </w:pPr>
                      <w:r>
                        <w:rPr>
                          <w:rFonts w:ascii="Calibri" w:eastAsia="Calibri" w:hAnsi="Calibri" w:cs="Calibri"/>
                          <w:color w:val="000000"/>
                          <w:sz w:val="10"/>
                        </w:rPr>
                        <w:t xml:space="preserve">Output 5.1.3 </w:t>
                      </w:r>
                      <w:r>
                        <w:rPr>
                          <w:rFonts w:ascii="Calibri" w:eastAsia="Calibri" w:hAnsi="Calibri" w:cs="Calibri"/>
                          <w:color w:val="000000"/>
                          <w:sz w:val="10"/>
                          <w:highlight w:val="white"/>
                        </w:rPr>
                        <w:t>Environmental and Social Safeguards</w:t>
                      </w:r>
                      <w:r>
                        <w:rPr>
                          <w:rFonts w:ascii="Calibri" w:eastAsia="Calibri" w:hAnsi="Calibri" w:cs="Calibri"/>
                          <w:color w:val="000000"/>
                          <w:sz w:val="20"/>
                          <w:highlight w:val="white"/>
                        </w:rPr>
                        <w:t xml:space="preserve"> </w:t>
                      </w:r>
                      <w:r>
                        <w:rPr>
                          <w:rFonts w:ascii="Calibri" w:eastAsia="Calibri" w:hAnsi="Calibri" w:cs="Calibri"/>
                          <w:color w:val="000000"/>
                          <w:sz w:val="10"/>
                          <w:highlight w:val="white"/>
                        </w:rPr>
                        <w:t>Management is developed</w:t>
                      </w:r>
                      <w:r>
                        <w:rPr>
                          <w:rFonts w:ascii="Calibri" w:eastAsia="Calibri" w:hAnsi="Calibri" w:cs="Calibri"/>
                          <w:color w:val="000000"/>
                          <w:sz w:val="20"/>
                          <w:highlight w:val="white"/>
                        </w:rPr>
                        <w:t xml:space="preserve"> </w:t>
                      </w:r>
                      <w:r>
                        <w:rPr>
                          <w:rFonts w:ascii="Calibri" w:eastAsia="Calibri" w:hAnsi="Calibri" w:cs="Calibri"/>
                          <w:color w:val="000000"/>
                          <w:sz w:val="10"/>
                          <w:highlight w:val="white"/>
                        </w:rPr>
                        <w:t>and operationalized</w:t>
                      </w:r>
                    </w:p>
                    <w:p w14:paraId="68092387" w14:textId="77777777" w:rsidR="00CF33D9" w:rsidRDefault="00CF33D9">
                      <w:pPr>
                        <w:jc w:val="center"/>
                        <w:rPr>
                          <w:sz w:val="10"/>
                          <w:szCs w:val="10"/>
                        </w:rPr>
                      </w:pPr>
                    </w:p>
                  </w:txbxContent>
                </v:textbox>
              </v: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637248" behindDoc="0" locked="0" layoutInCell="1" allowOverlap="1" wp14:anchorId="6809226F" wp14:editId="68092270">
                <wp:simplePos x="0" y="0"/>
                <wp:positionH relativeFrom="column">
                  <wp:posOffset>7628255</wp:posOffset>
                </wp:positionH>
                <wp:positionV relativeFrom="paragraph">
                  <wp:posOffset>4259580</wp:posOffset>
                </wp:positionV>
                <wp:extent cx="1475105" cy="652780"/>
                <wp:effectExtent l="0" t="0" r="10795" b="7620"/>
                <wp:wrapNone/>
                <wp:docPr id="1927166256" name="Rectangle 2"/>
                <wp:cNvGraphicFramePr/>
                <a:graphic xmlns:a="http://schemas.openxmlformats.org/drawingml/2006/main">
                  <a:graphicData uri="http://schemas.microsoft.com/office/word/2010/wordprocessingShape">
                    <wps:wsp>
                      <wps:cNvSpPr/>
                      <wps:spPr>
                        <a:xfrm>
                          <a:off x="0" y="0"/>
                          <a:ext cx="1475105" cy="652780"/>
                        </a:xfrm>
                        <a:prstGeom prst="rect">
                          <a:avLst/>
                        </a:prstGeom>
                        <a:solidFill>
                          <a:schemeClr val="accent2">
                            <a:lumMod val="60000"/>
                            <a:lumOff val="4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092388" w14:textId="77777777" w:rsidR="00CF33D9" w:rsidRDefault="00E3332A">
                            <w:pPr>
                              <w:pStyle w:val="NormalWeb"/>
                              <w:spacing w:before="0" w:beforeAutospacing="0" w:after="0" w:afterAutospacing="0"/>
                              <w:ind w:left="-142" w:right="-114"/>
                              <w:contextualSpacing/>
                              <w:jc w:val="center"/>
                              <w:rPr>
                                <w:rFonts w:ascii="Calibri" w:hAnsi="Calibri" w:cs="Calibri"/>
                                <w:color w:val="000000" w:themeColor="text1"/>
                                <w:sz w:val="16"/>
                                <w:szCs w:val="16"/>
                              </w:rPr>
                            </w:pPr>
                            <w:r>
                              <w:rPr>
                                <w:rFonts w:ascii="Calibri" w:hAnsi="Calibri" w:cs="Calibri"/>
                                <w:b/>
                                <w:bCs/>
                                <w:color w:val="000000" w:themeColor="text1"/>
                                <w:sz w:val="16"/>
                                <w:szCs w:val="16"/>
                              </w:rPr>
                              <w:t>Component 5</w:t>
                            </w:r>
                            <w:r>
                              <w:rPr>
                                <w:rFonts w:ascii="Calibri" w:hAnsi="Calibri" w:cs="Calibri"/>
                                <w:color w:val="000000" w:themeColor="text1"/>
                                <w:sz w:val="16"/>
                                <w:szCs w:val="16"/>
                              </w:rPr>
                              <w:t>: Knowledge management, awareness raising and upscaling for Sustainable Blue/Ocean Economy</w:t>
                            </w:r>
                          </w:p>
                          <w:p w14:paraId="68092389" w14:textId="77777777" w:rsidR="00CF33D9" w:rsidRDefault="00CF33D9">
                            <w:pPr>
                              <w:ind w:left="-105" w:right="-136"/>
                              <w:jc w:val="center"/>
                              <w:rPr>
                                <w:color w:val="000000" w:themeColor="text1"/>
                                <w:sz w:val="14"/>
                                <w:szCs w:val="14"/>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6F" id="_x0000_s1040" style="position:absolute;left:0;text-align:left;margin-left:600.65pt;margin-top:335.4pt;width:116.15pt;height:51.4pt;z-index:251637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" fillcolor="#f4b083 [1941]" strokecolor="black [3213]" strokeweight="1pt">
                <v:textbox>
                  <w:txbxContent>
                    <w:p w14:paraId="68092388" w14:textId="77777777" w:rsidR="00CF33D9" w:rsidRDefault="00E3332A">
                      <w:pPr>
                        <w:pStyle w:val="NormalWeb"/>
                        <w:spacing w:before="0" w:beforeAutospacing="0" w:after="0" w:afterAutospacing="0"/>
                        <w:ind w:left="-142" w:right="-114"/>
                        <w:contextualSpacing/>
                        <w:jc w:val="center"/>
                        <w:rPr>
                          <w:rFonts w:ascii="Calibri" w:hAnsi="Calibri" w:cs="Calibri"/>
                          <w:color w:val="000000" w:themeColor="text1"/>
                          <w:sz w:val="16"/>
                          <w:szCs w:val="16"/>
                        </w:rPr>
                      </w:pPr>
                      <w:r>
                        <w:rPr>
                          <w:rFonts w:ascii="Calibri" w:hAnsi="Calibri" w:cs="Calibri"/>
                          <w:b/>
                          <w:bCs/>
                          <w:color w:val="000000" w:themeColor="text1"/>
                          <w:sz w:val="16"/>
                          <w:szCs w:val="16"/>
                        </w:rPr>
                        <w:t>Component 5</w:t>
                      </w:r>
                      <w:r>
                        <w:rPr>
                          <w:rFonts w:ascii="Calibri" w:hAnsi="Calibri" w:cs="Calibri"/>
                          <w:color w:val="000000" w:themeColor="text1"/>
                          <w:sz w:val="16"/>
                          <w:szCs w:val="16"/>
                        </w:rPr>
                        <w:t>: Knowledge management, awareness raising and upscaling for Sustainable Blue/Ocean Economy</w:t>
                      </w:r>
                    </w:p>
                    <w:p w14:paraId="68092389" w14:textId="77777777" w:rsidR="00CF33D9" w:rsidRDefault="00CF33D9">
                      <w:pPr>
                        <w:ind w:left="-105" w:right="-136"/>
                        <w:jc w:val="center"/>
                        <w:rPr>
                          <w:color w:val="000000" w:themeColor="text1"/>
                          <w:sz w:val="14"/>
                          <w:szCs w:val="14"/>
                        </w:rPr>
                      </w:pPr>
                    </w:p>
                  </w:txbxContent>
                </v:textbox>
              </v: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634176" behindDoc="0" locked="0" layoutInCell="1" allowOverlap="1" wp14:anchorId="68092271" wp14:editId="68092272">
                <wp:simplePos x="0" y="0"/>
                <wp:positionH relativeFrom="column">
                  <wp:posOffset>7632065</wp:posOffset>
                </wp:positionH>
                <wp:positionV relativeFrom="paragraph">
                  <wp:posOffset>1050290</wp:posOffset>
                </wp:positionV>
                <wp:extent cx="739775" cy="808990"/>
                <wp:effectExtent l="0" t="0" r="9525" b="16510"/>
                <wp:wrapNone/>
                <wp:docPr id="1273180109" name="Rectangle 2"/>
                <wp:cNvGraphicFramePr/>
                <a:graphic xmlns:a="http://schemas.openxmlformats.org/drawingml/2006/main">
                  <a:graphicData uri="http://schemas.microsoft.com/office/word/2010/wordprocessingShape">
                    <wps:wsp>
                      <wps:cNvSpPr/>
                      <wps:spPr>
                        <a:xfrm>
                          <a:off x="0" y="0"/>
                          <a:ext cx="739775" cy="808990"/>
                        </a:xfrm>
                        <a:prstGeom prst="rect">
                          <a:avLst/>
                        </a:prstGeom>
                        <a:solidFill>
                          <a:schemeClr val="accent2">
                            <a:lumMod val="40000"/>
                            <a:lumOff val="6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09238A" w14:textId="77777777" w:rsidR="00CF33D9" w:rsidRDefault="00E3332A">
                            <w:pPr>
                              <w:pStyle w:val="NormalWeb"/>
                              <w:spacing w:before="0" w:beforeAutospacing="0" w:after="0" w:afterAutospacing="0"/>
                              <w:ind w:left="-142" w:right="-139"/>
                              <w:contextualSpacing/>
                              <w:jc w:val="center"/>
                              <w:rPr>
                                <w:rFonts w:ascii="Calibri" w:hAnsi="Calibri" w:cs="Calibri"/>
                                <w:color w:val="000000" w:themeColor="text1"/>
                                <w:sz w:val="11"/>
                                <w:szCs w:val="11"/>
                              </w:rPr>
                            </w:pPr>
                            <w:r>
                              <w:rPr>
                                <w:rFonts w:ascii="Calibri" w:eastAsia="Calibri" w:hAnsi="Calibri" w:cs="Calibri"/>
                                <w:color w:val="000000"/>
                                <w:sz w:val="11"/>
                                <w:szCs w:val="11"/>
                              </w:rPr>
                              <w:t xml:space="preserve">Outcome </w:t>
                            </w:r>
                            <w:r>
                              <w:rPr>
                                <w:rFonts w:ascii="Calibri" w:hAnsi="Calibri" w:cs="Calibri"/>
                                <w:color w:val="000000" w:themeColor="text1"/>
                                <w:sz w:val="11"/>
                                <w:szCs w:val="11"/>
                              </w:rPr>
                              <w:t>5.1: Knowledge management, awareness raising and communication on SBE/Ocean Economy and Social and Environmental Safeguards  in the BCLME region strengthened</w:t>
                            </w:r>
                          </w:p>
                          <w:p w14:paraId="6809238B" w14:textId="77777777" w:rsidR="00CF33D9" w:rsidRDefault="00CF33D9">
                            <w:pPr>
                              <w:jc w:val="center"/>
                              <w:rPr>
                                <w:sz w:val="11"/>
                                <w:szCs w:val="11"/>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71" id="_x0000_s1041" style="position:absolute;left:0;text-align:left;margin-left:600.95pt;margin-top:82.7pt;width:58.25pt;height:63.7pt;z-index:251634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" fillcolor="#f7caac [1301]" strokecolor="black [3213]" strokeweight="1pt">
                <v:textbox>
                  <w:txbxContent>
                    <w:p w14:paraId="6809238A" w14:textId="77777777" w:rsidR="00CF33D9" w:rsidRDefault="00E3332A">
                      <w:pPr>
                        <w:pStyle w:val="NormalWeb"/>
                        <w:spacing w:before="0" w:beforeAutospacing="0" w:after="0" w:afterAutospacing="0"/>
                        <w:ind w:left="-142" w:right="-139"/>
                        <w:contextualSpacing/>
                        <w:jc w:val="center"/>
                        <w:rPr>
                          <w:rFonts w:ascii="Calibri" w:hAnsi="Calibri" w:cs="Calibri"/>
                          <w:color w:val="000000" w:themeColor="text1"/>
                          <w:sz w:val="11"/>
                          <w:szCs w:val="11"/>
                        </w:rPr>
                      </w:pPr>
                      <w:r>
                        <w:rPr>
                          <w:rFonts w:ascii="Calibri" w:eastAsia="Calibri" w:hAnsi="Calibri" w:cs="Calibri"/>
                          <w:color w:val="000000"/>
                          <w:sz w:val="11"/>
                          <w:szCs w:val="11"/>
                        </w:rPr>
                        <w:t xml:space="preserve">Outcome </w:t>
                      </w:r>
                      <w:r>
                        <w:rPr>
                          <w:rFonts w:ascii="Calibri" w:hAnsi="Calibri" w:cs="Calibri"/>
                          <w:color w:val="000000" w:themeColor="text1"/>
                          <w:sz w:val="11"/>
                          <w:szCs w:val="11"/>
                        </w:rPr>
                        <w:t>5.1: Knowledge management, awareness raising and communication on SBE/Ocean Economy and Social and Environmental Safeguards  in the BCLME region strengthened</w:t>
                      </w:r>
                    </w:p>
                    <w:p w14:paraId="6809238B" w14:textId="77777777" w:rsidR="00CF33D9" w:rsidRDefault="00CF33D9">
                      <w:pPr>
                        <w:jc w:val="center"/>
                        <w:rPr>
                          <w:sz w:val="11"/>
                          <w:szCs w:val="11"/>
                        </w:rPr>
                      </w:pPr>
                    </w:p>
                  </w:txbxContent>
                </v:textbox>
              </v: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631104" behindDoc="0" locked="0" layoutInCell="1" allowOverlap="1" wp14:anchorId="68092273" wp14:editId="68092274">
                <wp:simplePos x="0" y="0"/>
                <wp:positionH relativeFrom="column">
                  <wp:posOffset>7597775</wp:posOffset>
                </wp:positionH>
                <wp:positionV relativeFrom="paragraph">
                  <wp:posOffset>1009650</wp:posOffset>
                </wp:positionV>
                <wp:extent cx="1556385" cy="3929380"/>
                <wp:effectExtent l="0" t="0" r="18415" b="7620"/>
                <wp:wrapNone/>
                <wp:docPr id="1058905143" name="Rectangle 2"/>
                <wp:cNvGraphicFramePr/>
                <a:graphic xmlns:a="http://schemas.openxmlformats.org/drawingml/2006/main">
                  <a:graphicData uri="http://schemas.microsoft.com/office/word/2010/wordprocessingShape">
                    <wps:wsp>
                      <wps:cNvSpPr/>
                      <wps:spPr>
                        <a:xfrm>
                          <a:off x="0" y="0"/>
                          <a:ext cx="1556385" cy="3929380"/>
                        </a:xfrm>
                        <a:prstGeom prst="rect">
                          <a:avLst/>
                        </a:prstGeom>
                        <a:noFill/>
                        <a:ln>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6809238C" w14:textId="77777777" w:rsidR="00CF33D9" w:rsidRDefault="00CF33D9">
                            <w:pPr>
                              <w:rPr>
                                <w:sz w:val="10"/>
                                <w:szCs w:val="10"/>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73" id="_x0000_s1042" style="position:absolute;left:0;text-align:left;margin-left:598.25pt;margin-top:79.5pt;width:122.55pt;height:309.4pt;z-index:251631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" filled="f" strokecolor="black [3213]" strokeweight="1pt">
                <v:stroke dashstyle="dash"/>
                <v:textbox>
                  <w:txbxContent>
                    <w:p w14:paraId="6809238C" w14:textId="77777777" w:rsidR="00CF33D9" w:rsidRDefault="00CF33D9">
                      <w:pPr>
                        <w:rPr>
                          <w:sz w:val="10"/>
                          <w:szCs w:val="10"/>
                        </w:rPr>
                      </w:pPr>
                    </w:p>
                  </w:txbxContent>
                </v:textbox>
              </v: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628032" behindDoc="0" locked="0" layoutInCell="1" allowOverlap="1" wp14:anchorId="68092275" wp14:editId="68092276">
                <wp:simplePos x="0" y="0"/>
                <wp:positionH relativeFrom="column">
                  <wp:posOffset>6804660</wp:posOffset>
                </wp:positionH>
                <wp:positionV relativeFrom="paragraph">
                  <wp:posOffset>2050415</wp:posOffset>
                </wp:positionV>
                <wp:extent cx="705485" cy="2203450"/>
                <wp:effectExtent l="0" t="0" r="18415" b="19050"/>
                <wp:wrapNone/>
                <wp:docPr id="534951089" name="Rectangle 2"/>
                <wp:cNvGraphicFramePr/>
                <a:graphic xmlns:a="http://schemas.openxmlformats.org/drawingml/2006/main">
                  <a:graphicData uri="http://schemas.microsoft.com/office/word/2010/wordprocessingShape">
                    <wps:wsp>
                      <wps:cNvSpPr/>
                      <wps:spPr>
                        <a:xfrm>
                          <a:off x="0" y="0"/>
                          <a:ext cx="705485" cy="220345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09238D" w14:textId="77777777" w:rsidR="00CF33D9" w:rsidRDefault="00E3332A">
                            <w:pPr>
                              <w:jc w:val="center"/>
                              <w:rPr>
                                <w:rFonts w:ascii="Calibri" w:hAnsi="Calibri" w:cs="Calibri"/>
                                <w:color w:val="000000" w:themeColor="text1"/>
                                <w:sz w:val="10"/>
                                <w:szCs w:val="10"/>
                              </w:rPr>
                            </w:pPr>
                            <w:r>
                              <w:rPr>
                                <w:rFonts w:ascii="Calibri" w:eastAsia="Calibri" w:hAnsi="Calibri" w:cs="Calibri"/>
                                <w:color w:val="000000"/>
                                <w:sz w:val="10"/>
                                <w:szCs w:val="10"/>
                              </w:rPr>
                              <w:t xml:space="preserve">Output </w:t>
                            </w:r>
                            <w:r>
                              <w:rPr>
                                <w:rFonts w:ascii="Calibri" w:hAnsi="Calibri" w:cs="Calibri"/>
                                <w:color w:val="000000" w:themeColor="text1"/>
                                <w:sz w:val="10"/>
                                <w:szCs w:val="10"/>
                              </w:rPr>
                              <w:t xml:space="preserve">4.2.1: Viable sustainable blue/ocean finance mechanisms and tools developed and piloted </w:t>
                            </w:r>
                          </w:p>
                          <w:p w14:paraId="6809238E" w14:textId="77777777" w:rsidR="00CF33D9" w:rsidRDefault="00E3332A">
                            <w:pPr>
                              <w:jc w:val="center"/>
                              <w:rPr>
                                <w:rFonts w:ascii="Calibri" w:hAnsi="Calibri" w:cs="Calibri"/>
                                <w:color w:val="000000" w:themeColor="text1"/>
                                <w:sz w:val="10"/>
                                <w:szCs w:val="10"/>
                              </w:rPr>
                            </w:pPr>
                            <w:r>
                              <w:rPr>
                                <w:rFonts w:ascii="Calibri" w:hAnsi="Calibri" w:cs="Calibri"/>
                                <w:color w:val="000000" w:themeColor="text1"/>
                                <w:sz w:val="10"/>
                                <w:szCs w:val="10"/>
                              </w:rPr>
                              <w:t>Output4.2.2: Feasibility for blue carbon finance assessed and viable options developed (the project will work with NGI to expand kelp harvesting</w:t>
                            </w:r>
                          </w:p>
                          <w:p w14:paraId="6809238F" w14:textId="77777777" w:rsidR="00CF33D9" w:rsidRDefault="00E3332A">
                            <w:pPr>
                              <w:jc w:val="center"/>
                              <w:rPr>
                                <w:rFonts w:ascii="Calibri" w:hAnsi="Calibri" w:cs="Calibri"/>
                                <w:sz w:val="10"/>
                                <w:szCs w:val="10"/>
                              </w:rPr>
                            </w:pPr>
                            <w:r>
                              <w:rPr>
                                <w:rFonts w:ascii="Calibri" w:hAnsi="Calibri" w:cs="Calibri"/>
                                <w:color w:val="000000" w:themeColor="text1"/>
                                <w:sz w:val="10"/>
                                <w:szCs w:val="10"/>
                              </w:rPr>
                              <w:t>Output 4.2.3: Blue carbon finance mechanism developed and implemented</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75" id="_x0000_s1043" style="position:absolute;left:0;text-align:left;margin-left:535.8pt;margin-top:161.45pt;width:55.55pt;height:173.5pt;z-index:251628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" filled="f" strokecolor="black [3213]" strokeweight="1pt">
                <v:textbox>
                  <w:txbxContent>
                    <w:p w14:paraId="6809238D" w14:textId="77777777" w:rsidR="00CF33D9" w:rsidRDefault="00E3332A">
                      <w:pPr>
                        <w:jc w:val="center"/>
                        <w:rPr>
                          <w:rFonts w:ascii="Calibri" w:hAnsi="Calibri" w:cs="Calibri"/>
                          <w:color w:val="000000" w:themeColor="text1"/>
                          <w:sz w:val="10"/>
                          <w:szCs w:val="10"/>
                        </w:rPr>
                      </w:pPr>
                      <w:r>
                        <w:rPr>
                          <w:rFonts w:ascii="Calibri" w:eastAsia="Calibri" w:hAnsi="Calibri" w:cs="Calibri"/>
                          <w:color w:val="000000"/>
                          <w:sz w:val="10"/>
                          <w:szCs w:val="10"/>
                        </w:rPr>
                        <w:t xml:space="preserve">Output </w:t>
                      </w:r>
                      <w:r>
                        <w:rPr>
                          <w:rFonts w:ascii="Calibri" w:hAnsi="Calibri" w:cs="Calibri"/>
                          <w:color w:val="000000" w:themeColor="text1"/>
                          <w:sz w:val="10"/>
                          <w:szCs w:val="10"/>
                        </w:rPr>
                        <w:t xml:space="preserve">4.2.1: Viable sustainable blue/ocean finance mechanisms and tools developed and piloted </w:t>
                      </w:r>
                    </w:p>
                    <w:p w14:paraId="6809238E" w14:textId="77777777" w:rsidR="00CF33D9" w:rsidRDefault="00E3332A">
                      <w:pPr>
                        <w:jc w:val="center"/>
                        <w:rPr>
                          <w:rFonts w:ascii="Calibri" w:hAnsi="Calibri" w:cs="Calibri"/>
                          <w:color w:val="000000" w:themeColor="text1"/>
                          <w:sz w:val="10"/>
                          <w:szCs w:val="10"/>
                        </w:rPr>
                      </w:pPr>
                      <w:r>
                        <w:rPr>
                          <w:rFonts w:ascii="Calibri" w:hAnsi="Calibri" w:cs="Calibri"/>
                          <w:color w:val="000000" w:themeColor="text1"/>
                          <w:sz w:val="10"/>
                          <w:szCs w:val="10"/>
                        </w:rPr>
                        <w:t>Output4.2.2: Feasibility for blue carbon finance assessed and viable options developed (the project will work with NGI to expand kelp harvesting</w:t>
                      </w:r>
                    </w:p>
                    <w:p w14:paraId="6809238F" w14:textId="77777777" w:rsidR="00CF33D9" w:rsidRDefault="00E3332A">
                      <w:pPr>
                        <w:jc w:val="center"/>
                        <w:rPr>
                          <w:rFonts w:ascii="Calibri" w:hAnsi="Calibri" w:cs="Calibri"/>
                          <w:sz w:val="10"/>
                          <w:szCs w:val="10"/>
                        </w:rPr>
                      </w:pPr>
                      <w:r>
                        <w:rPr>
                          <w:rFonts w:ascii="Calibri" w:hAnsi="Calibri" w:cs="Calibri"/>
                          <w:color w:val="000000" w:themeColor="text1"/>
                          <w:sz w:val="10"/>
                          <w:szCs w:val="10"/>
                        </w:rPr>
                        <w:t>Output 4.2.3: Blue carbon finance mechanism developed and implemented</w:t>
                      </w:r>
                    </w:p>
                  </w:txbxContent>
                </v:textbox>
              </v: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575808" behindDoc="0" locked="0" layoutInCell="1" allowOverlap="1" wp14:anchorId="68092277" wp14:editId="68092278">
                <wp:simplePos x="0" y="0"/>
                <wp:positionH relativeFrom="column">
                  <wp:posOffset>2574925</wp:posOffset>
                </wp:positionH>
                <wp:positionV relativeFrom="paragraph">
                  <wp:posOffset>4288155</wp:posOffset>
                </wp:positionV>
                <wp:extent cx="1475105" cy="615315"/>
                <wp:effectExtent l="0" t="0" r="10795" b="6985"/>
                <wp:wrapNone/>
                <wp:docPr id="495496355" name="Rectangle 2"/>
                <wp:cNvGraphicFramePr/>
                <a:graphic xmlns:a="http://schemas.openxmlformats.org/drawingml/2006/main">
                  <a:graphicData uri="http://schemas.microsoft.com/office/word/2010/wordprocessingShape">
                    <wps:wsp>
                      <wps:cNvSpPr/>
                      <wps:spPr>
                        <a:xfrm>
                          <a:off x="0" y="0"/>
                          <a:ext cx="1475105" cy="615315"/>
                        </a:xfrm>
                        <a:prstGeom prst="rect">
                          <a:avLst/>
                        </a:prstGeom>
                        <a:solidFill>
                          <a:schemeClr val="accent6">
                            <a:lumMod val="60000"/>
                            <a:lumOff val="4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092390" w14:textId="77777777" w:rsidR="00CF33D9" w:rsidRDefault="00E3332A">
                            <w:pPr>
                              <w:jc w:val="center"/>
                              <w:rPr>
                                <w:rFonts w:ascii="Calibri" w:eastAsia="Calibri" w:hAnsi="Calibri" w:cs="Calibri"/>
                                <w:color w:val="000000"/>
                                <w:sz w:val="14"/>
                                <w:szCs w:val="14"/>
                              </w:rPr>
                            </w:pPr>
                            <w:r>
                              <w:rPr>
                                <w:rFonts w:ascii="Calibri" w:eastAsia="Calibri" w:hAnsi="Calibri" w:cs="Calibri"/>
                                <w:b/>
                                <w:color w:val="000000"/>
                                <w:sz w:val="14"/>
                                <w:szCs w:val="14"/>
                              </w:rPr>
                              <w:t>Component 2</w:t>
                            </w:r>
                            <w:r>
                              <w:rPr>
                                <w:rFonts w:ascii="Calibri" w:eastAsia="Calibri" w:hAnsi="Calibri" w:cs="Calibri"/>
                                <w:color w:val="000000"/>
                                <w:sz w:val="14"/>
                                <w:szCs w:val="14"/>
                              </w:rPr>
                              <w:t>: Enhance sustainable and climate resilient marine living resources and their value chains in the BCLME</w:t>
                            </w:r>
                          </w:p>
                          <w:p w14:paraId="68092391" w14:textId="77777777" w:rsidR="00CF33D9" w:rsidRDefault="00CF33D9">
                            <w:pPr>
                              <w:ind w:left="-105" w:right="-136"/>
                              <w:jc w:val="center"/>
                              <w:rPr>
                                <w:color w:val="000000" w:themeColor="text1"/>
                                <w:sz w:val="16"/>
                                <w:szCs w:val="16"/>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77" id="_x0000_s1044" style="position:absolute;left:0;text-align:left;margin-left:202.75pt;margin-top:337.65pt;width:116.15pt;height:48.45pt;z-index:251575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" fillcolor="#a8d08d [1945]" strokecolor="black [3213]" strokeweight="1pt">
                <v:textbox>
                  <w:txbxContent>
                    <w:p w14:paraId="68092390" w14:textId="77777777" w:rsidR="00CF33D9" w:rsidRDefault="00E3332A">
                      <w:pPr>
                        <w:jc w:val="center"/>
                        <w:rPr>
                          <w:rFonts w:ascii="Calibri" w:eastAsia="Calibri" w:hAnsi="Calibri" w:cs="Calibri"/>
                          <w:color w:val="000000"/>
                          <w:sz w:val="14"/>
                          <w:szCs w:val="14"/>
                        </w:rPr>
                      </w:pPr>
                      <w:r>
                        <w:rPr>
                          <w:rFonts w:ascii="Calibri" w:eastAsia="Calibri" w:hAnsi="Calibri" w:cs="Calibri"/>
                          <w:b/>
                          <w:color w:val="000000"/>
                          <w:sz w:val="14"/>
                          <w:szCs w:val="14"/>
                        </w:rPr>
                        <w:t>Component 2</w:t>
                      </w:r>
                      <w:r>
                        <w:rPr>
                          <w:rFonts w:ascii="Calibri" w:eastAsia="Calibri" w:hAnsi="Calibri" w:cs="Calibri"/>
                          <w:color w:val="000000"/>
                          <w:sz w:val="14"/>
                          <w:szCs w:val="14"/>
                        </w:rPr>
                        <w:t>: Enhance sustainable and climate resilient marine living resources and their value chains in the BCLME</w:t>
                      </w:r>
                    </w:p>
                    <w:p w14:paraId="68092391" w14:textId="77777777" w:rsidR="00CF33D9" w:rsidRDefault="00CF33D9">
                      <w:pPr>
                        <w:ind w:left="-105" w:right="-136"/>
                        <w:jc w:val="center"/>
                        <w:rPr>
                          <w:color w:val="000000" w:themeColor="text1"/>
                          <w:sz w:val="16"/>
                          <w:szCs w:val="16"/>
                        </w:rPr>
                      </w:pPr>
                    </w:p>
                  </w:txbxContent>
                </v:textbox>
              </v: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621888" behindDoc="0" locked="0" layoutInCell="1" allowOverlap="1" wp14:anchorId="68092279" wp14:editId="6809227A">
                <wp:simplePos x="0" y="0"/>
                <wp:positionH relativeFrom="column">
                  <wp:posOffset>6035040</wp:posOffset>
                </wp:positionH>
                <wp:positionV relativeFrom="paragraph">
                  <wp:posOffset>2051050</wp:posOffset>
                </wp:positionV>
                <wp:extent cx="746125" cy="2204720"/>
                <wp:effectExtent l="0" t="0" r="15875" b="17780"/>
                <wp:wrapNone/>
                <wp:docPr id="1388397625" name="Rectangle 2"/>
                <wp:cNvGraphicFramePr/>
                <a:graphic xmlns:a="http://schemas.openxmlformats.org/drawingml/2006/main">
                  <a:graphicData uri="http://schemas.microsoft.com/office/word/2010/wordprocessingShape">
                    <wps:wsp>
                      <wps:cNvSpPr/>
                      <wps:spPr>
                        <a:xfrm>
                          <a:off x="0" y="0"/>
                          <a:ext cx="746125" cy="22047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092392" w14:textId="77777777" w:rsidR="00CF33D9" w:rsidRDefault="00E3332A">
                            <w:pPr>
                              <w:jc w:val="center"/>
                              <w:rPr>
                                <w:rFonts w:ascii="Calibri" w:hAnsi="Calibri" w:cs="Calibri"/>
                                <w:color w:val="000000" w:themeColor="text1"/>
                                <w:sz w:val="10"/>
                                <w:szCs w:val="10"/>
                              </w:rPr>
                            </w:pPr>
                            <w:r>
                              <w:rPr>
                                <w:rFonts w:ascii="Calibri" w:eastAsia="Calibri" w:hAnsi="Calibri" w:cs="Calibri"/>
                                <w:color w:val="000000"/>
                                <w:sz w:val="10"/>
                                <w:szCs w:val="10"/>
                              </w:rPr>
                              <w:t xml:space="preserve">Output </w:t>
                            </w:r>
                            <w:r>
                              <w:rPr>
                                <w:rFonts w:cstheme="minorHAnsi"/>
                                <w:color w:val="000000" w:themeColor="text1"/>
                                <w:sz w:val="10"/>
                                <w:szCs w:val="10"/>
                              </w:rPr>
                              <w:t xml:space="preserve">4.1.1 </w:t>
                            </w:r>
                            <w:r>
                              <w:rPr>
                                <w:rFonts w:ascii="Calibri" w:hAnsi="Calibri" w:cs="Calibri"/>
                                <w:color w:val="000000" w:themeColor="text1"/>
                                <w:sz w:val="10"/>
                                <w:szCs w:val="10"/>
                              </w:rPr>
                              <w:t>Policies and strategies for Sustainable Blue/ Ocean Economy finance developed and/or strengthened</w:t>
                            </w:r>
                          </w:p>
                          <w:p w14:paraId="68092393" w14:textId="77777777" w:rsidR="00CF33D9" w:rsidRDefault="00E3332A">
                            <w:pPr>
                              <w:jc w:val="center"/>
                              <w:rPr>
                                <w:rFonts w:ascii="Calibri" w:eastAsia="Calibri" w:hAnsi="Calibri" w:cs="Calibri"/>
                                <w:color w:val="000000"/>
                                <w:sz w:val="10"/>
                                <w:szCs w:val="10"/>
                              </w:rPr>
                            </w:pPr>
                            <w:r>
                              <w:rPr>
                                <w:rFonts w:ascii="Calibri" w:hAnsi="Calibri" w:cs="Calibri"/>
                                <w:color w:val="000000" w:themeColor="text1"/>
                                <w:sz w:val="10"/>
                                <w:szCs w:val="10"/>
                              </w:rPr>
                              <w:t>Output 4.1.2: Reinforced public sector (national and regional) and private sector capacities in the design and implementation of bankable Sustainable Blue/ocean economy projects, innovative financing, principles, standards and green investments, among others</w:t>
                            </w:r>
                          </w:p>
                          <w:p w14:paraId="68092394" w14:textId="77777777" w:rsidR="00CF33D9" w:rsidRDefault="00CF33D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79" id="_x0000_s1045" style="position:absolute;left:0;text-align:left;margin-left:475.2pt;margin-top:161.5pt;width:58.75pt;height:173.6pt;z-index:251621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" filled="f" strokecolor="black [3213]" strokeweight="1pt">
                <v:textbox>
                  <w:txbxContent>
                    <w:p w14:paraId="68092392" w14:textId="77777777" w:rsidR="00CF33D9" w:rsidRDefault="00E3332A">
                      <w:pPr>
                        <w:jc w:val="center"/>
                        <w:rPr>
                          <w:rFonts w:ascii="Calibri" w:hAnsi="Calibri" w:cs="Calibri"/>
                          <w:color w:val="000000" w:themeColor="text1"/>
                          <w:sz w:val="10"/>
                          <w:szCs w:val="10"/>
                        </w:rPr>
                      </w:pPr>
                      <w:r>
                        <w:rPr>
                          <w:rFonts w:ascii="Calibri" w:eastAsia="Calibri" w:hAnsi="Calibri" w:cs="Calibri"/>
                          <w:color w:val="000000"/>
                          <w:sz w:val="10"/>
                          <w:szCs w:val="10"/>
                        </w:rPr>
                        <w:t xml:space="preserve">Output </w:t>
                      </w:r>
                      <w:r>
                        <w:rPr>
                          <w:rFonts w:cstheme="minorHAnsi"/>
                          <w:color w:val="000000" w:themeColor="text1"/>
                          <w:sz w:val="10"/>
                          <w:szCs w:val="10"/>
                        </w:rPr>
                        <w:t xml:space="preserve">4.1.1 </w:t>
                      </w:r>
                      <w:r>
                        <w:rPr>
                          <w:rFonts w:ascii="Calibri" w:hAnsi="Calibri" w:cs="Calibri"/>
                          <w:color w:val="000000" w:themeColor="text1"/>
                          <w:sz w:val="10"/>
                          <w:szCs w:val="10"/>
                        </w:rPr>
                        <w:t>Policies and strategies for Sustainable Blue/ Ocean Economy finance developed and/or strengthened</w:t>
                      </w:r>
                    </w:p>
                    <w:p w14:paraId="68092393" w14:textId="77777777" w:rsidR="00CF33D9" w:rsidRDefault="00E3332A">
                      <w:pPr>
                        <w:jc w:val="center"/>
                        <w:rPr>
                          <w:rFonts w:ascii="Calibri" w:eastAsia="Calibri" w:hAnsi="Calibri" w:cs="Calibri"/>
                          <w:color w:val="000000"/>
                          <w:sz w:val="10"/>
                          <w:szCs w:val="10"/>
                        </w:rPr>
                      </w:pPr>
                      <w:r>
                        <w:rPr>
                          <w:rFonts w:ascii="Calibri" w:hAnsi="Calibri" w:cs="Calibri"/>
                          <w:color w:val="000000" w:themeColor="text1"/>
                          <w:sz w:val="10"/>
                          <w:szCs w:val="10"/>
                        </w:rPr>
                        <w:t>Output 4.1.2: Reinforced public sector (national and regional) and private sector capacities in the design and implementation of bankable Sustainable Blue/ocean economy projects, innovative financing, principles, standards and green investments, among others</w:t>
                      </w:r>
                    </w:p>
                    <w:p w14:paraId="68092394" w14:textId="77777777" w:rsidR="00CF33D9" w:rsidRDefault="00CF33D9">
                      <w:pPr>
                        <w:jc w:val="center"/>
                      </w:pPr>
                    </w:p>
                  </w:txbxContent>
                </v:textbox>
              </v: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618816" behindDoc="0" locked="0" layoutInCell="1" allowOverlap="1" wp14:anchorId="6809227B" wp14:editId="6809227C">
                <wp:simplePos x="0" y="0"/>
                <wp:positionH relativeFrom="column">
                  <wp:posOffset>6036945</wp:posOffset>
                </wp:positionH>
                <wp:positionV relativeFrom="paragraph">
                  <wp:posOffset>4255135</wp:posOffset>
                </wp:positionV>
                <wp:extent cx="1475105" cy="652780"/>
                <wp:effectExtent l="0" t="0" r="10795" b="7620"/>
                <wp:wrapNone/>
                <wp:docPr id="1719286691" name="Rectangle 2"/>
                <wp:cNvGraphicFramePr/>
                <a:graphic xmlns:a="http://schemas.openxmlformats.org/drawingml/2006/main">
                  <a:graphicData uri="http://schemas.microsoft.com/office/word/2010/wordprocessingShape">
                    <wps:wsp>
                      <wps:cNvSpPr/>
                      <wps:spPr>
                        <a:xfrm>
                          <a:off x="0" y="0"/>
                          <a:ext cx="1475105" cy="652780"/>
                        </a:xfrm>
                        <a:prstGeom prst="rect">
                          <a:avLst/>
                        </a:prstGeom>
                        <a:solidFill>
                          <a:schemeClr val="tx2">
                            <a:lumMod val="60000"/>
                            <a:lumOff val="4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092395" w14:textId="77777777" w:rsidR="00CF33D9" w:rsidRDefault="00E3332A">
                            <w:pPr>
                              <w:ind w:left="-105" w:right="-136"/>
                              <w:jc w:val="center"/>
                              <w:rPr>
                                <w:rFonts w:ascii="Calibri" w:hAnsi="Calibri" w:cs="Calibri"/>
                                <w:color w:val="000000" w:themeColor="text1"/>
                                <w:sz w:val="14"/>
                                <w:szCs w:val="14"/>
                              </w:rPr>
                            </w:pPr>
                            <w:r>
                              <w:rPr>
                                <w:rFonts w:ascii="Calibri" w:hAnsi="Calibri" w:cs="Calibri"/>
                                <w:b/>
                                <w:bCs/>
                                <w:color w:val="000000" w:themeColor="text1"/>
                                <w:sz w:val="14"/>
                                <w:szCs w:val="14"/>
                              </w:rPr>
                              <w:t>Component 4</w:t>
                            </w:r>
                            <w:r>
                              <w:rPr>
                                <w:rFonts w:ascii="Calibri" w:hAnsi="Calibri" w:cs="Calibri"/>
                                <w:color w:val="000000" w:themeColor="text1"/>
                                <w:sz w:val="14"/>
                                <w:szCs w:val="14"/>
                              </w:rPr>
                              <w:t>: Promote regional and national frameworks for innovative sustainable blue/ocean economy finance to foster positive ecosystem, social and economic impacts</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7B" id="_x0000_s1046" style="position:absolute;left:0;text-align:left;margin-left:475.35pt;margin-top:335.05pt;width:116.15pt;height:51.4pt;z-index:251618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" fillcolor="#8496b0 [1951]" strokecolor="black [3213]" strokeweight="1pt">
                <v:textbox>
                  <w:txbxContent>
                    <w:p w14:paraId="68092395" w14:textId="77777777" w:rsidR="00CF33D9" w:rsidRDefault="00E3332A">
                      <w:pPr>
                        <w:ind w:left="-105" w:right="-136"/>
                        <w:jc w:val="center"/>
                        <w:rPr>
                          <w:rFonts w:ascii="Calibri" w:hAnsi="Calibri" w:cs="Calibri"/>
                          <w:color w:val="000000" w:themeColor="text1"/>
                          <w:sz w:val="14"/>
                          <w:szCs w:val="14"/>
                        </w:rPr>
                      </w:pPr>
                      <w:r>
                        <w:rPr>
                          <w:rFonts w:ascii="Calibri" w:hAnsi="Calibri" w:cs="Calibri"/>
                          <w:b/>
                          <w:bCs/>
                          <w:color w:val="000000" w:themeColor="text1"/>
                          <w:sz w:val="14"/>
                          <w:szCs w:val="14"/>
                        </w:rPr>
                        <w:t>Component 4</w:t>
                      </w:r>
                      <w:r>
                        <w:rPr>
                          <w:rFonts w:ascii="Calibri" w:hAnsi="Calibri" w:cs="Calibri"/>
                          <w:color w:val="000000" w:themeColor="text1"/>
                          <w:sz w:val="14"/>
                          <w:szCs w:val="14"/>
                        </w:rPr>
                        <w:t>: Promote regional and national frameworks for innovative sustainable blue/ocean economy finance to foster positive ecosystem, social and economic impacts</w:t>
                      </w:r>
                    </w:p>
                  </w:txbxContent>
                </v:textbox>
              </v: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612672" behindDoc="0" locked="0" layoutInCell="1" allowOverlap="1" wp14:anchorId="6809227D" wp14:editId="6809227E">
                <wp:simplePos x="0" y="0"/>
                <wp:positionH relativeFrom="column">
                  <wp:posOffset>6006465</wp:posOffset>
                </wp:positionH>
                <wp:positionV relativeFrom="paragraph">
                  <wp:posOffset>1005205</wp:posOffset>
                </wp:positionV>
                <wp:extent cx="1556385" cy="3929380"/>
                <wp:effectExtent l="0" t="0" r="18415" b="7620"/>
                <wp:wrapNone/>
                <wp:docPr id="361397800" name="Rectangle 2"/>
                <wp:cNvGraphicFramePr/>
                <a:graphic xmlns:a="http://schemas.openxmlformats.org/drawingml/2006/main">
                  <a:graphicData uri="http://schemas.microsoft.com/office/word/2010/wordprocessingShape">
                    <wps:wsp>
                      <wps:cNvSpPr/>
                      <wps:spPr>
                        <a:xfrm>
                          <a:off x="0" y="0"/>
                          <a:ext cx="1556385" cy="3929380"/>
                        </a:xfrm>
                        <a:prstGeom prst="rect">
                          <a:avLst/>
                        </a:prstGeom>
                        <a:noFill/>
                        <a:ln>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68092396" w14:textId="77777777" w:rsidR="00CF33D9" w:rsidRDefault="00CF33D9">
                            <w:pPr>
                              <w:rPr>
                                <w:sz w:val="10"/>
                                <w:szCs w:val="10"/>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7D" id="_x0000_s1047" style="position:absolute;left:0;text-align:left;margin-left:472.95pt;margin-top:79.15pt;width:122.55pt;height:309.4pt;z-index:251612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" filled="f" strokecolor="black [3213]" strokeweight="1pt">
                <v:stroke dashstyle="dash"/>
                <v:textbox>
                  <w:txbxContent>
                    <w:p w14:paraId="68092396" w14:textId="77777777" w:rsidR="00CF33D9" w:rsidRDefault="00CF33D9">
                      <w:pPr>
                        <w:rPr>
                          <w:sz w:val="10"/>
                          <w:szCs w:val="10"/>
                        </w:rPr>
                      </w:pPr>
                    </w:p>
                  </w:txbxContent>
                </v:textbox>
              </v: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615744" behindDoc="0" locked="0" layoutInCell="1" allowOverlap="1" wp14:anchorId="6809227F" wp14:editId="68092280">
                <wp:simplePos x="0" y="0"/>
                <wp:positionH relativeFrom="column">
                  <wp:posOffset>6040755</wp:posOffset>
                </wp:positionH>
                <wp:positionV relativeFrom="paragraph">
                  <wp:posOffset>1045845</wp:posOffset>
                </wp:positionV>
                <wp:extent cx="739775" cy="808990"/>
                <wp:effectExtent l="0" t="0" r="9525" b="16510"/>
                <wp:wrapNone/>
                <wp:docPr id="1066235622" name="Rectangle 2"/>
                <wp:cNvGraphicFramePr/>
                <a:graphic xmlns:a="http://schemas.openxmlformats.org/drawingml/2006/main">
                  <a:graphicData uri="http://schemas.microsoft.com/office/word/2010/wordprocessingShape">
                    <wps:wsp>
                      <wps:cNvSpPr/>
                      <wps:spPr>
                        <a:xfrm>
                          <a:off x="0" y="0"/>
                          <a:ext cx="739775" cy="808990"/>
                        </a:xfrm>
                        <a:prstGeom prst="rect">
                          <a:avLst/>
                        </a:prstGeom>
                        <a:solidFill>
                          <a:schemeClr val="tx2">
                            <a:lumMod val="40000"/>
                            <a:lumOff val="6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092397" w14:textId="77777777" w:rsidR="00CF33D9" w:rsidRDefault="00E3332A">
                            <w:pPr>
                              <w:jc w:val="center"/>
                              <w:rPr>
                                <w:sz w:val="13"/>
                                <w:szCs w:val="13"/>
                              </w:rPr>
                            </w:pPr>
                            <w:r>
                              <w:rPr>
                                <w:rFonts w:ascii="Calibri" w:eastAsia="Calibri" w:hAnsi="Calibri" w:cs="Calibri"/>
                                <w:color w:val="000000"/>
                                <w:sz w:val="10"/>
                                <w:szCs w:val="10"/>
                              </w:rPr>
                              <w:t xml:space="preserve">Outcome </w:t>
                            </w:r>
                            <w:r>
                              <w:rPr>
                                <w:rFonts w:cstheme="minorHAnsi"/>
                                <w:color w:val="000000" w:themeColor="text1"/>
                                <w:sz w:val="10"/>
                                <w:szCs w:val="10"/>
                              </w:rPr>
                              <w:t xml:space="preserve">4.1: </w:t>
                            </w:r>
                            <w:r>
                              <w:rPr>
                                <w:rFonts w:ascii="Calibri" w:hAnsi="Calibri" w:cs="Calibri"/>
                                <w:color w:val="000000" w:themeColor="text1"/>
                                <w:sz w:val="10"/>
                                <w:szCs w:val="10"/>
                              </w:rPr>
                              <w:t>Policy, regulatory and institutional capacity for boosting sustainable innovative blue/ocean economy finance strengthened</w:t>
                            </w:r>
                            <w:r>
                              <w:rPr>
                                <w:rFonts w:cstheme="minorHAnsi"/>
                                <w:color w:val="000000" w:themeColor="text1"/>
                                <w:sz w:val="10"/>
                                <w:szCs w:val="10"/>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7F" id="_x0000_s1048" style="position:absolute;left:0;text-align:left;margin-left:475.65pt;margin-top:82.35pt;width:58.25pt;height:63.7pt;z-index:251615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" fillcolor="#acb9ca [1311]" strokecolor="black [3213]" strokeweight="1pt">
                <v:textbox>
                  <w:txbxContent>
                    <w:p w14:paraId="68092397" w14:textId="77777777" w:rsidR="00CF33D9" w:rsidRDefault="00E3332A">
                      <w:pPr>
                        <w:jc w:val="center"/>
                        <w:rPr>
                          <w:sz w:val="13"/>
                          <w:szCs w:val="13"/>
                        </w:rPr>
                      </w:pPr>
                      <w:r>
                        <w:rPr>
                          <w:rFonts w:ascii="Calibri" w:eastAsia="Calibri" w:hAnsi="Calibri" w:cs="Calibri"/>
                          <w:color w:val="000000"/>
                          <w:sz w:val="10"/>
                          <w:szCs w:val="10"/>
                        </w:rPr>
                        <w:t xml:space="preserve">Outcome </w:t>
                      </w:r>
                      <w:r>
                        <w:rPr>
                          <w:rFonts w:cstheme="minorHAnsi"/>
                          <w:color w:val="000000" w:themeColor="text1"/>
                          <w:sz w:val="10"/>
                          <w:szCs w:val="10"/>
                        </w:rPr>
                        <w:t xml:space="preserve">4.1: </w:t>
                      </w:r>
                      <w:r>
                        <w:rPr>
                          <w:rFonts w:ascii="Calibri" w:hAnsi="Calibri" w:cs="Calibri"/>
                          <w:color w:val="000000" w:themeColor="text1"/>
                          <w:sz w:val="10"/>
                          <w:szCs w:val="10"/>
                        </w:rPr>
                        <w:t>Policy, regulatory and institutional capacity for boosting sustainable innovative blue/ocean economy finance strengthened</w:t>
                      </w:r>
                      <w:r>
                        <w:rPr>
                          <w:rFonts w:cstheme="minorHAnsi"/>
                          <w:color w:val="000000" w:themeColor="text1"/>
                          <w:sz w:val="10"/>
                          <w:szCs w:val="10"/>
                        </w:rPr>
                        <w:t xml:space="preserve"> </w:t>
                      </w:r>
                    </w:p>
                  </w:txbxContent>
                </v:textbox>
              </v: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624960" behindDoc="0" locked="0" layoutInCell="1" allowOverlap="1" wp14:anchorId="68092281" wp14:editId="68092282">
                <wp:simplePos x="0" y="0"/>
                <wp:positionH relativeFrom="column">
                  <wp:posOffset>6804660</wp:posOffset>
                </wp:positionH>
                <wp:positionV relativeFrom="paragraph">
                  <wp:posOffset>1045845</wp:posOffset>
                </wp:positionV>
                <wp:extent cx="705485" cy="808990"/>
                <wp:effectExtent l="0" t="0" r="18415" b="16510"/>
                <wp:wrapNone/>
                <wp:docPr id="811747628" name="Rectangle 2"/>
                <wp:cNvGraphicFramePr/>
                <a:graphic xmlns:a="http://schemas.openxmlformats.org/drawingml/2006/main">
                  <a:graphicData uri="http://schemas.microsoft.com/office/word/2010/wordprocessingShape">
                    <wps:wsp>
                      <wps:cNvSpPr/>
                      <wps:spPr>
                        <a:xfrm>
                          <a:off x="0" y="0"/>
                          <a:ext cx="705485" cy="808990"/>
                        </a:xfrm>
                        <a:prstGeom prst="rect">
                          <a:avLst/>
                        </a:prstGeom>
                        <a:solidFill>
                          <a:schemeClr val="tx2">
                            <a:lumMod val="40000"/>
                            <a:lumOff val="6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092398" w14:textId="77777777" w:rsidR="00CF33D9" w:rsidRDefault="00E3332A">
                            <w:pPr>
                              <w:jc w:val="center"/>
                              <w:rPr>
                                <w:rFonts w:ascii="Calibri" w:eastAsia="Calibri" w:hAnsi="Calibri" w:cs="Calibri"/>
                                <w:color w:val="000000"/>
                                <w:sz w:val="11"/>
                                <w:szCs w:val="11"/>
                              </w:rPr>
                            </w:pPr>
                            <w:r>
                              <w:rPr>
                                <w:rFonts w:ascii="Calibri" w:eastAsia="Calibri" w:hAnsi="Calibri" w:cs="Calibri"/>
                                <w:color w:val="000000"/>
                                <w:sz w:val="11"/>
                                <w:szCs w:val="11"/>
                              </w:rPr>
                              <w:t xml:space="preserve">Outcome 2.2: Market growth and diversification for sustainable and climate resilient marine commodities </w:t>
                            </w:r>
                          </w:p>
                          <w:p w14:paraId="68092399" w14:textId="77777777" w:rsidR="00CF33D9" w:rsidRDefault="00CF33D9">
                            <w:pPr>
                              <w:ind w:left="-142" w:right="-131"/>
                              <w:jc w:val="center"/>
                              <w:rPr>
                                <w:sz w:val="13"/>
                                <w:szCs w:val="13"/>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81" id="_x0000_s1049" style="position:absolute;left:0;text-align:left;margin-left:535.8pt;margin-top:82.35pt;width:55.55pt;height:63.7pt;z-index:251624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" fillcolor="#acb9ca [1311]" strokecolor="black [3213]" strokeweight="1pt">
                <v:textbox>
                  <w:txbxContent>
                    <w:p w14:paraId="68092398" w14:textId="77777777" w:rsidR="00CF33D9" w:rsidRDefault="00E3332A">
                      <w:pPr>
                        <w:jc w:val="center"/>
                        <w:rPr>
                          <w:rFonts w:ascii="Calibri" w:eastAsia="Calibri" w:hAnsi="Calibri" w:cs="Calibri"/>
                          <w:color w:val="000000"/>
                          <w:sz w:val="11"/>
                          <w:szCs w:val="11"/>
                        </w:rPr>
                      </w:pPr>
                      <w:r>
                        <w:rPr>
                          <w:rFonts w:ascii="Calibri" w:eastAsia="Calibri" w:hAnsi="Calibri" w:cs="Calibri"/>
                          <w:color w:val="000000"/>
                          <w:sz w:val="11"/>
                          <w:szCs w:val="11"/>
                        </w:rPr>
                        <w:t xml:space="preserve">Outcome 2.2: Market growth and diversification for sustainable and climate resilient marine commodities </w:t>
                      </w:r>
                    </w:p>
                    <w:p w14:paraId="68092399" w14:textId="77777777" w:rsidR="00CF33D9" w:rsidRDefault="00CF33D9">
                      <w:pPr>
                        <w:ind w:left="-142" w:right="-131"/>
                        <w:jc w:val="center"/>
                        <w:rPr>
                          <w:sz w:val="13"/>
                          <w:szCs w:val="13"/>
                        </w:rPr>
                      </w:pPr>
                    </w:p>
                  </w:txbxContent>
                </v:textbox>
              </v: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529728" behindDoc="0" locked="0" layoutInCell="1" allowOverlap="1" wp14:anchorId="68092283" wp14:editId="68092284">
                <wp:simplePos x="0" y="0"/>
                <wp:positionH relativeFrom="column">
                  <wp:posOffset>-751840</wp:posOffset>
                </wp:positionH>
                <wp:positionV relativeFrom="paragraph">
                  <wp:posOffset>1006475</wp:posOffset>
                </wp:positionV>
                <wp:extent cx="654050" cy="3893185"/>
                <wp:effectExtent l="0" t="0" r="19050" b="18415"/>
                <wp:wrapNone/>
                <wp:docPr id="621302163" name="Rectangle 2"/>
                <wp:cNvGraphicFramePr/>
                <a:graphic xmlns:a="http://schemas.openxmlformats.org/drawingml/2006/main">
                  <a:graphicData uri="http://schemas.microsoft.com/office/word/2010/wordprocessingShape">
                    <wps:wsp>
                      <wps:cNvSpPr/>
                      <wps:spPr>
                        <a:xfrm>
                          <a:off x="0" y="0"/>
                          <a:ext cx="654050" cy="3893378"/>
                        </a:xfrm>
                        <a:prstGeom prst="rect">
                          <a:avLst/>
                        </a:prstGeom>
                        <a:solidFill>
                          <a:schemeClr val="bg2"/>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09239A" w14:textId="77777777" w:rsidR="00CF33D9" w:rsidRDefault="00E3332A">
                            <w:pPr>
                              <w:ind w:left="-105" w:right="-136"/>
                              <w:jc w:val="center"/>
                              <w:rPr>
                                <w:rFonts w:ascii="Calibri" w:hAnsi="Calibri" w:cs="Calibri"/>
                                <w:b/>
                                <w:bCs/>
                                <w:color w:val="000000" w:themeColor="text1"/>
                                <w:sz w:val="18"/>
                                <w:szCs w:val="18"/>
                              </w:rPr>
                            </w:pPr>
                            <w:r>
                              <w:rPr>
                                <w:rFonts w:ascii="Calibri" w:hAnsi="Calibri" w:cs="Calibri"/>
                                <w:b/>
                                <w:bCs/>
                                <w:color w:val="000000" w:themeColor="text1"/>
                                <w:sz w:val="18"/>
                                <w:szCs w:val="18"/>
                              </w:rPr>
                              <w:t>Components</w:t>
                            </w:r>
                          </w:p>
                          <w:p w14:paraId="6809239B" w14:textId="77777777" w:rsidR="00CF33D9" w:rsidRDefault="00CF33D9">
                            <w:pPr>
                              <w:ind w:left="-105" w:right="-136"/>
                              <w:jc w:val="center"/>
                              <w:rPr>
                                <w:rFonts w:ascii="Calibri" w:hAnsi="Calibri" w:cs="Calibri"/>
                                <w:b/>
                                <w:bCs/>
                                <w:color w:val="000000" w:themeColor="text1"/>
                                <w:sz w:val="18"/>
                                <w:szCs w:val="18"/>
                              </w:rPr>
                            </w:pPr>
                          </w:p>
                          <w:p w14:paraId="6809239C" w14:textId="77777777" w:rsidR="00CF33D9" w:rsidRDefault="00E3332A">
                            <w:pPr>
                              <w:ind w:left="-105" w:right="-136"/>
                              <w:jc w:val="center"/>
                              <w:rPr>
                                <w:rFonts w:ascii="Calibri" w:hAnsi="Calibri" w:cs="Calibri"/>
                                <w:b/>
                                <w:bCs/>
                                <w:color w:val="000000" w:themeColor="text1"/>
                                <w:sz w:val="18"/>
                                <w:szCs w:val="18"/>
                              </w:rPr>
                            </w:pPr>
                            <w:r>
                              <w:rPr>
                                <w:rFonts w:ascii="Calibri" w:hAnsi="Calibri" w:cs="Calibri"/>
                                <w:b/>
                                <w:bCs/>
                                <w:color w:val="000000" w:themeColor="text1"/>
                                <w:sz w:val="18"/>
                                <w:szCs w:val="18"/>
                              </w:rPr>
                              <w:t>Outcomes</w:t>
                            </w:r>
                          </w:p>
                          <w:p w14:paraId="6809239D" w14:textId="77777777" w:rsidR="00CF33D9" w:rsidRDefault="00CF33D9">
                            <w:pPr>
                              <w:ind w:left="-105" w:right="-136"/>
                              <w:jc w:val="center"/>
                              <w:rPr>
                                <w:rFonts w:ascii="Calibri" w:hAnsi="Calibri" w:cs="Calibri"/>
                                <w:b/>
                                <w:bCs/>
                                <w:color w:val="000000" w:themeColor="text1"/>
                                <w:sz w:val="18"/>
                                <w:szCs w:val="18"/>
                              </w:rPr>
                            </w:pPr>
                          </w:p>
                          <w:p w14:paraId="6809239E" w14:textId="77777777" w:rsidR="00CF33D9" w:rsidRDefault="00E3332A">
                            <w:pPr>
                              <w:ind w:left="-105" w:right="-136"/>
                              <w:jc w:val="center"/>
                              <w:rPr>
                                <w:rFonts w:ascii="Calibri" w:hAnsi="Calibri" w:cs="Calibri"/>
                                <w:b/>
                                <w:bCs/>
                                <w:color w:val="000000" w:themeColor="text1"/>
                                <w:sz w:val="18"/>
                                <w:szCs w:val="18"/>
                              </w:rPr>
                            </w:pPr>
                            <w:r>
                              <w:rPr>
                                <w:rFonts w:ascii="Calibri" w:hAnsi="Calibri" w:cs="Calibri"/>
                                <w:b/>
                                <w:bCs/>
                                <w:color w:val="000000" w:themeColor="text1"/>
                                <w:sz w:val="18"/>
                                <w:szCs w:val="18"/>
                              </w:rPr>
                              <w:t>Outputs</w:t>
                            </w:r>
                          </w:p>
                          <w:p w14:paraId="6809239F" w14:textId="77777777" w:rsidR="00CF33D9" w:rsidRDefault="00CF33D9">
                            <w:pPr>
                              <w:rPr>
                                <w:rFonts w:ascii="Calibri" w:hAnsi="Calibri" w:cs="Calibri"/>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83" id="_x0000_s1050" style="position:absolute;left:0;text-align:left;margin-left:-59.2pt;margin-top:79.25pt;width:51.5pt;height:306.55pt;z-index:251529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" fillcolor="#e7e6e6 [3214]" strokecolor="black [3213]" strokeweight="1pt">
                <v:textbox>
                  <w:txbxContent>
                    <w:p w14:paraId="6809239A" w14:textId="77777777" w:rsidR="00CF33D9" w:rsidRDefault="00E3332A">
                      <w:pPr>
                        <w:ind w:left="-105" w:right="-136"/>
                        <w:jc w:val="center"/>
                        <w:rPr>
                          <w:rFonts w:ascii="Calibri" w:hAnsi="Calibri" w:cs="Calibri"/>
                          <w:b/>
                          <w:bCs/>
                          <w:color w:val="000000" w:themeColor="text1"/>
                          <w:sz w:val="18"/>
                          <w:szCs w:val="18"/>
                        </w:rPr>
                      </w:pPr>
                      <w:r>
                        <w:rPr>
                          <w:rFonts w:ascii="Calibri" w:hAnsi="Calibri" w:cs="Calibri"/>
                          <w:b/>
                          <w:bCs/>
                          <w:color w:val="000000" w:themeColor="text1"/>
                          <w:sz w:val="18"/>
                          <w:szCs w:val="18"/>
                        </w:rPr>
                        <w:t>Components</w:t>
                      </w:r>
                    </w:p>
                    <w:p w14:paraId="6809239B" w14:textId="77777777" w:rsidR="00CF33D9" w:rsidRDefault="00CF33D9">
                      <w:pPr>
                        <w:ind w:left="-105" w:right="-136"/>
                        <w:jc w:val="center"/>
                        <w:rPr>
                          <w:rFonts w:ascii="Calibri" w:hAnsi="Calibri" w:cs="Calibri"/>
                          <w:b/>
                          <w:bCs/>
                          <w:color w:val="000000" w:themeColor="text1"/>
                          <w:sz w:val="18"/>
                          <w:szCs w:val="18"/>
                        </w:rPr>
                      </w:pPr>
                    </w:p>
                    <w:p w14:paraId="6809239C" w14:textId="77777777" w:rsidR="00CF33D9" w:rsidRDefault="00E3332A">
                      <w:pPr>
                        <w:ind w:left="-105" w:right="-136"/>
                        <w:jc w:val="center"/>
                        <w:rPr>
                          <w:rFonts w:ascii="Calibri" w:hAnsi="Calibri" w:cs="Calibri"/>
                          <w:b/>
                          <w:bCs/>
                          <w:color w:val="000000" w:themeColor="text1"/>
                          <w:sz w:val="18"/>
                          <w:szCs w:val="18"/>
                        </w:rPr>
                      </w:pPr>
                      <w:r>
                        <w:rPr>
                          <w:rFonts w:ascii="Calibri" w:hAnsi="Calibri" w:cs="Calibri"/>
                          <w:b/>
                          <w:bCs/>
                          <w:color w:val="000000" w:themeColor="text1"/>
                          <w:sz w:val="18"/>
                          <w:szCs w:val="18"/>
                        </w:rPr>
                        <w:t>Outcomes</w:t>
                      </w:r>
                    </w:p>
                    <w:p w14:paraId="6809239D" w14:textId="77777777" w:rsidR="00CF33D9" w:rsidRDefault="00CF33D9">
                      <w:pPr>
                        <w:ind w:left="-105" w:right="-136"/>
                        <w:jc w:val="center"/>
                        <w:rPr>
                          <w:rFonts w:ascii="Calibri" w:hAnsi="Calibri" w:cs="Calibri"/>
                          <w:b/>
                          <w:bCs/>
                          <w:color w:val="000000" w:themeColor="text1"/>
                          <w:sz w:val="18"/>
                          <w:szCs w:val="18"/>
                        </w:rPr>
                      </w:pPr>
                    </w:p>
                    <w:p w14:paraId="6809239E" w14:textId="77777777" w:rsidR="00CF33D9" w:rsidRDefault="00E3332A">
                      <w:pPr>
                        <w:ind w:left="-105" w:right="-136"/>
                        <w:jc w:val="center"/>
                        <w:rPr>
                          <w:rFonts w:ascii="Calibri" w:hAnsi="Calibri" w:cs="Calibri"/>
                          <w:b/>
                          <w:bCs/>
                          <w:color w:val="000000" w:themeColor="text1"/>
                          <w:sz w:val="18"/>
                          <w:szCs w:val="18"/>
                        </w:rPr>
                      </w:pPr>
                      <w:r>
                        <w:rPr>
                          <w:rFonts w:ascii="Calibri" w:hAnsi="Calibri" w:cs="Calibri"/>
                          <w:b/>
                          <w:bCs/>
                          <w:color w:val="000000" w:themeColor="text1"/>
                          <w:sz w:val="18"/>
                          <w:szCs w:val="18"/>
                        </w:rPr>
                        <w:t>Outputs</w:t>
                      </w:r>
                    </w:p>
                    <w:p w14:paraId="6809239F" w14:textId="77777777" w:rsidR="00CF33D9" w:rsidRDefault="00CF33D9">
                      <w:pPr>
                        <w:rPr>
                          <w:rFonts w:ascii="Calibri" w:hAnsi="Calibri" w:cs="Calibri"/>
                        </w:rPr>
                      </w:pPr>
                    </w:p>
                  </w:txbxContent>
                </v:textbox>
              </v: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606528" behindDoc="0" locked="0" layoutInCell="1" allowOverlap="1" wp14:anchorId="68092285" wp14:editId="68092286">
                <wp:simplePos x="0" y="0"/>
                <wp:positionH relativeFrom="column">
                  <wp:posOffset>5399405</wp:posOffset>
                </wp:positionH>
                <wp:positionV relativeFrom="paragraph">
                  <wp:posOffset>2059940</wp:posOffset>
                </wp:positionV>
                <wp:extent cx="549275" cy="2210435"/>
                <wp:effectExtent l="0" t="0" r="10160" b="12065"/>
                <wp:wrapNone/>
                <wp:docPr id="957529148" name="Rectangle 2"/>
                <wp:cNvGraphicFramePr/>
                <a:graphic xmlns:a="http://schemas.openxmlformats.org/drawingml/2006/main">
                  <a:graphicData uri="http://schemas.microsoft.com/office/word/2010/wordprocessingShape">
                    <wps:wsp>
                      <wps:cNvSpPr/>
                      <wps:spPr>
                        <a:xfrm>
                          <a:off x="0" y="0"/>
                          <a:ext cx="549178" cy="221043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0923A0" w14:textId="77777777" w:rsidR="00CF33D9" w:rsidRDefault="00CF33D9">
                            <w:pPr>
                              <w:jc w:val="center"/>
                              <w:rPr>
                                <w:rFonts w:ascii="Calibri" w:eastAsia="Calibri" w:hAnsi="Calibri" w:cs="Calibri"/>
                                <w:color w:val="000000"/>
                                <w:sz w:val="10"/>
                                <w:szCs w:val="10"/>
                              </w:rPr>
                            </w:pPr>
                          </w:p>
                          <w:p w14:paraId="680923A1" w14:textId="77777777" w:rsidR="00CF33D9" w:rsidRDefault="00CF33D9">
                            <w:pPr>
                              <w:jc w:val="center"/>
                              <w:rPr>
                                <w:rFonts w:ascii="Calibri" w:eastAsia="Calibri" w:hAnsi="Calibri" w:cs="Calibri"/>
                                <w:color w:val="000000"/>
                                <w:sz w:val="10"/>
                                <w:szCs w:val="10"/>
                              </w:rPr>
                            </w:pPr>
                          </w:p>
                          <w:p w14:paraId="680923A2" w14:textId="77777777" w:rsidR="00CF33D9" w:rsidRDefault="00CF33D9">
                            <w:pPr>
                              <w:jc w:val="center"/>
                              <w:rPr>
                                <w:rFonts w:ascii="Calibri" w:eastAsia="Calibri" w:hAnsi="Calibri" w:cs="Calibri"/>
                                <w:color w:val="000000"/>
                                <w:sz w:val="10"/>
                                <w:szCs w:val="10"/>
                              </w:rPr>
                            </w:pPr>
                          </w:p>
                          <w:p w14:paraId="680923A3" w14:textId="77777777" w:rsidR="00CF33D9" w:rsidRDefault="00CF33D9">
                            <w:pPr>
                              <w:jc w:val="center"/>
                              <w:rPr>
                                <w:rFonts w:ascii="Calibri" w:eastAsia="Calibri" w:hAnsi="Calibri" w:cs="Calibri"/>
                                <w:color w:val="000000"/>
                                <w:sz w:val="10"/>
                                <w:szCs w:val="10"/>
                              </w:rPr>
                            </w:pPr>
                          </w:p>
                          <w:p w14:paraId="680923A4" w14:textId="77777777" w:rsidR="00CF33D9" w:rsidRDefault="00CF33D9">
                            <w:pPr>
                              <w:jc w:val="center"/>
                              <w:rPr>
                                <w:rFonts w:ascii="Calibri" w:eastAsia="Calibri" w:hAnsi="Calibri" w:cs="Calibri"/>
                                <w:color w:val="000000"/>
                                <w:sz w:val="10"/>
                                <w:szCs w:val="10"/>
                              </w:rPr>
                            </w:pPr>
                          </w:p>
                          <w:p w14:paraId="680923A5" w14:textId="77777777" w:rsidR="00CF33D9" w:rsidRDefault="00CF33D9">
                            <w:pPr>
                              <w:jc w:val="center"/>
                              <w:rPr>
                                <w:rFonts w:ascii="Calibri" w:eastAsia="Calibri" w:hAnsi="Calibri" w:cs="Calibri"/>
                                <w:color w:val="000000"/>
                                <w:sz w:val="10"/>
                                <w:szCs w:val="10"/>
                              </w:rPr>
                            </w:pPr>
                          </w:p>
                          <w:p w14:paraId="680923A6" w14:textId="77777777" w:rsidR="00CF33D9" w:rsidRDefault="00CF33D9">
                            <w:pPr>
                              <w:jc w:val="center"/>
                              <w:rPr>
                                <w:rFonts w:ascii="Calibri" w:eastAsia="Calibri" w:hAnsi="Calibri" w:cs="Calibri"/>
                                <w:color w:val="000000"/>
                                <w:sz w:val="10"/>
                                <w:szCs w:val="10"/>
                              </w:rPr>
                            </w:pPr>
                          </w:p>
                          <w:p w14:paraId="680923A7" w14:textId="77777777" w:rsidR="00CF33D9" w:rsidRDefault="00CF33D9">
                            <w:pPr>
                              <w:jc w:val="center"/>
                              <w:rPr>
                                <w:rFonts w:ascii="Calibri" w:eastAsia="Calibri" w:hAnsi="Calibri" w:cs="Calibri"/>
                                <w:color w:val="000000"/>
                                <w:sz w:val="10"/>
                                <w:szCs w:val="10"/>
                              </w:rPr>
                            </w:pPr>
                          </w:p>
                          <w:p w14:paraId="680923A8" w14:textId="77777777" w:rsidR="00CF33D9" w:rsidRDefault="00CF33D9">
                            <w:pPr>
                              <w:jc w:val="center"/>
                              <w:rPr>
                                <w:rFonts w:ascii="Calibri" w:eastAsia="Calibri" w:hAnsi="Calibri" w:cs="Calibri"/>
                                <w:color w:val="000000"/>
                                <w:sz w:val="10"/>
                                <w:szCs w:val="10"/>
                              </w:rPr>
                            </w:pPr>
                          </w:p>
                          <w:p w14:paraId="680923A9" w14:textId="77777777" w:rsidR="00CF33D9" w:rsidRDefault="00E3332A">
                            <w:pPr>
                              <w:jc w:val="center"/>
                              <w:rPr>
                                <w:rFonts w:ascii="Calibri" w:eastAsia="Calibri" w:hAnsi="Calibri" w:cs="Calibri"/>
                                <w:color w:val="000000"/>
                                <w:sz w:val="10"/>
                                <w:szCs w:val="10"/>
                              </w:rPr>
                            </w:pPr>
                            <w:r>
                              <w:rPr>
                                <w:rFonts w:ascii="Calibri" w:eastAsia="Calibri" w:hAnsi="Calibri" w:cs="Calibri"/>
                                <w:color w:val="000000"/>
                                <w:sz w:val="10"/>
                                <w:szCs w:val="10"/>
                              </w:rPr>
                              <w:t xml:space="preserve">Output </w:t>
                            </w:r>
                            <w:r>
                              <w:rPr>
                                <w:rFonts w:cstheme="minorHAnsi"/>
                                <w:color w:val="000000" w:themeColor="text1"/>
                                <w:sz w:val="10"/>
                                <w:szCs w:val="10"/>
                              </w:rPr>
                              <w:t xml:space="preserve">3.3.1: </w:t>
                            </w:r>
                            <w:r>
                              <w:rPr>
                                <w:rFonts w:ascii="Calibri" w:hAnsi="Calibri" w:cs="Calibri"/>
                                <w:color w:val="000000" w:themeColor="text1"/>
                                <w:sz w:val="10"/>
                                <w:szCs w:val="10"/>
                              </w:rPr>
                              <w:t>Cooperative agreements and long-term programs for ecosystem health</w:t>
                            </w:r>
                            <w:r>
                              <w:rPr>
                                <w:rFonts w:cstheme="minorHAnsi"/>
                                <w:color w:val="000000" w:themeColor="text1"/>
                                <w:sz w:val="20"/>
                                <w:szCs w:val="20"/>
                              </w:rPr>
                              <w:t xml:space="preserve"> </w:t>
                            </w:r>
                            <w:r>
                              <w:rPr>
                                <w:rFonts w:cstheme="minorHAnsi"/>
                                <w:sz w:val="20"/>
                                <w:szCs w:val="20"/>
                              </w:rPr>
                              <w:t>monitoring and compliance between countries formalized</w:t>
                            </w:r>
                          </w:p>
                          <w:p w14:paraId="680923AA" w14:textId="77777777" w:rsidR="00CF33D9" w:rsidRDefault="00CF33D9"/>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85" id="_x0000_s1051" style="position:absolute;left:0;text-align:left;margin-left:425.15pt;margin-top:162.2pt;width:43.25pt;height:174.05pt;z-index:251606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" filled="f" strokecolor="black [3213]" strokeweight="1pt">
                <v:textbox>
                  <w:txbxContent>
                    <w:p w14:paraId="680923A0" w14:textId="77777777" w:rsidR="00CF33D9" w:rsidRDefault="00CF33D9">
                      <w:pPr>
                        <w:jc w:val="center"/>
                        <w:rPr>
                          <w:rFonts w:ascii="Calibri" w:eastAsia="Calibri" w:hAnsi="Calibri" w:cs="Calibri"/>
                          <w:color w:val="000000"/>
                          <w:sz w:val="10"/>
                          <w:szCs w:val="10"/>
                        </w:rPr>
                      </w:pPr>
                    </w:p>
                    <w:p w14:paraId="680923A1" w14:textId="77777777" w:rsidR="00CF33D9" w:rsidRDefault="00CF33D9">
                      <w:pPr>
                        <w:jc w:val="center"/>
                        <w:rPr>
                          <w:rFonts w:ascii="Calibri" w:eastAsia="Calibri" w:hAnsi="Calibri" w:cs="Calibri"/>
                          <w:color w:val="000000"/>
                          <w:sz w:val="10"/>
                          <w:szCs w:val="10"/>
                        </w:rPr>
                      </w:pPr>
                    </w:p>
                    <w:p w14:paraId="680923A2" w14:textId="77777777" w:rsidR="00CF33D9" w:rsidRDefault="00CF33D9">
                      <w:pPr>
                        <w:jc w:val="center"/>
                        <w:rPr>
                          <w:rFonts w:ascii="Calibri" w:eastAsia="Calibri" w:hAnsi="Calibri" w:cs="Calibri"/>
                          <w:color w:val="000000"/>
                          <w:sz w:val="10"/>
                          <w:szCs w:val="10"/>
                        </w:rPr>
                      </w:pPr>
                    </w:p>
                    <w:p w14:paraId="680923A3" w14:textId="77777777" w:rsidR="00CF33D9" w:rsidRDefault="00CF33D9">
                      <w:pPr>
                        <w:jc w:val="center"/>
                        <w:rPr>
                          <w:rFonts w:ascii="Calibri" w:eastAsia="Calibri" w:hAnsi="Calibri" w:cs="Calibri"/>
                          <w:color w:val="000000"/>
                          <w:sz w:val="10"/>
                          <w:szCs w:val="10"/>
                        </w:rPr>
                      </w:pPr>
                    </w:p>
                    <w:p w14:paraId="680923A4" w14:textId="77777777" w:rsidR="00CF33D9" w:rsidRDefault="00CF33D9">
                      <w:pPr>
                        <w:jc w:val="center"/>
                        <w:rPr>
                          <w:rFonts w:ascii="Calibri" w:eastAsia="Calibri" w:hAnsi="Calibri" w:cs="Calibri"/>
                          <w:color w:val="000000"/>
                          <w:sz w:val="10"/>
                          <w:szCs w:val="10"/>
                        </w:rPr>
                      </w:pPr>
                    </w:p>
                    <w:p w14:paraId="680923A5" w14:textId="77777777" w:rsidR="00CF33D9" w:rsidRDefault="00CF33D9">
                      <w:pPr>
                        <w:jc w:val="center"/>
                        <w:rPr>
                          <w:rFonts w:ascii="Calibri" w:eastAsia="Calibri" w:hAnsi="Calibri" w:cs="Calibri"/>
                          <w:color w:val="000000"/>
                          <w:sz w:val="10"/>
                          <w:szCs w:val="10"/>
                        </w:rPr>
                      </w:pPr>
                    </w:p>
                    <w:p w14:paraId="680923A6" w14:textId="77777777" w:rsidR="00CF33D9" w:rsidRDefault="00CF33D9">
                      <w:pPr>
                        <w:jc w:val="center"/>
                        <w:rPr>
                          <w:rFonts w:ascii="Calibri" w:eastAsia="Calibri" w:hAnsi="Calibri" w:cs="Calibri"/>
                          <w:color w:val="000000"/>
                          <w:sz w:val="10"/>
                          <w:szCs w:val="10"/>
                        </w:rPr>
                      </w:pPr>
                    </w:p>
                    <w:p w14:paraId="680923A7" w14:textId="77777777" w:rsidR="00CF33D9" w:rsidRDefault="00CF33D9">
                      <w:pPr>
                        <w:jc w:val="center"/>
                        <w:rPr>
                          <w:rFonts w:ascii="Calibri" w:eastAsia="Calibri" w:hAnsi="Calibri" w:cs="Calibri"/>
                          <w:color w:val="000000"/>
                          <w:sz w:val="10"/>
                          <w:szCs w:val="10"/>
                        </w:rPr>
                      </w:pPr>
                    </w:p>
                    <w:p w14:paraId="680923A8" w14:textId="77777777" w:rsidR="00CF33D9" w:rsidRDefault="00CF33D9">
                      <w:pPr>
                        <w:jc w:val="center"/>
                        <w:rPr>
                          <w:rFonts w:ascii="Calibri" w:eastAsia="Calibri" w:hAnsi="Calibri" w:cs="Calibri"/>
                          <w:color w:val="000000"/>
                          <w:sz w:val="10"/>
                          <w:szCs w:val="10"/>
                        </w:rPr>
                      </w:pPr>
                    </w:p>
                    <w:p w14:paraId="680923A9" w14:textId="77777777" w:rsidR="00CF33D9" w:rsidRDefault="00E3332A">
                      <w:pPr>
                        <w:jc w:val="center"/>
                        <w:rPr>
                          <w:rFonts w:ascii="Calibri" w:eastAsia="Calibri" w:hAnsi="Calibri" w:cs="Calibri"/>
                          <w:color w:val="000000"/>
                          <w:sz w:val="10"/>
                          <w:szCs w:val="10"/>
                        </w:rPr>
                      </w:pPr>
                      <w:r>
                        <w:rPr>
                          <w:rFonts w:ascii="Calibri" w:eastAsia="Calibri" w:hAnsi="Calibri" w:cs="Calibri"/>
                          <w:color w:val="000000"/>
                          <w:sz w:val="10"/>
                          <w:szCs w:val="10"/>
                        </w:rPr>
                        <w:t xml:space="preserve">Output </w:t>
                      </w:r>
                      <w:r>
                        <w:rPr>
                          <w:rFonts w:cstheme="minorHAnsi"/>
                          <w:color w:val="000000" w:themeColor="text1"/>
                          <w:sz w:val="10"/>
                          <w:szCs w:val="10"/>
                        </w:rPr>
                        <w:t xml:space="preserve">3.3.1: </w:t>
                      </w:r>
                      <w:r>
                        <w:rPr>
                          <w:rFonts w:ascii="Calibri" w:hAnsi="Calibri" w:cs="Calibri"/>
                          <w:color w:val="000000" w:themeColor="text1"/>
                          <w:sz w:val="10"/>
                          <w:szCs w:val="10"/>
                        </w:rPr>
                        <w:t>Cooperative agreements and long-term programs for ecosystem health</w:t>
                      </w:r>
                      <w:r>
                        <w:rPr>
                          <w:rFonts w:cstheme="minorHAnsi"/>
                          <w:color w:val="000000" w:themeColor="text1"/>
                          <w:sz w:val="20"/>
                          <w:szCs w:val="20"/>
                        </w:rPr>
                        <w:t xml:space="preserve"> </w:t>
                      </w:r>
                      <w:r>
                        <w:rPr>
                          <w:rFonts w:cstheme="minorHAnsi"/>
                          <w:sz w:val="20"/>
                          <w:szCs w:val="20"/>
                        </w:rPr>
                        <w:t>monitoring and compliance between countries formalized</w:t>
                      </w:r>
                    </w:p>
                    <w:p w14:paraId="680923AA" w14:textId="77777777" w:rsidR="00CF33D9" w:rsidRDefault="00CF33D9"/>
                  </w:txbxContent>
                </v:textbox>
              </v: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609600" behindDoc="0" locked="0" layoutInCell="1" allowOverlap="1" wp14:anchorId="68092287" wp14:editId="68092288">
                <wp:simplePos x="0" y="0"/>
                <wp:positionH relativeFrom="column">
                  <wp:posOffset>4814570</wp:posOffset>
                </wp:positionH>
                <wp:positionV relativeFrom="paragraph">
                  <wp:posOffset>2054225</wp:posOffset>
                </wp:positionV>
                <wp:extent cx="549910" cy="2210435"/>
                <wp:effectExtent l="0" t="0" r="9525" b="12065"/>
                <wp:wrapNone/>
                <wp:docPr id="1366443550" name="Rectangle 2"/>
                <wp:cNvGraphicFramePr/>
                <a:graphic xmlns:a="http://schemas.openxmlformats.org/drawingml/2006/main">
                  <a:graphicData uri="http://schemas.microsoft.com/office/word/2010/wordprocessingShape">
                    <wps:wsp>
                      <wps:cNvSpPr/>
                      <wps:spPr>
                        <a:xfrm>
                          <a:off x="0" y="0"/>
                          <a:ext cx="549798" cy="221043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0923AB" w14:textId="77777777" w:rsidR="00CF33D9" w:rsidRDefault="00E3332A">
                            <w:pPr>
                              <w:ind w:left="-142" w:right="-210"/>
                              <w:jc w:val="center"/>
                              <w:rPr>
                                <w:rFonts w:ascii="Calibri" w:hAnsi="Calibri" w:cs="Calibri"/>
                                <w:color w:val="000000" w:themeColor="text1"/>
                                <w:sz w:val="10"/>
                                <w:szCs w:val="10"/>
                              </w:rPr>
                            </w:pPr>
                            <w:r>
                              <w:rPr>
                                <w:rFonts w:ascii="Calibri" w:eastAsia="Calibri" w:hAnsi="Calibri" w:cs="Calibri"/>
                                <w:color w:val="000000" w:themeColor="text1"/>
                                <w:sz w:val="10"/>
                                <w:szCs w:val="10"/>
                              </w:rPr>
                              <w:t xml:space="preserve">Output </w:t>
                            </w:r>
                            <w:r>
                              <w:rPr>
                                <w:rFonts w:ascii="Calibri" w:hAnsi="Calibri" w:cs="Calibri"/>
                                <w:color w:val="000000" w:themeColor="text1"/>
                                <w:sz w:val="10"/>
                                <w:szCs w:val="10"/>
                              </w:rPr>
                              <w:t>3.2.1: Pilot level community-based EBM and integrated watershed and coastal area management</w:t>
                            </w:r>
                            <w:r>
                              <w:rPr>
                                <w:rFonts w:ascii="Calibri" w:hAnsi="Calibri" w:cs="Calibri"/>
                                <w:color w:val="000000" w:themeColor="text1"/>
                                <w:sz w:val="20"/>
                                <w:szCs w:val="20"/>
                              </w:rPr>
                              <w:t xml:space="preserve"> </w:t>
                            </w:r>
                            <w:r>
                              <w:rPr>
                                <w:rFonts w:ascii="Calibri" w:hAnsi="Calibri" w:cs="Calibri"/>
                                <w:color w:val="000000" w:themeColor="text1"/>
                                <w:sz w:val="10"/>
                                <w:szCs w:val="10"/>
                              </w:rPr>
                              <w:t>(IWCAM) approaches to pollution reduction demonstrated and</w:t>
                            </w:r>
                            <w:r>
                              <w:rPr>
                                <w:rFonts w:ascii="Calibri" w:hAnsi="Calibri" w:cs="Calibri"/>
                                <w:color w:val="000000" w:themeColor="text1"/>
                                <w:sz w:val="20"/>
                                <w:szCs w:val="20"/>
                              </w:rPr>
                              <w:t xml:space="preserve"> </w:t>
                            </w:r>
                            <w:r>
                              <w:rPr>
                                <w:rFonts w:ascii="Calibri" w:hAnsi="Calibri" w:cs="Calibri"/>
                                <w:color w:val="000000" w:themeColor="text1"/>
                                <w:sz w:val="10"/>
                                <w:szCs w:val="10"/>
                              </w:rPr>
                              <w:t xml:space="preserve">addressed through demonstrations at pilot site </w:t>
                            </w:r>
                          </w:p>
                          <w:p w14:paraId="680923AC" w14:textId="77777777" w:rsidR="00CF33D9" w:rsidRDefault="00E3332A">
                            <w:pPr>
                              <w:ind w:left="-142" w:right="-210"/>
                              <w:jc w:val="center"/>
                              <w:rPr>
                                <w:rFonts w:ascii="Calibri" w:hAnsi="Calibri" w:cs="Calibri"/>
                                <w:sz w:val="10"/>
                                <w:szCs w:val="10"/>
                              </w:rPr>
                            </w:pPr>
                            <w:r>
                              <w:rPr>
                                <w:rFonts w:ascii="Calibri" w:hAnsi="Calibri" w:cs="Calibri"/>
                                <w:color w:val="000000" w:themeColor="text1"/>
                                <w:sz w:val="10"/>
                                <w:szCs w:val="10"/>
                              </w:rPr>
                              <w:t xml:space="preserve">Output3.2.2 Community awareness, training and capacity building and implementation plans and best practices for pollution management undertaken in selected pilot sites coast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87" id="_x0000_s1052" style="position:absolute;left:0;text-align:left;margin-left:379.1pt;margin-top:161.75pt;width:43.3pt;height:174.05pt;z-index:251609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" filled="f" strokecolor="black [3213]" strokeweight="1pt">
                <v:textbox>
                  <w:txbxContent>
                    <w:p w14:paraId="680923AB" w14:textId="77777777" w:rsidR="00CF33D9" w:rsidRDefault="00E3332A">
                      <w:pPr>
                        <w:ind w:left="-142" w:right="-210"/>
                        <w:jc w:val="center"/>
                        <w:rPr>
                          <w:rFonts w:ascii="Calibri" w:hAnsi="Calibri" w:cs="Calibri"/>
                          <w:color w:val="000000" w:themeColor="text1"/>
                          <w:sz w:val="10"/>
                          <w:szCs w:val="10"/>
                        </w:rPr>
                      </w:pPr>
                      <w:r>
                        <w:rPr>
                          <w:rFonts w:ascii="Calibri" w:eastAsia="Calibri" w:hAnsi="Calibri" w:cs="Calibri"/>
                          <w:color w:val="000000" w:themeColor="text1"/>
                          <w:sz w:val="10"/>
                          <w:szCs w:val="10"/>
                        </w:rPr>
                        <w:t xml:space="preserve">Output </w:t>
                      </w:r>
                      <w:r>
                        <w:rPr>
                          <w:rFonts w:ascii="Calibri" w:hAnsi="Calibri" w:cs="Calibri"/>
                          <w:color w:val="000000" w:themeColor="text1"/>
                          <w:sz w:val="10"/>
                          <w:szCs w:val="10"/>
                        </w:rPr>
                        <w:t>3.2.1: Pilot level community-based EBM and integrated watershed and coastal area management</w:t>
                      </w:r>
                      <w:r>
                        <w:rPr>
                          <w:rFonts w:ascii="Calibri" w:hAnsi="Calibri" w:cs="Calibri"/>
                          <w:color w:val="000000" w:themeColor="text1"/>
                          <w:sz w:val="20"/>
                          <w:szCs w:val="20"/>
                        </w:rPr>
                        <w:t xml:space="preserve"> </w:t>
                      </w:r>
                      <w:r>
                        <w:rPr>
                          <w:rFonts w:ascii="Calibri" w:hAnsi="Calibri" w:cs="Calibri"/>
                          <w:color w:val="000000" w:themeColor="text1"/>
                          <w:sz w:val="10"/>
                          <w:szCs w:val="10"/>
                        </w:rPr>
                        <w:t>(IWCAM) approaches to pollution reduction demonstrated and</w:t>
                      </w:r>
                      <w:r>
                        <w:rPr>
                          <w:rFonts w:ascii="Calibri" w:hAnsi="Calibri" w:cs="Calibri"/>
                          <w:color w:val="000000" w:themeColor="text1"/>
                          <w:sz w:val="20"/>
                          <w:szCs w:val="20"/>
                        </w:rPr>
                        <w:t xml:space="preserve"> </w:t>
                      </w:r>
                      <w:r>
                        <w:rPr>
                          <w:rFonts w:ascii="Calibri" w:hAnsi="Calibri" w:cs="Calibri"/>
                          <w:color w:val="000000" w:themeColor="text1"/>
                          <w:sz w:val="10"/>
                          <w:szCs w:val="10"/>
                        </w:rPr>
                        <w:t xml:space="preserve">addressed through demonstrations at pilot site </w:t>
                      </w:r>
                    </w:p>
                    <w:p w14:paraId="680923AC" w14:textId="77777777" w:rsidR="00CF33D9" w:rsidRDefault="00E3332A">
                      <w:pPr>
                        <w:ind w:left="-142" w:right="-210"/>
                        <w:jc w:val="center"/>
                        <w:rPr>
                          <w:rFonts w:ascii="Calibri" w:hAnsi="Calibri" w:cs="Calibri"/>
                          <w:sz w:val="10"/>
                          <w:szCs w:val="10"/>
                        </w:rPr>
                      </w:pPr>
                      <w:r>
                        <w:rPr>
                          <w:rFonts w:ascii="Calibri" w:hAnsi="Calibri" w:cs="Calibri"/>
                          <w:color w:val="000000" w:themeColor="text1"/>
                          <w:sz w:val="10"/>
                          <w:szCs w:val="10"/>
                        </w:rPr>
                        <w:t xml:space="preserve">Output3.2.2 Community awareness, training and capacity building and implementation plans and best practices for pollution management undertaken in selected pilot sites coast  </w:t>
                      </w:r>
                    </w:p>
                  </w:txbxContent>
                </v:textbox>
              </v: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603456" behindDoc="0" locked="0" layoutInCell="1" allowOverlap="1" wp14:anchorId="68092289" wp14:editId="6809228A">
                <wp:simplePos x="0" y="0"/>
                <wp:positionH relativeFrom="column">
                  <wp:posOffset>4154805</wp:posOffset>
                </wp:positionH>
                <wp:positionV relativeFrom="paragraph">
                  <wp:posOffset>2058035</wp:posOffset>
                </wp:positionV>
                <wp:extent cx="607060" cy="2210435"/>
                <wp:effectExtent l="0" t="0" r="15240" b="12065"/>
                <wp:wrapNone/>
                <wp:docPr id="461987236" name="Rectangle 2"/>
                <wp:cNvGraphicFramePr/>
                <a:graphic xmlns:a="http://schemas.openxmlformats.org/drawingml/2006/main">
                  <a:graphicData uri="http://schemas.microsoft.com/office/word/2010/wordprocessingShape">
                    <wps:wsp>
                      <wps:cNvSpPr/>
                      <wps:spPr>
                        <a:xfrm>
                          <a:off x="0" y="0"/>
                          <a:ext cx="607060" cy="221043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0923AD" w14:textId="77777777" w:rsidR="00CF33D9" w:rsidRDefault="00E3332A">
                            <w:pPr>
                              <w:ind w:left="-105" w:right="-136"/>
                              <w:jc w:val="center"/>
                              <w:rPr>
                                <w:sz w:val="10"/>
                                <w:szCs w:val="10"/>
                              </w:rPr>
                            </w:pPr>
                            <w:r>
                              <w:rPr>
                                <w:rFonts w:ascii="Calibri" w:eastAsia="Calibri" w:hAnsi="Calibri" w:cs="Calibri"/>
                                <w:color w:val="000000"/>
                                <w:sz w:val="10"/>
                                <w:szCs w:val="10"/>
                              </w:rPr>
                              <w:t>Output 3.1.1 Policy and legislative frameworks developed/updated/strengthened</w:t>
                            </w:r>
                            <w:r>
                              <w:rPr>
                                <w:rFonts w:ascii="Calibri" w:eastAsia="Calibri" w:hAnsi="Calibri" w:cs="Calibri"/>
                                <w:color w:val="000000"/>
                                <w:sz w:val="10"/>
                                <w:szCs w:val="10"/>
                              </w:rPr>
                              <w:br/>
                              <w:t>and related strategies in place to address pollution prevention and control and response from shipping and extractive industries in the BCLME</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89" id="_x0000_s1053" style="position:absolute;left:0;text-align:left;margin-left:327.15pt;margin-top:162.05pt;width:47.8pt;height:174.05pt;z-index:251603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" filled="f" strokecolor="black [3213]" strokeweight="1pt">
                <v:textbox>
                  <w:txbxContent>
                    <w:p w14:paraId="680923AD" w14:textId="77777777" w:rsidR="00CF33D9" w:rsidRDefault="00E3332A">
                      <w:pPr>
                        <w:ind w:left="-105" w:right="-136"/>
                        <w:jc w:val="center"/>
                        <w:rPr>
                          <w:sz w:val="10"/>
                          <w:szCs w:val="10"/>
                        </w:rPr>
                      </w:pPr>
                      <w:r>
                        <w:rPr>
                          <w:rFonts w:ascii="Calibri" w:eastAsia="Calibri" w:hAnsi="Calibri" w:cs="Calibri"/>
                          <w:color w:val="000000"/>
                          <w:sz w:val="10"/>
                          <w:szCs w:val="10"/>
                        </w:rPr>
                        <w:t>Output 3.1.1 Policy and legislative frameworks developed/updated/strengthened</w:t>
                      </w:r>
                      <w:r>
                        <w:rPr>
                          <w:rFonts w:ascii="Calibri" w:eastAsia="Calibri" w:hAnsi="Calibri" w:cs="Calibri"/>
                          <w:color w:val="000000"/>
                          <w:sz w:val="10"/>
                          <w:szCs w:val="10"/>
                        </w:rPr>
                        <w:br/>
                        <w:t>and related strategies in place to address pollution prevention and control and response from shipping and extractive industries in the BCLME</w:t>
                      </w:r>
                    </w:p>
                  </w:txbxContent>
                </v:textbox>
              </v: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594240" behindDoc="0" locked="0" layoutInCell="1" allowOverlap="1" wp14:anchorId="6809228B" wp14:editId="6809228C">
                <wp:simplePos x="0" y="0"/>
                <wp:positionH relativeFrom="column">
                  <wp:posOffset>4172585</wp:posOffset>
                </wp:positionH>
                <wp:positionV relativeFrom="paragraph">
                  <wp:posOffset>4271010</wp:posOffset>
                </wp:positionV>
                <wp:extent cx="1776095" cy="612140"/>
                <wp:effectExtent l="0" t="0" r="14605" b="10160"/>
                <wp:wrapNone/>
                <wp:docPr id="788528615" name="Rectangle 2"/>
                <wp:cNvGraphicFramePr/>
                <a:graphic xmlns:a="http://schemas.openxmlformats.org/drawingml/2006/main">
                  <a:graphicData uri="http://schemas.microsoft.com/office/word/2010/wordprocessingShape">
                    <wps:wsp>
                      <wps:cNvSpPr/>
                      <wps:spPr>
                        <a:xfrm>
                          <a:off x="0" y="0"/>
                          <a:ext cx="1776192" cy="612430"/>
                        </a:xfrm>
                        <a:prstGeom prst="rect">
                          <a:avLst/>
                        </a:prstGeom>
                        <a:solidFill>
                          <a:schemeClr val="accent4">
                            <a:lumMod val="60000"/>
                            <a:lumOff val="4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0923AE" w14:textId="77777777" w:rsidR="00CF33D9" w:rsidRDefault="00E3332A">
                            <w:pPr>
                              <w:ind w:left="-105" w:right="-136"/>
                              <w:jc w:val="center"/>
                              <w:rPr>
                                <w:color w:val="000000" w:themeColor="text1"/>
                                <w:sz w:val="16"/>
                                <w:szCs w:val="16"/>
                              </w:rPr>
                            </w:pPr>
                            <w:r>
                              <w:rPr>
                                <w:rFonts w:ascii="Calibri" w:eastAsia="Calibri" w:hAnsi="Calibri" w:cs="Calibri"/>
                                <w:b/>
                                <w:color w:val="000000"/>
                                <w:sz w:val="16"/>
                                <w:szCs w:val="16"/>
                              </w:rPr>
                              <w:t>Component 3</w:t>
                            </w:r>
                            <w:r>
                              <w:rPr>
                                <w:rFonts w:ascii="Calibri" w:eastAsia="Calibri" w:hAnsi="Calibri" w:cs="Calibri"/>
                                <w:color w:val="000000"/>
                                <w:sz w:val="16"/>
                                <w:szCs w:val="16"/>
                              </w:rPr>
                              <w:t>: Improve coastal and marine pollution management in the BCLME</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8B" id="_x0000_s1054" style="position:absolute;left:0;text-align:left;margin-left:328.55pt;margin-top:336.3pt;width:139.85pt;height:48.2pt;z-index:251594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" fillcolor="#ffd966 [1943]" strokecolor="black [3213]" strokeweight="1pt">
                <v:textbox>
                  <w:txbxContent>
                    <w:p w14:paraId="680923AE" w14:textId="77777777" w:rsidR="00CF33D9" w:rsidRDefault="00E3332A">
                      <w:pPr>
                        <w:ind w:left="-105" w:right="-136"/>
                        <w:jc w:val="center"/>
                        <w:rPr>
                          <w:color w:val="000000" w:themeColor="text1"/>
                          <w:sz w:val="16"/>
                          <w:szCs w:val="16"/>
                        </w:rPr>
                      </w:pPr>
                      <w:r>
                        <w:rPr>
                          <w:rFonts w:ascii="Calibri" w:eastAsia="Calibri" w:hAnsi="Calibri" w:cs="Calibri"/>
                          <w:b/>
                          <w:color w:val="000000"/>
                          <w:sz w:val="16"/>
                          <w:szCs w:val="16"/>
                        </w:rPr>
                        <w:t>Component 3</w:t>
                      </w:r>
                      <w:r>
                        <w:rPr>
                          <w:rFonts w:ascii="Calibri" w:eastAsia="Calibri" w:hAnsi="Calibri" w:cs="Calibri"/>
                          <w:color w:val="000000"/>
                          <w:sz w:val="16"/>
                          <w:szCs w:val="16"/>
                        </w:rPr>
                        <w:t>: Improve coastal and marine pollution management in the BCLME</w:t>
                      </w:r>
                    </w:p>
                  </w:txbxContent>
                </v:textbox>
              </v: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588096" behindDoc="0" locked="0" layoutInCell="1" allowOverlap="1" wp14:anchorId="6809228D" wp14:editId="6809228E">
                <wp:simplePos x="0" y="0"/>
                <wp:positionH relativeFrom="column">
                  <wp:posOffset>4149090</wp:posOffset>
                </wp:positionH>
                <wp:positionV relativeFrom="paragraph">
                  <wp:posOffset>1006475</wp:posOffset>
                </wp:positionV>
                <wp:extent cx="1827530" cy="3929380"/>
                <wp:effectExtent l="0" t="0" r="13970" b="7620"/>
                <wp:wrapNone/>
                <wp:docPr id="1674680187" name="Rectangle 2"/>
                <wp:cNvGraphicFramePr/>
                <a:graphic xmlns:a="http://schemas.openxmlformats.org/drawingml/2006/main">
                  <a:graphicData uri="http://schemas.microsoft.com/office/word/2010/wordprocessingShape">
                    <wps:wsp>
                      <wps:cNvSpPr/>
                      <wps:spPr>
                        <a:xfrm>
                          <a:off x="0" y="0"/>
                          <a:ext cx="1827530" cy="3929380"/>
                        </a:xfrm>
                        <a:prstGeom prst="rect">
                          <a:avLst/>
                        </a:prstGeom>
                        <a:noFill/>
                        <a:ln>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680923AF" w14:textId="77777777" w:rsidR="00CF33D9" w:rsidRDefault="00CF33D9">
                            <w:pPr>
                              <w:rPr>
                                <w:sz w:val="10"/>
                                <w:szCs w:val="10"/>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8D" id="_x0000_s1055" style="position:absolute;left:0;text-align:left;margin-left:326.7pt;margin-top:79.25pt;width:143.9pt;height:309.4pt;z-index:251588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" filled="f" strokecolor="black [3213]" strokeweight="1pt">
                <v:stroke dashstyle="dash"/>
                <v:textbox>
                  <w:txbxContent>
                    <w:p w14:paraId="680923AF" w14:textId="77777777" w:rsidR="00CF33D9" w:rsidRDefault="00CF33D9">
                      <w:pPr>
                        <w:rPr>
                          <w:sz w:val="10"/>
                          <w:szCs w:val="10"/>
                        </w:rPr>
                      </w:pPr>
                    </w:p>
                  </w:txbxContent>
                </v:textbox>
              </v: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600384" behindDoc="0" locked="0" layoutInCell="1" allowOverlap="1" wp14:anchorId="6809228F" wp14:editId="68092290">
                <wp:simplePos x="0" y="0"/>
                <wp:positionH relativeFrom="column">
                  <wp:posOffset>5399405</wp:posOffset>
                </wp:positionH>
                <wp:positionV relativeFrom="paragraph">
                  <wp:posOffset>1035685</wp:posOffset>
                </wp:positionV>
                <wp:extent cx="549910" cy="820420"/>
                <wp:effectExtent l="0" t="0" r="9525" b="17780"/>
                <wp:wrapNone/>
                <wp:docPr id="776578518" name="Rectangle 2"/>
                <wp:cNvGraphicFramePr/>
                <a:graphic xmlns:a="http://schemas.openxmlformats.org/drawingml/2006/main">
                  <a:graphicData uri="http://schemas.microsoft.com/office/word/2010/wordprocessingShape">
                    <wps:wsp>
                      <wps:cNvSpPr/>
                      <wps:spPr>
                        <a:xfrm>
                          <a:off x="0" y="0"/>
                          <a:ext cx="549797" cy="820493"/>
                        </a:xfrm>
                        <a:prstGeom prst="rect">
                          <a:avLst/>
                        </a:prstGeom>
                        <a:solidFill>
                          <a:schemeClr val="accent4">
                            <a:lumMod val="40000"/>
                            <a:lumOff val="6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0923B0" w14:textId="77777777" w:rsidR="00CF33D9" w:rsidRDefault="00E3332A">
                            <w:pPr>
                              <w:ind w:left="-111" w:right="-99"/>
                              <w:jc w:val="center"/>
                              <w:rPr>
                                <w:rFonts w:ascii="Calibri" w:eastAsia="Calibri" w:hAnsi="Calibri" w:cs="Calibri"/>
                                <w:color w:val="000000" w:themeColor="text1"/>
                                <w:sz w:val="11"/>
                                <w:szCs w:val="11"/>
                              </w:rPr>
                            </w:pPr>
                            <w:r>
                              <w:rPr>
                                <w:rFonts w:ascii="Calibri" w:eastAsia="Calibri" w:hAnsi="Calibri" w:cs="Calibri"/>
                                <w:color w:val="000000" w:themeColor="text1"/>
                                <w:sz w:val="11"/>
                                <w:szCs w:val="11"/>
                              </w:rPr>
                              <w:t xml:space="preserve">Outcome </w:t>
                            </w:r>
                            <w:r>
                              <w:rPr>
                                <w:rFonts w:ascii="Calibri" w:eastAsia="Calibri" w:hAnsi="Calibri" w:cs="Calibri"/>
                                <w:color w:val="000000"/>
                                <w:sz w:val="11"/>
                                <w:szCs w:val="11"/>
                              </w:rPr>
                              <w:t xml:space="preserve">3.3: Strengthened regional cooperation and coordination </w:t>
                            </w:r>
                          </w:p>
                          <w:p w14:paraId="680923B1" w14:textId="77777777" w:rsidR="00CF33D9" w:rsidRDefault="00CF33D9">
                            <w:pPr>
                              <w:ind w:right="-210"/>
                              <w:jc w:val="center"/>
                              <w:rPr>
                                <w:sz w:val="11"/>
                                <w:szCs w:val="11"/>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8F" id="_x0000_s1056" style="position:absolute;left:0;text-align:left;margin-left:425.15pt;margin-top:81.55pt;width:43.3pt;height:64.6pt;z-index:251600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" fillcolor="#ffe599 [1303]" strokecolor="black [3213]" strokeweight="1pt">
                <v:textbox>
                  <w:txbxContent>
                    <w:p w14:paraId="680923B0" w14:textId="77777777" w:rsidR="00CF33D9" w:rsidRDefault="00E3332A">
                      <w:pPr>
                        <w:ind w:left="-111" w:right="-99"/>
                        <w:jc w:val="center"/>
                        <w:rPr>
                          <w:rFonts w:ascii="Calibri" w:eastAsia="Calibri" w:hAnsi="Calibri" w:cs="Calibri"/>
                          <w:color w:val="000000" w:themeColor="text1"/>
                          <w:sz w:val="11"/>
                          <w:szCs w:val="11"/>
                        </w:rPr>
                      </w:pPr>
                      <w:r>
                        <w:rPr>
                          <w:rFonts w:ascii="Calibri" w:eastAsia="Calibri" w:hAnsi="Calibri" w:cs="Calibri"/>
                          <w:color w:val="000000" w:themeColor="text1"/>
                          <w:sz w:val="11"/>
                          <w:szCs w:val="11"/>
                        </w:rPr>
                        <w:t xml:space="preserve">Outcome </w:t>
                      </w:r>
                      <w:r>
                        <w:rPr>
                          <w:rFonts w:ascii="Calibri" w:eastAsia="Calibri" w:hAnsi="Calibri" w:cs="Calibri"/>
                          <w:color w:val="000000"/>
                          <w:sz w:val="11"/>
                          <w:szCs w:val="11"/>
                        </w:rPr>
                        <w:t xml:space="preserve">3.3: Strengthened regional cooperation and coordination </w:t>
                      </w:r>
                    </w:p>
                    <w:p w14:paraId="680923B1" w14:textId="77777777" w:rsidR="00CF33D9" w:rsidRDefault="00CF33D9">
                      <w:pPr>
                        <w:ind w:right="-210"/>
                        <w:jc w:val="center"/>
                        <w:rPr>
                          <w:sz w:val="11"/>
                          <w:szCs w:val="11"/>
                        </w:rPr>
                      </w:pPr>
                    </w:p>
                  </w:txbxContent>
                </v:textbox>
              </v: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597312" behindDoc="0" locked="0" layoutInCell="1" allowOverlap="1" wp14:anchorId="68092291" wp14:editId="68092292">
                <wp:simplePos x="0" y="0"/>
                <wp:positionH relativeFrom="column">
                  <wp:posOffset>4773930</wp:posOffset>
                </wp:positionH>
                <wp:positionV relativeFrom="paragraph">
                  <wp:posOffset>1041400</wp:posOffset>
                </wp:positionV>
                <wp:extent cx="601980" cy="814705"/>
                <wp:effectExtent l="0" t="0" r="8255" b="10795"/>
                <wp:wrapNone/>
                <wp:docPr id="1698431567" name="Rectangle 2"/>
                <wp:cNvGraphicFramePr/>
                <a:graphic xmlns:a="http://schemas.openxmlformats.org/drawingml/2006/main">
                  <a:graphicData uri="http://schemas.microsoft.com/office/word/2010/wordprocessingShape">
                    <wps:wsp>
                      <wps:cNvSpPr/>
                      <wps:spPr>
                        <a:xfrm>
                          <a:off x="0" y="0"/>
                          <a:ext cx="601884" cy="814777"/>
                        </a:xfrm>
                        <a:prstGeom prst="rect">
                          <a:avLst/>
                        </a:prstGeom>
                        <a:solidFill>
                          <a:schemeClr val="accent4">
                            <a:lumMod val="40000"/>
                            <a:lumOff val="6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0923B2" w14:textId="77777777" w:rsidR="00CF33D9" w:rsidRDefault="00E3332A">
                            <w:pPr>
                              <w:ind w:left="-142" w:right="-99"/>
                              <w:jc w:val="center"/>
                              <w:rPr>
                                <w:sz w:val="11"/>
                                <w:szCs w:val="11"/>
                              </w:rPr>
                            </w:pPr>
                            <w:r>
                              <w:rPr>
                                <w:rFonts w:ascii="Calibri" w:eastAsia="Calibri" w:hAnsi="Calibri" w:cs="Calibri"/>
                                <w:color w:val="000000" w:themeColor="text1"/>
                                <w:sz w:val="11"/>
                                <w:szCs w:val="11"/>
                              </w:rPr>
                              <w:t xml:space="preserve">Outcome </w:t>
                            </w:r>
                            <w:r>
                              <w:rPr>
                                <w:rFonts w:ascii="Calibri" w:eastAsia="Calibri" w:hAnsi="Calibri" w:cs="Calibri"/>
                                <w:color w:val="000000"/>
                                <w:sz w:val="11"/>
                                <w:szCs w:val="11"/>
                              </w:rPr>
                              <w:t xml:space="preserve">3.2: Reduced discharge of pollutants from land-based activities in priority coastal areas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91" id="_x0000_s1057" style="position:absolute;left:0;text-align:left;margin-left:375.9pt;margin-top:82pt;width:47.4pt;height:64.15pt;z-index:251597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" fillcolor="#ffe599 [1303]" strokecolor="black [3213]" strokeweight="1pt">
                <v:textbox>
                  <w:txbxContent>
                    <w:p w14:paraId="680923B2" w14:textId="77777777" w:rsidR="00CF33D9" w:rsidRDefault="00E3332A">
                      <w:pPr>
                        <w:ind w:left="-142" w:right="-99"/>
                        <w:jc w:val="center"/>
                        <w:rPr>
                          <w:sz w:val="11"/>
                          <w:szCs w:val="11"/>
                        </w:rPr>
                      </w:pPr>
                      <w:r>
                        <w:rPr>
                          <w:rFonts w:ascii="Calibri" w:eastAsia="Calibri" w:hAnsi="Calibri" w:cs="Calibri"/>
                          <w:color w:val="000000" w:themeColor="text1"/>
                          <w:sz w:val="11"/>
                          <w:szCs w:val="11"/>
                        </w:rPr>
                        <w:t xml:space="preserve">Outcome </w:t>
                      </w:r>
                      <w:r>
                        <w:rPr>
                          <w:rFonts w:ascii="Calibri" w:eastAsia="Calibri" w:hAnsi="Calibri" w:cs="Calibri"/>
                          <w:color w:val="000000"/>
                          <w:sz w:val="11"/>
                          <w:szCs w:val="11"/>
                        </w:rPr>
                        <w:t xml:space="preserve">3.2: Reduced discharge of pollutants from land-based activities in priority coastal areas </w:t>
                      </w:r>
                    </w:p>
                  </w:txbxContent>
                </v:textbox>
              </v: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591168" behindDoc="0" locked="0" layoutInCell="1" allowOverlap="1" wp14:anchorId="68092293" wp14:editId="68092294">
                <wp:simplePos x="0" y="0"/>
                <wp:positionH relativeFrom="column">
                  <wp:posOffset>4172585</wp:posOffset>
                </wp:positionH>
                <wp:positionV relativeFrom="paragraph">
                  <wp:posOffset>1047115</wp:posOffset>
                </wp:positionV>
                <wp:extent cx="584200" cy="808990"/>
                <wp:effectExtent l="0" t="0" r="13335" b="16510"/>
                <wp:wrapNone/>
                <wp:docPr id="2132921699" name="Rectangle 2"/>
                <wp:cNvGraphicFramePr/>
                <a:graphic xmlns:a="http://schemas.openxmlformats.org/drawingml/2006/main">
                  <a:graphicData uri="http://schemas.microsoft.com/office/word/2010/wordprocessingShape">
                    <wps:wsp>
                      <wps:cNvSpPr/>
                      <wps:spPr>
                        <a:xfrm>
                          <a:off x="0" y="0"/>
                          <a:ext cx="584103" cy="808990"/>
                        </a:xfrm>
                        <a:prstGeom prst="rect">
                          <a:avLst/>
                        </a:prstGeom>
                        <a:solidFill>
                          <a:schemeClr val="accent4">
                            <a:lumMod val="40000"/>
                            <a:lumOff val="6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0923B3" w14:textId="77777777" w:rsidR="00CF33D9" w:rsidRDefault="00E3332A">
                            <w:pPr>
                              <w:ind w:left="-111" w:right="-99"/>
                              <w:jc w:val="center"/>
                              <w:rPr>
                                <w:rFonts w:ascii="Calibri" w:eastAsia="Calibri" w:hAnsi="Calibri" w:cs="Calibri"/>
                                <w:color w:val="000000" w:themeColor="text1"/>
                                <w:sz w:val="11"/>
                                <w:szCs w:val="11"/>
                              </w:rPr>
                            </w:pPr>
                            <w:r>
                              <w:rPr>
                                <w:rFonts w:ascii="Calibri" w:eastAsia="Calibri" w:hAnsi="Calibri" w:cs="Calibri"/>
                                <w:color w:val="000000" w:themeColor="text1"/>
                                <w:sz w:val="11"/>
                                <w:szCs w:val="11"/>
                              </w:rPr>
                              <w:t>Outcome 3.1 Reduced discharge of pollutants from ocean-based activities</w:t>
                            </w:r>
                          </w:p>
                          <w:p w14:paraId="680923B4" w14:textId="77777777" w:rsidR="00CF33D9" w:rsidRDefault="00CF33D9">
                            <w:pPr>
                              <w:ind w:right="-210"/>
                              <w:jc w:val="center"/>
                              <w:rPr>
                                <w:sz w:val="11"/>
                                <w:szCs w:val="11"/>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93" id="_x0000_s1058" style="position:absolute;left:0;text-align:left;margin-left:328.55pt;margin-top:82.45pt;width:46pt;height:63.7pt;z-index:251591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" fillcolor="#ffe599 [1303]" strokecolor="black [3213]" strokeweight="1pt">
                <v:textbox>
                  <w:txbxContent>
                    <w:p w14:paraId="680923B3" w14:textId="77777777" w:rsidR="00CF33D9" w:rsidRDefault="00E3332A">
                      <w:pPr>
                        <w:ind w:left="-111" w:right="-99"/>
                        <w:jc w:val="center"/>
                        <w:rPr>
                          <w:rFonts w:ascii="Calibri" w:eastAsia="Calibri" w:hAnsi="Calibri" w:cs="Calibri"/>
                          <w:color w:val="000000" w:themeColor="text1"/>
                          <w:sz w:val="11"/>
                          <w:szCs w:val="11"/>
                        </w:rPr>
                      </w:pPr>
                      <w:r>
                        <w:rPr>
                          <w:rFonts w:ascii="Calibri" w:eastAsia="Calibri" w:hAnsi="Calibri" w:cs="Calibri"/>
                          <w:color w:val="000000" w:themeColor="text1"/>
                          <w:sz w:val="11"/>
                          <w:szCs w:val="11"/>
                        </w:rPr>
                        <w:t>Outcome 3.1 Reduced discharge of pollutants from ocean-based activities</w:t>
                      </w:r>
                    </w:p>
                    <w:p w14:paraId="680923B4" w14:textId="77777777" w:rsidR="00CF33D9" w:rsidRDefault="00CF33D9">
                      <w:pPr>
                        <w:ind w:right="-210"/>
                        <w:jc w:val="center"/>
                        <w:rPr>
                          <w:sz w:val="11"/>
                          <w:szCs w:val="11"/>
                        </w:rPr>
                      </w:pPr>
                    </w:p>
                  </w:txbxContent>
                </v:textbox>
              </v: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585024" behindDoc="0" locked="0" layoutInCell="1" allowOverlap="1" wp14:anchorId="68092295" wp14:editId="68092296">
                <wp:simplePos x="0" y="0"/>
                <wp:positionH relativeFrom="column">
                  <wp:posOffset>3344545</wp:posOffset>
                </wp:positionH>
                <wp:positionV relativeFrom="paragraph">
                  <wp:posOffset>2065020</wp:posOffset>
                </wp:positionV>
                <wp:extent cx="705485" cy="2203450"/>
                <wp:effectExtent l="0" t="0" r="18415" b="19050"/>
                <wp:wrapNone/>
                <wp:docPr id="1501236452" name="Rectangle 2"/>
                <wp:cNvGraphicFramePr/>
                <a:graphic xmlns:a="http://schemas.openxmlformats.org/drawingml/2006/main">
                  <a:graphicData uri="http://schemas.microsoft.com/office/word/2010/wordprocessingShape">
                    <wps:wsp>
                      <wps:cNvSpPr/>
                      <wps:spPr>
                        <a:xfrm>
                          <a:off x="0" y="0"/>
                          <a:ext cx="705485" cy="220345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0923B5" w14:textId="77777777" w:rsidR="00CF33D9" w:rsidRDefault="00E3332A">
                            <w:pPr>
                              <w:jc w:val="center"/>
                              <w:rPr>
                                <w:rFonts w:ascii="Calibri" w:eastAsia="Calibri" w:hAnsi="Calibri" w:cs="Calibri"/>
                                <w:color w:val="000000"/>
                                <w:sz w:val="10"/>
                                <w:szCs w:val="10"/>
                              </w:rPr>
                            </w:pPr>
                            <w:r>
                              <w:rPr>
                                <w:rFonts w:ascii="Calibri" w:eastAsia="Calibri" w:hAnsi="Calibri" w:cs="Calibri"/>
                                <w:color w:val="000000"/>
                                <w:sz w:val="10"/>
                                <w:szCs w:val="10"/>
                              </w:rPr>
                              <w:t>Output 2.2.1: Fish, seafood and mariculture market research and analysis that takes into consideration climate change impacts developed at national and regional levels</w:t>
                            </w:r>
                          </w:p>
                          <w:p w14:paraId="680923B6" w14:textId="77777777" w:rsidR="00CF33D9" w:rsidRDefault="00E3332A">
                            <w:pPr>
                              <w:jc w:val="center"/>
                              <w:rPr>
                                <w:rFonts w:ascii="Calibri" w:eastAsia="Calibri" w:hAnsi="Calibri" w:cs="Calibri"/>
                                <w:color w:val="000000"/>
                                <w:sz w:val="10"/>
                                <w:szCs w:val="10"/>
                              </w:rPr>
                            </w:pPr>
                            <w:r>
                              <w:rPr>
                                <w:rFonts w:ascii="Calibri" w:eastAsia="Calibri" w:hAnsi="Calibri" w:cs="Calibri"/>
                                <w:color w:val="000000"/>
                                <w:sz w:val="10"/>
                                <w:szCs w:val="10"/>
                              </w:rPr>
                              <w:t>Output2.2.2: Capacities for sustainable and climate resilient value chains developed (with a gender sensitive approach) for new and diversified fish and seafood products, including mariculture</w:t>
                            </w:r>
                          </w:p>
                          <w:p w14:paraId="680923B7" w14:textId="77777777" w:rsidR="00CF33D9" w:rsidRDefault="00E3332A">
                            <w:pPr>
                              <w:jc w:val="center"/>
                              <w:rPr>
                                <w:sz w:val="10"/>
                                <w:szCs w:val="10"/>
                              </w:rPr>
                            </w:pPr>
                            <w:r>
                              <w:rPr>
                                <w:rFonts w:ascii="Calibri" w:eastAsia="Calibri" w:hAnsi="Calibri" w:cs="Calibri"/>
                                <w:color w:val="000000"/>
                                <w:sz w:val="10"/>
                                <w:szCs w:val="10"/>
                              </w:rPr>
                              <w:t>2.2.3: New climate resilient markets identified, explored and viable ones engaged</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95" id="_x0000_s1059" style="position:absolute;left:0;text-align:left;margin-left:263.35pt;margin-top:162.6pt;width:55.55pt;height:173.5pt;z-index:251585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" filled="f" strokecolor="black [3213]" strokeweight="1pt">
                <v:textbox>
                  <w:txbxContent>
                    <w:p w14:paraId="680923B5" w14:textId="77777777" w:rsidR="00CF33D9" w:rsidRDefault="00E3332A">
                      <w:pPr>
                        <w:jc w:val="center"/>
                        <w:rPr>
                          <w:rFonts w:ascii="Calibri" w:eastAsia="Calibri" w:hAnsi="Calibri" w:cs="Calibri"/>
                          <w:color w:val="000000"/>
                          <w:sz w:val="10"/>
                          <w:szCs w:val="10"/>
                        </w:rPr>
                      </w:pPr>
                      <w:r>
                        <w:rPr>
                          <w:rFonts w:ascii="Calibri" w:eastAsia="Calibri" w:hAnsi="Calibri" w:cs="Calibri"/>
                          <w:color w:val="000000"/>
                          <w:sz w:val="10"/>
                          <w:szCs w:val="10"/>
                        </w:rPr>
                        <w:t>Output 2.2.1: Fish, seafood and mariculture market research and analysis that takes into consideration climate change impacts developed at national and regional levels</w:t>
                      </w:r>
                    </w:p>
                    <w:p w14:paraId="680923B6" w14:textId="77777777" w:rsidR="00CF33D9" w:rsidRDefault="00E3332A">
                      <w:pPr>
                        <w:jc w:val="center"/>
                        <w:rPr>
                          <w:rFonts w:ascii="Calibri" w:eastAsia="Calibri" w:hAnsi="Calibri" w:cs="Calibri"/>
                          <w:color w:val="000000"/>
                          <w:sz w:val="10"/>
                          <w:szCs w:val="10"/>
                        </w:rPr>
                      </w:pPr>
                      <w:r>
                        <w:rPr>
                          <w:rFonts w:ascii="Calibri" w:eastAsia="Calibri" w:hAnsi="Calibri" w:cs="Calibri"/>
                          <w:color w:val="000000"/>
                          <w:sz w:val="10"/>
                          <w:szCs w:val="10"/>
                        </w:rPr>
                        <w:t>Output2.2.2: Capacities for sustainable and climate resilient value chains developed (with a gender sensitive approach) for new and diversified fish and seafood products, including mariculture</w:t>
                      </w:r>
                    </w:p>
                    <w:p w14:paraId="680923B7" w14:textId="77777777" w:rsidR="00CF33D9" w:rsidRDefault="00E3332A">
                      <w:pPr>
                        <w:jc w:val="center"/>
                        <w:rPr>
                          <w:sz w:val="10"/>
                          <w:szCs w:val="10"/>
                        </w:rPr>
                      </w:pPr>
                      <w:r>
                        <w:rPr>
                          <w:rFonts w:ascii="Calibri" w:eastAsia="Calibri" w:hAnsi="Calibri" w:cs="Calibri"/>
                          <w:color w:val="000000"/>
                          <w:sz w:val="10"/>
                          <w:szCs w:val="10"/>
                        </w:rPr>
                        <w:t>2.2.3: New climate resilient markets identified, explored and viable ones engaged</w:t>
                      </w:r>
                    </w:p>
                  </w:txbxContent>
                </v:textbox>
              </v: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578880" behindDoc="0" locked="0" layoutInCell="1" allowOverlap="1" wp14:anchorId="68092297" wp14:editId="68092298">
                <wp:simplePos x="0" y="0"/>
                <wp:positionH relativeFrom="column">
                  <wp:posOffset>2574925</wp:posOffset>
                </wp:positionH>
                <wp:positionV relativeFrom="paragraph">
                  <wp:posOffset>2059305</wp:posOffset>
                </wp:positionV>
                <wp:extent cx="746125" cy="2204720"/>
                <wp:effectExtent l="0" t="0" r="15875" b="17780"/>
                <wp:wrapNone/>
                <wp:docPr id="31557658" name="Rectangle 2"/>
                <wp:cNvGraphicFramePr/>
                <a:graphic xmlns:a="http://schemas.openxmlformats.org/drawingml/2006/main">
                  <a:graphicData uri="http://schemas.microsoft.com/office/word/2010/wordprocessingShape">
                    <wps:wsp>
                      <wps:cNvSpPr/>
                      <wps:spPr>
                        <a:xfrm>
                          <a:off x="0" y="0"/>
                          <a:ext cx="746125" cy="22047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0923B8" w14:textId="77777777" w:rsidR="00CF33D9" w:rsidRDefault="00E3332A">
                            <w:pPr>
                              <w:jc w:val="center"/>
                              <w:rPr>
                                <w:sz w:val="10"/>
                                <w:szCs w:val="10"/>
                              </w:rPr>
                            </w:pPr>
                            <w:r>
                              <w:rPr>
                                <w:rFonts w:ascii="Calibri" w:eastAsia="Calibri" w:hAnsi="Calibri" w:cs="Calibri"/>
                                <w:color w:val="000000"/>
                                <w:sz w:val="10"/>
                                <w:szCs w:val="10"/>
                              </w:rPr>
                              <w:t>Output 2.1.1: Bilateral agreements for joint sustainable and climate resilient management of transboundary fish stocks (Cape horse mackerel, Cape hakes) developed and implemented to curb IUU fishing</w:t>
                            </w:r>
                          </w:p>
                          <w:p w14:paraId="680923B9" w14:textId="77777777" w:rsidR="00CF33D9" w:rsidRDefault="00E3332A">
                            <w:pPr>
                              <w:jc w:val="center"/>
                              <w:rPr>
                                <w:rFonts w:ascii="Calibri" w:eastAsia="Calibri" w:hAnsi="Calibri" w:cs="Calibri"/>
                                <w:color w:val="000000"/>
                                <w:sz w:val="10"/>
                                <w:szCs w:val="10"/>
                              </w:rPr>
                            </w:pPr>
                            <w:r>
                              <w:rPr>
                                <w:rFonts w:ascii="Calibri" w:eastAsia="Calibri" w:hAnsi="Calibri" w:cs="Calibri"/>
                                <w:color w:val="000000"/>
                                <w:sz w:val="10"/>
                                <w:szCs w:val="10"/>
                              </w:rPr>
                              <w:t>Output 2.1.2: Sustainable and climate resilient mariculture opportunities and exploitation of other living marine resources at national levels identifies and plans for development and scaling up developed</w:t>
                            </w:r>
                          </w:p>
                          <w:p w14:paraId="680923BA" w14:textId="77777777" w:rsidR="00CF33D9" w:rsidRDefault="00E3332A">
                            <w:pPr>
                              <w:jc w:val="center"/>
                              <w:rPr>
                                <w:sz w:val="10"/>
                                <w:szCs w:val="10"/>
                              </w:rPr>
                            </w:pPr>
                            <w:r>
                              <w:rPr>
                                <w:rFonts w:ascii="Calibri" w:eastAsia="Calibri" w:hAnsi="Calibri" w:cs="Calibri"/>
                                <w:color w:val="000000"/>
                                <w:sz w:val="10"/>
                                <w:szCs w:val="10"/>
                              </w:rPr>
                              <w:t>Output 2.1.3: Third-party sustainability and climate resilience certifications for fish and seafood products undertaken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97" id="_x0000_s1060" style="position:absolute;left:0;text-align:left;margin-left:202.75pt;margin-top:162.15pt;width:58.75pt;height:173.6pt;z-index:2515788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" filled="f" strokecolor="black [3213]" strokeweight="1pt">
                <v:textbox>
                  <w:txbxContent>
                    <w:p w14:paraId="680923B8" w14:textId="77777777" w:rsidR="00CF33D9" w:rsidRDefault="00E3332A">
                      <w:pPr>
                        <w:jc w:val="center"/>
                        <w:rPr>
                          <w:sz w:val="10"/>
                          <w:szCs w:val="10"/>
                        </w:rPr>
                      </w:pPr>
                      <w:r>
                        <w:rPr>
                          <w:rFonts w:ascii="Calibri" w:eastAsia="Calibri" w:hAnsi="Calibri" w:cs="Calibri"/>
                          <w:color w:val="000000"/>
                          <w:sz w:val="10"/>
                          <w:szCs w:val="10"/>
                        </w:rPr>
                        <w:t>Output 2.1.1: Bilateral agreements for joint sustainable and climate resilient management of transboundary fish stocks (Cape horse mackerel, Cape hakes) developed and implemented to curb IUU fishing</w:t>
                      </w:r>
                    </w:p>
                    <w:p w14:paraId="680923B9" w14:textId="77777777" w:rsidR="00CF33D9" w:rsidRDefault="00E3332A">
                      <w:pPr>
                        <w:jc w:val="center"/>
                        <w:rPr>
                          <w:rFonts w:ascii="Calibri" w:eastAsia="Calibri" w:hAnsi="Calibri" w:cs="Calibri"/>
                          <w:color w:val="000000"/>
                          <w:sz w:val="10"/>
                          <w:szCs w:val="10"/>
                        </w:rPr>
                      </w:pPr>
                      <w:r>
                        <w:rPr>
                          <w:rFonts w:ascii="Calibri" w:eastAsia="Calibri" w:hAnsi="Calibri" w:cs="Calibri"/>
                          <w:color w:val="000000"/>
                          <w:sz w:val="10"/>
                          <w:szCs w:val="10"/>
                        </w:rPr>
                        <w:t>Output 2.1.2: Sustainable and climate resilient mariculture opportunities and exploitation of other living marine resources at national levels identifies and plans for development and scaling up developed</w:t>
                      </w:r>
                    </w:p>
                    <w:p w14:paraId="680923BA" w14:textId="77777777" w:rsidR="00CF33D9" w:rsidRDefault="00E3332A">
                      <w:pPr>
                        <w:jc w:val="center"/>
                        <w:rPr>
                          <w:sz w:val="10"/>
                          <w:szCs w:val="10"/>
                        </w:rPr>
                      </w:pPr>
                      <w:r>
                        <w:rPr>
                          <w:rFonts w:ascii="Calibri" w:eastAsia="Calibri" w:hAnsi="Calibri" w:cs="Calibri"/>
                          <w:color w:val="000000"/>
                          <w:sz w:val="10"/>
                          <w:szCs w:val="10"/>
                        </w:rPr>
                        <w:t>Output 2.1.3: Third-party sustainability and climate resilience certifications for fish and seafood products undertaken</w:t>
                      </w:r>
                    </w:p>
                  </w:txbxContent>
                </v:textbox>
              </v: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569664" behindDoc="0" locked="0" layoutInCell="1" allowOverlap="1" wp14:anchorId="68092299" wp14:editId="6809229A">
                <wp:simplePos x="0" y="0"/>
                <wp:positionH relativeFrom="column">
                  <wp:posOffset>2546350</wp:posOffset>
                </wp:positionH>
                <wp:positionV relativeFrom="paragraph">
                  <wp:posOffset>1006475</wp:posOffset>
                </wp:positionV>
                <wp:extent cx="1557020" cy="3929380"/>
                <wp:effectExtent l="0" t="0" r="18415" b="7620"/>
                <wp:wrapNone/>
                <wp:docPr id="2115718956" name="Rectangle 2"/>
                <wp:cNvGraphicFramePr/>
                <a:graphic xmlns:a="http://schemas.openxmlformats.org/drawingml/2006/main">
                  <a:graphicData uri="http://schemas.microsoft.com/office/word/2010/wordprocessingShape">
                    <wps:wsp>
                      <wps:cNvSpPr/>
                      <wps:spPr>
                        <a:xfrm>
                          <a:off x="0" y="0"/>
                          <a:ext cx="1556795" cy="3929380"/>
                        </a:xfrm>
                        <a:prstGeom prst="rect">
                          <a:avLst/>
                        </a:prstGeom>
                        <a:noFill/>
                        <a:ln>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680923BB" w14:textId="77777777" w:rsidR="00CF33D9" w:rsidRDefault="00CF33D9">
                            <w:pPr>
                              <w:rPr>
                                <w:sz w:val="10"/>
                                <w:szCs w:val="10"/>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99" id="_x0000_s1061" style="position:absolute;left:0;text-align:left;margin-left:200.5pt;margin-top:79.25pt;width:122.6pt;height:309.4pt;z-index:2515696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" filled="f" strokecolor="black [3213]" strokeweight="1pt">
                <v:stroke dashstyle="dash"/>
                <v:textbox>
                  <w:txbxContent>
                    <w:p w14:paraId="680923BB" w14:textId="77777777" w:rsidR="00CF33D9" w:rsidRDefault="00CF33D9">
                      <w:pPr>
                        <w:rPr>
                          <w:sz w:val="10"/>
                          <w:szCs w:val="10"/>
                        </w:rPr>
                      </w:pPr>
                    </w:p>
                  </w:txbxContent>
                </v:textbox>
              </v: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581952" behindDoc="0" locked="0" layoutInCell="1" allowOverlap="1" wp14:anchorId="6809229B" wp14:editId="6809229C">
                <wp:simplePos x="0" y="0"/>
                <wp:positionH relativeFrom="column">
                  <wp:posOffset>3344545</wp:posOffset>
                </wp:positionH>
                <wp:positionV relativeFrom="paragraph">
                  <wp:posOffset>1047115</wp:posOffset>
                </wp:positionV>
                <wp:extent cx="705485" cy="808990"/>
                <wp:effectExtent l="0" t="0" r="18415" b="16510"/>
                <wp:wrapNone/>
                <wp:docPr id="560724184" name="Rectangle 2"/>
                <wp:cNvGraphicFramePr/>
                <a:graphic xmlns:a="http://schemas.openxmlformats.org/drawingml/2006/main">
                  <a:graphicData uri="http://schemas.microsoft.com/office/word/2010/wordprocessingShape">
                    <wps:wsp>
                      <wps:cNvSpPr/>
                      <wps:spPr>
                        <a:xfrm>
                          <a:off x="0" y="0"/>
                          <a:ext cx="705485" cy="808990"/>
                        </a:xfrm>
                        <a:prstGeom prst="rect">
                          <a:avLst/>
                        </a:prstGeom>
                        <a:solidFill>
                          <a:schemeClr val="accent6">
                            <a:lumMod val="40000"/>
                            <a:lumOff val="6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0923BC" w14:textId="77777777" w:rsidR="00CF33D9" w:rsidRDefault="00E3332A">
                            <w:pPr>
                              <w:jc w:val="center"/>
                              <w:rPr>
                                <w:rFonts w:ascii="Calibri" w:eastAsia="Calibri" w:hAnsi="Calibri" w:cs="Calibri"/>
                                <w:color w:val="000000"/>
                                <w:sz w:val="11"/>
                                <w:szCs w:val="11"/>
                              </w:rPr>
                            </w:pPr>
                            <w:r>
                              <w:rPr>
                                <w:rFonts w:ascii="Calibri" w:eastAsia="Calibri" w:hAnsi="Calibri" w:cs="Calibri"/>
                                <w:color w:val="000000"/>
                                <w:sz w:val="11"/>
                                <w:szCs w:val="11"/>
                              </w:rPr>
                              <w:t xml:space="preserve">Outcome 2.2: Market growth and diversification for sustainable and climate resilient marine commodities </w:t>
                            </w:r>
                          </w:p>
                          <w:p w14:paraId="680923BD" w14:textId="77777777" w:rsidR="00CF33D9" w:rsidRDefault="00CF33D9">
                            <w:pPr>
                              <w:ind w:left="-142" w:right="-131"/>
                              <w:jc w:val="center"/>
                              <w:rPr>
                                <w:sz w:val="13"/>
                                <w:szCs w:val="13"/>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9B" id="_x0000_s1062" style="position:absolute;left:0;text-align:left;margin-left:263.35pt;margin-top:82.45pt;width:55.55pt;height:63.7pt;z-index:251581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" fillcolor="#c5e0b3 [1305]" strokecolor="black [3213]" strokeweight="1pt">
                <v:textbox>
                  <w:txbxContent>
                    <w:p w14:paraId="680923BC" w14:textId="77777777" w:rsidR="00CF33D9" w:rsidRDefault="00E3332A">
                      <w:pPr>
                        <w:jc w:val="center"/>
                        <w:rPr>
                          <w:rFonts w:ascii="Calibri" w:eastAsia="Calibri" w:hAnsi="Calibri" w:cs="Calibri"/>
                          <w:color w:val="000000"/>
                          <w:sz w:val="11"/>
                          <w:szCs w:val="11"/>
                        </w:rPr>
                      </w:pPr>
                      <w:r>
                        <w:rPr>
                          <w:rFonts w:ascii="Calibri" w:eastAsia="Calibri" w:hAnsi="Calibri" w:cs="Calibri"/>
                          <w:color w:val="000000"/>
                          <w:sz w:val="11"/>
                          <w:szCs w:val="11"/>
                        </w:rPr>
                        <w:t xml:space="preserve">Outcome 2.2: Market growth and diversification for sustainable and climate resilient marine commodities </w:t>
                      </w:r>
                    </w:p>
                    <w:p w14:paraId="680923BD" w14:textId="77777777" w:rsidR="00CF33D9" w:rsidRDefault="00CF33D9">
                      <w:pPr>
                        <w:ind w:left="-142" w:right="-131"/>
                        <w:jc w:val="center"/>
                        <w:rPr>
                          <w:sz w:val="13"/>
                          <w:szCs w:val="13"/>
                        </w:rPr>
                      </w:pPr>
                    </w:p>
                  </w:txbxContent>
                </v:textbox>
              </v: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572736" behindDoc="0" locked="0" layoutInCell="1" allowOverlap="1" wp14:anchorId="6809229D" wp14:editId="6809229E">
                <wp:simplePos x="0" y="0"/>
                <wp:positionH relativeFrom="column">
                  <wp:posOffset>2580640</wp:posOffset>
                </wp:positionH>
                <wp:positionV relativeFrom="paragraph">
                  <wp:posOffset>1047115</wp:posOffset>
                </wp:positionV>
                <wp:extent cx="740410" cy="809625"/>
                <wp:effectExtent l="0" t="0" r="9525" b="16510"/>
                <wp:wrapNone/>
                <wp:docPr id="21675736" name="Rectangle 2"/>
                <wp:cNvGraphicFramePr/>
                <a:graphic xmlns:a="http://schemas.openxmlformats.org/drawingml/2006/main">
                  <a:graphicData uri="http://schemas.microsoft.com/office/word/2010/wordprocessingShape">
                    <wps:wsp>
                      <wps:cNvSpPr/>
                      <wps:spPr>
                        <a:xfrm>
                          <a:off x="0" y="0"/>
                          <a:ext cx="740338" cy="809408"/>
                        </a:xfrm>
                        <a:prstGeom prst="rect">
                          <a:avLst/>
                        </a:prstGeom>
                        <a:solidFill>
                          <a:schemeClr val="accent6">
                            <a:lumMod val="40000"/>
                            <a:lumOff val="6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0923BE" w14:textId="77777777" w:rsidR="00CF33D9" w:rsidRDefault="00E3332A">
                            <w:pPr>
                              <w:jc w:val="center"/>
                              <w:rPr>
                                <w:rFonts w:ascii="Calibri" w:eastAsia="Calibri" w:hAnsi="Calibri" w:cs="Calibri"/>
                                <w:color w:val="000000"/>
                                <w:sz w:val="13"/>
                                <w:szCs w:val="13"/>
                              </w:rPr>
                            </w:pPr>
                            <w:r>
                              <w:rPr>
                                <w:rFonts w:ascii="Calibri" w:eastAsia="Calibri" w:hAnsi="Calibri" w:cs="Calibri"/>
                                <w:color w:val="000000"/>
                                <w:sz w:val="13"/>
                                <w:szCs w:val="13"/>
                              </w:rPr>
                              <w:t>Outcome 2.1: Climate resilient and sustainably managed fisheries and seafood</w:t>
                            </w:r>
                          </w:p>
                          <w:p w14:paraId="680923BF" w14:textId="77777777" w:rsidR="00CF33D9" w:rsidRDefault="00CF33D9">
                            <w:pPr>
                              <w:ind w:left="-142" w:right="-131"/>
                              <w:jc w:val="center"/>
                              <w:rPr>
                                <w:sz w:val="13"/>
                                <w:szCs w:val="13"/>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9D" id="_x0000_s1063" style="position:absolute;left:0;text-align:left;margin-left:203.2pt;margin-top:82.45pt;width:58.3pt;height:63.75pt;z-index:251572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" fillcolor="#c5e0b3 [1305]" strokecolor="black [3213]" strokeweight="1pt">
                <v:textbox>
                  <w:txbxContent>
                    <w:p w14:paraId="680923BE" w14:textId="77777777" w:rsidR="00CF33D9" w:rsidRDefault="00E3332A">
                      <w:pPr>
                        <w:jc w:val="center"/>
                        <w:rPr>
                          <w:rFonts w:ascii="Calibri" w:eastAsia="Calibri" w:hAnsi="Calibri" w:cs="Calibri"/>
                          <w:color w:val="000000"/>
                          <w:sz w:val="13"/>
                          <w:szCs w:val="13"/>
                        </w:rPr>
                      </w:pPr>
                      <w:r>
                        <w:rPr>
                          <w:rFonts w:ascii="Calibri" w:eastAsia="Calibri" w:hAnsi="Calibri" w:cs="Calibri"/>
                          <w:color w:val="000000"/>
                          <w:sz w:val="13"/>
                          <w:szCs w:val="13"/>
                        </w:rPr>
                        <w:t>Outcome 2.1: Climate resilient and sustainably managed fisheries and seafood</w:t>
                      </w:r>
                    </w:p>
                    <w:p w14:paraId="680923BF" w14:textId="77777777" w:rsidR="00CF33D9" w:rsidRDefault="00CF33D9">
                      <w:pPr>
                        <w:ind w:left="-142" w:right="-131"/>
                        <w:jc w:val="center"/>
                        <w:rPr>
                          <w:sz w:val="13"/>
                          <w:szCs w:val="13"/>
                        </w:rPr>
                      </w:pPr>
                    </w:p>
                  </w:txbxContent>
                </v:textbox>
              </v: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532800" behindDoc="0" locked="0" layoutInCell="1" allowOverlap="1" wp14:anchorId="6809229F" wp14:editId="680922A0">
                <wp:simplePos x="0" y="0"/>
                <wp:positionH relativeFrom="column">
                  <wp:posOffset>17145</wp:posOffset>
                </wp:positionH>
                <wp:positionV relativeFrom="paragraph">
                  <wp:posOffset>1006475</wp:posOffset>
                </wp:positionV>
                <wp:extent cx="2482850" cy="3929380"/>
                <wp:effectExtent l="0" t="0" r="6985" b="7620"/>
                <wp:wrapNone/>
                <wp:docPr id="1518959222" name="Rectangle 2"/>
                <wp:cNvGraphicFramePr/>
                <a:graphic xmlns:a="http://schemas.openxmlformats.org/drawingml/2006/main">
                  <a:graphicData uri="http://schemas.microsoft.com/office/word/2010/wordprocessingShape">
                    <wps:wsp>
                      <wps:cNvSpPr/>
                      <wps:spPr>
                        <a:xfrm>
                          <a:off x="0" y="0"/>
                          <a:ext cx="2482770" cy="3929380"/>
                        </a:xfrm>
                        <a:prstGeom prst="rect">
                          <a:avLst/>
                        </a:prstGeom>
                        <a:noFill/>
                        <a:ln>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680923C0" w14:textId="77777777" w:rsidR="00CF33D9" w:rsidRDefault="00CF33D9"/>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9F" id="_x0000_s1064" style="position:absolute;left:0;text-align:left;margin-left:1.35pt;margin-top:79.25pt;width:195.5pt;height:309.4pt;z-index:251532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" filled="f" strokecolor="black [3213]" strokeweight="1pt">
                <v:stroke dashstyle="dash"/>
                <v:textbox>
                  <w:txbxContent>
                    <w:p w14:paraId="680923C0" w14:textId="77777777" w:rsidR="00CF33D9" w:rsidRDefault="00CF33D9"/>
                  </w:txbxContent>
                </v:textbox>
              </v: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535872" behindDoc="0" locked="0" layoutInCell="1" allowOverlap="1" wp14:anchorId="680922A1" wp14:editId="680922A2">
                <wp:simplePos x="0" y="0"/>
                <wp:positionH relativeFrom="column">
                  <wp:posOffset>69215</wp:posOffset>
                </wp:positionH>
                <wp:positionV relativeFrom="paragraph">
                  <wp:posOffset>4271010</wp:posOffset>
                </wp:positionV>
                <wp:extent cx="2401570" cy="629920"/>
                <wp:effectExtent l="0" t="0" r="12065" b="17780"/>
                <wp:wrapNone/>
                <wp:docPr id="1040067651" name="Rectangle 2"/>
                <wp:cNvGraphicFramePr/>
                <a:graphic xmlns:a="http://schemas.openxmlformats.org/drawingml/2006/main">
                  <a:graphicData uri="http://schemas.microsoft.com/office/word/2010/wordprocessingShape">
                    <wps:wsp>
                      <wps:cNvSpPr/>
                      <wps:spPr>
                        <a:xfrm>
                          <a:off x="0" y="0"/>
                          <a:ext cx="2401281" cy="630121"/>
                        </a:xfrm>
                        <a:prstGeom prst="rect">
                          <a:avLst/>
                        </a:prstGeom>
                        <a:solidFill>
                          <a:schemeClr val="accent1">
                            <a:lumMod val="60000"/>
                            <a:lumOff val="4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0923C1" w14:textId="77777777" w:rsidR="00CF33D9" w:rsidRDefault="00E3332A">
                            <w:pPr>
                              <w:ind w:left="-105" w:right="-136"/>
                              <w:jc w:val="center"/>
                              <w:rPr>
                                <w:color w:val="000000" w:themeColor="text1"/>
                                <w:sz w:val="14"/>
                                <w:szCs w:val="14"/>
                              </w:rPr>
                            </w:pPr>
                            <w:r>
                              <w:rPr>
                                <w:rFonts w:ascii="Calibri" w:eastAsia="Calibri" w:hAnsi="Calibri" w:cs="Calibri"/>
                                <w:b/>
                                <w:color w:val="000000" w:themeColor="text1"/>
                                <w:sz w:val="14"/>
                                <w:szCs w:val="14"/>
                              </w:rPr>
                              <w:t>Component 1</w:t>
                            </w:r>
                            <w:r>
                              <w:rPr>
                                <w:rFonts w:ascii="Calibri" w:eastAsia="Calibri" w:hAnsi="Calibri" w:cs="Calibri"/>
                                <w:color w:val="000000" w:themeColor="text1"/>
                                <w:sz w:val="14"/>
                                <w:szCs w:val="14"/>
                              </w:rPr>
                              <w:t>: Improve marine and coastal management efforts in the BCLME through effective spatial management tools and the establishment and expansion of MPAs and SMAs taking into consideration climate change and ensuring climate-resilient socio-economic development</w:t>
                            </w:r>
                          </w:p>
                          <w:p w14:paraId="680923C2" w14:textId="77777777" w:rsidR="00CF33D9" w:rsidRDefault="00CF33D9">
                            <w:pP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A1" id="_x0000_s1065" style="position:absolute;left:0;text-align:left;margin-left:5.45pt;margin-top:336.3pt;width:189.1pt;height:49.6pt;z-index:251535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" fillcolor="#9cc2e5 [1940]" strokecolor="black [3213]" strokeweight="1pt">
                <v:textbox>
                  <w:txbxContent>
                    <w:p w14:paraId="680923C1" w14:textId="77777777" w:rsidR="00CF33D9" w:rsidRDefault="00E3332A">
                      <w:pPr>
                        <w:ind w:left="-105" w:right="-136"/>
                        <w:jc w:val="center"/>
                        <w:rPr>
                          <w:color w:val="000000" w:themeColor="text1"/>
                          <w:sz w:val="14"/>
                          <w:szCs w:val="14"/>
                        </w:rPr>
                      </w:pPr>
                      <w:r>
                        <w:rPr>
                          <w:rFonts w:ascii="Calibri" w:eastAsia="Calibri" w:hAnsi="Calibri" w:cs="Calibri"/>
                          <w:b/>
                          <w:color w:val="000000" w:themeColor="text1"/>
                          <w:sz w:val="14"/>
                          <w:szCs w:val="14"/>
                        </w:rPr>
                        <w:t>Component 1</w:t>
                      </w:r>
                      <w:r>
                        <w:rPr>
                          <w:rFonts w:ascii="Calibri" w:eastAsia="Calibri" w:hAnsi="Calibri" w:cs="Calibri"/>
                          <w:color w:val="000000" w:themeColor="text1"/>
                          <w:sz w:val="14"/>
                          <w:szCs w:val="14"/>
                        </w:rPr>
                        <w:t>: Improve marine and coastal management efforts in the BCLME through effective spatial management tools and the establishment and expansion of MPAs and SMAs taking into consideration climate change and ensuring climate-resilient socio-economic development</w:t>
                      </w:r>
                    </w:p>
                    <w:p w14:paraId="680923C2" w14:textId="77777777" w:rsidR="00CF33D9" w:rsidRDefault="00CF33D9">
                      <w:pPr>
                        <w:rPr>
                          <w:color w:val="FFFFFF" w:themeColor="background1"/>
                        </w:rPr>
                      </w:pPr>
                    </w:p>
                  </w:txbxContent>
                </v:textbox>
              </v: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560448" behindDoc="0" locked="0" layoutInCell="1" allowOverlap="1" wp14:anchorId="680922A3" wp14:editId="680922A4">
                <wp:simplePos x="0" y="0"/>
                <wp:positionH relativeFrom="column">
                  <wp:posOffset>1903730</wp:posOffset>
                </wp:positionH>
                <wp:positionV relativeFrom="paragraph">
                  <wp:posOffset>2059940</wp:posOffset>
                </wp:positionV>
                <wp:extent cx="567055" cy="2210435"/>
                <wp:effectExtent l="0" t="0" r="17145" b="12065"/>
                <wp:wrapNone/>
                <wp:docPr id="825409110" name="Rectangle 2"/>
                <wp:cNvGraphicFramePr/>
                <a:graphic xmlns:a="http://schemas.openxmlformats.org/drawingml/2006/main">
                  <a:graphicData uri="http://schemas.microsoft.com/office/word/2010/wordprocessingShape">
                    <wps:wsp>
                      <wps:cNvSpPr/>
                      <wps:spPr>
                        <a:xfrm>
                          <a:off x="0" y="0"/>
                          <a:ext cx="567055" cy="221043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0923C3" w14:textId="77777777" w:rsidR="00CF33D9" w:rsidRDefault="00E3332A">
                            <w:pPr>
                              <w:jc w:val="center"/>
                              <w:rPr>
                                <w:rFonts w:ascii="Calibri" w:eastAsia="Calibri" w:hAnsi="Calibri" w:cs="Calibri"/>
                                <w:color w:val="000000"/>
                                <w:sz w:val="10"/>
                                <w:szCs w:val="10"/>
                              </w:rPr>
                            </w:pPr>
                            <w:r>
                              <w:rPr>
                                <w:rFonts w:ascii="Calibri" w:eastAsia="Calibri" w:hAnsi="Calibri" w:cs="Calibri"/>
                                <w:color w:val="000000"/>
                                <w:sz w:val="10"/>
                                <w:szCs w:val="10"/>
                              </w:rPr>
                              <w:t>Output 1.4.1: Policy and legislative frameworks strengthened to minimize adverse impacts of extractive activities in the BCLME</w:t>
                            </w:r>
                          </w:p>
                          <w:p w14:paraId="680923C4" w14:textId="77777777" w:rsidR="00CF33D9" w:rsidRDefault="00E3332A">
                            <w:pPr>
                              <w:jc w:val="center"/>
                              <w:rPr>
                                <w:sz w:val="10"/>
                                <w:szCs w:val="10"/>
                              </w:rPr>
                            </w:pPr>
                            <w:r>
                              <w:rPr>
                                <w:rFonts w:ascii="Calibri" w:eastAsia="Calibri" w:hAnsi="Calibri" w:cs="Calibri"/>
                                <w:color w:val="000000"/>
                                <w:sz w:val="10"/>
                                <w:szCs w:val="10"/>
                              </w:rPr>
                              <w:t>Output 1.4.2: Capacity of government institutions, private sector actors and financial institutions involved in exploration/exploitation of non-living marine resources strengthened (with a gender-sensitive approach) for adoption of innovative environmentally friendly exploratory and extractive methods and technologies</w:t>
                            </w:r>
                          </w:p>
                          <w:p w14:paraId="680923C5" w14:textId="77777777" w:rsidR="00CF33D9" w:rsidRDefault="00CF33D9"/>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A3" id="_x0000_s1066" style="position:absolute;left:0;text-align:left;margin-left:149.9pt;margin-top:162.2pt;width:44.65pt;height:174.05pt;z-index:251560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" filled="f" strokecolor="black [3213]" strokeweight="1pt">
                <v:textbox>
                  <w:txbxContent>
                    <w:p w14:paraId="680923C3" w14:textId="77777777" w:rsidR="00CF33D9" w:rsidRDefault="00E3332A">
                      <w:pPr>
                        <w:jc w:val="center"/>
                        <w:rPr>
                          <w:rFonts w:ascii="Calibri" w:eastAsia="Calibri" w:hAnsi="Calibri" w:cs="Calibri"/>
                          <w:color w:val="000000"/>
                          <w:sz w:val="10"/>
                          <w:szCs w:val="10"/>
                        </w:rPr>
                      </w:pPr>
                      <w:r>
                        <w:rPr>
                          <w:rFonts w:ascii="Calibri" w:eastAsia="Calibri" w:hAnsi="Calibri" w:cs="Calibri"/>
                          <w:color w:val="000000"/>
                          <w:sz w:val="10"/>
                          <w:szCs w:val="10"/>
                        </w:rPr>
                        <w:t>Output 1.4.1: Policy and legislative frameworks strengthened to minimize adverse impacts of extractive activities in the BCLME</w:t>
                      </w:r>
                    </w:p>
                    <w:p w14:paraId="680923C4" w14:textId="77777777" w:rsidR="00CF33D9" w:rsidRDefault="00E3332A">
                      <w:pPr>
                        <w:jc w:val="center"/>
                        <w:rPr>
                          <w:sz w:val="10"/>
                          <w:szCs w:val="10"/>
                        </w:rPr>
                      </w:pPr>
                      <w:r>
                        <w:rPr>
                          <w:rFonts w:ascii="Calibri" w:eastAsia="Calibri" w:hAnsi="Calibri" w:cs="Calibri"/>
                          <w:color w:val="000000"/>
                          <w:sz w:val="10"/>
                          <w:szCs w:val="10"/>
                        </w:rPr>
                        <w:t>Output 1.4.2: Capacity of government institutions, private sector actors and financial institutions involved in exploration/exploitation of non-living marine resources strengthened (with a gender-sensitive approach) for adoption of innovative environmentally friendly exploratory and extractive methods and technologies</w:t>
                      </w:r>
                    </w:p>
                    <w:p w14:paraId="680923C5" w14:textId="77777777" w:rsidR="00CF33D9" w:rsidRDefault="00CF33D9"/>
                  </w:txbxContent>
                </v:textbox>
              </v: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566592" behindDoc="0" locked="0" layoutInCell="1" allowOverlap="1" wp14:anchorId="680922A5" wp14:editId="680922A6">
                <wp:simplePos x="0" y="0"/>
                <wp:positionH relativeFrom="column">
                  <wp:posOffset>1903730</wp:posOffset>
                </wp:positionH>
                <wp:positionV relativeFrom="paragraph">
                  <wp:posOffset>1041400</wp:posOffset>
                </wp:positionV>
                <wp:extent cx="567055" cy="826770"/>
                <wp:effectExtent l="0" t="0" r="17145" b="11430"/>
                <wp:wrapNone/>
                <wp:docPr id="147659080" name="Rectangle 2"/>
                <wp:cNvGraphicFramePr/>
                <a:graphic xmlns:a="http://schemas.openxmlformats.org/drawingml/2006/main">
                  <a:graphicData uri="http://schemas.microsoft.com/office/word/2010/wordprocessingShape">
                    <wps:wsp>
                      <wps:cNvSpPr/>
                      <wps:spPr>
                        <a:xfrm>
                          <a:off x="0" y="0"/>
                          <a:ext cx="567160" cy="826770"/>
                        </a:xfrm>
                        <a:prstGeom prst="rect">
                          <a:avLst/>
                        </a:prstGeom>
                        <a:solidFill>
                          <a:schemeClr val="accent5">
                            <a:lumMod val="40000"/>
                            <a:lumOff val="6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0923C6" w14:textId="77777777" w:rsidR="00CF33D9" w:rsidRDefault="00E3332A">
                            <w:pPr>
                              <w:ind w:left="-142" w:right="-131"/>
                              <w:jc w:val="center"/>
                              <w:rPr>
                                <w:sz w:val="11"/>
                                <w:szCs w:val="11"/>
                              </w:rPr>
                            </w:pPr>
                            <w:r>
                              <w:rPr>
                                <w:rFonts w:ascii="Calibri" w:eastAsia="Calibri" w:hAnsi="Calibri" w:cs="Calibri"/>
                                <w:color w:val="000000"/>
                                <w:sz w:val="11"/>
                                <w:szCs w:val="11"/>
                              </w:rPr>
                              <w:t xml:space="preserve">Outcome 1.4: Minimise impacts of exploration and extraction of non-living marine resources (NLMR)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A5" id="_x0000_s1067" style="position:absolute;left:0;text-align:left;margin-left:149.9pt;margin-top:82pt;width:44.65pt;height:65.1pt;z-index:251566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" fillcolor="#b4c6e7 [1304]" strokecolor="black [3213]" strokeweight="1pt">
                <v:textbox>
                  <w:txbxContent>
                    <w:p w14:paraId="680923C6" w14:textId="77777777" w:rsidR="00CF33D9" w:rsidRDefault="00E3332A">
                      <w:pPr>
                        <w:ind w:left="-142" w:right="-131"/>
                        <w:jc w:val="center"/>
                        <w:rPr>
                          <w:sz w:val="11"/>
                          <w:szCs w:val="11"/>
                        </w:rPr>
                      </w:pPr>
                      <w:r>
                        <w:rPr>
                          <w:rFonts w:ascii="Calibri" w:eastAsia="Calibri" w:hAnsi="Calibri" w:cs="Calibri"/>
                          <w:color w:val="000000"/>
                          <w:sz w:val="11"/>
                          <w:szCs w:val="11"/>
                        </w:rPr>
                        <w:t xml:space="preserve">Outcome 1.4: Minimise impacts of exploration and extraction of non-living marine resources (NLMR) </w:t>
                      </w:r>
                    </w:p>
                  </w:txbxContent>
                </v:textbox>
              </v: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545088" behindDoc="0" locked="0" layoutInCell="1" allowOverlap="1" wp14:anchorId="680922A7" wp14:editId="680922A8">
                <wp:simplePos x="0" y="0"/>
                <wp:positionH relativeFrom="column">
                  <wp:posOffset>1325245</wp:posOffset>
                </wp:positionH>
                <wp:positionV relativeFrom="paragraph">
                  <wp:posOffset>1041400</wp:posOffset>
                </wp:positionV>
                <wp:extent cx="561340" cy="826770"/>
                <wp:effectExtent l="0" t="0" r="10160" b="11430"/>
                <wp:wrapNone/>
                <wp:docPr id="1860490282" name="Rectangle 2"/>
                <wp:cNvGraphicFramePr/>
                <a:graphic xmlns:a="http://schemas.openxmlformats.org/drawingml/2006/main">
                  <a:graphicData uri="http://schemas.microsoft.com/office/word/2010/wordprocessingShape">
                    <wps:wsp>
                      <wps:cNvSpPr/>
                      <wps:spPr>
                        <a:xfrm>
                          <a:off x="0" y="0"/>
                          <a:ext cx="561340" cy="826770"/>
                        </a:xfrm>
                        <a:prstGeom prst="rect">
                          <a:avLst/>
                        </a:prstGeom>
                        <a:solidFill>
                          <a:schemeClr val="accent5">
                            <a:lumMod val="40000"/>
                            <a:lumOff val="6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0923C7" w14:textId="77777777" w:rsidR="00CF33D9" w:rsidRDefault="00E3332A">
                            <w:pPr>
                              <w:ind w:left="-142" w:right="-131"/>
                              <w:jc w:val="center"/>
                              <w:rPr>
                                <w:sz w:val="10"/>
                                <w:szCs w:val="10"/>
                              </w:rPr>
                            </w:pPr>
                            <w:r>
                              <w:rPr>
                                <w:rFonts w:ascii="Calibri" w:eastAsia="Calibri" w:hAnsi="Calibri" w:cs="Calibri"/>
                                <w:color w:val="000000"/>
                                <w:sz w:val="10"/>
                                <w:szCs w:val="10"/>
                              </w:rPr>
                              <w:t>Outcome 1.3: Improved biodiversity monitoring to inform actions for improved management of MPAs and coastal ecosystems</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A7" id="_x0000_s1068" style="position:absolute;left:0;text-align:left;margin-left:104.35pt;margin-top:82pt;width:44.2pt;height:65.1pt;z-index:251545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" fillcolor="#b4c6e7 [1304]" strokecolor="black [3213]" strokeweight="1pt">
                <v:textbox>
                  <w:txbxContent>
                    <w:p w14:paraId="680923C7" w14:textId="77777777" w:rsidR="00CF33D9" w:rsidRDefault="00E3332A">
                      <w:pPr>
                        <w:ind w:left="-142" w:right="-131"/>
                        <w:jc w:val="center"/>
                        <w:rPr>
                          <w:sz w:val="10"/>
                          <w:szCs w:val="10"/>
                        </w:rPr>
                      </w:pPr>
                      <w:r>
                        <w:rPr>
                          <w:rFonts w:ascii="Calibri" w:eastAsia="Calibri" w:hAnsi="Calibri" w:cs="Calibri"/>
                          <w:color w:val="000000"/>
                          <w:sz w:val="10"/>
                          <w:szCs w:val="10"/>
                        </w:rPr>
                        <w:t>Outcome 1.3: Improved biodiversity monitoring to inform actions for improved management of MPAs and coastal ecosystems</w:t>
                      </w:r>
                    </w:p>
                  </w:txbxContent>
                </v:textbox>
              </v: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563520" behindDoc="0" locked="0" layoutInCell="1" allowOverlap="1" wp14:anchorId="680922A9" wp14:editId="680922AA">
                <wp:simplePos x="0" y="0"/>
                <wp:positionH relativeFrom="column">
                  <wp:posOffset>1325245</wp:posOffset>
                </wp:positionH>
                <wp:positionV relativeFrom="paragraph">
                  <wp:posOffset>2059940</wp:posOffset>
                </wp:positionV>
                <wp:extent cx="561340" cy="2210435"/>
                <wp:effectExtent l="0" t="0" r="10160" b="12065"/>
                <wp:wrapNone/>
                <wp:docPr id="1192730535" name="Rectangle 2"/>
                <wp:cNvGraphicFramePr/>
                <a:graphic xmlns:a="http://schemas.openxmlformats.org/drawingml/2006/main">
                  <a:graphicData uri="http://schemas.microsoft.com/office/word/2010/wordprocessingShape">
                    <wps:wsp>
                      <wps:cNvSpPr/>
                      <wps:spPr>
                        <a:xfrm>
                          <a:off x="0" y="0"/>
                          <a:ext cx="561372" cy="221043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0923C8" w14:textId="77777777" w:rsidR="00CF33D9" w:rsidRDefault="00E3332A">
                            <w:pPr>
                              <w:jc w:val="center"/>
                              <w:rPr>
                                <w:sz w:val="10"/>
                                <w:szCs w:val="10"/>
                              </w:rPr>
                            </w:pPr>
                            <w:r>
                              <w:rPr>
                                <w:rFonts w:ascii="Calibri" w:eastAsia="Calibri" w:hAnsi="Calibri" w:cs="Calibri"/>
                                <w:color w:val="000000"/>
                                <w:sz w:val="10"/>
                                <w:szCs w:val="10"/>
                              </w:rPr>
                              <w:t>Output 1.3.1: Community-based biodiversity monitoring within the selected MPAs and coastal ecosystems (under 1.1) developed or enhanced</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A9" id="_x0000_s1069" style="position:absolute;left:0;text-align:left;margin-left:104.35pt;margin-top:162.2pt;width:44.2pt;height:174.05pt;z-index:251563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" filled="f" strokecolor="black [3213]" strokeweight="1pt">
                <v:textbox>
                  <w:txbxContent>
                    <w:p w14:paraId="680923C8" w14:textId="77777777" w:rsidR="00CF33D9" w:rsidRDefault="00E3332A">
                      <w:pPr>
                        <w:jc w:val="center"/>
                        <w:rPr>
                          <w:sz w:val="10"/>
                          <w:szCs w:val="10"/>
                        </w:rPr>
                      </w:pPr>
                      <w:r>
                        <w:rPr>
                          <w:rFonts w:ascii="Calibri" w:eastAsia="Calibri" w:hAnsi="Calibri" w:cs="Calibri"/>
                          <w:color w:val="000000"/>
                          <w:sz w:val="10"/>
                          <w:szCs w:val="10"/>
                        </w:rPr>
                        <w:t>Output 1.3.1: Community-based biodiversity monitoring within the selected MPAs and coastal ecosystems (under 1.1) developed or enhanced</w:t>
                      </w:r>
                    </w:p>
                  </w:txbxContent>
                </v:textbox>
              </v: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548160" behindDoc="0" locked="0" layoutInCell="1" allowOverlap="1" wp14:anchorId="680922AB" wp14:editId="680922AC">
                <wp:simplePos x="0" y="0"/>
                <wp:positionH relativeFrom="column">
                  <wp:posOffset>694055</wp:posOffset>
                </wp:positionH>
                <wp:positionV relativeFrom="paragraph">
                  <wp:posOffset>2059940</wp:posOffset>
                </wp:positionV>
                <wp:extent cx="607060" cy="2210435"/>
                <wp:effectExtent l="0" t="0" r="15240" b="12065"/>
                <wp:wrapNone/>
                <wp:docPr id="1758228251" name="Rectangle 2"/>
                <wp:cNvGraphicFramePr/>
                <a:graphic xmlns:a="http://schemas.openxmlformats.org/drawingml/2006/main">
                  <a:graphicData uri="http://schemas.microsoft.com/office/word/2010/wordprocessingShape">
                    <wps:wsp>
                      <wps:cNvSpPr/>
                      <wps:spPr>
                        <a:xfrm>
                          <a:off x="0" y="0"/>
                          <a:ext cx="607060" cy="221043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0923C9" w14:textId="77777777" w:rsidR="00CF33D9" w:rsidRDefault="00E3332A">
                            <w:pPr>
                              <w:ind w:left="-105" w:right="-136"/>
                              <w:jc w:val="center"/>
                              <w:rPr>
                                <w:rFonts w:ascii="Calibri" w:eastAsia="Calibri" w:hAnsi="Calibri" w:cs="Calibri"/>
                                <w:color w:val="000000"/>
                                <w:sz w:val="10"/>
                                <w:szCs w:val="10"/>
                              </w:rPr>
                            </w:pPr>
                            <w:r>
                              <w:rPr>
                                <w:rFonts w:ascii="Calibri" w:eastAsia="Calibri" w:hAnsi="Calibri" w:cs="Calibri"/>
                                <w:color w:val="000000"/>
                                <w:sz w:val="10"/>
                                <w:szCs w:val="10"/>
                              </w:rPr>
                              <w:t>Output 1.2.1: Sustainable community-based tourism developed in and around selected MPAs and coastal ecosystems (under 1.1) with potential for third-party certifications (</w:t>
                            </w:r>
                            <w:hyperlink r:id="rId16" w:history="1">
                              <w:r>
                                <w:rPr>
                                  <w:rStyle w:val="Hyperlink"/>
                                  <w:rFonts w:ascii="Calibri" w:eastAsia="Calibri" w:hAnsi="Calibri" w:cs="Calibri"/>
                                  <w:sz w:val="10"/>
                                  <w:szCs w:val="10"/>
                                </w:rPr>
                                <w:t>www.earthcheck.org</w:t>
                              </w:r>
                            </w:hyperlink>
                            <w:r>
                              <w:rPr>
                                <w:rFonts w:ascii="Calibri" w:eastAsia="Calibri" w:hAnsi="Calibri" w:cs="Calibri"/>
                                <w:color w:val="000000"/>
                                <w:sz w:val="10"/>
                                <w:szCs w:val="10"/>
                              </w:rPr>
                              <w:t>)</w:t>
                            </w:r>
                          </w:p>
                          <w:p w14:paraId="680923CA" w14:textId="77777777" w:rsidR="00CF33D9" w:rsidRDefault="00E3332A">
                            <w:pPr>
                              <w:ind w:left="-105" w:right="-136"/>
                              <w:jc w:val="center"/>
                              <w:rPr>
                                <w:b/>
                                <w:bCs/>
                                <w:color w:val="000000" w:themeColor="text1"/>
                                <w:sz w:val="10"/>
                                <w:szCs w:val="10"/>
                              </w:rPr>
                            </w:pPr>
                            <w:r>
                              <w:rPr>
                                <w:rFonts w:ascii="Calibri" w:eastAsia="Calibri" w:hAnsi="Calibri" w:cs="Calibri"/>
                                <w:color w:val="000000"/>
                                <w:sz w:val="10"/>
                                <w:szCs w:val="10"/>
                              </w:rPr>
                              <w:t>Output 1.2.2: Community-based climate-resilient ecosystem restoration interventions such as enhanced protection, control of alien and invasive species, assisted regeneration implemented in selected MPAs and coastal ecosystems (under 1.1)</w:t>
                            </w:r>
                          </w:p>
                          <w:p w14:paraId="680923CB" w14:textId="77777777" w:rsidR="00CF33D9" w:rsidRDefault="00CF33D9"/>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AB" id="_x0000_s1070" style="position:absolute;left:0;text-align:left;margin-left:54.65pt;margin-top:162.2pt;width:47.8pt;height:174.05pt;z-index:251548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" filled="f" strokecolor="black [3213]" strokeweight="1pt">
                <v:textbox>
                  <w:txbxContent>
                    <w:p w14:paraId="680923C9" w14:textId="77777777" w:rsidR="00CF33D9" w:rsidRDefault="00E3332A">
                      <w:pPr>
                        <w:ind w:left="-105" w:right="-136"/>
                        <w:jc w:val="center"/>
                        <w:rPr>
                          <w:rFonts w:ascii="Calibri" w:eastAsia="Calibri" w:hAnsi="Calibri" w:cs="Calibri"/>
                          <w:color w:val="000000"/>
                          <w:sz w:val="10"/>
                          <w:szCs w:val="10"/>
                        </w:rPr>
                      </w:pPr>
                      <w:r>
                        <w:rPr>
                          <w:rFonts w:ascii="Calibri" w:eastAsia="Calibri" w:hAnsi="Calibri" w:cs="Calibri"/>
                          <w:color w:val="000000"/>
                          <w:sz w:val="10"/>
                          <w:szCs w:val="10"/>
                        </w:rPr>
                        <w:t>Output 1.2.1: Sustainable community-based tourism developed in and around selected MPAs and coastal ecosystems (under 1.1) with potential for third-party certifications (</w:t>
                      </w:r>
                      <w:hyperlink r:id="rId17" w:history="1">
                        <w:r>
                          <w:rPr>
                            <w:rStyle w:val="Hyperlink"/>
                            <w:rFonts w:ascii="Calibri" w:eastAsia="Calibri" w:hAnsi="Calibri" w:cs="Calibri"/>
                            <w:sz w:val="10"/>
                            <w:szCs w:val="10"/>
                          </w:rPr>
                          <w:t>www.earthcheck.org</w:t>
                        </w:r>
                      </w:hyperlink>
                      <w:r>
                        <w:rPr>
                          <w:rFonts w:ascii="Calibri" w:eastAsia="Calibri" w:hAnsi="Calibri" w:cs="Calibri"/>
                          <w:color w:val="000000"/>
                          <w:sz w:val="10"/>
                          <w:szCs w:val="10"/>
                        </w:rPr>
                        <w:t>)</w:t>
                      </w:r>
                    </w:p>
                    <w:p w14:paraId="680923CA" w14:textId="77777777" w:rsidR="00CF33D9" w:rsidRDefault="00E3332A">
                      <w:pPr>
                        <w:ind w:left="-105" w:right="-136"/>
                        <w:jc w:val="center"/>
                        <w:rPr>
                          <w:b/>
                          <w:bCs/>
                          <w:color w:val="000000" w:themeColor="text1"/>
                          <w:sz w:val="10"/>
                          <w:szCs w:val="10"/>
                        </w:rPr>
                      </w:pPr>
                      <w:r>
                        <w:rPr>
                          <w:rFonts w:ascii="Calibri" w:eastAsia="Calibri" w:hAnsi="Calibri" w:cs="Calibri"/>
                          <w:color w:val="000000"/>
                          <w:sz w:val="10"/>
                          <w:szCs w:val="10"/>
                        </w:rPr>
                        <w:t>Output 1.2.2: Community-based climate-resilient ecosystem restoration interventions such as enhanced protection, control of alien and invasive species, assisted regeneration implemented in selected MPAs and coastal ecosystems (under 1.1)</w:t>
                      </w:r>
                    </w:p>
                    <w:p w14:paraId="680923CB" w14:textId="77777777" w:rsidR="00CF33D9" w:rsidRDefault="00CF33D9"/>
                  </w:txbxContent>
                </v:textbox>
              </v: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538944" behindDoc="0" locked="0" layoutInCell="1" allowOverlap="1" wp14:anchorId="680922AD" wp14:editId="680922AE">
                <wp:simplePos x="0" y="0"/>
                <wp:positionH relativeFrom="column">
                  <wp:posOffset>705485</wp:posOffset>
                </wp:positionH>
                <wp:positionV relativeFrom="paragraph">
                  <wp:posOffset>1041400</wp:posOffset>
                </wp:positionV>
                <wp:extent cx="595630" cy="826770"/>
                <wp:effectExtent l="0" t="0" r="14605" b="11430"/>
                <wp:wrapNone/>
                <wp:docPr id="1957065656" name="Rectangle 2"/>
                <wp:cNvGraphicFramePr/>
                <a:graphic xmlns:a="http://schemas.openxmlformats.org/drawingml/2006/main">
                  <a:graphicData uri="http://schemas.microsoft.com/office/word/2010/wordprocessingShape">
                    <wps:wsp>
                      <wps:cNvSpPr/>
                      <wps:spPr>
                        <a:xfrm>
                          <a:off x="0" y="0"/>
                          <a:ext cx="595485" cy="826770"/>
                        </a:xfrm>
                        <a:prstGeom prst="rect">
                          <a:avLst/>
                        </a:prstGeom>
                        <a:solidFill>
                          <a:schemeClr val="accent5">
                            <a:lumMod val="40000"/>
                            <a:lumOff val="6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0923CC" w14:textId="77777777" w:rsidR="00CF33D9" w:rsidRDefault="00E3332A">
                            <w:pPr>
                              <w:ind w:left="-105" w:right="-136"/>
                              <w:jc w:val="center"/>
                              <w:rPr>
                                <w:b/>
                                <w:bCs/>
                                <w:color w:val="000000" w:themeColor="text1"/>
                                <w:sz w:val="11"/>
                                <w:szCs w:val="11"/>
                              </w:rPr>
                            </w:pPr>
                            <w:r>
                              <w:rPr>
                                <w:rFonts w:ascii="Calibri" w:eastAsia="Calibri" w:hAnsi="Calibri" w:cs="Calibri"/>
                                <w:color w:val="000000"/>
                                <w:sz w:val="11"/>
                                <w:szCs w:val="11"/>
                              </w:rPr>
                              <w:t xml:space="preserve">Outcome 1.2 Climate resilient nature-based solutions for restoration MPAs and coastal ecosystems </w:t>
                            </w:r>
                          </w:p>
                          <w:p w14:paraId="680923CD" w14:textId="77777777" w:rsidR="00CF33D9" w:rsidRDefault="00CF33D9">
                            <w:pPr>
                              <w:rPr>
                                <w:sz w:val="11"/>
                                <w:szCs w:val="11"/>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AD" id="_x0000_s1071" style="position:absolute;left:0;text-align:left;margin-left:55.55pt;margin-top:82pt;width:46.9pt;height:65.1pt;z-index:251538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" fillcolor="#b4c6e7 [1304]" strokecolor="black [3213]" strokeweight="1pt">
                <v:textbox>
                  <w:txbxContent>
                    <w:p w14:paraId="680923CC" w14:textId="77777777" w:rsidR="00CF33D9" w:rsidRDefault="00E3332A">
                      <w:pPr>
                        <w:ind w:left="-105" w:right="-136"/>
                        <w:jc w:val="center"/>
                        <w:rPr>
                          <w:b/>
                          <w:bCs/>
                          <w:color w:val="000000" w:themeColor="text1"/>
                          <w:sz w:val="11"/>
                          <w:szCs w:val="11"/>
                        </w:rPr>
                      </w:pPr>
                      <w:r>
                        <w:rPr>
                          <w:rFonts w:ascii="Calibri" w:eastAsia="Calibri" w:hAnsi="Calibri" w:cs="Calibri"/>
                          <w:color w:val="000000"/>
                          <w:sz w:val="11"/>
                          <w:szCs w:val="11"/>
                        </w:rPr>
                        <w:t xml:space="preserve">Outcome 1.2 Climate resilient nature-based solutions for restoration MPAs and coastal ecosystems </w:t>
                      </w:r>
                    </w:p>
                    <w:p w14:paraId="680923CD" w14:textId="77777777" w:rsidR="00CF33D9" w:rsidRDefault="00CF33D9">
                      <w:pPr>
                        <w:rPr>
                          <w:sz w:val="11"/>
                          <w:szCs w:val="11"/>
                        </w:rPr>
                      </w:pPr>
                    </w:p>
                  </w:txbxContent>
                </v:textbox>
              </v: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551232" behindDoc="0" locked="0" layoutInCell="1" allowOverlap="1" wp14:anchorId="680922AF" wp14:editId="680922B0">
                <wp:simplePos x="0" y="0"/>
                <wp:positionH relativeFrom="column">
                  <wp:posOffset>69215</wp:posOffset>
                </wp:positionH>
                <wp:positionV relativeFrom="paragraph">
                  <wp:posOffset>2059940</wp:posOffset>
                </wp:positionV>
                <wp:extent cx="607060" cy="2210435"/>
                <wp:effectExtent l="0" t="0" r="15240" b="12065"/>
                <wp:wrapNone/>
                <wp:docPr id="117266059" name="Rectangle 2"/>
                <wp:cNvGraphicFramePr/>
                <a:graphic xmlns:a="http://schemas.openxmlformats.org/drawingml/2006/main">
                  <a:graphicData uri="http://schemas.microsoft.com/office/word/2010/wordprocessingShape">
                    <wps:wsp>
                      <wps:cNvSpPr/>
                      <wps:spPr>
                        <a:xfrm>
                          <a:off x="0" y="0"/>
                          <a:ext cx="607060" cy="221047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0923CE" w14:textId="77777777" w:rsidR="00CF33D9" w:rsidRDefault="00E3332A">
                            <w:pPr>
                              <w:ind w:left="-105" w:right="-136"/>
                              <w:jc w:val="center"/>
                              <w:rPr>
                                <w:b/>
                                <w:bCs/>
                                <w:color w:val="000000" w:themeColor="text1"/>
                                <w:sz w:val="10"/>
                                <w:szCs w:val="10"/>
                              </w:rPr>
                            </w:pPr>
                            <w:r>
                              <w:rPr>
                                <w:rFonts w:ascii="Calibri" w:eastAsia="Calibri" w:hAnsi="Calibri" w:cs="Calibri"/>
                                <w:color w:val="000000"/>
                                <w:sz w:val="10"/>
                                <w:szCs w:val="10"/>
                              </w:rPr>
                              <w:t xml:space="preserve">Output 1.1.1: Legal frameworks of selected MPAs and coastal ecosystems of global importance improved </w:t>
                            </w:r>
                          </w:p>
                          <w:p w14:paraId="680923CF" w14:textId="77777777" w:rsidR="00CF33D9" w:rsidRDefault="00E3332A">
                            <w:pPr>
                              <w:jc w:val="center"/>
                              <w:rPr>
                                <w:rFonts w:ascii="Calibri" w:eastAsia="Calibri" w:hAnsi="Calibri" w:cs="Calibri"/>
                                <w:color w:val="000000"/>
                                <w:sz w:val="10"/>
                                <w:szCs w:val="10"/>
                              </w:rPr>
                            </w:pPr>
                            <w:r>
                              <w:rPr>
                                <w:rFonts w:ascii="Calibri" w:eastAsia="Calibri" w:hAnsi="Calibri" w:cs="Calibri"/>
                                <w:color w:val="000000"/>
                                <w:sz w:val="10"/>
                                <w:szCs w:val="10"/>
                              </w:rPr>
                              <w:t xml:space="preserve">Output 1.1.2 Enhanced management plans  of selected MPAs </w:t>
                            </w:r>
                          </w:p>
                          <w:p w14:paraId="680923D0" w14:textId="77777777" w:rsidR="00CF33D9" w:rsidRDefault="00E3332A">
                            <w:pPr>
                              <w:jc w:val="center"/>
                              <w:rPr>
                                <w:rFonts w:ascii="Calibri" w:eastAsia="Calibri" w:hAnsi="Calibri" w:cs="Calibri"/>
                                <w:color w:val="000000"/>
                                <w:sz w:val="10"/>
                                <w:szCs w:val="10"/>
                              </w:rPr>
                            </w:pPr>
                            <w:r>
                              <w:rPr>
                                <w:rFonts w:ascii="Calibri" w:eastAsia="Calibri" w:hAnsi="Calibri" w:cs="Calibri"/>
                                <w:color w:val="000000"/>
                                <w:sz w:val="10"/>
                                <w:szCs w:val="10"/>
                              </w:rPr>
                              <w:t>Output 1.1.3: Strengthened legal and institutional capacity for the implementation of ecosystem-based MSP</w:t>
                            </w:r>
                          </w:p>
                          <w:p w14:paraId="680923D1" w14:textId="77777777" w:rsidR="00CF33D9" w:rsidRDefault="00E3332A">
                            <w:pPr>
                              <w:jc w:val="center"/>
                              <w:rPr>
                                <w:sz w:val="10"/>
                                <w:szCs w:val="10"/>
                              </w:rPr>
                            </w:pPr>
                            <w:r>
                              <w:rPr>
                                <w:rFonts w:ascii="Calibri" w:eastAsia="Calibri" w:hAnsi="Calibri" w:cs="Calibri"/>
                                <w:color w:val="000000"/>
                                <w:sz w:val="10"/>
                                <w:szCs w:val="10"/>
                              </w:rPr>
                              <w:t>Output 1.1.4: Participatory ecosystem-based MSP prepared for areas not yet covered by MSP</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AF" id="_x0000_s1072" style="position:absolute;left:0;text-align:left;margin-left:5.45pt;margin-top:162.2pt;width:47.8pt;height:174.05pt;z-index:251551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" filled="f" strokecolor="black [3213]" strokeweight="1pt">
                <v:textbox>
                  <w:txbxContent>
                    <w:p w14:paraId="680923CE" w14:textId="77777777" w:rsidR="00CF33D9" w:rsidRDefault="00E3332A">
                      <w:pPr>
                        <w:ind w:left="-105" w:right="-136"/>
                        <w:jc w:val="center"/>
                        <w:rPr>
                          <w:b/>
                          <w:bCs/>
                          <w:color w:val="000000" w:themeColor="text1"/>
                          <w:sz w:val="10"/>
                          <w:szCs w:val="10"/>
                        </w:rPr>
                      </w:pPr>
                      <w:r>
                        <w:rPr>
                          <w:rFonts w:ascii="Calibri" w:eastAsia="Calibri" w:hAnsi="Calibri" w:cs="Calibri"/>
                          <w:color w:val="000000"/>
                          <w:sz w:val="10"/>
                          <w:szCs w:val="10"/>
                        </w:rPr>
                        <w:t xml:space="preserve">Output 1.1.1: Legal frameworks of selected MPAs and coastal ecosystems of global importance improved </w:t>
                      </w:r>
                    </w:p>
                    <w:p w14:paraId="680923CF" w14:textId="77777777" w:rsidR="00CF33D9" w:rsidRDefault="00E3332A">
                      <w:pPr>
                        <w:jc w:val="center"/>
                        <w:rPr>
                          <w:rFonts w:ascii="Calibri" w:eastAsia="Calibri" w:hAnsi="Calibri" w:cs="Calibri"/>
                          <w:color w:val="000000"/>
                          <w:sz w:val="10"/>
                          <w:szCs w:val="10"/>
                        </w:rPr>
                      </w:pPr>
                      <w:r>
                        <w:rPr>
                          <w:rFonts w:ascii="Calibri" w:eastAsia="Calibri" w:hAnsi="Calibri" w:cs="Calibri"/>
                          <w:color w:val="000000"/>
                          <w:sz w:val="10"/>
                          <w:szCs w:val="10"/>
                        </w:rPr>
                        <w:t xml:space="preserve">Output 1.1.2 Enhanced management plans  of selected MPAs </w:t>
                      </w:r>
                    </w:p>
                    <w:p w14:paraId="680923D0" w14:textId="77777777" w:rsidR="00CF33D9" w:rsidRDefault="00E3332A">
                      <w:pPr>
                        <w:jc w:val="center"/>
                        <w:rPr>
                          <w:rFonts w:ascii="Calibri" w:eastAsia="Calibri" w:hAnsi="Calibri" w:cs="Calibri"/>
                          <w:color w:val="000000"/>
                          <w:sz w:val="10"/>
                          <w:szCs w:val="10"/>
                        </w:rPr>
                      </w:pPr>
                      <w:r>
                        <w:rPr>
                          <w:rFonts w:ascii="Calibri" w:eastAsia="Calibri" w:hAnsi="Calibri" w:cs="Calibri"/>
                          <w:color w:val="000000"/>
                          <w:sz w:val="10"/>
                          <w:szCs w:val="10"/>
                        </w:rPr>
                        <w:t>Output 1.1.3: Strengthened legal and institutional capacity for the implementation of ecosystem-based MSP</w:t>
                      </w:r>
                    </w:p>
                    <w:p w14:paraId="680923D1" w14:textId="77777777" w:rsidR="00CF33D9" w:rsidRDefault="00E3332A">
                      <w:pPr>
                        <w:jc w:val="center"/>
                        <w:rPr>
                          <w:sz w:val="10"/>
                          <w:szCs w:val="10"/>
                        </w:rPr>
                      </w:pPr>
                      <w:r>
                        <w:rPr>
                          <w:rFonts w:ascii="Calibri" w:eastAsia="Calibri" w:hAnsi="Calibri" w:cs="Calibri"/>
                          <w:color w:val="000000"/>
                          <w:sz w:val="10"/>
                          <w:szCs w:val="10"/>
                        </w:rPr>
                        <w:t>Output 1.1.4: Participatory ecosystem-based MSP prepared for areas not yet covered by MSP</w:t>
                      </w:r>
                    </w:p>
                  </w:txbxContent>
                </v:textbox>
              </v: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542016" behindDoc="0" locked="0" layoutInCell="1" allowOverlap="1" wp14:anchorId="680922B1" wp14:editId="680922B2">
                <wp:simplePos x="0" y="0"/>
                <wp:positionH relativeFrom="column">
                  <wp:posOffset>69215</wp:posOffset>
                </wp:positionH>
                <wp:positionV relativeFrom="paragraph">
                  <wp:posOffset>1041400</wp:posOffset>
                </wp:positionV>
                <wp:extent cx="607060" cy="827405"/>
                <wp:effectExtent l="0" t="0" r="15240" b="11430"/>
                <wp:wrapNone/>
                <wp:docPr id="2067293247" name="Rectangle 2"/>
                <wp:cNvGraphicFramePr/>
                <a:graphic xmlns:a="http://schemas.openxmlformats.org/drawingml/2006/main">
                  <a:graphicData uri="http://schemas.microsoft.com/office/word/2010/wordprocessingShape">
                    <wps:wsp>
                      <wps:cNvSpPr/>
                      <wps:spPr>
                        <a:xfrm>
                          <a:off x="0" y="0"/>
                          <a:ext cx="607060" cy="827252"/>
                        </a:xfrm>
                        <a:prstGeom prst="rect">
                          <a:avLst/>
                        </a:prstGeom>
                        <a:solidFill>
                          <a:schemeClr val="accent5">
                            <a:lumMod val="40000"/>
                            <a:lumOff val="6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0923D2" w14:textId="77777777" w:rsidR="00CF33D9" w:rsidRDefault="00E3332A">
                            <w:pPr>
                              <w:ind w:left="-142" w:right="-136"/>
                              <w:jc w:val="center"/>
                              <w:rPr>
                                <w:rFonts w:ascii="Calibri" w:eastAsia="Calibri" w:hAnsi="Calibri" w:cs="Calibri"/>
                                <w:color w:val="000000"/>
                                <w:sz w:val="13"/>
                                <w:szCs w:val="13"/>
                              </w:rPr>
                            </w:pPr>
                            <w:r>
                              <w:rPr>
                                <w:rFonts w:ascii="Calibri" w:eastAsia="Calibri" w:hAnsi="Calibri" w:cs="Calibri"/>
                                <w:color w:val="000000"/>
                                <w:sz w:val="13"/>
                                <w:szCs w:val="13"/>
                              </w:rPr>
                              <w:t>Outcome 1.1: Policy, regulatory and institutional framework for the sustainable management strengthened</w:t>
                            </w:r>
                          </w:p>
                          <w:p w14:paraId="680923D3" w14:textId="77777777" w:rsidR="00CF33D9" w:rsidRDefault="00CF33D9">
                            <w:pPr>
                              <w:ind w:left="-105" w:right="-136"/>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B1" id="_x0000_s1073" style="position:absolute;left:0;text-align:left;margin-left:5.45pt;margin-top:82pt;width:47.8pt;height:65.15pt;z-index:251542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" fillcolor="#b4c6e7 [1304]" strokecolor="black [3213]" strokeweight="1pt">
                <v:textbox>
                  <w:txbxContent>
                    <w:p w14:paraId="680923D2" w14:textId="77777777" w:rsidR="00CF33D9" w:rsidRDefault="00E3332A">
                      <w:pPr>
                        <w:ind w:left="-142" w:right="-136"/>
                        <w:jc w:val="center"/>
                        <w:rPr>
                          <w:rFonts w:ascii="Calibri" w:eastAsia="Calibri" w:hAnsi="Calibri" w:cs="Calibri"/>
                          <w:color w:val="000000"/>
                          <w:sz w:val="13"/>
                          <w:szCs w:val="13"/>
                        </w:rPr>
                      </w:pPr>
                      <w:r>
                        <w:rPr>
                          <w:rFonts w:ascii="Calibri" w:eastAsia="Calibri" w:hAnsi="Calibri" w:cs="Calibri"/>
                          <w:color w:val="000000"/>
                          <w:sz w:val="13"/>
                          <w:szCs w:val="13"/>
                        </w:rPr>
                        <w:t>Outcome 1.1: Policy, regulatory and institutional framework for the sustainable management strengthened</w:t>
                      </w:r>
                    </w:p>
                    <w:p w14:paraId="680923D3" w14:textId="77777777" w:rsidR="00CF33D9" w:rsidRDefault="00CF33D9">
                      <w:pPr>
                        <w:ind w:left="-105" w:right="-136"/>
                      </w:pPr>
                    </w:p>
                  </w:txbxContent>
                </v:textbox>
              </v: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514368" behindDoc="0" locked="0" layoutInCell="1" allowOverlap="1" wp14:anchorId="680922B3" wp14:editId="680922B4">
                <wp:simplePos x="0" y="0"/>
                <wp:positionH relativeFrom="column">
                  <wp:posOffset>4373880</wp:posOffset>
                </wp:positionH>
                <wp:positionV relativeFrom="paragraph">
                  <wp:posOffset>5788660</wp:posOffset>
                </wp:positionV>
                <wp:extent cx="173355" cy="167640"/>
                <wp:effectExtent l="15558" t="9842" r="20002" b="7303"/>
                <wp:wrapNone/>
                <wp:docPr id="801115802" name="Right Arrow 3"/>
                <wp:cNvGraphicFramePr/>
                <a:graphic xmlns:a="http://schemas.openxmlformats.org/drawingml/2006/main">
                  <a:graphicData uri="http://schemas.microsoft.com/office/word/2010/wordprocessingShape">
                    <wps:wsp>
                      <wps:cNvSpPr/>
                      <wps:spPr>
                        <a:xfrm rot="16200000">
                          <a:off x="0" y="0"/>
                          <a:ext cx="173355" cy="167640"/>
                        </a:xfrm>
                        <a:prstGeom prst="rightArrow">
                          <a:avLst>
                            <a:gd name="adj1" fmla="val 50000"/>
                            <a:gd name="adj2" fmla="val 48024"/>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80923D4" w14:textId="77777777" w:rsidR="00CF33D9" w:rsidRDefault="00CF33D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680922B3" id="_x0000_s1074" type="#_x0000_t13" style="position:absolute;left:0;text-align:left;margin-left:344.4pt;margin-top:455.8pt;width:13.65pt;height:13.2pt;rotation:-90;z-index:251514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" adj="11569" fillcolor="#5b9bd5 [3204]" strokecolor="#091723 [484]" strokeweight="1pt">
                <v:textbox>
                  <w:txbxContent>
                    <w:p w14:paraId="680923D4" w14:textId="77777777" w:rsidR="00CF33D9" w:rsidRDefault="00CF33D9">
                      <w:pPr>
                        <w:jc w:val="center"/>
                      </w:pPr>
                    </w:p>
                  </w:txbxContent>
                </v:textbox>
              </v:shape>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511296" behindDoc="0" locked="0" layoutInCell="1" allowOverlap="1" wp14:anchorId="680922B5" wp14:editId="680922B6">
                <wp:simplePos x="0" y="0"/>
                <wp:positionH relativeFrom="column">
                  <wp:posOffset>-700405</wp:posOffset>
                </wp:positionH>
                <wp:positionV relativeFrom="paragraph">
                  <wp:posOffset>6059805</wp:posOffset>
                </wp:positionV>
                <wp:extent cx="3277235" cy="447040"/>
                <wp:effectExtent l="0" t="0" r="12700" b="10795"/>
                <wp:wrapNone/>
                <wp:docPr id="84539763" name="Rectangle 2"/>
                <wp:cNvGraphicFramePr/>
                <a:graphic xmlns:a="http://schemas.openxmlformats.org/drawingml/2006/main">
                  <a:graphicData uri="http://schemas.microsoft.com/office/word/2010/wordprocessingShape">
                    <wps:wsp>
                      <wps:cNvSpPr/>
                      <wps:spPr>
                        <a:xfrm>
                          <a:off x="0" y="0"/>
                          <a:ext cx="3277157" cy="447026"/>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0923D5" w14:textId="77777777" w:rsidR="00CF33D9" w:rsidRDefault="00E3332A">
                            <w:pPr>
                              <w:ind w:right="-39"/>
                              <w:jc w:val="center"/>
                              <w:rPr>
                                <w:rFonts w:ascii="Calibri" w:hAnsi="Calibri" w:cs="Calibri"/>
                                <w:color w:val="000000" w:themeColor="text1"/>
                                <w:sz w:val="16"/>
                                <w:szCs w:val="16"/>
                              </w:rPr>
                            </w:pPr>
                            <w:r>
                              <w:rPr>
                                <w:rFonts w:ascii="Calibri" w:hAnsi="Calibri" w:cs="Calibri"/>
                                <w:b/>
                                <w:bCs/>
                                <w:color w:val="000000" w:themeColor="text1"/>
                                <w:sz w:val="16"/>
                                <w:szCs w:val="16"/>
                              </w:rPr>
                              <w:t>DRIVERS</w:t>
                            </w:r>
                            <w:r>
                              <w:rPr>
                                <w:rFonts w:ascii="Calibri" w:hAnsi="Calibri" w:cs="Calibri"/>
                                <w:color w:val="000000" w:themeColor="text1"/>
                                <w:sz w:val="16"/>
                                <w:szCs w:val="16"/>
                              </w:rPr>
                              <w:t>: population pressures, unsustainable economic practices, coastal urbanisation, waste, poverty, GHG emissions</w:t>
                            </w:r>
                          </w:p>
                          <w:p w14:paraId="680923D6" w14:textId="77777777" w:rsidR="00CF33D9" w:rsidRDefault="00CF33D9">
                            <w:pPr>
                              <w:jc w:val="center"/>
                              <w:rPr>
                                <w:rFonts w:ascii="Calibri" w:hAnsi="Calibri" w:cs="Calibri"/>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B5" id="_x0000_s1075" style="position:absolute;left:0;text-align:left;margin-left:-55.15pt;margin-top:477.15pt;width:258.05pt;height:35.2pt;z-index:251511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" filled="f" strokecolor="black [3213]" strokeweight="1pt">
                <v:textbox>
                  <w:txbxContent>
                    <w:p w14:paraId="680923D5" w14:textId="77777777" w:rsidR="00CF33D9" w:rsidRDefault="00E3332A">
                      <w:pPr>
                        <w:ind w:right="-39"/>
                        <w:jc w:val="center"/>
                        <w:rPr>
                          <w:rFonts w:ascii="Calibri" w:hAnsi="Calibri" w:cs="Calibri"/>
                          <w:color w:val="000000" w:themeColor="text1"/>
                          <w:sz w:val="16"/>
                          <w:szCs w:val="16"/>
                        </w:rPr>
                      </w:pPr>
                      <w:r>
                        <w:rPr>
                          <w:rFonts w:ascii="Calibri" w:hAnsi="Calibri" w:cs="Calibri"/>
                          <w:b/>
                          <w:bCs/>
                          <w:color w:val="000000" w:themeColor="text1"/>
                          <w:sz w:val="16"/>
                          <w:szCs w:val="16"/>
                        </w:rPr>
                        <w:t>DRIVERS</w:t>
                      </w:r>
                      <w:r>
                        <w:rPr>
                          <w:rFonts w:ascii="Calibri" w:hAnsi="Calibri" w:cs="Calibri"/>
                          <w:color w:val="000000" w:themeColor="text1"/>
                          <w:sz w:val="16"/>
                          <w:szCs w:val="16"/>
                        </w:rPr>
                        <w:t>: population pressures, unsustainable economic practices, coastal urbanisation, waste, poverty, GHG emissions</w:t>
                      </w:r>
                    </w:p>
                    <w:p w14:paraId="680923D6" w14:textId="77777777" w:rsidR="00CF33D9" w:rsidRDefault="00CF33D9">
                      <w:pPr>
                        <w:jc w:val="center"/>
                        <w:rPr>
                          <w:rFonts w:ascii="Calibri" w:hAnsi="Calibri" w:cs="Calibri"/>
                        </w:rPr>
                      </w:pPr>
                    </w:p>
                  </w:txbxContent>
                </v:textbox>
              </v: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517440" behindDoc="0" locked="0" layoutInCell="1" allowOverlap="1" wp14:anchorId="680922B7" wp14:editId="680922B8">
                <wp:simplePos x="0" y="0"/>
                <wp:positionH relativeFrom="column">
                  <wp:posOffset>2704465</wp:posOffset>
                </wp:positionH>
                <wp:positionV relativeFrom="paragraph">
                  <wp:posOffset>6125210</wp:posOffset>
                </wp:positionV>
                <wp:extent cx="233045" cy="236220"/>
                <wp:effectExtent l="0" t="12700" r="20955" b="30480"/>
                <wp:wrapNone/>
                <wp:docPr id="953880662" name="Right Arrow 3"/>
                <wp:cNvGraphicFramePr/>
                <a:graphic xmlns:a="http://schemas.openxmlformats.org/drawingml/2006/main">
                  <a:graphicData uri="http://schemas.microsoft.com/office/word/2010/wordprocessingShape">
                    <wps:wsp>
                      <wps:cNvSpPr/>
                      <wps:spPr>
                        <a:xfrm>
                          <a:off x="0" y="0"/>
                          <a:ext cx="233045" cy="236220"/>
                        </a:xfrm>
                        <a:prstGeom prst="rightArrow">
                          <a:avLst>
                            <a:gd name="adj1" fmla="val 50000"/>
                            <a:gd name="adj2" fmla="val 55728"/>
                          </a:avLst>
                        </a:prstGeom>
                        <a:solidFill>
                          <a:srgbClr val="FF0000"/>
                        </a:solidFill>
                      </wps:spPr>
                      <wps:style>
                        <a:lnRef idx="2">
                          <a:schemeClr val="accent1">
                            <a:shade val="15000"/>
                          </a:schemeClr>
                        </a:lnRef>
                        <a:fillRef idx="1">
                          <a:schemeClr val="accent1"/>
                        </a:fillRef>
                        <a:effectRef idx="0">
                          <a:schemeClr val="accent1"/>
                        </a:effectRef>
                        <a:fontRef idx="minor">
                          <a:schemeClr val="lt1"/>
                        </a:fontRef>
                      </wps:style>
                      <wps:txbx>
                        <w:txbxContent>
                          <w:p w14:paraId="680923D7" w14:textId="77777777" w:rsidR="00CF33D9" w:rsidRDefault="00CF33D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680922B7" id="_x0000_s1076" type="#_x0000_t13" style="position:absolute;left:0;text-align:left;margin-left:212.95pt;margin-top:482.3pt;width:18.35pt;height:18.6pt;z-index:251517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" adj="9563" fillcolor="red" strokecolor="#091723 [484]" strokeweight="1pt">
                <v:textbox>
                  <w:txbxContent>
                    <w:p w14:paraId="680923D7" w14:textId="77777777" w:rsidR="00CF33D9" w:rsidRDefault="00CF33D9">
                      <w:pPr>
                        <w:jc w:val="center"/>
                      </w:pPr>
                    </w:p>
                  </w:txbxContent>
                </v:textbox>
              </v:shape>
            </w:pict>
          </mc:Fallback>
        </mc:AlternateContent>
      </w:r>
    </w:p>
    <w:p w14:paraId="6808F7C4" w14:textId="77777777" w:rsidR="00CF33D9" w:rsidRDefault="00CF33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Calibri" w:eastAsia="Calibri" w:hAnsi="Calibri" w:cs="Calibri"/>
          <w:color w:val="000000"/>
          <w:sz w:val="20"/>
          <w:szCs w:val="20"/>
        </w:rPr>
      </w:pPr>
    </w:p>
    <w:p w14:paraId="6808F7C5" w14:textId="77777777" w:rsidR="00CF33D9" w:rsidRDefault="00E333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Calibri" w:eastAsia="Calibri" w:hAnsi="Calibri" w:cs="Calibri"/>
          <w:color w:val="000000"/>
          <w:sz w:val="20"/>
          <w:szCs w:val="20"/>
        </w:rPr>
      </w:pPr>
      <w:r>
        <w:rPr>
          <w:rFonts w:ascii="Calibri" w:eastAsia="Calibri" w:hAnsi="Calibri" w:cs="Calibri"/>
          <w:color w:val="000000"/>
          <w:sz w:val="20"/>
          <w:szCs w:val="20"/>
        </w:rPr>
        <w:t>Figure 1: Theory of Change</w:t>
      </w:r>
    </w:p>
    <w:p w14:paraId="6808F7C6" w14:textId="77777777" w:rsidR="00CF33D9" w:rsidRDefault="00E3332A">
      <w:pPr>
        <w:rPr>
          <w:rFonts w:ascii="Calibri" w:eastAsia="Calibri" w:hAnsi="Calibri" w:cs="Calibri"/>
          <w:color w:val="000000"/>
          <w:sz w:val="20"/>
          <w:szCs w:val="20"/>
        </w:rPr>
      </w:pPr>
      <w:r>
        <w:rPr>
          <w:rFonts w:ascii="Calibri" w:eastAsia="Calibri" w:hAnsi="Calibri" w:cs="Calibri"/>
          <w:noProof/>
          <w:color w:val="000000"/>
          <w:sz w:val="20"/>
          <w:szCs w:val="20"/>
        </w:rPr>
        <mc:AlternateContent>
          <mc:Choice Requires="wps">
            <w:drawing>
              <wp:anchor distT="0" distB="0" distL="114300" distR="114300" simplePos="0" relativeHeight="251701760" behindDoc="0" locked="0" layoutInCell="1" allowOverlap="1" wp14:anchorId="680922B9" wp14:editId="680922BA">
                <wp:simplePos x="0" y="0"/>
                <wp:positionH relativeFrom="column">
                  <wp:posOffset>6853555</wp:posOffset>
                </wp:positionH>
                <wp:positionV relativeFrom="paragraph">
                  <wp:posOffset>4465955</wp:posOffset>
                </wp:positionV>
                <wp:extent cx="0" cy="321945"/>
                <wp:effectExtent l="114300" t="25400" r="63500" b="8255"/>
                <wp:wrapNone/>
                <wp:docPr id="985064770" name="Straight Arrow Connector 5"/>
                <wp:cNvGraphicFramePr/>
                <a:graphic xmlns:a="http://schemas.openxmlformats.org/drawingml/2006/main">
                  <a:graphicData uri="http://schemas.microsoft.com/office/word/2010/wordprocessingShape">
                    <wps:wsp>
                      <wps:cNvCnPr/>
                      <wps:spPr>
                        <a:xfrm flipV="1">
                          <a:off x="0" y="0"/>
                          <a:ext cx="0" cy="321945"/>
                        </a:xfrm>
                        <a:prstGeom prst="straightConnector1">
                          <a:avLst/>
                        </a:prstGeom>
                        <a:ln w="57150">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8F38EC1" id="Straight Arrow Connector 5" o:spid="_x0000_s1026" type="#_x0000_t32" style="position:absolute;margin-left:539.65pt;margin-top:351.65pt;width:0;height:25.35pt;flip:y;z-index:2517017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" strokecolor="#747070 [1614]" strokeweight="4.5pt">
                <v:stroke endarrow="block" joinstyle="miter"/>
              </v:shape>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698688" behindDoc="0" locked="0" layoutInCell="1" allowOverlap="1" wp14:anchorId="680922BB" wp14:editId="680922BC">
                <wp:simplePos x="0" y="0"/>
                <wp:positionH relativeFrom="column">
                  <wp:posOffset>5314950</wp:posOffset>
                </wp:positionH>
                <wp:positionV relativeFrom="paragraph">
                  <wp:posOffset>4478020</wp:posOffset>
                </wp:positionV>
                <wp:extent cx="1267460" cy="320040"/>
                <wp:effectExtent l="12700" t="63500" r="0" b="48260"/>
                <wp:wrapNone/>
                <wp:docPr id="666534685" name="Straight Arrow Connector 5"/>
                <wp:cNvGraphicFramePr/>
                <a:graphic xmlns:a="http://schemas.openxmlformats.org/drawingml/2006/main">
                  <a:graphicData uri="http://schemas.microsoft.com/office/word/2010/wordprocessingShape">
                    <wps:wsp>
                      <wps:cNvCnPr/>
                      <wps:spPr>
                        <a:xfrm flipV="1">
                          <a:off x="0" y="0"/>
                          <a:ext cx="1267188" cy="320221"/>
                        </a:xfrm>
                        <a:prstGeom prst="straightConnector1">
                          <a:avLst/>
                        </a:prstGeom>
                        <a:ln w="57150">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F3A180F" id="Straight Arrow Connector 5" o:spid="_x0000_s1026" type="#_x0000_t32" style="position:absolute;margin-left:418.5pt;margin-top:352.6pt;width:99.8pt;height:25.2pt;flip:y;z-index:251698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" strokecolor="#747070 [1614]" strokeweight="4.5pt">
                <v:stroke endarrow="block" joinstyle="miter"/>
              </v:shape>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692544" behindDoc="0" locked="0" layoutInCell="1" allowOverlap="1" wp14:anchorId="680922BD" wp14:editId="680922BE">
                <wp:simplePos x="0" y="0"/>
                <wp:positionH relativeFrom="column">
                  <wp:posOffset>2363470</wp:posOffset>
                </wp:positionH>
                <wp:positionV relativeFrom="paragraph">
                  <wp:posOffset>4464685</wp:posOffset>
                </wp:positionV>
                <wp:extent cx="782320" cy="334010"/>
                <wp:effectExtent l="12700" t="38100" r="0" b="46990"/>
                <wp:wrapNone/>
                <wp:docPr id="1275640353" name="Straight Arrow Connector 5"/>
                <wp:cNvGraphicFramePr/>
                <a:graphic xmlns:a="http://schemas.openxmlformats.org/drawingml/2006/main">
                  <a:graphicData uri="http://schemas.microsoft.com/office/word/2010/wordprocessingShape">
                    <wps:wsp>
                      <wps:cNvCnPr/>
                      <wps:spPr>
                        <a:xfrm flipV="1">
                          <a:off x="0" y="0"/>
                          <a:ext cx="782502" cy="334010"/>
                        </a:xfrm>
                        <a:prstGeom prst="straightConnector1">
                          <a:avLst/>
                        </a:prstGeom>
                        <a:ln w="5715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66D8569" id="Straight Arrow Connector 5" o:spid="_x0000_s1026" type="#_x0000_t32" style="position:absolute;margin-left:186.1pt;margin-top:351.55pt;width:61.6pt;height:26.3pt;flip:y;z-index:251692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" strokecolor="#00b050" strokeweight="4.5pt">
                <v:stroke endarrow="block" joinstyle="miter"/>
              </v:shape>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689472" behindDoc="0" locked="0" layoutInCell="1" allowOverlap="1" wp14:anchorId="680922BF" wp14:editId="680922C0">
                <wp:simplePos x="0" y="0"/>
                <wp:positionH relativeFrom="column">
                  <wp:posOffset>850265</wp:posOffset>
                </wp:positionH>
                <wp:positionV relativeFrom="paragraph">
                  <wp:posOffset>4475480</wp:posOffset>
                </wp:positionV>
                <wp:extent cx="0" cy="321945"/>
                <wp:effectExtent l="114300" t="25400" r="63500" b="8255"/>
                <wp:wrapNone/>
                <wp:docPr id="333056239" name="Straight Arrow Connector 5"/>
                <wp:cNvGraphicFramePr/>
                <a:graphic xmlns:a="http://schemas.openxmlformats.org/drawingml/2006/main">
                  <a:graphicData uri="http://schemas.microsoft.com/office/word/2010/wordprocessingShape">
                    <wps:wsp>
                      <wps:cNvCnPr/>
                      <wps:spPr>
                        <a:xfrm flipV="1">
                          <a:off x="0" y="0"/>
                          <a:ext cx="0" cy="321945"/>
                        </a:xfrm>
                        <a:prstGeom prst="straightConnector1">
                          <a:avLst/>
                        </a:prstGeom>
                        <a:ln w="57150">
                          <a:solidFill>
                            <a:schemeClr val="accent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F2B59D4" id="Straight Arrow Connector 5" o:spid="_x0000_s1026" type="#_x0000_t32" style="position:absolute;margin-left:66.95pt;margin-top:352.4pt;width:0;height:25.35pt;flip:y;z-index:251689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" strokecolor="#5b9bd5 [3204]" strokeweight="4.5pt">
                <v:stroke endarrow="block" joinstyle="miter"/>
              </v:shape>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704832" behindDoc="0" locked="0" layoutInCell="1" allowOverlap="1" wp14:anchorId="680922C1" wp14:editId="680922C2">
                <wp:simplePos x="0" y="0"/>
                <wp:positionH relativeFrom="column">
                  <wp:posOffset>8415020</wp:posOffset>
                </wp:positionH>
                <wp:positionV relativeFrom="paragraph">
                  <wp:posOffset>4456430</wp:posOffset>
                </wp:positionV>
                <wp:extent cx="0" cy="321945"/>
                <wp:effectExtent l="114300" t="25400" r="63500" b="8255"/>
                <wp:wrapNone/>
                <wp:docPr id="386507187" name="Straight Arrow Connector 5"/>
                <wp:cNvGraphicFramePr/>
                <a:graphic xmlns:a="http://schemas.openxmlformats.org/drawingml/2006/main">
                  <a:graphicData uri="http://schemas.microsoft.com/office/word/2010/wordprocessingShape">
                    <wps:wsp>
                      <wps:cNvCnPr/>
                      <wps:spPr>
                        <a:xfrm flipV="1">
                          <a:off x="0" y="0"/>
                          <a:ext cx="0" cy="321945"/>
                        </a:xfrm>
                        <a:prstGeom prst="straightConnector1">
                          <a:avLst/>
                        </a:prstGeom>
                        <a:ln w="571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32BE196" id="Straight Arrow Connector 5" o:spid="_x0000_s1026" type="#_x0000_t32" style="position:absolute;margin-left:662.6pt;margin-top:350.9pt;width:0;height:25.35pt;flip:y;z-index:2517048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" strokecolor="red" strokeweight="4.5pt">
                <v:stroke endarrow="block" joinstyle="miter"/>
              </v:shape>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489792" behindDoc="0" locked="0" layoutInCell="1" allowOverlap="1" wp14:anchorId="680922C3" wp14:editId="680922C4">
                <wp:simplePos x="0" y="0"/>
                <wp:positionH relativeFrom="column">
                  <wp:posOffset>7800975</wp:posOffset>
                </wp:positionH>
                <wp:positionV relativeFrom="paragraph">
                  <wp:posOffset>4786630</wp:posOffset>
                </wp:positionV>
                <wp:extent cx="1247140" cy="508635"/>
                <wp:effectExtent l="0" t="0" r="10160" b="12065"/>
                <wp:wrapNone/>
                <wp:docPr id="5496250" name="Rectangle 2"/>
                <wp:cNvGraphicFramePr/>
                <a:graphic xmlns:a="http://schemas.openxmlformats.org/drawingml/2006/main">
                  <a:graphicData uri="http://schemas.microsoft.com/office/word/2010/wordprocessingShape">
                    <wps:wsp>
                      <wps:cNvSpPr/>
                      <wps:spPr>
                        <a:xfrm>
                          <a:off x="0" y="0"/>
                          <a:ext cx="1247140" cy="508635"/>
                        </a:xfrm>
                        <a:prstGeom prst="rect">
                          <a:avLst/>
                        </a:prstGeom>
                        <a:solidFill>
                          <a:srgbClr val="F7A0D2"/>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0923D8" w14:textId="77777777" w:rsidR="00CF33D9" w:rsidRDefault="00E3332A">
                            <w:pPr>
                              <w:tabs>
                                <w:tab w:val="left" w:pos="1120"/>
                                <w:tab w:val="left" w:pos="1680"/>
                                <w:tab w:val="left" w:pos="2117"/>
                                <w:tab w:val="left" w:pos="2800"/>
                                <w:tab w:val="left" w:pos="3360"/>
                                <w:tab w:val="left" w:pos="3920"/>
                                <w:tab w:val="left" w:pos="4480"/>
                                <w:tab w:val="left" w:pos="5040"/>
                                <w:tab w:val="left" w:pos="5600"/>
                                <w:tab w:val="left" w:pos="6160"/>
                                <w:tab w:val="left" w:pos="6720"/>
                              </w:tabs>
                              <w:autoSpaceDE w:val="0"/>
                              <w:autoSpaceDN w:val="0"/>
                              <w:adjustRightInd w:val="0"/>
                              <w:ind w:right="-10"/>
                              <w:jc w:val="center"/>
                              <w:rPr>
                                <w:rFonts w:ascii="Calibri" w:eastAsia="SimSun" w:hAnsi="Calibri" w:cs="Calibri"/>
                                <w:color w:val="000000"/>
                                <w:sz w:val="13"/>
                                <w:szCs w:val="13"/>
                              </w:rPr>
                            </w:pPr>
                            <w:r>
                              <w:rPr>
                                <w:rFonts w:ascii="Calibri" w:eastAsia="SimSun" w:hAnsi="Calibri" w:cs="Calibri"/>
                                <w:color w:val="000000"/>
                                <w:sz w:val="13"/>
                                <w:szCs w:val="13"/>
                              </w:rPr>
                              <w:t xml:space="preserve">Insufficient and limited availability of scientific knowledge concerning the impact of human activities </w:t>
                            </w:r>
                          </w:p>
                          <w:p w14:paraId="680923D9" w14:textId="77777777" w:rsidR="00CF33D9" w:rsidRDefault="00CF33D9">
                            <w:pPr>
                              <w:ind w:right="-177"/>
                              <w:jc w:val="center"/>
                              <w:rPr>
                                <w:rFonts w:ascii="Calibri" w:hAnsi="Calibri" w:cs="Calibri"/>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C3" id="_x0000_s1077" style="position:absolute;margin-left:614.25pt;margin-top:376.9pt;width:98.2pt;height:40.05pt;z-index:251489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" fillcolor="#f7a0d2" strokecolor="black [3213]" strokeweight="1pt">
                <v:textbox>
                  <w:txbxContent>
                    <w:p w14:paraId="680923D8" w14:textId="77777777" w:rsidR="00CF33D9" w:rsidRDefault="00E3332A">
                      <w:pPr>
                        <w:tabs>
                          <w:tab w:val="left" w:pos="1120"/>
                          <w:tab w:val="left" w:pos="1680"/>
                          <w:tab w:val="left" w:pos="2117"/>
                          <w:tab w:val="left" w:pos="2800"/>
                          <w:tab w:val="left" w:pos="3360"/>
                          <w:tab w:val="left" w:pos="3920"/>
                          <w:tab w:val="left" w:pos="4480"/>
                          <w:tab w:val="left" w:pos="5040"/>
                          <w:tab w:val="left" w:pos="5600"/>
                          <w:tab w:val="left" w:pos="6160"/>
                          <w:tab w:val="left" w:pos="6720"/>
                        </w:tabs>
                        <w:autoSpaceDE w:val="0"/>
                        <w:autoSpaceDN w:val="0"/>
                        <w:adjustRightInd w:val="0"/>
                        <w:ind w:right="-10"/>
                        <w:jc w:val="center"/>
                        <w:rPr>
                          <w:rFonts w:ascii="Calibri" w:eastAsia="SimSun" w:hAnsi="Calibri" w:cs="Calibri"/>
                          <w:color w:val="000000"/>
                          <w:sz w:val="13"/>
                          <w:szCs w:val="13"/>
                        </w:rPr>
                      </w:pPr>
                      <w:r>
                        <w:rPr>
                          <w:rFonts w:ascii="Calibri" w:eastAsia="SimSun" w:hAnsi="Calibri" w:cs="Calibri"/>
                          <w:color w:val="000000"/>
                          <w:sz w:val="13"/>
                          <w:szCs w:val="13"/>
                        </w:rPr>
                        <w:t xml:space="preserve">Insufficient and limited availability of scientific knowledge concerning the impact of human activities </w:t>
                      </w:r>
                    </w:p>
                    <w:p w14:paraId="680923D9" w14:textId="77777777" w:rsidR="00CF33D9" w:rsidRDefault="00CF33D9">
                      <w:pPr>
                        <w:ind w:right="-177"/>
                        <w:jc w:val="center"/>
                        <w:rPr>
                          <w:rFonts w:ascii="Calibri" w:hAnsi="Calibri" w:cs="Calibri"/>
                        </w:rPr>
                      </w:pPr>
                    </w:p>
                  </w:txbxContent>
                </v:textbox>
              </v: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492864" behindDoc="0" locked="0" layoutInCell="1" allowOverlap="1" wp14:anchorId="680922C5" wp14:editId="680922C6">
                <wp:simplePos x="0" y="0"/>
                <wp:positionH relativeFrom="column">
                  <wp:posOffset>6012180</wp:posOffset>
                </wp:positionH>
                <wp:positionV relativeFrom="paragraph">
                  <wp:posOffset>4794885</wp:posOffset>
                </wp:positionV>
                <wp:extent cx="1694180" cy="508635"/>
                <wp:effectExtent l="0" t="0" r="7620" b="12065"/>
                <wp:wrapNone/>
                <wp:docPr id="266648428" name="Rectangle 2"/>
                <wp:cNvGraphicFramePr/>
                <a:graphic xmlns:a="http://schemas.openxmlformats.org/drawingml/2006/main">
                  <a:graphicData uri="http://schemas.microsoft.com/office/word/2010/wordprocessingShape">
                    <wps:wsp>
                      <wps:cNvSpPr/>
                      <wps:spPr>
                        <a:xfrm>
                          <a:off x="0" y="0"/>
                          <a:ext cx="1694180" cy="508635"/>
                        </a:xfrm>
                        <a:prstGeom prst="rect">
                          <a:avLst/>
                        </a:prstGeom>
                        <a:solidFill>
                          <a:srgbClr val="F7A0D2"/>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0923DA" w14:textId="77777777" w:rsidR="00CF33D9" w:rsidRDefault="00E3332A">
                            <w:pPr>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libri" w:hAnsi="Calibri" w:cs="Calibri"/>
                                <w:color w:val="000000"/>
                                <w:sz w:val="16"/>
                                <w:szCs w:val="16"/>
                              </w:rPr>
                            </w:pPr>
                            <w:r>
                              <w:rPr>
                                <w:rFonts w:ascii="Calibri" w:eastAsia="SimSun" w:hAnsi="Calibri" w:cs="Calibri"/>
                                <w:color w:val="000000"/>
                                <w:sz w:val="16"/>
                                <w:szCs w:val="16"/>
                              </w:rPr>
                              <w:t>Limited participation of the private sector in efforts to reduce stress on the coastal and marine ecosystem</w:t>
                            </w:r>
                            <w:r>
                              <w:rPr>
                                <w:rFonts w:ascii="Calibri" w:hAnsi="Calibri" w:cs="Calibri"/>
                                <w:color w:val="000000"/>
                                <w:sz w:val="16"/>
                                <w:szCs w:val="16"/>
                              </w:rPr>
                              <w:t>s</w:t>
                            </w:r>
                          </w:p>
                          <w:p w14:paraId="680923DB" w14:textId="77777777" w:rsidR="00CF33D9" w:rsidRDefault="00CF33D9">
                            <w:pPr>
                              <w:jc w:val="center"/>
                              <w:rPr>
                                <w:rFonts w:ascii="Calibri" w:hAnsi="Calibri" w:cs="Calibri"/>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C5" id="_x0000_s1078" style="position:absolute;margin-left:473.4pt;margin-top:377.55pt;width:133.4pt;height:40.05pt;z-index:251492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" fillcolor="#f7a0d2" strokecolor="black [3213]" strokeweight="1pt">
                <v:textbox>
                  <w:txbxContent>
                    <w:p w14:paraId="680923DA" w14:textId="77777777" w:rsidR="00CF33D9" w:rsidRDefault="00E3332A">
                      <w:pPr>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libri" w:hAnsi="Calibri" w:cs="Calibri"/>
                          <w:color w:val="000000"/>
                          <w:sz w:val="16"/>
                          <w:szCs w:val="16"/>
                        </w:rPr>
                      </w:pPr>
                      <w:r>
                        <w:rPr>
                          <w:rFonts w:ascii="Calibri" w:eastAsia="SimSun" w:hAnsi="Calibri" w:cs="Calibri"/>
                          <w:color w:val="000000"/>
                          <w:sz w:val="16"/>
                          <w:szCs w:val="16"/>
                        </w:rPr>
                        <w:t>Limited participation of the private sector in efforts to reduce stress on the coastal and marine ecosystem</w:t>
                      </w:r>
                      <w:r>
                        <w:rPr>
                          <w:rFonts w:ascii="Calibri" w:hAnsi="Calibri" w:cs="Calibri"/>
                          <w:color w:val="000000"/>
                          <w:sz w:val="16"/>
                          <w:szCs w:val="16"/>
                        </w:rPr>
                        <w:t>s</w:t>
                      </w:r>
                    </w:p>
                    <w:p w14:paraId="680923DB" w14:textId="77777777" w:rsidR="00CF33D9" w:rsidRDefault="00CF33D9">
                      <w:pPr>
                        <w:jc w:val="center"/>
                        <w:rPr>
                          <w:rFonts w:ascii="Calibri" w:hAnsi="Calibri" w:cs="Calibri"/>
                        </w:rPr>
                      </w:pPr>
                    </w:p>
                  </w:txbxContent>
                </v:textbox>
              </v: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495936" behindDoc="0" locked="0" layoutInCell="1" allowOverlap="1" wp14:anchorId="680922C7" wp14:editId="680922C8">
                <wp:simplePos x="0" y="0"/>
                <wp:positionH relativeFrom="column">
                  <wp:posOffset>4592320</wp:posOffset>
                </wp:positionH>
                <wp:positionV relativeFrom="paragraph">
                  <wp:posOffset>4791710</wp:posOffset>
                </wp:positionV>
                <wp:extent cx="1353820" cy="508635"/>
                <wp:effectExtent l="0" t="0" r="17780" b="12065"/>
                <wp:wrapNone/>
                <wp:docPr id="1388496298" name="Rectangle 2"/>
                <wp:cNvGraphicFramePr/>
                <a:graphic xmlns:a="http://schemas.openxmlformats.org/drawingml/2006/main">
                  <a:graphicData uri="http://schemas.microsoft.com/office/word/2010/wordprocessingShape">
                    <wps:wsp>
                      <wps:cNvSpPr/>
                      <wps:spPr>
                        <a:xfrm>
                          <a:off x="0" y="0"/>
                          <a:ext cx="1353820" cy="508635"/>
                        </a:xfrm>
                        <a:prstGeom prst="rect">
                          <a:avLst/>
                        </a:prstGeom>
                        <a:solidFill>
                          <a:srgbClr val="F7A0D2"/>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0923DC" w14:textId="77777777" w:rsidR="00CF33D9" w:rsidRDefault="00E3332A">
                            <w:pPr>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19"/>
                              <w:jc w:val="center"/>
                              <w:rPr>
                                <w:rFonts w:ascii="Calibri" w:eastAsia="SimSun" w:hAnsi="Calibri" w:cs="Calibri"/>
                                <w:color w:val="000000"/>
                                <w:sz w:val="16"/>
                                <w:szCs w:val="16"/>
                              </w:rPr>
                            </w:pPr>
                            <w:r>
                              <w:rPr>
                                <w:rFonts w:ascii="Calibri" w:eastAsia="SimSun" w:hAnsi="Calibri" w:cs="Calibri"/>
                                <w:color w:val="000000"/>
                                <w:sz w:val="16"/>
                                <w:szCs w:val="16"/>
                              </w:rPr>
                              <w:t>Lack of sustainable finance to support ecosystem protection and the transition to SBE</w:t>
                            </w:r>
                          </w:p>
                          <w:p w14:paraId="680923DD" w14:textId="77777777" w:rsidR="00CF33D9" w:rsidRDefault="00CF33D9">
                            <w:pPr>
                              <w:ind w:right="-119"/>
                              <w:jc w:val="center"/>
                              <w:rPr>
                                <w:rFonts w:ascii="Calibri" w:hAnsi="Calibri" w:cs="Calibri"/>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C7" id="_x0000_s1079" style="position:absolute;margin-left:361.6pt;margin-top:377.3pt;width:106.6pt;height:40.05pt;z-index:251495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" fillcolor="#f7a0d2" strokecolor="black [3213]" strokeweight="1pt">
                <v:textbox>
                  <w:txbxContent>
                    <w:p w14:paraId="680923DC" w14:textId="77777777" w:rsidR="00CF33D9" w:rsidRDefault="00E3332A">
                      <w:pPr>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19"/>
                        <w:jc w:val="center"/>
                        <w:rPr>
                          <w:rFonts w:ascii="Calibri" w:eastAsia="SimSun" w:hAnsi="Calibri" w:cs="Calibri"/>
                          <w:color w:val="000000"/>
                          <w:sz w:val="16"/>
                          <w:szCs w:val="16"/>
                        </w:rPr>
                      </w:pPr>
                      <w:r>
                        <w:rPr>
                          <w:rFonts w:ascii="Calibri" w:eastAsia="SimSun" w:hAnsi="Calibri" w:cs="Calibri"/>
                          <w:color w:val="000000"/>
                          <w:sz w:val="16"/>
                          <w:szCs w:val="16"/>
                        </w:rPr>
                        <w:t>Lack of sustainable finance to support ecosystem protection and the transition to SBE</w:t>
                      </w:r>
                    </w:p>
                    <w:p w14:paraId="680923DD" w14:textId="77777777" w:rsidR="00CF33D9" w:rsidRDefault="00CF33D9">
                      <w:pPr>
                        <w:ind w:right="-119"/>
                        <w:jc w:val="center"/>
                        <w:rPr>
                          <w:rFonts w:ascii="Calibri" w:hAnsi="Calibri" w:cs="Calibri"/>
                        </w:rPr>
                      </w:pPr>
                    </w:p>
                  </w:txbxContent>
                </v:textbox>
              </v: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499008" behindDoc="0" locked="0" layoutInCell="1" allowOverlap="1" wp14:anchorId="680922C9" wp14:editId="680922CA">
                <wp:simplePos x="0" y="0"/>
                <wp:positionH relativeFrom="column">
                  <wp:posOffset>3250565</wp:posOffset>
                </wp:positionH>
                <wp:positionV relativeFrom="paragraph">
                  <wp:posOffset>4795520</wp:posOffset>
                </wp:positionV>
                <wp:extent cx="1274445" cy="509270"/>
                <wp:effectExtent l="0" t="0" r="8255" b="11430"/>
                <wp:wrapNone/>
                <wp:docPr id="359863035" name="Rectangle 2"/>
                <wp:cNvGraphicFramePr/>
                <a:graphic xmlns:a="http://schemas.openxmlformats.org/drawingml/2006/main">
                  <a:graphicData uri="http://schemas.microsoft.com/office/word/2010/wordprocessingShape">
                    <wps:wsp>
                      <wps:cNvSpPr/>
                      <wps:spPr>
                        <a:xfrm>
                          <a:off x="0" y="0"/>
                          <a:ext cx="1274445" cy="509270"/>
                        </a:xfrm>
                        <a:prstGeom prst="rect">
                          <a:avLst/>
                        </a:prstGeom>
                        <a:solidFill>
                          <a:srgbClr val="F7A0D2"/>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0923DE" w14:textId="77777777" w:rsidR="00CF33D9" w:rsidRDefault="00E3332A">
                            <w:pPr>
                              <w:tabs>
                                <w:tab w:val="left" w:pos="851"/>
                                <w:tab w:val="left" w:pos="1120"/>
                                <w:tab w:val="left" w:pos="1282"/>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ight="-151"/>
                              <w:jc w:val="center"/>
                              <w:rPr>
                                <w:rFonts w:ascii="Calibri" w:eastAsia="SimSun" w:hAnsi="Calibri" w:cs="Calibri"/>
                                <w:color w:val="000000"/>
                                <w:sz w:val="16"/>
                                <w:szCs w:val="16"/>
                              </w:rPr>
                            </w:pPr>
                            <w:r>
                              <w:rPr>
                                <w:rFonts w:ascii="Calibri" w:eastAsia="SimSun" w:hAnsi="Calibri" w:cs="Calibri"/>
                                <w:color w:val="000000"/>
                                <w:sz w:val="16"/>
                                <w:szCs w:val="16"/>
                              </w:rPr>
                              <w:t xml:space="preserve">Limited capacities to monitor the health of marine and coastal habitats </w:t>
                            </w:r>
                          </w:p>
                          <w:p w14:paraId="680923DF" w14:textId="77777777" w:rsidR="00CF33D9" w:rsidRDefault="00CF33D9">
                            <w:pPr>
                              <w:tabs>
                                <w:tab w:val="left" w:pos="1282"/>
                              </w:tabs>
                              <w:ind w:left="-142" w:right="-151"/>
                              <w:jc w:val="center"/>
                              <w:rPr>
                                <w:rFonts w:ascii="Calibri" w:hAnsi="Calibri" w:cs="Calibri"/>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C9" id="_x0000_s1080" style="position:absolute;margin-left:255.95pt;margin-top:377.6pt;width:100.35pt;height:40.1pt;z-index:251499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" fillcolor="#f7a0d2" strokecolor="black [3213]" strokeweight="1pt">
                <v:textbox>
                  <w:txbxContent>
                    <w:p w14:paraId="680923DE" w14:textId="77777777" w:rsidR="00CF33D9" w:rsidRDefault="00E3332A">
                      <w:pPr>
                        <w:tabs>
                          <w:tab w:val="left" w:pos="851"/>
                          <w:tab w:val="left" w:pos="1120"/>
                          <w:tab w:val="left" w:pos="1282"/>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ight="-151"/>
                        <w:jc w:val="center"/>
                        <w:rPr>
                          <w:rFonts w:ascii="Calibri" w:eastAsia="SimSun" w:hAnsi="Calibri" w:cs="Calibri"/>
                          <w:color w:val="000000"/>
                          <w:sz w:val="16"/>
                          <w:szCs w:val="16"/>
                        </w:rPr>
                      </w:pPr>
                      <w:r>
                        <w:rPr>
                          <w:rFonts w:ascii="Calibri" w:eastAsia="SimSun" w:hAnsi="Calibri" w:cs="Calibri"/>
                          <w:color w:val="000000"/>
                          <w:sz w:val="16"/>
                          <w:szCs w:val="16"/>
                        </w:rPr>
                        <w:t xml:space="preserve">Limited capacities to monitor the health of marine and coastal habitats </w:t>
                      </w:r>
                    </w:p>
                    <w:p w14:paraId="680923DF" w14:textId="77777777" w:rsidR="00CF33D9" w:rsidRDefault="00CF33D9">
                      <w:pPr>
                        <w:tabs>
                          <w:tab w:val="left" w:pos="1282"/>
                        </w:tabs>
                        <w:ind w:left="-142" w:right="-151"/>
                        <w:jc w:val="center"/>
                        <w:rPr>
                          <w:rFonts w:ascii="Calibri" w:hAnsi="Calibri" w:cs="Calibri"/>
                        </w:rPr>
                      </w:pPr>
                    </w:p>
                  </w:txbxContent>
                </v:textbox>
              </v: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508224" behindDoc="0" locked="0" layoutInCell="1" allowOverlap="1" wp14:anchorId="680922CB" wp14:editId="680922CC">
                <wp:simplePos x="0" y="0"/>
                <wp:positionH relativeFrom="column">
                  <wp:posOffset>-753745</wp:posOffset>
                </wp:positionH>
                <wp:positionV relativeFrom="paragraph">
                  <wp:posOffset>4801870</wp:posOffset>
                </wp:positionV>
                <wp:extent cx="654050" cy="508635"/>
                <wp:effectExtent l="0" t="0" r="19050" b="12065"/>
                <wp:wrapNone/>
                <wp:docPr id="1689854802" name="Rectangle 2"/>
                <wp:cNvGraphicFramePr/>
                <a:graphic xmlns:a="http://schemas.openxmlformats.org/drawingml/2006/main">
                  <a:graphicData uri="http://schemas.microsoft.com/office/word/2010/wordprocessingShape">
                    <wps:wsp>
                      <wps:cNvSpPr/>
                      <wps:spPr>
                        <a:xfrm>
                          <a:off x="0" y="0"/>
                          <a:ext cx="654050" cy="508635"/>
                        </a:xfrm>
                        <a:prstGeom prst="rect">
                          <a:avLst/>
                        </a:prstGeom>
                        <a:solidFill>
                          <a:schemeClr val="bg2"/>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0923E0" w14:textId="77777777" w:rsidR="00CF33D9" w:rsidRDefault="00E3332A">
                            <w:pPr>
                              <w:ind w:left="-105" w:right="-136"/>
                              <w:jc w:val="center"/>
                              <w:rPr>
                                <w:rFonts w:ascii="Calibri" w:hAnsi="Calibri" w:cs="Calibri"/>
                                <w:b/>
                                <w:bCs/>
                                <w:color w:val="000000" w:themeColor="text1"/>
                                <w:sz w:val="18"/>
                                <w:szCs w:val="18"/>
                              </w:rPr>
                            </w:pPr>
                            <w:r>
                              <w:rPr>
                                <w:rFonts w:ascii="Calibri" w:hAnsi="Calibri" w:cs="Calibri"/>
                                <w:b/>
                                <w:bCs/>
                                <w:color w:val="000000" w:themeColor="text1"/>
                                <w:sz w:val="18"/>
                                <w:szCs w:val="18"/>
                              </w:rPr>
                              <w:t>BARRIERS</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CB" id="_x0000_s1081" style="position:absolute;margin-left:-59.35pt;margin-top:378.1pt;width:51.5pt;height:40.05pt;z-index:251508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" fillcolor="#e7e6e6 [3214]" strokecolor="black [3213]" strokeweight="1pt">
                <v:textbox>
                  <w:txbxContent>
                    <w:p w14:paraId="680923E0" w14:textId="77777777" w:rsidR="00CF33D9" w:rsidRDefault="00E3332A">
                      <w:pPr>
                        <w:ind w:left="-105" w:right="-136"/>
                        <w:jc w:val="center"/>
                        <w:rPr>
                          <w:rFonts w:ascii="Calibri" w:hAnsi="Calibri" w:cs="Calibri"/>
                          <w:b/>
                          <w:bCs/>
                          <w:color w:val="000000" w:themeColor="text1"/>
                          <w:sz w:val="18"/>
                          <w:szCs w:val="18"/>
                        </w:rPr>
                      </w:pPr>
                      <w:r>
                        <w:rPr>
                          <w:rFonts w:ascii="Calibri" w:hAnsi="Calibri" w:cs="Calibri"/>
                          <w:b/>
                          <w:bCs/>
                          <w:color w:val="000000" w:themeColor="text1"/>
                          <w:sz w:val="18"/>
                          <w:szCs w:val="18"/>
                        </w:rPr>
                        <w:t>BARRIERS</w:t>
                      </w:r>
                    </w:p>
                  </w:txbxContent>
                </v:textbox>
              </v: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505152" behindDoc="0" locked="0" layoutInCell="1" allowOverlap="1" wp14:anchorId="680922CD" wp14:editId="680922CE">
                <wp:simplePos x="0" y="0"/>
                <wp:positionH relativeFrom="column">
                  <wp:posOffset>17780</wp:posOffset>
                </wp:positionH>
                <wp:positionV relativeFrom="paragraph">
                  <wp:posOffset>4798695</wp:posOffset>
                </wp:positionV>
                <wp:extent cx="1447165" cy="508635"/>
                <wp:effectExtent l="0" t="0" r="13335" b="12065"/>
                <wp:wrapNone/>
                <wp:docPr id="88004374" name="Rectangle 2"/>
                <wp:cNvGraphicFramePr/>
                <a:graphic xmlns:a="http://schemas.openxmlformats.org/drawingml/2006/main">
                  <a:graphicData uri="http://schemas.microsoft.com/office/word/2010/wordprocessingShape">
                    <wps:wsp>
                      <wps:cNvSpPr/>
                      <wps:spPr>
                        <a:xfrm>
                          <a:off x="0" y="0"/>
                          <a:ext cx="1447165" cy="508635"/>
                        </a:xfrm>
                        <a:prstGeom prst="rect">
                          <a:avLst/>
                        </a:prstGeom>
                        <a:solidFill>
                          <a:srgbClr val="F7A0D2"/>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0923E1" w14:textId="77777777" w:rsidR="00CF33D9" w:rsidRDefault="00E3332A">
                            <w:pPr>
                              <w:tabs>
                                <w:tab w:val="left" w:pos="851"/>
                                <w:tab w:val="left" w:pos="1120"/>
                                <w:tab w:val="left" w:pos="1680"/>
                                <w:tab w:val="left" w:pos="2240"/>
                                <w:tab w:val="left" w:pos="2333"/>
                                <w:tab w:val="left" w:pos="2800"/>
                                <w:tab w:val="left" w:pos="3360"/>
                                <w:tab w:val="left" w:pos="4480"/>
                                <w:tab w:val="left" w:pos="5040"/>
                                <w:tab w:val="left" w:pos="5600"/>
                                <w:tab w:val="left" w:pos="6160"/>
                                <w:tab w:val="left" w:pos="6720"/>
                              </w:tabs>
                              <w:autoSpaceDE w:val="0"/>
                              <w:autoSpaceDN w:val="0"/>
                              <w:adjustRightInd w:val="0"/>
                              <w:ind w:left="-142" w:right="-170"/>
                              <w:jc w:val="center"/>
                              <w:rPr>
                                <w:rFonts w:ascii="Calibri" w:hAnsi="Calibri" w:cs="Calibri"/>
                                <w:color w:val="000000"/>
                                <w:sz w:val="16"/>
                                <w:szCs w:val="16"/>
                              </w:rPr>
                            </w:pPr>
                            <w:r>
                              <w:rPr>
                                <w:rFonts w:ascii="Calibri" w:eastAsia="SimSun" w:hAnsi="Calibri" w:cs="Calibri"/>
                                <w:color w:val="000000"/>
                                <w:sz w:val="16"/>
                                <w:szCs w:val="16"/>
                              </w:rPr>
                              <w:t>Lack of sufficient capacity to implement the existing legislation effectively</w:t>
                            </w:r>
                          </w:p>
                          <w:p w14:paraId="680923E2" w14:textId="77777777" w:rsidR="00CF33D9" w:rsidRDefault="00CF33D9">
                            <w:pPr>
                              <w:ind w:left="-142"/>
                              <w:jc w:val="center"/>
                              <w:rPr>
                                <w:rFonts w:ascii="Calibri" w:hAnsi="Calibri" w:cs="Calibri"/>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CD" id="_x0000_s1082" style="position:absolute;margin-left:1.4pt;margin-top:377.85pt;width:113.95pt;height:40.05pt;z-index:251505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" fillcolor="#f7a0d2" strokecolor="black [3213]" strokeweight="1pt">
                <v:textbox>
                  <w:txbxContent>
                    <w:p w14:paraId="680923E1" w14:textId="77777777" w:rsidR="00CF33D9" w:rsidRDefault="00E3332A">
                      <w:pPr>
                        <w:tabs>
                          <w:tab w:val="left" w:pos="851"/>
                          <w:tab w:val="left" w:pos="1120"/>
                          <w:tab w:val="left" w:pos="1680"/>
                          <w:tab w:val="left" w:pos="2240"/>
                          <w:tab w:val="left" w:pos="2333"/>
                          <w:tab w:val="left" w:pos="2800"/>
                          <w:tab w:val="left" w:pos="3360"/>
                          <w:tab w:val="left" w:pos="4480"/>
                          <w:tab w:val="left" w:pos="5040"/>
                          <w:tab w:val="left" w:pos="5600"/>
                          <w:tab w:val="left" w:pos="6160"/>
                          <w:tab w:val="left" w:pos="6720"/>
                        </w:tabs>
                        <w:autoSpaceDE w:val="0"/>
                        <w:autoSpaceDN w:val="0"/>
                        <w:adjustRightInd w:val="0"/>
                        <w:ind w:left="-142" w:right="-170"/>
                        <w:jc w:val="center"/>
                        <w:rPr>
                          <w:rFonts w:ascii="Calibri" w:hAnsi="Calibri" w:cs="Calibri"/>
                          <w:color w:val="000000"/>
                          <w:sz w:val="16"/>
                          <w:szCs w:val="16"/>
                        </w:rPr>
                      </w:pPr>
                      <w:r>
                        <w:rPr>
                          <w:rFonts w:ascii="Calibri" w:eastAsia="SimSun" w:hAnsi="Calibri" w:cs="Calibri"/>
                          <w:color w:val="000000"/>
                          <w:sz w:val="16"/>
                          <w:szCs w:val="16"/>
                        </w:rPr>
                        <w:t>Lack of sufficient capacity to implement the existing legislation effectively</w:t>
                      </w:r>
                    </w:p>
                    <w:p w14:paraId="680923E2" w14:textId="77777777" w:rsidR="00CF33D9" w:rsidRDefault="00CF33D9">
                      <w:pPr>
                        <w:ind w:left="-142"/>
                        <w:jc w:val="center"/>
                        <w:rPr>
                          <w:rFonts w:ascii="Calibri" w:hAnsi="Calibri" w:cs="Calibri"/>
                        </w:rPr>
                      </w:pPr>
                    </w:p>
                  </w:txbxContent>
                </v:textbox>
              </v: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502080" behindDoc="0" locked="0" layoutInCell="1" allowOverlap="1" wp14:anchorId="680922CF" wp14:editId="680922D0">
                <wp:simplePos x="0" y="0"/>
                <wp:positionH relativeFrom="column">
                  <wp:posOffset>1536065</wp:posOffset>
                </wp:positionH>
                <wp:positionV relativeFrom="paragraph">
                  <wp:posOffset>4801870</wp:posOffset>
                </wp:positionV>
                <wp:extent cx="1648460" cy="509270"/>
                <wp:effectExtent l="0" t="0" r="15240" b="11430"/>
                <wp:wrapNone/>
                <wp:docPr id="1525742018" name="Rectangle 2"/>
                <wp:cNvGraphicFramePr/>
                <a:graphic xmlns:a="http://schemas.openxmlformats.org/drawingml/2006/main">
                  <a:graphicData uri="http://schemas.microsoft.com/office/word/2010/wordprocessingShape">
                    <wps:wsp>
                      <wps:cNvSpPr/>
                      <wps:spPr>
                        <a:xfrm>
                          <a:off x="0" y="0"/>
                          <a:ext cx="1648460" cy="509270"/>
                        </a:xfrm>
                        <a:prstGeom prst="rect">
                          <a:avLst/>
                        </a:prstGeom>
                        <a:solidFill>
                          <a:srgbClr val="F7A0D2"/>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0923E3" w14:textId="77777777" w:rsidR="00CF33D9" w:rsidRDefault="00E3332A">
                            <w:pPr>
                              <w:tabs>
                                <w:tab w:val="left" w:pos="851"/>
                                <w:tab w:val="left" w:pos="1120"/>
                                <w:tab w:val="left" w:pos="1680"/>
                                <w:tab w:val="left" w:pos="2280"/>
                                <w:tab w:val="left" w:pos="2800"/>
                                <w:tab w:val="left" w:pos="3360"/>
                                <w:tab w:val="left" w:pos="3920"/>
                                <w:tab w:val="left" w:pos="4480"/>
                                <w:tab w:val="left" w:pos="5040"/>
                                <w:tab w:val="left" w:pos="5600"/>
                                <w:tab w:val="left" w:pos="6160"/>
                                <w:tab w:val="left" w:pos="6720"/>
                              </w:tabs>
                              <w:autoSpaceDE w:val="0"/>
                              <w:autoSpaceDN w:val="0"/>
                              <w:adjustRightInd w:val="0"/>
                              <w:ind w:left="-142" w:right="-130"/>
                              <w:jc w:val="center"/>
                              <w:rPr>
                                <w:rFonts w:ascii="Calibri" w:eastAsia="SimSun" w:hAnsi="Calibri" w:cs="Calibri"/>
                                <w:color w:val="000000"/>
                                <w:sz w:val="16"/>
                                <w:szCs w:val="16"/>
                              </w:rPr>
                            </w:pPr>
                            <w:r>
                              <w:rPr>
                                <w:rFonts w:ascii="Calibri" w:eastAsia="SimSun" w:hAnsi="Calibri" w:cs="Calibri"/>
                                <w:color w:val="000000"/>
                                <w:sz w:val="16"/>
                                <w:szCs w:val="16"/>
                              </w:rPr>
                              <w:t>Lack of sufficient capacity to fulfil the demanding and multi-faceted task of fisheries management effectively</w:t>
                            </w:r>
                          </w:p>
                          <w:p w14:paraId="680923E4" w14:textId="77777777" w:rsidR="00CF33D9" w:rsidRDefault="00CF33D9">
                            <w:pPr>
                              <w:tabs>
                                <w:tab w:val="left" w:pos="2280"/>
                              </w:tabs>
                              <w:ind w:left="-142" w:right="-130"/>
                              <w:jc w:val="center"/>
                              <w:rPr>
                                <w:rFonts w:ascii="Calibri" w:hAnsi="Calibri" w:cs="Calibri"/>
                                <w:sz w:val="16"/>
                                <w:szCs w:val="16"/>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CF" id="_x0000_s1083" style="position:absolute;margin-left:120.95pt;margin-top:378.1pt;width:129.8pt;height:40.1pt;z-index:251502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" fillcolor="#f7a0d2" strokecolor="black [3213]" strokeweight="1pt">
                <v:textbox>
                  <w:txbxContent>
                    <w:p w14:paraId="680923E3" w14:textId="77777777" w:rsidR="00CF33D9" w:rsidRDefault="00E3332A">
                      <w:pPr>
                        <w:tabs>
                          <w:tab w:val="left" w:pos="851"/>
                          <w:tab w:val="left" w:pos="1120"/>
                          <w:tab w:val="left" w:pos="1680"/>
                          <w:tab w:val="left" w:pos="2280"/>
                          <w:tab w:val="left" w:pos="2800"/>
                          <w:tab w:val="left" w:pos="3360"/>
                          <w:tab w:val="left" w:pos="3920"/>
                          <w:tab w:val="left" w:pos="4480"/>
                          <w:tab w:val="left" w:pos="5040"/>
                          <w:tab w:val="left" w:pos="5600"/>
                          <w:tab w:val="left" w:pos="6160"/>
                          <w:tab w:val="left" w:pos="6720"/>
                        </w:tabs>
                        <w:autoSpaceDE w:val="0"/>
                        <w:autoSpaceDN w:val="0"/>
                        <w:adjustRightInd w:val="0"/>
                        <w:ind w:left="-142" w:right="-130"/>
                        <w:jc w:val="center"/>
                        <w:rPr>
                          <w:rFonts w:ascii="Calibri" w:eastAsia="SimSun" w:hAnsi="Calibri" w:cs="Calibri"/>
                          <w:color w:val="000000"/>
                          <w:sz w:val="16"/>
                          <w:szCs w:val="16"/>
                        </w:rPr>
                      </w:pPr>
                      <w:r>
                        <w:rPr>
                          <w:rFonts w:ascii="Calibri" w:eastAsia="SimSun" w:hAnsi="Calibri" w:cs="Calibri"/>
                          <w:color w:val="000000"/>
                          <w:sz w:val="16"/>
                          <w:szCs w:val="16"/>
                        </w:rPr>
                        <w:t>Lack of sufficient capacity to fulfil the demanding and multi-faceted task of fisheries management effectively</w:t>
                      </w:r>
                    </w:p>
                    <w:p w14:paraId="680923E4" w14:textId="77777777" w:rsidR="00CF33D9" w:rsidRDefault="00CF33D9">
                      <w:pPr>
                        <w:tabs>
                          <w:tab w:val="left" w:pos="2280"/>
                        </w:tabs>
                        <w:ind w:left="-142" w:right="-130"/>
                        <w:jc w:val="center"/>
                        <w:rPr>
                          <w:rFonts w:ascii="Calibri" w:hAnsi="Calibri" w:cs="Calibri"/>
                          <w:sz w:val="16"/>
                          <w:szCs w:val="16"/>
                        </w:rPr>
                      </w:pPr>
                    </w:p>
                  </w:txbxContent>
                </v:textbox>
              </v: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520512" behindDoc="0" locked="0" layoutInCell="1" allowOverlap="1" wp14:anchorId="680922D1" wp14:editId="680922D2">
                <wp:simplePos x="0" y="0"/>
                <wp:positionH relativeFrom="column">
                  <wp:posOffset>3015615</wp:posOffset>
                </wp:positionH>
                <wp:positionV relativeFrom="paragraph">
                  <wp:posOffset>5598160</wp:posOffset>
                </wp:positionV>
                <wp:extent cx="2827655" cy="460375"/>
                <wp:effectExtent l="0" t="0" r="17145" b="9525"/>
                <wp:wrapNone/>
                <wp:docPr id="1412325526" name="Rectangle 2"/>
                <wp:cNvGraphicFramePr/>
                <a:graphic xmlns:a="http://schemas.openxmlformats.org/drawingml/2006/main">
                  <a:graphicData uri="http://schemas.microsoft.com/office/word/2010/wordprocessingShape">
                    <wps:wsp>
                      <wps:cNvSpPr/>
                      <wps:spPr>
                        <a:xfrm>
                          <a:off x="0" y="0"/>
                          <a:ext cx="2827655" cy="46037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0923E5" w14:textId="77777777" w:rsidR="00CF33D9" w:rsidRDefault="00E3332A">
                            <w:pPr>
                              <w:ind w:right="-39"/>
                              <w:jc w:val="center"/>
                              <w:rPr>
                                <w:rFonts w:ascii="Calibri" w:hAnsi="Calibri" w:cs="Calibri"/>
                                <w:color w:val="000000" w:themeColor="text1"/>
                                <w:sz w:val="16"/>
                                <w:szCs w:val="16"/>
                              </w:rPr>
                            </w:pPr>
                            <w:r>
                              <w:rPr>
                                <w:rFonts w:ascii="Calibri" w:hAnsi="Calibri" w:cs="Calibri"/>
                                <w:b/>
                                <w:bCs/>
                                <w:color w:val="000000" w:themeColor="text1"/>
                                <w:sz w:val="16"/>
                                <w:szCs w:val="16"/>
                              </w:rPr>
                              <w:t>ROOT CAUSES</w:t>
                            </w:r>
                            <w:r>
                              <w:rPr>
                                <w:rFonts w:ascii="Calibri" w:hAnsi="Calibri" w:cs="Calibri"/>
                                <w:color w:val="000000" w:themeColor="text1"/>
                                <w:sz w:val="16"/>
                                <w:szCs w:val="16"/>
                              </w:rPr>
                              <w:t>: weak governance, limited regional collaboration, limited data, improperly planned coastal development, inefficient legal system</w:t>
                            </w:r>
                          </w:p>
                          <w:p w14:paraId="680923E6" w14:textId="77777777" w:rsidR="00CF33D9" w:rsidRDefault="00CF33D9">
                            <w:pPr>
                              <w:jc w:val="center"/>
                              <w:rPr>
                                <w:rFonts w:ascii="Calibri" w:hAnsi="Calibri" w:cs="Calibri"/>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D1" id="_x0000_s1084" style="position:absolute;margin-left:237.45pt;margin-top:440.8pt;width:222.65pt;height:36.25pt;z-index:251520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" filled="f" strokecolor="black [3213]" strokeweight="1pt">
                <v:textbox>
                  <w:txbxContent>
                    <w:p w14:paraId="680923E5" w14:textId="77777777" w:rsidR="00CF33D9" w:rsidRDefault="00E3332A">
                      <w:pPr>
                        <w:ind w:right="-39"/>
                        <w:jc w:val="center"/>
                        <w:rPr>
                          <w:rFonts w:ascii="Calibri" w:hAnsi="Calibri" w:cs="Calibri"/>
                          <w:color w:val="000000" w:themeColor="text1"/>
                          <w:sz w:val="16"/>
                          <w:szCs w:val="16"/>
                        </w:rPr>
                      </w:pPr>
                      <w:r>
                        <w:rPr>
                          <w:rFonts w:ascii="Calibri" w:hAnsi="Calibri" w:cs="Calibri"/>
                          <w:b/>
                          <w:bCs/>
                          <w:color w:val="000000" w:themeColor="text1"/>
                          <w:sz w:val="16"/>
                          <w:szCs w:val="16"/>
                        </w:rPr>
                        <w:t>ROOT CAUSES</w:t>
                      </w:r>
                      <w:r>
                        <w:rPr>
                          <w:rFonts w:ascii="Calibri" w:hAnsi="Calibri" w:cs="Calibri"/>
                          <w:color w:val="000000" w:themeColor="text1"/>
                          <w:sz w:val="16"/>
                          <w:szCs w:val="16"/>
                        </w:rPr>
                        <w:t>: weak governance, limited regional collaboration, limited data, improperly planned coastal development, inefficient legal system</w:t>
                      </w:r>
                    </w:p>
                    <w:p w14:paraId="680923E6" w14:textId="77777777" w:rsidR="00CF33D9" w:rsidRDefault="00CF33D9">
                      <w:pPr>
                        <w:jc w:val="center"/>
                        <w:rPr>
                          <w:rFonts w:ascii="Calibri" w:hAnsi="Calibri" w:cs="Calibri"/>
                        </w:rPr>
                      </w:pPr>
                    </w:p>
                  </w:txbxContent>
                </v:textbox>
              </v:rect>
            </w:pict>
          </mc:Fallback>
        </mc:AlternateContent>
      </w:r>
      <w:r>
        <w:rPr>
          <w:rFonts w:ascii="Calibri" w:eastAsia="Calibri" w:hAnsi="Calibri" w:cs="Calibri"/>
          <w:noProof/>
          <w:color w:val="000000"/>
          <w:sz w:val="20"/>
          <w:szCs w:val="20"/>
        </w:rPr>
        <mc:AlternateContent>
          <mc:Choice Requires="wps">
            <w:drawing>
              <wp:anchor distT="0" distB="0" distL="114300" distR="114300" simplePos="0" relativeHeight="251526656" behindDoc="0" locked="0" layoutInCell="1" allowOverlap="1" wp14:anchorId="680922D3" wp14:editId="680922D4">
                <wp:simplePos x="0" y="0"/>
                <wp:positionH relativeFrom="column">
                  <wp:posOffset>6346190</wp:posOffset>
                </wp:positionH>
                <wp:positionV relativeFrom="paragraph">
                  <wp:posOffset>5598160</wp:posOffset>
                </wp:positionV>
                <wp:extent cx="2752090" cy="460375"/>
                <wp:effectExtent l="0" t="0" r="16510" b="9525"/>
                <wp:wrapNone/>
                <wp:docPr id="932188575" name="Rectangle 2"/>
                <wp:cNvGraphicFramePr/>
                <a:graphic xmlns:a="http://schemas.openxmlformats.org/drawingml/2006/main">
                  <a:graphicData uri="http://schemas.microsoft.com/office/word/2010/wordprocessingShape">
                    <wps:wsp>
                      <wps:cNvSpPr/>
                      <wps:spPr>
                        <a:xfrm>
                          <a:off x="0" y="0"/>
                          <a:ext cx="2752090" cy="46037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0923E7" w14:textId="77777777" w:rsidR="00CF33D9" w:rsidRDefault="00E3332A">
                            <w:pPr>
                              <w:ind w:right="-39"/>
                              <w:jc w:val="center"/>
                              <w:rPr>
                                <w:rFonts w:ascii="Calibri" w:hAnsi="Calibri" w:cs="Calibri"/>
                                <w:color w:val="000000" w:themeColor="text1"/>
                                <w:sz w:val="16"/>
                                <w:szCs w:val="16"/>
                              </w:rPr>
                            </w:pPr>
                            <w:r>
                              <w:rPr>
                                <w:rFonts w:ascii="Calibri" w:hAnsi="Calibri" w:cs="Calibri"/>
                                <w:b/>
                                <w:bCs/>
                                <w:color w:val="000000" w:themeColor="text1"/>
                                <w:sz w:val="16"/>
                                <w:szCs w:val="16"/>
                              </w:rPr>
                              <w:t>PROBLEMS</w:t>
                            </w:r>
                            <w:r>
                              <w:rPr>
                                <w:rFonts w:ascii="Calibri" w:hAnsi="Calibri" w:cs="Calibri"/>
                                <w:color w:val="000000" w:themeColor="text1"/>
                                <w:sz w:val="16"/>
                                <w:szCs w:val="16"/>
                              </w:rPr>
                              <w:t>: Unsustainable exploitation of fisheries, habitat degradation and biodiversity loss, marine pollution, climate change</w:t>
                            </w:r>
                          </w:p>
                          <w:p w14:paraId="680923E8" w14:textId="77777777" w:rsidR="00CF33D9" w:rsidRDefault="00CF33D9">
                            <w:pPr>
                              <w:jc w:val="center"/>
                              <w:rPr>
                                <w:rFonts w:ascii="Calibri" w:hAnsi="Calibri" w:cs="Calibri"/>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D3" id="_x0000_s1085" style="position:absolute;margin-left:499.7pt;margin-top:440.8pt;width:216.7pt;height:36.25pt;z-index:251526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" filled="f" strokecolor="black [3213]" strokeweight="1pt">
                <v:textbox>
                  <w:txbxContent>
                    <w:p w14:paraId="680923E7" w14:textId="77777777" w:rsidR="00CF33D9" w:rsidRDefault="00E3332A">
                      <w:pPr>
                        <w:ind w:right="-39"/>
                        <w:jc w:val="center"/>
                        <w:rPr>
                          <w:rFonts w:ascii="Calibri" w:hAnsi="Calibri" w:cs="Calibri"/>
                          <w:color w:val="000000" w:themeColor="text1"/>
                          <w:sz w:val="16"/>
                          <w:szCs w:val="16"/>
                        </w:rPr>
                      </w:pPr>
                      <w:r>
                        <w:rPr>
                          <w:rFonts w:ascii="Calibri" w:hAnsi="Calibri" w:cs="Calibri"/>
                          <w:b/>
                          <w:bCs/>
                          <w:color w:val="000000" w:themeColor="text1"/>
                          <w:sz w:val="16"/>
                          <w:szCs w:val="16"/>
                        </w:rPr>
                        <w:t>PROBLEMS</w:t>
                      </w:r>
                      <w:r>
                        <w:rPr>
                          <w:rFonts w:ascii="Calibri" w:hAnsi="Calibri" w:cs="Calibri"/>
                          <w:color w:val="000000" w:themeColor="text1"/>
                          <w:sz w:val="16"/>
                          <w:szCs w:val="16"/>
                        </w:rPr>
                        <w:t>: Unsustainable exploitation of fisheries, habitat degradation and biodiversity loss, marine pollution, climate change</w:t>
                      </w:r>
                    </w:p>
                    <w:p w14:paraId="680923E8" w14:textId="77777777" w:rsidR="00CF33D9" w:rsidRDefault="00CF33D9">
                      <w:pPr>
                        <w:jc w:val="center"/>
                        <w:rPr>
                          <w:rFonts w:ascii="Calibri" w:hAnsi="Calibri" w:cs="Calibri"/>
                        </w:rPr>
                      </w:pPr>
                    </w:p>
                  </w:txbxContent>
                </v:textbox>
              </v:rect>
            </w:pict>
          </mc:Fallback>
        </mc:AlternateContent>
      </w:r>
      <w:r>
        <w:rPr>
          <w:rFonts w:ascii="Calibri" w:eastAsia="Calibri" w:hAnsi="Calibri" w:cs="Calibri"/>
          <w:color w:val="000000"/>
          <w:sz w:val="20"/>
          <w:szCs w:val="20"/>
        </w:rPr>
        <w:br w:type="page"/>
      </w:r>
    </w:p>
    <w:p w14:paraId="6808F7C7" w14:textId="77777777" w:rsidR="00CF33D9" w:rsidRDefault="00CF33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Calibri" w:eastAsia="Calibri" w:hAnsi="Calibri" w:cs="Calibri"/>
          <w:color w:val="000000"/>
          <w:sz w:val="20"/>
          <w:szCs w:val="20"/>
        </w:rPr>
        <w:sectPr w:rsidR="00CF33D9">
          <w:pgSz w:w="15840" w:h="12240" w:orient="landscape"/>
          <w:pgMar w:top="1701" w:right="531" w:bottom="1440" w:left="1440" w:header="720" w:footer="432" w:gutter="0"/>
          <w:cols w:space="720"/>
          <w:titlePg/>
        </w:sectPr>
      </w:pPr>
    </w:p>
    <w:p w14:paraId="6808F7C8" w14:textId="77777777" w:rsidR="00CF33D9" w:rsidRDefault="00E333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libri" w:eastAsia="Calibri" w:hAnsi="Calibri" w:cs="Calibri"/>
          <w:sz w:val="20"/>
          <w:szCs w:val="20"/>
        </w:rPr>
      </w:pPr>
      <w:r>
        <w:rPr>
          <w:rFonts w:ascii="Calibri" w:eastAsia="Calibri" w:hAnsi="Calibri" w:cs="Calibri"/>
          <w:sz w:val="20"/>
          <w:szCs w:val="20"/>
        </w:rPr>
        <w:lastRenderedPageBreak/>
        <w:t>Overall objective of the BCLME IV project is:</w:t>
      </w:r>
      <w:r>
        <w:rPr>
          <w:rFonts w:ascii="Calibri" w:hAnsi="Calibri" w:cs="Calibri"/>
          <w:sz w:val="20"/>
          <w:szCs w:val="20"/>
        </w:rPr>
        <w:t xml:space="preserve"> </w:t>
      </w:r>
      <w:r>
        <w:rPr>
          <w:rFonts w:ascii="Calibri" w:eastAsia="Calibri" w:hAnsi="Calibri" w:cs="Calibri"/>
          <w:b/>
          <w:bCs/>
          <w:sz w:val="20"/>
          <w:szCs w:val="20"/>
        </w:rPr>
        <w:t>Mainstreaming the development of climate-resilient sustainable blue and/or ocean economies in the implementation of the Strategic Action Programme of the Benguela Current Large Marine Ecosystem.</w:t>
      </w:r>
    </w:p>
    <w:p w14:paraId="6808F7C9" w14:textId="77777777" w:rsidR="00CF33D9" w:rsidRDefault="00CF33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libri" w:eastAsia="Calibri" w:hAnsi="Calibri" w:cs="Calibri"/>
          <w:sz w:val="20"/>
          <w:szCs w:val="20"/>
        </w:rPr>
      </w:pPr>
    </w:p>
    <w:p w14:paraId="6808F7CA" w14:textId="77777777" w:rsidR="00CF33D9" w:rsidRDefault="00E333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libri" w:eastAsia="Calibri" w:hAnsi="Calibri" w:cs="Calibri"/>
          <w:sz w:val="20"/>
          <w:szCs w:val="20"/>
        </w:rPr>
      </w:pPr>
      <w:r>
        <w:rPr>
          <w:rFonts w:ascii="Calibri" w:eastAsia="Calibri" w:hAnsi="Calibri" w:cs="Calibri"/>
          <w:sz w:val="20"/>
          <w:szCs w:val="20"/>
        </w:rPr>
        <w:t>The project will be implemented through following components:</w:t>
      </w:r>
    </w:p>
    <w:p w14:paraId="6808F7CB" w14:textId="77777777" w:rsidR="00CF33D9" w:rsidRDefault="00CF33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libri" w:eastAsia="Calibri" w:hAnsi="Calibri" w:cs="Calibri"/>
          <w:sz w:val="20"/>
          <w:szCs w:val="20"/>
        </w:rPr>
      </w:pPr>
    </w:p>
    <w:p w14:paraId="6808F7CC" w14:textId="77777777" w:rsidR="00CF33D9" w:rsidRDefault="00E3332A">
      <w:pPr>
        <w:numPr>
          <w:ilvl w:val="0"/>
          <w:numId w:val="15"/>
        </w:numPr>
        <w:tabs>
          <w:tab w:val="left" w:pos="1120"/>
          <w:tab w:val="left" w:pos="1680"/>
          <w:tab w:val="left" w:pos="2127"/>
          <w:tab w:val="left" w:pos="2240"/>
          <w:tab w:val="left" w:pos="2800"/>
          <w:tab w:val="left" w:pos="3360"/>
          <w:tab w:val="left" w:pos="3920"/>
          <w:tab w:val="left" w:pos="4480"/>
          <w:tab w:val="left" w:pos="5040"/>
          <w:tab w:val="left" w:pos="5600"/>
          <w:tab w:val="left" w:pos="6160"/>
          <w:tab w:val="left" w:pos="6720"/>
        </w:tabs>
        <w:ind w:left="426" w:hanging="426"/>
        <w:jc w:val="both"/>
        <w:rPr>
          <w:rFonts w:ascii="Calibri" w:eastAsia="Calibri" w:hAnsi="Calibri" w:cs="Calibri"/>
          <w:color w:val="000000"/>
          <w:sz w:val="20"/>
          <w:szCs w:val="20"/>
        </w:rPr>
      </w:pPr>
      <w:r>
        <w:rPr>
          <w:rFonts w:ascii="Calibri" w:eastAsia="Calibri" w:hAnsi="Calibri" w:cs="Calibri"/>
          <w:b/>
          <w:color w:val="000000"/>
          <w:sz w:val="20"/>
          <w:szCs w:val="20"/>
        </w:rPr>
        <w:t>Component 1</w:t>
      </w:r>
      <w:r>
        <w:rPr>
          <w:rFonts w:ascii="Calibri" w:eastAsia="Calibri" w:hAnsi="Calibri" w:cs="Calibri"/>
          <w:color w:val="000000"/>
          <w:sz w:val="20"/>
          <w:szCs w:val="20"/>
        </w:rPr>
        <w:t>: Improve marine and coastal management efforts in the BCLME through effective spatial planning and the establishment and expansion of MPAs and SMAs taking into consideration climate change and ensuring climate-resilient socio-economic development</w:t>
      </w:r>
    </w:p>
    <w:p w14:paraId="6808F7CD" w14:textId="77777777" w:rsidR="00CF33D9" w:rsidRDefault="00E3332A">
      <w:pPr>
        <w:numPr>
          <w:ilvl w:val="0"/>
          <w:numId w:val="15"/>
        </w:numPr>
        <w:tabs>
          <w:tab w:val="left" w:pos="2127"/>
        </w:tabs>
        <w:ind w:left="426" w:hanging="426"/>
        <w:jc w:val="both"/>
        <w:rPr>
          <w:rFonts w:ascii="Calibri" w:eastAsia="Calibri" w:hAnsi="Calibri" w:cs="Calibri"/>
          <w:color w:val="000000"/>
          <w:sz w:val="20"/>
          <w:szCs w:val="20"/>
        </w:rPr>
      </w:pPr>
      <w:r>
        <w:rPr>
          <w:rFonts w:ascii="Calibri" w:eastAsia="Calibri" w:hAnsi="Calibri" w:cs="Calibri"/>
          <w:b/>
          <w:color w:val="000000"/>
          <w:sz w:val="20"/>
          <w:szCs w:val="20"/>
        </w:rPr>
        <w:t>Component 2</w:t>
      </w:r>
      <w:r>
        <w:rPr>
          <w:rFonts w:ascii="Calibri" w:eastAsia="Calibri" w:hAnsi="Calibri" w:cs="Calibri"/>
          <w:color w:val="000000"/>
          <w:sz w:val="20"/>
          <w:szCs w:val="20"/>
        </w:rPr>
        <w:t xml:space="preserve">: Enhance sustainable and climate resilient marine living resources and their value chains in the BCLME </w:t>
      </w:r>
    </w:p>
    <w:p w14:paraId="6808F7CE" w14:textId="77777777" w:rsidR="00CF33D9" w:rsidRDefault="00E3332A">
      <w:pPr>
        <w:numPr>
          <w:ilvl w:val="0"/>
          <w:numId w:val="15"/>
        </w:numPr>
        <w:tabs>
          <w:tab w:val="left" w:pos="1120"/>
          <w:tab w:val="left" w:pos="1680"/>
          <w:tab w:val="left" w:pos="2127"/>
          <w:tab w:val="left" w:pos="2240"/>
          <w:tab w:val="left" w:pos="2800"/>
          <w:tab w:val="left" w:pos="3360"/>
          <w:tab w:val="left" w:pos="3920"/>
          <w:tab w:val="left" w:pos="4480"/>
          <w:tab w:val="left" w:pos="5040"/>
          <w:tab w:val="left" w:pos="5600"/>
          <w:tab w:val="left" w:pos="6160"/>
          <w:tab w:val="left" w:pos="6720"/>
        </w:tabs>
        <w:ind w:left="426" w:hanging="426"/>
        <w:jc w:val="both"/>
        <w:rPr>
          <w:rFonts w:ascii="Calibri" w:eastAsia="Calibri" w:hAnsi="Calibri" w:cs="Calibri"/>
          <w:color w:val="000000"/>
          <w:sz w:val="20"/>
          <w:szCs w:val="20"/>
        </w:rPr>
      </w:pPr>
      <w:r>
        <w:rPr>
          <w:rFonts w:ascii="Calibri" w:eastAsia="Calibri" w:hAnsi="Calibri" w:cs="Calibri"/>
          <w:b/>
          <w:color w:val="000000"/>
          <w:sz w:val="20"/>
          <w:szCs w:val="20"/>
        </w:rPr>
        <w:t>Component 3</w:t>
      </w:r>
      <w:r>
        <w:rPr>
          <w:rFonts w:ascii="Calibri" w:eastAsia="Calibri" w:hAnsi="Calibri" w:cs="Calibri"/>
          <w:color w:val="000000"/>
          <w:sz w:val="20"/>
          <w:szCs w:val="20"/>
        </w:rPr>
        <w:t>: Improve coastal and marine pollution management in the BCLME</w:t>
      </w:r>
    </w:p>
    <w:p w14:paraId="6808F7CF" w14:textId="77777777" w:rsidR="00CF33D9" w:rsidRDefault="00E3332A">
      <w:pPr>
        <w:numPr>
          <w:ilvl w:val="0"/>
          <w:numId w:val="15"/>
        </w:numPr>
        <w:tabs>
          <w:tab w:val="left" w:pos="2127"/>
        </w:tabs>
        <w:ind w:left="426" w:hanging="426"/>
        <w:jc w:val="both"/>
        <w:rPr>
          <w:rFonts w:ascii="Calibri" w:eastAsia="Calibri" w:hAnsi="Calibri" w:cs="Calibri"/>
          <w:b/>
          <w:color w:val="000000"/>
          <w:sz w:val="20"/>
          <w:szCs w:val="20"/>
        </w:rPr>
      </w:pPr>
      <w:r>
        <w:rPr>
          <w:rFonts w:ascii="Calibri" w:eastAsia="Calibri" w:hAnsi="Calibri" w:cs="Calibri"/>
          <w:b/>
          <w:color w:val="000000"/>
          <w:sz w:val="20"/>
          <w:szCs w:val="20"/>
        </w:rPr>
        <w:t>Component 4</w:t>
      </w:r>
      <w:r>
        <w:rPr>
          <w:rFonts w:ascii="Calibri" w:eastAsia="Calibri" w:hAnsi="Calibri" w:cs="Calibri"/>
          <w:color w:val="000000"/>
          <w:sz w:val="20"/>
          <w:szCs w:val="20"/>
        </w:rPr>
        <w:t>: Promote regional and national frameworks for innovative sustainable blue/ocean economy finance to foster positive ecosystem, social and economic impacts</w:t>
      </w:r>
      <w:r>
        <w:rPr>
          <w:rFonts w:ascii="Calibri" w:eastAsia="Calibri" w:hAnsi="Calibri" w:cs="Calibri"/>
          <w:b/>
          <w:color w:val="000000"/>
          <w:sz w:val="20"/>
          <w:szCs w:val="20"/>
        </w:rPr>
        <w:t xml:space="preserve"> </w:t>
      </w:r>
    </w:p>
    <w:p w14:paraId="6808F7D0" w14:textId="77777777" w:rsidR="00CF33D9" w:rsidRDefault="00E3332A">
      <w:pPr>
        <w:numPr>
          <w:ilvl w:val="0"/>
          <w:numId w:val="15"/>
        </w:numPr>
        <w:tabs>
          <w:tab w:val="left" w:pos="2127"/>
        </w:tabs>
        <w:ind w:left="426" w:hanging="426"/>
        <w:jc w:val="both"/>
        <w:rPr>
          <w:rFonts w:ascii="Calibri" w:eastAsia="Calibri" w:hAnsi="Calibri" w:cs="Calibri"/>
          <w:color w:val="000000"/>
          <w:sz w:val="20"/>
          <w:szCs w:val="20"/>
        </w:rPr>
      </w:pPr>
      <w:r>
        <w:rPr>
          <w:rFonts w:ascii="Calibri" w:eastAsia="Calibri" w:hAnsi="Calibri" w:cs="Calibri"/>
          <w:b/>
          <w:color w:val="000000"/>
          <w:sz w:val="20"/>
          <w:szCs w:val="20"/>
        </w:rPr>
        <w:t>Component 5</w:t>
      </w:r>
      <w:r>
        <w:rPr>
          <w:rFonts w:ascii="Calibri" w:eastAsia="Calibri" w:hAnsi="Calibri" w:cs="Calibri"/>
          <w:color w:val="000000"/>
          <w:sz w:val="20"/>
          <w:szCs w:val="20"/>
        </w:rPr>
        <w:t xml:space="preserve">: Knowledge management, awareness raising and upscaling for Sustainable Blue/Ocean Economy </w:t>
      </w:r>
    </w:p>
    <w:p w14:paraId="6808F7D1" w14:textId="77777777" w:rsidR="00CF33D9" w:rsidRDefault="00CF33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libri" w:eastAsia="Calibri" w:hAnsi="Calibri" w:cs="Calibri"/>
          <w:color w:val="000000"/>
          <w:sz w:val="20"/>
          <w:szCs w:val="20"/>
        </w:rPr>
      </w:pPr>
    </w:p>
    <w:p w14:paraId="6808F7D2" w14:textId="77777777" w:rsidR="00CF33D9" w:rsidRDefault="00E333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libri" w:eastAsia="Calibri" w:hAnsi="Calibri" w:cs="Calibri"/>
          <w:color w:val="000000"/>
          <w:sz w:val="20"/>
          <w:szCs w:val="20"/>
        </w:rPr>
      </w:pPr>
      <w:r>
        <w:rPr>
          <w:rFonts w:ascii="Calibri" w:eastAsia="Calibri" w:hAnsi="Calibri" w:cs="Calibri"/>
          <w:color w:val="000000"/>
          <w:sz w:val="20"/>
          <w:szCs w:val="20"/>
        </w:rPr>
        <w:t>By strengthening policy and regulatory frameworks, planning and capacities for the management of selected MPAs and coastal ecosystems and expanding MPAs, developing sustainable community-based tourism around selected MPAs and coastal ecosystems, developing community-based climate-resilient ecosystem restoration interventions and management schemes, and supporting implementation of Marine Spatial Planning (MSP) (outputs of Component 1), the project intends to improve marine and coastal management efforts in the BCLME region, in particular in Namibia, thus, also contributing to improving ocean protection and ecosystem health in the region.</w:t>
      </w:r>
    </w:p>
    <w:p w14:paraId="6808F7D3" w14:textId="77777777" w:rsidR="00CF33D9" w:rsidRDefault="00CF33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libri" w:eastAsia="Calibri" w:hAnsi="Calibri" w:cs="Calibri"/>
          <w:color w:val="000000"/>
          <w:sz w:val="20"/>
          <w:szCs w:val="20"/>
        </w:rPr>
      </w:pPr>
    </w:p>
    <w:p w14:paraId="6808F7D4" w14:textId="77777777" w:rsidR="00CF33D9" w:rsidRDefault="00E333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libri" w:eastAsia="Calibri" w:hAnsi="Calibri" w:cs="Calibri"/>
          <w:color w:val="000000"/>
          <w:sz w:val="20"/>
          <w:szCs w:val="20"/>
        </w:rPr>
      </w:pPr>
      <w:r>
        <w:rPr>
          <w:rFonts w:ascii="Calibri" w:eastAsia="Calibri" w:hAnsi="Calibri" w:cs="Calibri"/>
          <w:color w:val="000000"/>
          <w:sz w:val="20"/>
          <w:szCs w:val="20"/>
        </w:rPr>
        <w:t>By enhancing capacities for transboundary stock management, identifying and developing new climate-resilient markets, developing inclusive and sustainable mariculture and fisheries value chains, (outputs of Component 2), the project intends to enhance the sustainability and climate resilience of marine living resources and their value chains in the BCLME, thus, contributing to improving ocean protection and ecosystem health in the BCLME (medium-term impact).</w:t>
      </w:r>
    </w:p>
    <w:p w14:paraId="6808F7D5" w14:textId="77777777" w:rsidR="00CF33D9" w:rsidRDefault="00CF33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libri" w:eastAsia="Calibri" w:hAnsi="Calibri" w:cs="Calibri"/>
          <w:color w:val="000000"/>
          <w:sz w:val="20"/>
          <w:szCs w:val="20"/>
        </w:rPr>
      </w:pPr>
    </w:p>
    <w:p w14:paraId="6808F7D6" w14:textId="77777777" w:rsidR="00CF33D9" w:rsidRDefault="00E333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libri" w:eastAsia="Calibri" w:hAnsi="Calibri" w:cs="Calibri"/>
          <w:color w:val="000000"/>
          <w:sz w:val="20"/>
          <w:szCs w:val="20"/>
        </w:rPr>
      </w:pPr>
      <w:r>
        <w:rPr>
          <w:rFonts w:ascii="Calibri" w:eastAsia="Calibri" w:hAnsi="Calibri" w:cs="Calibri"/>
          <w:color w:val="000000"/>
          <w:sz w:val="20"/>
          <w:szCs w:val="20"/>
        </w:rPr>
        <w:t xml:space="preserve">By developing and/or strengthening policy and regulatory frameworks that incorporate the ‘polluter pays’ principle approach, </w:t>
      </w:r>
      <w:r>
        <w:rPr>
          <w:rFonts w:ascii="Calibri" w:eastAsia="Calibri" w:hAnsi="Calibri" w:cs="Calibri"/>
          <w:sz w:val="20"/>
          <w:szCs w:val="20"/>
        </w:rPr>
        <w:t>formalising</w:t>
      </w:r>
      <w:r>
        <w:rPr>
          <w:rFonts w:ascii="Calibri" w:eastAsia="Calibri" w:hAnsi="Calibri" w:cs="Calibri"/>
          <w:color w:val="000000"/>
          <w:sz w:val="20"/>
          <w:szCs w:val="20"/>
        </w:rPr>
        <w:t xml:space="preserve"> cooperative agreements and </w:t>
      </w:r>
      <w:r>
        <w:rPr>
          <w:rFonts w:ascii="Calibri" w:eastAsia="Calibri" w:hAnsi="Calibri" w:cs="Calibri"/>
          <w:sz w:val="20"/>
          <w:szCs w:val="20"/>
        </w:rPr>
        <w:t>harmonising</w:t>
      </w:r>
      <w:r>
        <w:rPr>
          <w:rFonts w:ascii="Calibri" w:eastAsia="Calibri" w:hAnsi="Calibri" w:cs="Calibri"/>
          <w:color w:val="000000"/>
          <w:sz w:val="20"/>
          <w:szCs w:val="20"/>
        </w:rPr>
        <w:t xml:space="preserve"> regional long-term regional biodiversity, ecosystem and environmental monitoring and surveillance programmes and chemical pollution clean-up initiatives in transboundary hotspots, developing new technologies for pollution control, developing alternative livelihoods and building capacities for pollution management at the community level (outputs of Component 3), the project is expected to improve marine pollution management in the BCLME, also contributing to improving ocean protection and ecosystem health, while at the same time contributing to reducing poverty, increasing jobs and strengthening adaptive capacities in the countries.</w:t>
      </w:r>
    </w:p>
    <w:p w14:paraId="6808F7D7" w14:textId="77777777" w:rsidR="00CF33D9" w:rsidRDefault="00CF33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libri" w:eastAsia="Calibri" w:hAnsi="Calibri" w:cs="Calibri"/>
          <w:color w:val="000000"/>
          <w:sz w:val="20"/>
          <w:szCs w:val="20"/>
        </w:rPr>
      </w:pPr>
    </w:p>
    <w:p w14:paraId="6808F7D8" w14:textId="77777777" w:rsidR="00CF33D9" w:rsidRDefault="00E333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libri" w:eastAsia="Calibri" w:hAnsi="Calibri" w:cs="Calibri"/>
          <w:color w:val="000000"/>
          <w:sz w:val="20"/>
          <w:szCs w:val="20"/>
        </w:rPr>
      </w:pPr>
      <w:r>
        <w:rPr>
          <w:rFonts w:ascii="Calibri" w:eastAsia="Calibri" w:hAnsi="Calibri" w:cs="Calibri"/>
          <w:color w:val="000000"/>
          <w:sz w:val="20"/>
          <w:szCs w:val="20"/>
        </w:rPr>
        <w:t>Through strengthening policy and regulatory frameworks and institutional and private capacities, developing viable finance mechanisms to stimulate investment in sustainable blue/ocean interventions, and promoting blue carbon finance mechanisms (outputs of Component 4), the project will contribute to developing regional and national frameworks for innovative sustainable blue/ocean economy finance.</w:t>
      </w:r>
    </w:p>
    <w:p w14:paraId="6808F7D9" w14:textId="77777777" w:rsidR="00CF33D9" w:rsidRDefault="00CF33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libri" w:eastAsia="Calibri" w:hAnsi="Calibri" w:cs="Calibri"/>
          <w:color w:val="000000"/>
          <w:sz w:val="20"/>
          <w:szCs w:val="20"/>
        </w:rPr>
      </w:pPr>
    </w:p>
    <w:p w14:paraId="6808F7DA" w14:textId="77777777" w:rsidR="00CF33D9" w:rsidRDefault="00E333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libri" w:eastAsia="Calibri" w:hAnsi="Calibri" w:cs="Calibri"/>
          <w:color w:val="000000"/>
          <w:sz w:val="20"/>
          <w:szCs w:val="20"/>
        </w:rPr>
      </w:pPr>
      <w:r>
        <w:rPr>
          <w:rFonts w:ascii="Calibri" w:eastAsia="Calibri" w:hAnsi="Calibri" w:cs="Calibri"/>
          <w:color w:val="000000"/>
          <w:sz w:val="20"/>
          <w:szCs w:val="20"/>
        </w:rPr>
        <w:t xml:space="preserve">Finally, by implementing the knowledge management activities, the project will contribute to disseminating acquired knowledge and experience, both in the participating countries and to other countries </w:t>
      </w:r>
      <w:r>
        <w:rPr>
          <w:rFonts w:ascii="Calibri" w:eastAsia="Calibri" w:hAnsi="Calibri" w:cs="Calibri"/>
          <w:sz w:val="20"/>
          <w:szCs w:val="20"/>
        </w:rPr>
        <w:t>through the IW</w:t>
      </w:r>
      <w:r>
        <w:rPr>
          <w:rFonts w:ascii="Calibri" w:eastAsia="Calibri" w:hAnsi="Calibri" w:cs="Calibri"/>
          <w:color w:val="000000"/>
          <w:sz w:val="20"/>
          <w:szCs w:val="20"/>
        </w:rPr>
        <w:t>:LEARN platform, which will improve capacities to replicate lessons learned and successful examples of regional transition to SBE (Component 5).</w:t>
      </w:r>
    </w:p>
    <w:p w14:paraId="6808F7DB" w14:textId="77777777" w:rsidR="00CF33D9" w:rsidRDefault="00CF33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libri" w:eastAsia="Calibri" w:hAnsi="Calibri" w:cs="Calibri"/>
          <w:sz w:val="20"/>
          <w:szCs w:val="20"/>
        </w:rPr>
      </w:pPr>
    </w:p>
    <w:p w14:paraId="6808F7DC" w14:textId="77777777" w:rsidR="00CF33D9" w:rsidRDefault="00CF33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libri" w:eastAsia="Calibri" w:hAnsi="Calibri" w:cs="Calibri"/>
          <w:sz w:val="20"/>
          <w:szCs w:val="20"/>
        </w:rPr>
      </w:pPr>
    </w:p>
    <w:p w14:paraId="6808F7DD" w14:textId="77777777" w:rsidR="00CF33D9" w:rsidRDefault="00E3332A">
      <w:pPr>
        <w:pStyle w:val="Heading1"/>
        <w:rPr>
          <w:rFonts w:ascii="Calibri" w:hAnsi="Calibri" w:cs="Calibri"/>
          <w:sz w:val="20"/>
          <w:szCs w:val="20"/>
        </w:rPr>
      </w:pPr>
      <w:bookmarkStart w:id="7" w:name="_Toc169739147"/>
      <w:r>
        <w:rPr>
          <w:rFonts w:ascii="Calibri" w:hAnsi="Calibri" w:cs="Calibri"/>
          <w:sz w:val="20"/>
          <w:szCs w:val="20"/>
        </w:rPr>
        <w:lastRenderedPageBreak/>
        <w:t xml:space="preserve">III. </w:t>
      </w:r>
      <w:r>
        <w:rPr>
          <w:rFonts w:ascii="Calibri" w:hAnsi="Calibri" w:cs="Calibri"/>
          <w:sz w:val="20"/>
          <w:szCs w:val="20"/>
        </w:rPr>
        <w:tab/>
        <w:t>Results and Partnerships</w:t>
      </w:r>
      <w:r>
        <w:rPr>
          <w:rStyle w:val="FootnoteReference"/>
          <w:rFonts w:ascii="Calibri" w:hAnsi="Calibri" w:cs="Calibri"/>
          <w:sz w:val="20"/>
          <w:szCs w:val="20"/>
        </w:rPr>
        <w:footnoteReference w:id="4"/>
      </w:r>
      <w:bookmarkEnd w:id="7"/>
      <w:r>
        <w:rPr>
          <w:rFonts w:ascii="Calibri" w:hAnsi="Calibri" w:cs="Calibri"/>
          <w:sz w:val="20"/>
          <w:szCs w:val="20"/>
        </w:rPr>
        <w:t xml:space="preserve"> </w:t>
      </w:r>
    </w:p>
    <w:p w14:paraId="6808F7DE" w14:textId="77777777" w:rsidR="00CF33D9" w:rsidRDefault="00CF33D9">
      <w:pPr>
        <w:pStyle w:val="Heading2"/>
        <w:ind w:firstLine="720"/>
        <w:rPr>
          <w:rFonts w:ascii="Calibri" w:hAnsi="Calibri" w:cs="Calibri"/>
          <w:szCs w:val="20"/>
        </w:rPr>
      </w:pPr>
    </w:p>
    <w:p w14:paraId="6808F7DF" w14:textId="77777777" w:rsidR="00CF33D9" w:rsidRDefault="00E3332A">
      <w:pPr>
        <w:pStyle w:val="Heading2"/>
        <w:ind w:left="0"/>
        <w:rPr>
          <w:rFonts w:ascii="Calibri" w:hAnsi="Calibri" w:cs="Calibri"/>
          <w:szCs w:val="20"/>
        </w:rPr>
      </w:pPr>
      <w:bookmarkStart w:id="8" w:name="_Toc169739148"/>
      <w:r>
        <w:rPr>
          <w:rFonts w:ascii="Calibri" w:hAnsi="Calibri" w:cs="Calibri"/>
          <w:szCs w:val="20"/>
        </w:rPr>
        <w:t>A.</w:t>
      </w:r>
      <w:r>
        <w:rPr>
          <w:rFonts w:ascii="Calibri" w:hAnsi="Calibri" w:cs="Calibri"/>
          <w:szCs w:val="20"/>
        </w:rPr>
        <w:tab/>
        <w:t>Expected Results</w:t>
      </w:r>
      <w:bookmarkEnd w:id="8"/>
    </w:p>
    <w:p w14:paraId="6808F7E0" w14:textId="77777777" w:rsidR="00CF33D9" w:rsidRDefault="00CF33D9">
      <w:pPr>
        <w:jc w:val="both"/>
        <w:rPr>
          <w:rFonts w:ascii="Calibri" w:eastAsia="Calibri" w:hAnsi="Calibri" w:cs="Calibri"/>
          <w:sz w:val="20"/>
          <w:szCs w:val="20"/>
          <w:u w:val="single"/>
        </w:rPr>
      </w:pPr>
    </w:p>
    <w:p w14:paraId="6808F7E1" w14:textId="77777777" w:rsidR="00CF33D9" w:rsidRDefault="00E3332A">
      <w:pPr>
        <w:jc w:val="both"/>
        <w:rPr>
          <w:rFonts w:ascii="Calibri" w:eastAsia="Calibri" w:hAnsi="Calibri" w:cs="Calibri"/>
          <w:b/>
          <w:sz w:val="20"/>
          <w:szCs w:val="20"/>
          <w:u w:val="single"/>
        </w:rPr>
      </w:pPr>
      <w:r>
        <w:rPr>
          <w:rFonts w:ascii="Calibri" w:eastAsia="Calibri" w:hAnsi="Calibri" w:cs="Calibri"/>
          <w:b/>
          <w:sz w:val="20"/>
          <w:szCs w:val="20"/>
          <w:u w:val="single"/>
        </w:rPr>
        <w:t xml:space="preserve">Component 1: </w:t>
      </w:r>
      <w:r>
        <w:rPr>
          <w:rFonts w:ascii="Calibri" w:eastAsia="Calibri" w:hAnsi="Calibri" w:cs="Calibri"/>
          <w:b/>
          <w:color w:val="000000"/>
          <w:sz w:val="20"/>
          <w:szCs w:val="20"/>
          <w:u w:val="single"/>
        </w:rPr>
        <w:t>Improve marine and coastal management efforts in the BCLME through effective spatial planning and the establishment and expansion of MPAs and SMAs taking into consideration climate change and ensuring climate-resilient socio-economic development</w:t>
      </w:r>
    </w:p>
    <w:p w14:paraId="6808F7E2" w14:textId="77777777" w:rsidR="00CF33D9" w:rsidRDefault="00CF33D9">
      <w:pPr>
        <w:jc w:val="both"/>
        <w:rPr>
          <w:rFonts w:ascii="Calibri" w:eastAsia="Calibri" w:hAnsi="Calibri" w:cs="Calibri"/>
          <w:b/>
          <w:sz w:val="20"/>
          <w:szCs w:val="20"/>
          <w:u w:val="single"/>
        </w:rPr>
      </w:pPr>
    </w:p>
    <w:p w14:paraId="6808F7E3" w14:textId="77777777" w:rsidR="00CF33D9" w:rsidRDefault="00E3332A">
      <w:pPr>
        <w:jc w:val="both"/>
        <w:rPr>
          <w:rFonts w:ascii="Calibri" w:eastAsia="Calibri" w:hAnsi="Calibri" w:cs="Calibri"/>
          <w:color w:val="000000"/>
          <w:sz w:val="20"/>
          <w:szCs w:val="20"/>
        </w:rPr>
      </w:pPr>
      <w:r>
        <w:rPr>
          <w:rFonts w:ascii="Calibri" w:eastAsia="Calibri" w:hAnsi="Calibri" w:cs="Calibri"/>
          <w:color w:val="000000"/>
          <w:sz w:val="20"/>
          <w:szCs w:val="20"/>
        </w:rPr>
        <w:t>Component 1 is dedicated to advancing ocean and coastal governance across regional, national, and local levels, promoting collaboration, informed decision-making, and sustainable practices. Based on the existing implementation of Strategic Action Program (SAP) under BCLME III and aiming to boost the use of effective spatial management tools within the BCLME to establish and expand MPAs and SMAs within climate resilient socio-economic development, that will support gender inclusivity and empowerment of women. </w:t>
      </w:r>
    </w:p>
    <w:p w14:paraId="6808F7E4" w14:textId="77777777" w:rsidR="00CF33D9" w:rsidRDefault="00CF33D9">
      <w:pPr>
        <w:jc w:val="both"/>
        <w:rPr>
          <w:rFonts w:ascii="Calibri" w:hAnsi="Calibri" w:cs="Calibri"/>
          <w:sz w:val="20"/>
          <w:szCs w:val="20"/>
        </w:rPr>
      </w:pPr>
    </w:p>
    <w:p w14:paraId="6808F7E5" w14:textId="77777777" w:rsidR="00CF33D9" w:rsidRDefault="00E3332A">
      <w:pPr>
        <w:jc w:val="both"/>
        <w:rPr>
          <w:rFonts w:ascii="Calibri" w:eastAsia="Calibri" w:hAnsi="Calibri" w:cs="Calibri"/>
          <w:color w:val="000000"/>
          <w:sz w:val="20"/>
          <w:szCs w:val="20"/>
        </w:rPr>
      </w:pPr>
      <w:r>
        <w:rPr>
          <w:rFonts w:ascii="Calibri" w:eastAsia="Calibri" w:hAnsi="Calibri" w:cs="Calibri"/>
          <w:color w:val="000000"/>
          <w:sz w:val="20"/>
          <w:szCs w:val="20"/>
        </w:rPr>
        <w:t xml:space="preserve">Component 1 is built on the need to support a coordinated regional approach to achieving a long-term conservation, protection, restoration, improvement, and sustainable use of the BCLME to provide environmental and socio-economic benefits articulated in the Benguela Current Convention. The BCC countries have introduced Marine Spatial Planning (MSP) in response to increasing spatial claims and multiplying uses in the BCLME, aiming to better coordinate national efforts towards a sustainable marine use in the three BCC countries. </w:t>
      </w:r>
    </w:p>
    <w:p w14:paraId="6808F7E6" w14:textId="77777777" w:rsidR="00CF33D9" w:rsidRDefault="00CF33D9">
      <w:pPr>
        <w:jc w:val="both"/>
        <w:rPr>
          <w:rFonts w:ascii="Calibri" w:eastAsia="Calibri" w:hAnsi="Calibri" w:cs="Calibri"/>
          <w:color w:val="000000"/>
          <w:sz w:val="20"/>
          <w:szCs w:val="20"/>
        </w:rPr>
      </w:pPr>
    </w:p>
    <w:p w14:paraId="6808F7E7" w14:textId="77777777" w:rsidR="00CF33D9" w:rsidRDefault="00E3332A">
      <w:pPr>
        <w:jc w:val="both"/>
        <w:rPr>
          <w:rFonts w:ascii="Calibri" w:eastAsia="Calibri" w:hAnsi="Calibri" w:cs="Calibri"/>
          <w:color w:val="000000"/>
          <w:sz w:val="20"/>
          <w:szCs w:val="20"/>
        </w:rPr>
      </w:pPr>
      <w:r>
        <w:rPr>
          <w:rFonts w:ascii="Calibri" w:eastAsia="Calibri" w:hAnsi="Calibri" w:cs="Calibri"/>
          <w:color w:val="000000"/>
          <w:sz w:val="20"/>
          <w:szCs w:val="20"/>
        </w:rPr>
        <w:t xml:space="preserve">Component 1 comprises four separate but related outcomes that build up the objective of generating a system of management supported by a framework at policy, regulatory and institutional level that will strengthen the sustainable management of the BCLME.  The </w:t>
      </w:r>
      <w:r>
        <w:rPr>
          <w:rFonts w:ascii="Calibri" w:eastAsia="Calibri" w:hAnsi="Calibri" w:cs="Calibri"/>
          <w:color w:val="000000"/>
          <w:sz w:val="20"/>
          <w:szCs w:val="20"/>
          <w:u w:val="single"/>
        </w:rPr>
        <w:t>first outcome</w:t>
      </w:r>
      <w:r>
        <w:rPr>
          <w:rFonts w:ascii="Calibri" w:eastAsia="Calibri" w:hAnsi="Calibri" w:cs="Calibri"/>
          <w:color w:val="000000"/>
          <w:sz w:val="20"/>
          <w:szCs w:val="20"/>
        </w:rPr>
        <w:t xml:space="preserve"> will focus on strengthening the existing governance arrangements for the protection of critical habitats and biodiversity, particularly through the strengthening and expansion </w:t>
      </w:r>
      <w:r>
        <w:rPr>
          <w:rFonts w:ascii="Calibri" w:eastAsia="Calibri" w:hAnsi="Calibri" w:cs="Calibri"/>
          <w:sz w:val="20"/>
          <w:szCs w:val="20"/>
        </w:rPr>
        <w:t>of marine</w:t>
      </w:r>
      <w:r>
        <w:rPr>
          <w:rFonts w:ascii="Calibri" w:eastAsia="Calibri" w:hAnsi="Calibri" w:cs="Calibri"/>
          <w:color w:val="000000"/>
          <w:sz w:val="20"/>
          <w:szCs w:val="20"/>
        </w:rPr>
        <w:t xml:space="preserve"> protected areas (MPAs) in the three participating countries</w:t>
      </w:r>
      <w:r>
        <w:rPr>
          <w:rFonts w:ascii="Calibri" w:hAnsi="Calibri" w:cs="Calibri"/>
          <w:color w:val="000000"/>
          <w:sz w:val="20"/>
          <w:szCs w:val="20"/>
        </w:rPr>
        <w:t xml:space="preserve"> </w:t>
      </w:r>
      <w:r>
        <w:rPr>
          <w:rFonts w:ascii="Calibri" w:eastAsia="Calibri" w:hAnsi="Calibri" w:cs="Calibri"/>
          <w:color w:val="000000"/>
          <w:sz w:val="20"/>
          <w:szCs w:val="20"/>
        </w:rPr>
        <w:t>and through</w:t>
      </w:r>
      <w:r>
        <w:rPr>
          <w:rFonts w:ascii="Calibri" w:hAnsi="Calibri" w:cs="Calibri"/>
          <w:color w:val="000000"/>
          <w:sz w:val="20"/>
          <w:szCs w:val="20"/>
        </w:rPr>
        <w:t xml:space="preserve"> </w:t>
      </w:r>
      <w:r>
        <w:rPr>
          <w:rFonts w:ascii="Calibri" w:eastAsia="Calibri" w:hAnsi="Calibri" w:cs="Calibri"/>
          <w:color w:val="000000"/>
          <w:sz w:val="20"/>
          <w:szCs w:val="20"/>
        </w:rPr>
        <w:t xml:space="preserve">giving effect to the BCC Regional Strategy for Marine Spatial Planning. The </w:t>
      </w:r>
      <w:r>
        <w:rPr>
          <w:rFonts w:ascii="Calibri" w:eastAsia="Calibri" w:hAnsi="Calibri" w:cs="Calibri"/>
          <w:color w:val="000000"/>
          <w:sz w:val="20"/>
          <w:szCs w:val="20"/>
          <w:u w:val="single"/>
        </w:rPr>
        <w:t>second outcome</w:t>
      </w:r>
      <w:r>
        <w:rPr>
          <w:rFonts w:ascii="Calibri" w:eastAsia="Calibri" w:hAnsi="Calibri" w:cs="Calibri"/>
          <w:color w:val="000000"/>
          <w:sz w:val="20"/>
          <w:szCs w:val="20"/>
        </w:rPr>
        <w:t xml:space="preserve"> will see practical measures applied to restore critical marine and coastal habitats specifically with a view to enhancing climate resilience and improving livelihoods that rely on those habitats. The </w:t>
      </w:r>
      <w:r>
        <w:rPr>
          <w:rFonts w:ascii="Calibri" w:eastAsia="Calibri" w:hAnsi="Calibri" w:cs="Calibri"/>
          <w:color w:val="000000"/>
          <w:sz w:val="20"/>
          <w:szCs w:val="20"/>
          <w:u w:val="single"/>
        </w:rPr>
        <w:t>third outcome</w:t>
      </w:r>
      <w:r>
        <w:rPr>
          <w:rFonts w:ascii="Calibri" w:eastAsia="Calibri" w:hAnsi="Calibri" w:cs="Calibri"/>
          <w:color w:val="000000"/>
          <w:sz w:val="20"/>
          <w:szCs w:val="20"/>
        </w:rPr>
        <w:t xml:space="preserve"> will focus on improving the monitoring of biodiversity through eDNA-based methods to support decision-making in the improvement of MPAs and coastal ecosystem </w:t>
      </w:r>
      <w:r>
        <w:rPr>
          <w:rFonts w:ascii="Calibri" w:eastAsia="Calibri" w:hAnsi="Calibri" w:cs="Calibri"/>
          <w:sz w:val="20"/>
          <w:szCs w:val="20"/>
        </w:rPr>
        <w:t>management</w:t>
      </w:r>
      <w:r>
        <w:rPr>
          <w:rFonts w:ascii="Calibri" w:eastAsia="Calibri" w:hAnsi="Calibri" w:cs="Calibri"/>
          <w:color w:val="000000"/>
          <w:sz w:val="20"/>
          <w:szCs w:val="20"/>
        </w:rPr>
        <w:t xml:space="preserve">. The </w:t>
      </w:r>
      <w:r>
        <w:rPr>
          <w:rFonts w:ascii="Calibri" w:eastAsia="Calibri" w:hAnsi="Calibri" w:cs="Calibri"/>
          <w:color w:val="000000"/>
          <w:sz w:val="20"/>
          <w:szCs w:val="20"/>
          <w:u w:val="single"/>
        </w:rPr>
        <w:t>fourth and final outcome</w:t>
      </w:r>
      <w:r>
        <w:rPr>
          <w:rFonts w:ascii="Calibri" w:eastAsia="Calibri" w:hAnsi="Calibri" w:cs="Calibri"/>
          <w:color w:val="000000"/>
          <w:sz w:val="20"/>
          <w:szCs w:val="20"/>
        </w:rPr>
        <w:t xml:space="preserve"> will strengthen the existing management arrangements for the exploration and exploitation of non-living marine resources (NLMR), specifically seabed minerals and oil &amp; gas resources, through a dual focus on better environmental regulation and building technical capacity both at the government level and within the private sector. Within this component, two demonstration projects will be implemented: Namibian Islands Marine Protected Area (NIMPA), which is an EBSA, and Orange Cone, between Namibia and South Africa. Both projects have the objective to test the proposed solutions with a view to their replication in other areas of BCLME. </w:t>
      </w:r>
    </w:p>
    <w:p w14:paraId="6808F7E8" w14:textId="77777777" w:rsidR="00CF33D9" w:rsidRDefault="00CF33D9">
      <w:pPr>
        <w:jc w:val="both"/>
        <w:rPr>
          <w:rFonts w:ascii="Calibri" w:eastAsia="Calibri" w:hAnsi="Calibri" w:cs="Calibri"/>
          <w:color w:val="000000"/>
          <w:sz w:val="20"/>
          <w:szCs w:val="20"/>
        </w:rPr>
      </w:pPr>
    </w:p>
    <w:p w14:paraId="6808F7E9" w14:textId="77777777" w:rsidR="00CF33D9" w:rsidRDefault="00E3332A">
      <w:pPr>
        <w:jc w:val="both"/>
        <w:rPr>
          <w:rFonts w:ascii="Calibri" w:eastAsia="Calibri" w:hAnsi="Calibri" w:cs="Calibri"/>
          <w:color w:val="000000"/>
          <w:sz w:val="20"/>
          <w:szCs w:val="20"/>
        </w:rPr>
      </w:pPr>
      <w:r>
        <w:rPr>
          <w:rFonts w:ascii="Calibri" w:eastAsia="Calibri" w:hAnsi="Calibri" w:cs="Calibri"/>
          <w:color w:val="000000"/>
          <w:sz w:val="20"/>
          <w:szCs w:val="20"/>
        </w:rPr>
        <w:t>Each outcome has several outputs to be delivered:</w:t>
      </w:r>
    </w:p>
    <w:p w14:paraId="6808F7EA" w14:textId="77777777" w:rsidR="00CF33D9" w:rsidRDefault="00E3332A">
      <w:pPr>
        <w:spacing w:before="240" w:after="240"/>
        <w:jc w:val="both"/>
        <w:rPr>
          <w:rFonts w:ascii="Calibri" w:eastAsia="Calibri" w:hAnsi="Calibri" w:cs="Calibri"/>
          <w:bCs/>
          <w:iCs/>
          <w:color w:val="000000"/>
          <w:sz w:val="20"/>
          <w:szCs w:val="20"/>
        </w:rPr>
      </w:pPr>
      <w:r>
        <w:rPr>
          <w:rFonts w:ascii="Calibri" w:eastAsia="Calibri" w:hAnsi="Calibri" w:cs="Calibri"/>
          <w:bCs/>
          <w:iCs/>
          <w:color w:val="000000"/>
          <w:sz w:val="20"/>
          <w:szCs w:val="20"/>
        </w:rPr>
        <w:t>Outcome 1.1: Policy, regulatory and institutional framework for the sustainable management of the BCLME strengthened:</w:t>
      </w:r>
    </w:p>
    <w:p w14:paraId="6808F7EB" w14:textId="77777777" w:rsidR="00CF33D9" w:rsidRDefault="00E3332A">
      <w:pPr>
        <w:pStyle w:val="ListParagraph"/>
        <w:numPr>
          <w:ilvl w:val="0"/>
          <w:numId w:val="16"/>
        </w:numPr>
        <w:ind w:left="426" w:hanging="426"/>
        <w:contextualSpacing/>
        <w:jc w:val="both"/>
        <w:rPr>
          <w:rFonts w:ascii="Calibri" w:eastAsia="Calibri" w:hAnsi="Calibri" w:cs="Calibri"/>
          <w:bCs/>
          <w:iCs/>
          <w:color w:val="000000"/>
          <w:sz w:val="20"/>
          <w:szCs w:val="20"/>
        </w:rPr>
      </w:pPr>
      <w:r>
        <w:rPr>
          <w:rFonts w:ascii="Calibri" w:eastAsia="Calibri" w:hAnsi="Calibri" w:cs="Calibri"/>
          <w:bCs/>
          <w:color w:val="000000"/>
          <w:sz w:val="20"/>
          <w:szCs w:val="20"/>
        </w:rPr>
        <w:t>Output: 1.1.1: Legal frameworks of selected MPAs and coastal ecosystems of global importance improved to enhance their protection and conservation in a context of coexistence with other marine economic sectors</w:t>
      </w:r>
    </w:p>
    <w:p w14:paraId="6808F7EC" w14:textId="77777777" w:rsidR="00CF33D9" w:rsidRDefault="00E3332A">
      <w:pPr>
        <w:pStyle w:val="ListParagraph"/>
        <w:numPr>
          <w:ilvl w:val="0"/>
          <w:numId w:val="16"/>
        </w:numPr>
        <w:ind w:left="426" w:hanging="426"/>
        <w:contextualSpacing/>
        <w:jc w:val="both"/>
        <w:rPr>
          <w:rFonts w:ascii="Calibri" w:hAnsi="Calibri" w:cs="Calibri"/>
          <w:bCs/>
          <w:color w:val="000000"/>
          <w:sz w:val="20"/>
          <w:szCs w:val="20"/>
        </w:rPr>
      </w:pPr>
      <w:r>
        <w:rPr>
          <w:rFonts w:ascii="Calibri" w:eastAsia="Calibri" w:hAnsi="Calibri" w:cs="Calibri"/>
          <w:bCs/>
          <w:color w:val="000000"/>
          <w:sz w:val="20"/>
          <w:szCs w:val="20"/>
        </w:rPr>
        <w:t>Output 1.1.2 Enhanced management plans of selected MPAs recognising the ecological, socioeconomic, and institutional linkages and strategies to address threats that disrupt connectivity and marine ecosystem functionalities prepared with a participatory, climate and gender-sensitive approach           </w:t>
      </w:r>
    </w:p>
    <w:p w14:paraId="6808F7ED" w14:textId="77777777" w:rsidR="00CF33D9" w:rsidRDefault="00E3332A">
      <w:pPr>
        <w:pStyle w:val="ListParagraph"/>
        <w:numPr>
          <w:ilvl w:val="0"/>
          <w:numId w:val="16"/>
        </w:numPr>
        <w:ind w:left="426" w:hanging="426"/>
        <w:contextualSpacing/>
        <w:jc w:val="both"/>
        <w:rPr>
          <w:rFonts w:ascii="Calibri" w:eastAsia="Calibri" w:hAnsi="Calibri" w:cs="Calibri"/>
          <w:bCs/>
          <w:iCs/>
          <w:color w:val="000000"/>
          <w:sz w:val="20"/>
          <w:szCs w:val="20"/>
        </w:rPr>
      </w:pPr>
      <w:r>
        <w:rPr>
          <w:rFonts w:ascii="Calibri" w:eastAsia="Calibri" w:hAnsi="Calibri" w:cs="Calibri"/>
          <w:bCs/>
          <w:sz w:val="20"/>
          <w:szCs w:val="20"/>
        </w:rPr>
        <w:lastRenderedPageBreak/>
        <w:t>Output 1.1.3: Strengthened legal and institutional capacity for the implementation of ecosystem-based marine spatial planning</w:t>
      </w:r>
    </w:p>
    <w:p w14:paraId="6808F7EE" w14:textId="77777777" w:rsidR="00CF33D9" w:rsidRDefault="00E3332A">
      <w:pPr>
        <w:pStyle w:val="ListParagraph"/>
        <w:numPr>
          <w:ilvl w:val="0"/>
          <w:numId w:val="16"/>
        </w:numPr>
        <w:ind w:left="426" w:hanging="426"/>
        <w:jc w:val="both"/>
        <w:rPr>
          <w:rFonts w:ascii="Calibri" w:eastAsia="Calibri" w:hAnsi="Calibri" w:cs="Calibri"/>
          <w:bCs/>
          <w:sz w:val="20"/>
          <w:szCs w:val="20"/>
        </w:rPr>
      </w:pPr>
      <w:r>
        <w:rPr>
          <w:rFonts w:ascii="Calibri" w:eastAsia="Calibri" w:hAnsi="Calibri" w:cs="Calibri"/>
          <w:bCs/>
          <w:sz w:val="20"/>
          <w:szCs w:val="20"/>
        </w:rPr>
        <w:t>Output 1.1.4: Participatory ecosystem-based marine spatial plans prepared for areas not yet covered by MSP</w:t>
      </w:r>
    </w:p>
    <w:p w14:paraId="6808F7EF" w14:textId="77777777" w:rsidR="00CF33D9" w:rsidRDefault="00E3332A">
      <w:pPr>
        <w:spacing w:before="240" w:after="240"/>
        <w:jc w:val="both"/>
        <w:rPr>
          <w:rFonts w:ascii="Calibri" w:eastAsia="Calibri" w:hAnsi="Calibri" w:cs="Calibri"/>
          <w:b/>
          <w:i/>
          <w:color w:val="000000"/>
          <w:sz w:val="20"/>
          <w:szCs w:val="20"/>
        </w:rPr>
      </w:pPr>
      <w:r>
        <w:rPr>
          <w:rFonts w:ascii="Calibri" w:eastAsia="Calibri" w:hAnsi="Calibri" w:cs="Calibri"/>
          <w:bCs/>
          <w:iCs/>
          <w:color w:val="000000"/>
          <w:sz w:val="20"/>
          <w:szCs w:val="20"/>
        </w:rPr>
        <w:t>Outcome 1.2 Climate resilient nature-based solutions for restoration (and prevention of degradation) of MPAs and coastal ecosystems implemented through Special Management Areas/Locally Managed Marine Areas approach</w:t>
      </w:r>
      <w:r>
        <w:rPr>
          <w:rFonts w:ascii="Calibri" w:eastAsia="Calibri" w:hAnsi="Calibri" w:cs="Calibri"/>
          <w:b/>
          <w:i/>
          <w:color w:val="000000"/>
          <w:sz w:val="20"/>
          <w:szCs w:val="20"/>
        </w:rPr>
        <w:t>:</w:t>
      </w:r>
    </w:p>
    <w:p w14:paraId="6808F7F0" w14:textId="77777777" w:rsidR="00CF33D9" w:rsidRDefault="00E3332A">
      <w:pPr>
        <w:pStyle w:val="ListParagraph"/>
        <w:numPr>
          <w:ilvl w:val="0"/>
          <w:numId w:val="17"/>
        </w:numPr>
        <w:ind w:left="425" w:hanging="425"/>
        <w:contextualSpacing/>
        <w:jc w:val="both"/>
        <w:rPr>
          <w:rFonts w:ascii="Calibri" w:hAnsi="Calibri" w:cs="Calibri"/>
          <w:bCs/>
          <w:color w:val="000000"/>
          <w:sz w:val="20"/>
          <w:szCs w:val="20"/>
        </w:rPr>
      </w:pPr>
      <w:r>
        <w:rPr>
          <w:rFonts w:ascii="Calibri" w:eastAsia="Calibri" w:hAnsi="Calibri" w:cs="Calibri"/>
          <w:bCs/>
          <w:color w:val="000000"/>
          <w:sz w:val="20"/>
          <w:szCs w:val="20"/>
        </w:rPr>
        <w:t>Output 1.2.1: Sustainable community-based tourism developed in and around selected MPAs and coastal ecosystems (under 1.1) with potential for third-party certifications (</w:t>
      </w:r>
      <w:hyperlink r:id="rId18">
        <w:r>
          <w:rPr>
            <w:rFonts w:ascii="Calibri" w:eastAsia="Calibri" w:hAnsi="Calibri" w:cs="Calibri"/>
            <w:bCs/>
            <w:color w:val="1155CC"/>
            <w:sz w:val="20"/>
            <w:szCs w:val="20"/>
            <w:u w:val="single"/>
          </w:rPr>
          <w:t>www.earthcheck.org</w:t>
        </w:r>
      </w:hyperlink>
      <w:r>
        <w:rPr>
          <w:rFonts w:ascii="Calibri" w:eastAsia="Calibri" w:hAnsi="Calibri" w:cs="Calibri"/>
          <w:bCs/>
          <w:color w:val="000000"/>
          <w:sz w:val="20"/>
          <w:szCs w:val="20"/>
        </w:rPr>
        <w:t>)   </w:t>
      </w:r>
    </w:p>
    <w:p w14:paraId="6808F7F1" w14:textId="77777777" w:rsidR="00CF33D9" w:rsidRDefault="00E3332A">
      <w:pPr>
        <w:pStyle w:val="ListParagraph"/>
        <w:numPr>
          <w:ilvl w:val="0"/>
          <w:numId w:val="17"/>
        </w:numPr>
        <w:ind w:left="425" w:hanging="425"/>
        <w:contextualSpacing/>
        <w:jc w:val="both"/>
        <w:rPr>
          <w:rFonts w:ascii="Calibri" w:hAnsi="Calibri" w:cs="Calibri"/>
          <w:bCs/>
          <w:color w:val="000000"/>
          <w:sz w:val="20"/>
          <w:szCs w:val="20"/>
        </w:rPr>
      </w:pPr>
      <w:r>
        <w:rPr>
          <w:rFonts w:ascii="Calibri" w:eastAsia="Calibri" w:hAnsi="Calibri" w:cs="Calibri"/>
          <w:bCs/>
          <w:color w:val="000000"/>
          <w:sz w:val="20"/>
          <w:szCs w:val="20"/>
        </w:rPr>
        <w:t>Output 1.2.2: Community-based climate-resilient ecosystem restoration interventions such as enhanced protection, control of alien and invasive species, and assisted regeneration implemented in selected MPAs and coastal ecosystems (under Outcome 1.1)</w:t>
      </w:r>
    </w:p>
    <w:p w14:paraId="6808F7F2" w14:textId="77777777" w:rsidR="00CF33D9" w:rsidRDefault="00E3332A">
      <w:pPr>
        <w:spacing w:before="240" w:after="240"/>
        <w:jc w:val="both"/>
        <w:rPr>
          <w:rFonts w:ascii="Calibri" w:eastAsia="Calibri" w:hAnsi="Calibri" w:cs="Calibri"/>
          <w:b/>
          <w:i/>
          <w:color w:val="000000"/>
          <w:sz w:val="20"/>
          <w:szCs w:val="20"/>
        </w:rPr>
      </w:pPr>
      <w:r>
        <w:rPr>
          <w:rFonts w:ascii="Calibri" w:eastAsia="Calibri" w:hAnsi="Calibri" w:cs="Calibri"/>
          <w:bCs/>
          <w:iCs/>
          <w:color w:val="000000"/>
          <w:sz w:val="20"/>
          <w:szCs w:val="20"/>
        </w:rPr>
        <w:t>Outcome 1.3: Improved biodiversity monitoring (using eDNA-based methods) to inform actions for improved management of MPAs and coastal ecosystems</w:t>
      </w:r>
      <w:r>
        <w:rPr>
          <w:rFonts w:ascii="Calibri" w:eastAsia="Calibri" w:hAnsi="Calibri" w:cs="Calibri"/>
          <w:b/>
          <w:i/>
          <w:color w:val="000000"/>
          <w:sz w:val="20"/>
          <w:szCs w:val="20"/>
        </w:rPr>
        <w:t xml:space="preserve">: </w:t>
      </w:r>
    </w:p>
    <w:p w14:paraId="6808F7F3" w14:textId="77777777" w:rsidR="00CF33D9" w:rsidRDefault="00E3332A">
      <w:pPr>
        <w:pStyle w:val="ListParagraph"/>
        <w:numPr>
          <w:ilvl w:val="0"/>
          <w:numId w:val="18"/>
        </w:numPr>
        <w:ind w:left="425" w:hanging="425"/>
        <w:contextualSpacing/>
        <w:jc w:val="both"/>
        <w:rPr>
          <w:rFonts w:ascii="Calibri" w:hAnsi="Calibri" w:cs="Calibri"/>
          <w:color w:val="000000"/>
          <w:sz w:val="20"/>
          <w:szCs w:val="20"/>
        </w:rPr>
      </w:pPr>
      <w:r>
        <w:rPr>
          <w:rFonts w:ascii="Calibri" w:eastAsia="Calibri" w:hAnsi="Calibri" w:cs="Calibri"/>
          <w:bCs/>
          <w:color w:val="000000"/>
          <w:sz w:val="20"/>
          <w:szCs w:val="20"/>
        </w:rPr>
        <w:t>Output: 1.3.1: Community-based biodiversity monitoring within the selected MPAs and coastal ecosystems (under 1.1) developed or enhanced</w:t>
      </w:r>
    </w:p>
    <w:p w14:paraId="6808F7F4" w14:textId="77777777" w:rsidR="00CF33D9" w:rsidRDefault="00CF33D9">
      <w:pPr>
        <w:contextualSpacing/>
        <w:jc w:val="both"/>
        <w:rPr>
          <w:rFonts w:ascii="Calibri" w:hAnsi="Calibri" w:cs="Calibri"/>
          <w:color w:val="000000"/>
          <w:sz w:val="20"/>
          <w:szCs w:val="20"/>
        </w:rPr>
      </w:pPr>
    </w:p>
    <w:p w14:paraId="6808F7F5" w14:textId="77777777" w:rsidR="00CF33D9" w:rsidRDefault="00E3332A">
      <w:pPr>
        <w:spacing w:after="240"/>
        <w:jc w:val="both"/>
        <w:rPr>
          <w:rFonts w:ascii="Calibri" w:eastAsia="Calibri" w:hAnsi="Calibri" w:cs="Calibri"/>
          <w:bCs/>
          <w:iCs/>
          <w:color w:val="000000"/>
          <w:sz w:val="20"/>
          <w:szCs w:val="20"/>
        </w:rPr>
      </w:pPr>
      <w:r>
        <w:rPr>
          <w:rFonts w:ascii="Calibri" w:eastAsia="Calibri" w:hAnsi="Calibri" w:cs="Calibri"/>
          <w:bCs/>
          <w:iCs/>
          <w:color w:val="000000"/>
          <w:sz w:val="20"/>
          <w:szCs w:val="20"/>
        </w:rPr>
        <w:t>Outcome 1.4: Minimise impacts of exploration and extraction of non-living marine resources (NLMR) on critical marine and coastal ecosystems through regulation and industry action:</w:t>
      </w:r>
    </w:p>
    <w:p w14:paraId="6808F7F6" w14:textId="77777777" w:rsidR="00CF33D9" w:rsidRDefault="00E3332A">
      <w:pPr>
        <w:pStyle w:val="ListParagraph"/>
        <w:numPr>
          <w:ilvl w:val="0"/>
          <w:numId w:val="18"/>
        </w:numPr>
        <w:ind w:left="425" w:hanging="425"/>
        <w:contextualSpacing/>
        <w:jc w:val="both"/>
        <w:rPr>
          <w:rFonts w:ascii="Calibri" w:eastAsia="Calibri" w:hAnsi="Calibri" w:cs="Calibri"/>
          <w:b/>
          <w:color w:val="000000"/>
          <w:sz w:val="20"/>
          <w:szCs w:val="20"/>
        </w:rPr>
      </w:pPr>
      <w:r>
        <w:rPr>
          <w:rFonts w:ascii="Calibri" w:eastAsia="Calibri" w:hAnsi="Calibri" w:cs="Calibri"/>
          <w:bCs/>
          <w:color w:val="000000"/>
          <w:sz w:val="20"/>
          <w:szCs w:val="20"/>
        </w:rPr>
        <w:t xml:space="preserve">Output 1.4.1: Policy and legislative frameworks strengthened to </w:t>
      </w:r>
      <w:r>
        <w:rPr>
          <w:rFonts w:ascii="Calibri" w:eastAsia="Calibri" w:hAnsi="Calibri" w:cs="Calibri"/>
          <w:bCs/>
          <w:sz w:val="20"/>
          <w:szCs w:val="20"/>
        </w:rPr>
        <w:t>minimise</w:t>
      </w:r>
      <w:r>
        <w:rPr>
          <w:rFonts w:ascii="Calibri" w:eastAsia="Calibri" w:hAnsi="Calibri" w:cs="Calibri"/>
          <w:bCs/>
          <w:color w:val="000000"/>
          <w:sz w:val="20"/>
          <w:szCs w:val="20"/>
        </w:rPr>
        <w:t xml:space="preserve"> adverse impacts of extractive activities in the BCLME</w:t>
      </w:r>
    </w:p>
    <w:p w14:paraId="6808F7F7" w14:textId="77777777" w:rsidR="00CF33D9" w:rsidRDefault="00E3332A">
      <w:pPr>
        <w:pStyle w:val="ListParagraph"/>
        <w:numPr>
          <w:ilvl w:val="0"/>
          <w:numId w:val="18"/>
        </w:numPr>
        <w:ind w:left="425" w:hanging="425"/>
        <w:contextualSpacing/>
        <w:jc w:val="both"/>
        <w:rPr>
          <w:rFonts w:ascii="Calibri" w:eastAsia="Calibri" w:hAnsi="Calibri" w:cs="Calibri"/>
          <w:bCs/>
          <w:color w:val="000000"/>
          <w:sz w:val="20"/>
          <w:szCs w:val="20"/>
        </w:rPr>
      </w:pPr>
      <w:r>
        <w:rPr>
          <w:rFonts w:ascii="Calibri" w:eastAsia="Calibri" w:hAnsi="Calibri" w:cs="Calibri"/>
          <w:b/>
          <w:color w:val="000000"/>
          <w:sz w:val="20"/>
          <w:szCs w:val="20"/>
        </w:rPr>
        <w:t> </w:t>
      </w:r>
      <w:r>
        <w:rPr>
          <w:rFonts w:ascii="Calibri" w:eastAsia="Calibri" w:hAnsi="Calibri" w:cs="Calibri"/>
          <w:bCs/>
          <w:color w:val="000000"/>
          <w:sz w:val="20"/>
          <w:szCs w:val="20"/>
        </w:rPr>
        <w:t>Output 1.4.2: Capacity of government institutions, private sector actors and financial institutions involved in exploration/exploitation of non-living marine resources strengthened (with a gender-sensitive approach) for adoption of innovative environmentally friendly exploratory and extractive methods and technologies</w:t>
      </w:r>
    </w:p>
    <w:p w14:paraId="6808F7F8" w14:textId="77777777" w:rsidR="00CF33D9" w:rsidRDefault="00CF33D9">
      <w:pPr>
        <w:rPr>
          <w:rFonts w:ascii="Calibri" w:hAnsi="Calibri" w:cs="Calibri"/>
          <w:sz w:val="20"/>
          <w:szCs w:val="20"/>
        </w:rPr>
      </w:pPr>
    </w:p>
    <w:p w14:paraId="6808F7F9" w14:textId="77777777" w:rsidR="00CF33D9" w:rsidRDefault="00E3332A">
      <w:pPr>
        <w:ind w:right="-46"/>
        <w:jc w:val="both"/>
        <w:rPr>
          <w:rFonts w:ascii="Calibri" w:eastAsia="Calibri" w:hAnsi="Calibri" w:cs="Calibri"/>
          <w:sz w:val="20"/>
          <w:szCs w:val="20"/>
        </w:rPr>
      </w:pPr>
      <w:r>
        <w:rPr>
          <w:rFonts w:ascii="Calibri" w:eastAsia="Calibri" w:hAnsi="Calibri" w:cs="Calibri"/>
          <w:b/>
          <w:color w:val="000000"/>
          <w:sz w:val="20"/>
          <w:szCs w:val="20"/>
          <w:u w:val="single"/>
        </w:rPr>
        <w:t>Component 2: Enhance sustainable and climate change-resilient marine living resources and their</w:t>
      </w:r>
      <w:r>
        <w:rPr>
          <w:rFonts w:ascii="Calibri" w:eastAsia="Calibri" w:hAnsi="Calibri" w:cs="Calibri"/>
          <w:b/>
          <w:color w:val="000000"/>
          <w:sz w:val="20"/>
          <w:szCs w:val="20"/>
        </w:rPr>
        <w:t xml:space="preserve"> </w:t>
      </w:r>
      <w:r>
        <w:rPr>
          <w:rFonts w:ascii="Calibri" w:eastAsia="Calibri" w:hAnsi="Calibri" w:cs="Calibri"/>
          <w:b/>
          <w:color w:val="000000"/>
          <w:sz w:val="20"/>
          <w:szCs w:val="20"/>
          <w:u w:val="single"/>
        </w:rPr>
        <w:t>value chains in the BCLME</w:t>
      </w:r>
    </w:p>
    <w:p w14:paraId="6808F7FA" w14:textId="77777777" w:rsidR="00CF33D9" w:rsidRDefault="00CF33D9">
      <w:pPr>
        <w:ind w:right="-46"/>
        <w:rPr>
          <w:rFonts w:ascii="Calibri" w:eastAsia="Calibri" w:hAnsi="Calibri" w:cs="Calibri"/>
          <w:sz w:val="20"/>
          <w:szCs w:val="20"/>
        </w:rPr>
      </w:pPr>
    </w:p>
    <w:p w14:paraId="6808F7FB" w14:textId="77777777" w:rsidR="00CF33D9" w:rsidRDefault="00E3332A">
      <w:pPr>
        <w:ind w:right="-46"/>
        <w:jc w:val="both"/>
        <w:rPr>
          <w:rFonts w:ascii="Calibri" w:eastAsia="Calibri" w:hAnsi="Calibri" w:cs="Calibri"/>
          <w:sz w:val="20"/>
          <w:szCs w:val="20"/>
        </w:rPr>
      </w:pPr>
      <w:r>
        <w:rPr>
          <w:rFonts w:ascii="Calibri" w:eastAsia="Calibri" w:hAnsi="Calibri" w:cs="Calibri"/>
          <w:color w:val="000000"/>
          <w:sz w:val="20"/>
          <w:szCs w:val="20"/>
        </w:rPr>
        <w:t>Component 2 aims to ensure that coastal and marine resources, and the communities, livelihoods and economic sectors that depend on them, have the capacity to effectively withstand and recover from the impacts of climate change and other environmental and socio-economic changes. This is crucial for the BCLME’s development and long-term sustainability. It takes into consideration the three project beneficiary countries: Angola, Namibia and South Africa, as possessing differing needs but all required to enhance the existing marine living resources and their value chains to establish sustainable climate change-resilient marine living resources in the BCLME. The implementation of bilateral agreements among the three project recipients’ countries is a priority in the conservation and protection of the environment of the BCLME that needs to find a balance between sustainable development of the local communities and habitants. </w:t>
      </w:r>
    </w:p>
    <w:p w14:paraId="6808F7FC" w14:textId="77777777" w:rsidR="00CF33D9" w:rsidRDefault="00CF33D9">
      <w:pPr>
        <w:ind w:right="-46"/>
        <w:rPr>
          <w:rFonts w:ascii="Calibri" w:eastAsia="Calibri" w:hAnsi="Calibri" w:cs="Calibri"/>
          <w:sz w:val="20"/>
          <w:szCs w:val="20"/>
        </w:rPr>
      </w:pPr>
    </w:p>
    <w:p w14:paraId="6808F7FD" w14:textId="77777777" w:rsidR="00CF33D9" w:rsidRDefault="00E3332A">
      <w:pPr>
        <w:ind w:right="-46"/>
        <w:jc w:val="both"/>
        <w:rPr>
          <w:rFonts w:ascii="Calibri" w:eastAsia="Calibri" w:hAnsi="Calibri" w:cs="Calibri"/>
          <w:sz w:val="20"/>
          <w:szCs w:val="20"/>
        </w:rPr>
      </w:pPr>
      <w:r>
        <w:rPr>
          <w:rFonts w:ascii="Calibri" w:eastAsia="Calibri" w:hAnsi="Calibri" w:cs="Calibri"/>
          <w:color w:val="000000"/>
          <w:sz w:val="20"/>
          <w:szCs w:val="20"/>
        </w:rPr>
        <w:t xml:space="preserve">Component 2 has the objective of enhancing climate resilient and sustainably managed fisheries and seafood through bilateral agreements enhancing sustainable fisheries governance and </w:t>
      </w:r>
      <w:r>
        <w:rPr>
          <w:rFonts w:ascii="Calibri" w:eastAsia="Calibri" w:hAnsi="Calibri" w:cs="Calibri"/>
          <w:sz w:val="20"/>
          <w:szCs w:val="20"/>
        </w:rPr>
        <w:t>supporting</w:t>
      </w:r>
      <w:r>
        <w:rPr>
          <w:rFonts w:ascii="Calibri" w:eastAsia="Calibri" w:hAnsi="Calibri" w:cs="Calibri"/>
          <w:color w:val="000000"/>
          <w:sz w:val="20"/>
          <w:szCs w:val="20"/>
        </w:rPr>
        <w:t xml:space="preserve"> development of the fisheries and seafood sector across the three BCC countries. The component 2 will also support building opportunities of exploiting mariculture and other living marine resources. Climate resilient and sustainably managed fisheries, seafood and mariculture will be enhanced with third-party sustainable and climate resilient certifications aiming at supporting market growth and diversification for BCLME together with improving socio economic conditions of fishing communities. </w:t>
      </w:r>
      <w:r>
        <w:rPr>
          <w:rFonts w:ascii="Calibri" w:eastAsia="Calibri" w:hAnsi="Calibri" w:cs="Calibri"/>
          <w:sz w:val="20"/>
          <w:szCs w:val="20"/>
        </w:rPr>
        <w:t>Special</w:t>
      </w:r>
      <w:r>
        <w:rPr>
          <w:rFonts w:ascii="Calibri" w:eastAsia="Calibri" w:hAnsi="Calibri" w:cs="Calibri"/>
          <w:color w:val="000000"/>
          <w:sz w:val="20"/>
          <w:szCs w:val="20"/>
        </w:rPr>
        <w:t xml:space="preserve"> attention is given to capacity building and training incorporating gender inclusive </w:t>
      </w:r>
      <w:r>
        <w:rPr>
          <w:rFonts w:ascii="Calibri" w:eastAsia="Calibri" w:hAnsi="Calibri" w:cs="Calibri"/>
          <w:sz w:val="20"/>
          <w:szCs w:val="20"/>
        </w:rPr>
        <w:t>dimensions</w:t>
      </w:r>
      <w:r>
        <w:rPr>
          <w:rFonts w:ascii="Calibri" w:eastAsia="Calibri" w:hAnsi="Calibri" w:cs="Calibri"/>
          <w:color w:val="000000"/>
          <w:sz w:val="20"/>
          <w:szCs w:val="20"/>
        </w:rPr>
        <w:t xml:space="preserve"> of stakeholders and local communities.  </w:t>
      </w:r>
    </w:p>
    <w:p w14:paraId="6808F7FE" w14:textId="77777777" w:rsidR="00CF33D9" w:rsidRDefault="00CF33D9">
      <w:pPr>
        <w:ind w:right="-46"/>
        <w:rPr>
          <w:rFonts w:ascii="Calibri" w:eastAsia="Calibri" w:hAnsi="Calibri" w:cs="Calibri"/>
          <w:sz w:val="20"/>
          <w:szCs w:val="20"/>
        </w:rPr>
      </w:pPr>
    </w:p>
    <w:p w14:paraId="6808F7FF" w14:textId="77777777" w:rsidR="00CF33D9" w:rsidRDefault="00E3332A">
      <w:pPr>
        <w:ind w:right="-46"/>
        <w:jc w:val="both"/>
        <w:rPr>
          <w:rFonts w:ascii="Calibri" w:eastAsia="Calibri" w:hAnsi="Calibri" w:cs="Calibri"/>
          <w:color w:val="000000"/>
          <w:sz w:val="20"/>
          <w:szCs w:val="20"/>
        </w:rPr>
      </w:pPr>
      <w:r>
        <w:rPr>
          <w:rFonts w:ascii="Calibri" w:eastAsia="Calibri" w:hAnsi="Calibri" w:cs="Calibri"/>
          <w:color w:val="000000"/>
          <w:sz w:val="20"/>
          <w:szCs w:val="20"/>
        </w:rPr>
        <w:t xml:space="preserve">Component 2 has two outcomes. The </w:t>
      </w:r>
      <w:r>
        <w:rPr>
          <w:rFonts w:ascii="Calibri" w:eastAsia="Calibri" w:hAnsi="Calibri" w:cs="Calibri"/>
          <w:color w:val="000000"/>
          <w:sz w:val="20"/>
          <w:szCs w:val="20"/>
          <w:u w:val="single"/>
        </w:rPr>
        <w:t>first outcome</w:t>
      </w:r>
      <w:r>
        <w:rPr>
          <w:rFonts w:ascii="Calibri" w:eastAsia="Calibri" w:hAnsi="Calibri" w:cs="Calibri"/>
          <w:color w:val="000000"/>
          <w:sz w:val="20"/>
          <w:szCs w:val="20"/>
        </w:rPr>
        <w:t xml:space="preserve"> focuses on supporting and </w:t>
      </w:r>
      <w:r>
        <w:rPr>
          <w:rFonts w:ascii="Calibri" w:eastAsia="Calibri" w:hAnsi="Calibri" w:cs="Calibri"/>
          <w:sz w:val="20"/>
          <w:szCs w:val="20"/>
        </w:rPr>
        <w:t>implementing</w:t>
      </w:r>
      <w:r>
        <w:rPr>
          <w:rFonts w:ascii="Calibri" w:eastAsia="Calibri" w:hAnsi="Calibri" w:cs="Calibri"/>
          <w:color w:val="000000"/>
          <w:sz w:val="20"/>
          <w:szCs w:val="20"/>
        </w:rPr>
        <w:t xml:space="preserve"> bilateral agreements between the three governments constituting the BCLME Programme to jointly carry out sustainable and climate resilient management of transboundary fish stocks. This outcome is built on the identification for needed development on transboundary fish stock on the BCLEM III final evaluation as it is considered a high priority for all three countries. The </w:t>
      </w:r>
      <w:r>
        <w:rPr>
          <w:rFonts w:ascii="Calibri" w:eastAsia="Calibri" w:hAnsi="Calibri" w:cs="Calibri"/>
          <w:color w:val="000000"/>
          <w:sz w:val="20"/>
          <w:szCs w:val="20"/>
          <w:u w:val="single"/>
        </w:rPr>
        <w:t>second outcome</w:t>
      </w:r>
      <w:r>
        <w:rPr>
          <w:rFonts w:ascii="Calibri" w:eastAsia="Calibri" w:hAnsi="Calibri" w:cs="Calibri"/>
          <w:color w:val="000000"/>
          <w:sz w:val="20"/>
          <w:szCs w:val="20"/>
        </w:rPr>
        <w:t xml:space="preserve"> focuses on growing and diversifying the economic production of BCLME sustainable and climate resilient marine commodities in domestic and international markets as means to improve the socio-economic conditions of fishing communities in the BCLME MPAs and coastal ecosystems. This outcome is built on the BCLME III evaluation (BCLME III Component 1) that identified missing opportunities on the sustainable and climate resilient mariculture sector, particularly on the community cooperatives, and the mariculture stations. Within this component, the demonstration project in Mussolo-Barra Do Dande area in Angola will be implemented. The demonstration project to test solution proposed in this component will be implemented </w:t>
      </w:r>
    </w:p>
    <w:p w14:paraId="6808F800" w14:textId="77777777" w:rsidR="00CF33D9" w:rsidRDefault="00CF33D9">
      <w:pPr>
        <w:ind w:right="-46"/>
        <w:jc w:val="both"/>
        <w:rPr>
          <w:rFonts w:ascii="Calibri" w:eastAsia="Calibri" w:hAnsi="Calibri" w:cs="Calibri"/>
          <w:color w:val="000000"/>
          <w:sz w:val="20"/>
          <w:szCs w:val="20"/>
        </w:rPr>
      </w:pPr>
    </w:p>
    <w:p w14:paraId="6808F801" w14:textId="77777777" w:rsidR="00CF33D9" w:rsidRDefault="00E3332A">
      <w:pPr>
        <w:ind w:right="-46"/>
        <w:jc w:val="both"/>
        <w:rPr>
          <w:rFonts w:ascii="Calibri" w:eastAsia="Calibri" w:hAnsi="Calibri" w:cs="Calibri"/>
          <w:color w:val="000000"/>
          <w:sz w:val="20"/>
          <w:szCs w:val="20"/>
        </w:rPr>
      </w:pPr>
      <w:r>
        <w:rPr>
          <w:rFonts w:ascii="Calibri" w:eastAsia="Calibri" w:hAnsi="Calibri" w:cs="Calibri"/>
          <w:color w:val="000000"/>
          <w:sz w:val="20"/>
          <w:szCs w:val="20"/>
        </w:rPr>
        <w:t>Each outcome has several outputs to be delivered:</w:t>
      </w:r>
    </w:p>
    <w:p w14:paraId="6808F802" w14:textId="77777777" w:rsidR="00CF33D9" w:rsidRDefault="00CF33D9">
      <w:pPr>
        <w:ind w:right="-46"/>
        <w:jc w:val="both"/>
        <w:rPr>
          <w:rFonts w:ascii="Calibri" w:eastAsia="Calibri" w:hAnsi="Calibri" w:cs="Calibri"/>
          <w:color w:val="000000"/>
          <w:sz w:val="20"/>
          <w:szCs w:val="20"/>
        </w:rPr>
      </w:pPr>
    </w:p>
    <w:p w14:paraId="6808F803" w14:textId="77777777" w:rsidR="00CF33D9" w:rsidRDefault="00E3332A">
      <w:pPr>
        <w:jc w:val="both"/>
        <w:rPr>
          <w:rFonts w:ascii="Calibri" w:eastAsia="Calibri" w:hAnsi="Calibri" w:cs="Calibri"/>
          <w:bCs/>
          <w:iCs/>
          <w:color w:val="000000"/>
          <w:sz w:val="20"/>
          <w:szCs w:val="20"/>
        </w:rPr>
      </w:pPr>
      <w:r>
        <w:rPr>
          <w:rFonts w:ascii="Calibri" w:eastAsia="Calibri" w:hAnsi="Calibri" w:cs="Calibri"/>
          <w:bCs/>
          <w:iCs/>
          <w:color w:val="000000"/>
          <w:sz w:val="20"/>
          <w:szCs w:val="20"/>
        </w:rPr>
        <w:t>Outcome 2.1: Climate resilient and sustainably managed fisheries and seafood:</w:t>
      </w:r>
    </w:p>
    <w:p w14:paraId="6808F804" w14:textId="77777777" w:rsidR="00CF33D9" w:rsidRDefault="00CF33D9">
      <w:pPr>
        <w:rPr>
          <w:rFonts w:ascii="Calibri" w:eastAsia="Calibri" w:hAnsi="Calibri" w:cs="Calibri"/>
          <w:sz w:val="20"/>
          <w:szCs w:val="20"/>
        </w:rPr>
      </w:pPr>
    </w:p>
    <w:p w14:paraId="6808F805" w14:textId="77777777" w:rsidR="00CF33D9" w:rsidRDefault="00E3332A">
      <w:pPr>
        <w:pStyle w:val="ListParagraph"/>
        <w:numPr>
          <w:ilvl w:val="0"/>
          <w:numId w:val="19"/>
        </w:numPr>
        <w:ind w:left="426" w:right="119" w:hanging="426"/>
        <w:contextualSpacing/>
        <w:jc w:val="both"/>
        <w:rPr>
          <w:rFonts w:ascii="Calibri" w:eastAsia="Calibri" w:hAnsi="Calibri" w:cs="Calibri"/>
          <w:bCs/>
          <w:color w:val="000000"/>
          <w:sz w:val="20"/>
          <w:szCs w:val="20"/>
        </w:rPr>
      </w:pPr>
      <w:r>
        <w:rPr>
          <w:rFonts w:ascii="Calibri" w:eastAsia="Calibri" w:hAnsi="Calibri" w:cs="Calibri"/>
          <w:bCs/>
          <w:color w:val="000000"/>
          <w:sz w:val="20"/>
          <w:szCs w:val="20"/>
        </w:rPr>
        <w:t>Output 2.1.1: Bilateral agreements for joint sustainable and climate resilient management of transboundary fish stocks (Cape horse mackerel, Cape hakes developed and implemented to curb IUU fishing</w:t>
      </w:r>
    </w:p>
    <w:p w14:paraId="6808F806" w14:textId="77777777" w:rsidR="00CF33D9" w:rsidRDefault="00E3332A">
      <w:pPr>
        <w:pStyle w:val="ListParagraph"/>
        <w:numPr>
          <w:ilvl w:val="0"/>
          <w:numId w:val="19"/>
        </w:numPr>
        <w:ind w:left="426" w:right="119" w:hanging="426"/>
        <w:contextualSpacing/>
        <w:jc w:val="both"/>
        <w:rPr>
          <w:rFonts w:ascii="Calibri" w:eastAsia="Calibri" w:hAnsi="Calibri" w:cs="Calibri"/>
          <w:bCs/>
          <w:color w:val="000000"/>
          <w:sz w:val="20"/>
          <w:szCs w:val="20"/>
        </w:rPr>
      </w:pPr>
      <w:r>
        <w:rPr>
          <w:rFonts w:ascii="Calibri" w:eastAsia="Calibri" w:hAnsi="Calibri" w:cs="Calibri"/>
          <w:bCs/>
          <w:color w:val="000000"/>
          <w:sz w:val="20"/>
          <w:szCs w:val="20"/>
        </w:rPr>
        <w:t>Output 2.1.2: Sustainable and climate resilient mariculture opportunities and exploitation of other living marine resources at national levels identifies and plans for development and scaling up developed</w:t>
      </w:r>
    </w:p>
    <w:p w14:paraId="6808F807" w14:textId="77777777" w:rsidR="00CF33D9" w:rsidRDefault="00E3332A">
      <w:pPr>
        <w:pStyle w:val="ListParagraph"/>
        <w:numPr>
          <w:ilvl w:val="0"/>
          <w:numId w:val="19"/>
        </w:numPr>
        <w:ind w:left="426" w:right="119" w:hanging="426"/>
        <w:contextualSpacing/>
        <w:jc w:val="both"/>
        <w:rPr>
          <w:rFonts w:ascii="Calibri" w:eastAsia="Calibri" w:hAnsi="Calibri" w:cs="Calibri"/>
          <w:bCs/>
          <w:color w:val="000000"/>
          <w:sz w:val="20"/>
          <w:szCs w:val="20"/>
        </w:rPr>
      </w:pPr>
      <w:r>
        <w:rPr>
          <w:rFonts w:ascii="Calibri" w:eastAsia="Calibri" w:hAnsi="Calibri" w:cs="Calibri"/>
          <w:bCs/>
          <w:color w:val="000000"/>
          <w:sz w:val="20"/>
          <w:szCs w:val="20"/>
        </w:rPr>
        <w:t>Output 2.1.3: Third-party sustainability and climate resilience certifications for fish and seafood products undertaken</w:t>
      </w:r>
    </w:p>
    <w:p w14:paraId="6808F808" w14:textId="77777777" w:rsidR="00CF33D9" w:rsidRDefault="00CF33D9">
      <w:pPr>
        <w:ind w:right="4458"/>
        <w:rPr>
          <w:rFonts w:ascii="Calibri" w:eastAsia="Calibri" w:hAnsi="Calibri" w:cs="Calibri"/>
          <w:b/>
          <w:color w:val="000000"/>
          <w:sz w:val="20"/>
          <w:szCs w:val="20"/>
        </w:rPr>
      </w:pPr>
    </w:p>
    <w:p w14:paraId="6808F809" w14:textId="77777777" w:rsidR="00CF33D9" w:rsidRDefault="00E3332A">
      <w:pPr>
        <w:jc w:val="both"/>
        <w:rPr>
          <w:rFonts w:ascii="Calibri" w:eastAsia="Calibri" w:hAnsi="Calibri" w:cs="Calibri"/>
          <w:bCs/>
          <w:iCs/>
          <w:color w:val="000000"/>
          <w:sz w:val="20"/>
          <w:szCs w:val="20"/>
        </w:rPr>
      </w:pPr>
      <w:r>
        <w:rPr>
          <w:rFonts w:ascii="Calibri" w:eastAsia="Calibri" w:hAnsi="Calibri" w:cs="Calibri"/>
          <w:bCs/>
          <w:iCs/>
          <w:color w:val="000000"/>
          <w:sz w:val="20"/>
          <w:szCs w:val="20"/>
        </w:rPr>
        <w:t>Outcome 2.2: Market growth and diversification for BCLME sustainable and climate resilient marine commodities in domestic and international markets and improved socio-economic conditions of fishing communities:</w:t>
      </w:r>
    </w:p>
    <w:p w14:paraId="6808F80A" w14:textId="77777777" w:rsidR="00CF33D9" w:rsidRDefault="00CF33D9">
      <w:pPr>
        <w:rPr>
          <w:rFonts w:ascii="Calibri" w:eastAsia="Calibri" w:hAnsi="Calibri" w:cs="Calibri"/>
          <w:b/>
          <w:color w:val="000000"/>
          <w:sz w:val="20"/>
          <w:szCs w:val="20"/>
        </w:rPr>
      </w:pPr>
    </w:p>
    <w:p w14:paraId="6808F80B" w14:textId="77777777" w:rsidR="00CF33D9" w:rsidRDefault="00E3332A">
      <w:pPr>
        <w:pStyle w:val="ListParagraph"/>
        <w:numPr>
          <w:ilvl w:val="0"/>
          <w:numId w:val="20"/>
        </w:numPr>
        <w:ind w:left="425" w:hanging="425"/>
        <w:contextualSpacing/>
        <w:jc w:val="both"/>
        <w:rPr>
          <w:rFonts w:ascii="Calibri" w:eastAsia="Calibri" w:hAnsi="Calibri" w:cs="Calibri"/>
          <w:sz w:val="20"/>
          <w:szCs w:val="20"/>
        </w:rPr>
      </w:pPr>
      <w:r>
        <w:rPr>
          <w:rFonts w:ascii="Calibri" w:eastAsia="Calibri" w:hAnsi="Calibri" w:cs="Calibri"/>
          <w:bCs/>
          <w:color w:val="000000"/>
          <w:sz w:val="20"/>
          <w:szCs w:val="20"/>
        </w:rPr>
        <w:t>Output 2.2.1: Fish, seafood and mariculture market research and analysis that takes into consideration climate change impacts developed at national and regional levels</w:t>
      </w:r>
    </w:p>
    <w:p w14:paraId="6808F80C" w14:textId="77777777" w:rsidR="00CF33D9" w:rsidRDefault="00E3332A">
      <w:pPr>
        <w:pStyle w:val="ListParagraph"/>
        <w:numPr>
          <w:ilvl w:val="0"/>
          <w:numId w:val="20"/>
        </w:numPr>
        <w:ind w:left="425" w:hanging="425"/>
        <w:contextualSpacing/>
        <w:jc w:val="both"/>
        <w:rPr>
          <w:rFonts w:ascii="Calibri" w:eastAsia="Calibri" w:hAnsi="Calibri" w:cs="Calibri"/>
          <w:sz w:val="20"/>
          <w:szCs w:val="20"/>
        </w:rPr>
      </w:pPr>
      <w:r>
        <w:rPr>
          <w:rFonts w:ascii="Calibri" w:eastAsia="Calibri" w:hAnsi="Calibri" w:cs="Calibri"/>
          <w:bCs/>
          <w:color w:val="000000"/>
          <w:sz w:val="20"/>
          <w:szCs w:val="20"/>
        </w:rPr>
        <w:t>Output 2.2.2: Capacities for sustainable and climate resilient value chains developed (with a gender sensitive approach) for new and diversified fish and seafood products, including mariculture</w:t>
      </w:r>
    </w:p>
    <w:p w14:paraId="6808F80D" w14:textId="77777777" w:rsidR="00CF33D9" w:rsidRDefault="00E3332A">
      <w:pPr>
        <w:pStyle w:val="ListParagraph"/>
        <w:numPr>
          <w:ilvl w:val="0"/>
          <w:numId w:val="20"/>
        </w:numPr>
        <w:ind w:left="425" w:hanging="425"/>
        <w:contextualSpacing/>
        <w:jc w:val="both"/>
        <w:rPr>
          <w:rFonts w:ascii="Calibri" w:eastAsia="Calibri" w:hAnsi="Calibri" w:cs="Calibri"/>
          <w:bCs/>
          <w:sz w:val="20"/>
          <w:szCs w:val="20"/>
        </w:rPr>
      </w:pPr>
      <w:r>
        <w:rPr>
          <w:rFonts w:ascii="Calibri" w:eastAsia="Calibri" w:hAnsi="Calibri" w:cs="Calibri"/>
          <w:bCs/>
          <w:color w:val="000000"/>
          <w:sz w:val="20"/>
          <w:szCs w:val="20"/>
        </w:rPr>
        <w:t xml:space="preserve">Output 2.2.3: New climate resilient markets identified, explored and viable ones engaged </w:t>
      </w:r>
    </w:p>
    <w:p w14:paraId="6808F80E" w14:textId="77777777" w:rsidR="00CF33D9" w:rsidRDefault="00CF33D9">
      <w:pPr>
        <w:rPr>
          <w:rFonts w:ascii="Calibri" w:eastAsia="Calibri" w:hAnsi="Calibri" w:cs="Calibri"/>
          <w:b/>
          <w:color w:val="000000"/>
          <w:sz w:val="20"/>
          <w:szCs w:val="20"/>
        </w:rPr>
      </w:pPr>
    </w:p>
    <w:p w14:paraId="6808F80F" w14:textId="77777777" w:rsidR="00CF33D9" w:rsidRDefault="00E3332A">
      <w:pPr>
        <w:spacing w:after="240"/>
        <w:jc w:val="both"/>
        <w:rPr>
          <w:rFonts w:ascii="Calibri" w:eastAsia="Calibri" w:hAnsi="Calibri" w:cs="Calibri"/>
          <w:b/>
          <w:color w:val="000000"/>
          <w:sz w:val="20"/>
          <w:szCs w:val="20"/>
          <w:u w:val="single"/>
        </w:rPr>
      </w:pPr>
      <w:r>
        <w:rPr>
          <w:rFonts w:ascii="Calibri" w:eastAsia="Calibri" w:hAnsi="Calibri" w:cs="Calibri"/>
          <w:b/>
          <w:color w:val="000000"/>
          <w:sz w:val="20"/>
          <w:szCs w:val="20"/>
          <w:u w:val="single"/>
        </w:rPr>
        <w:t>Component 3: Improve coastal and marine pollution management in the BCLME</w:t>
      </w:r>
    </w:p>
    <w:p w14:paraId="6808F810"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 xml:space="preserve">According to the updated TDA, marine pollution is considered to be one of the five key pressures on the BCLME environment, in addition to unsustainable utilisation of living marine resources, disturbance and physical modification of coastal and marine habitats, invasive species, and climate change. Through the TDA and SAP development process supported by the previous UNDP-GEF intervention (BCLME III) and other cooperating partners, coastal States have identified key water quality issues in the BCLME as: microbiological contamination; suspended solids; chemical pollution; eutrophication; and marine litter, including micro- and macro-plastic. A sustainable blue economy can only develop when ecological boundaries are respected and economic activity is in balance with the long-term capacity of ocean ecosystems to support this activity. In this regard, pollution is considered a major threat to ocean health and therefore to the development of the blue economy across the BCLME. Marine pollution comes at a high cost and hampers socioeconomic development by impacting fisheries, endangering food security and the livelihoods of coastal communities, as well as other economic activities such as tourism and shipping. In addition, marine pollution undermines the ocean’s resilience and its potential to mitigate the impacts of climate change. </w:t>
      </w:r>
    </w:p>
    <w:p w14:paraId="6808F811" w14:textId="77777777" w:rsidR="00CF33D9" w:rsidRDefault="00CF33D9">
      <w:pPr>
        <w:jc w:val="both"/>
        <w:rPr>
          <w:rFonts w:ascii="Calibri" w:eastAsia="Calibri" w:hAnsi="Calibri" w:cs="Calibri"/>
          <w:sz w:val="20"/>
          <w:szCs w:val="20"/>
        </w:rPr>
      </w:pPr>
    </w:p>
    <w:p w14:paraId="6808F812"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 xml:space="preserve">Addressing marine pollution across the BCLME will provide multiple benefits, including climate benefits, biodiversity conservation, and food security, while protecting livelihoods and human health, and reducing economic loss. Investing in pollution management is therefore key for governments to reach the potential of the sustainable blue economy. While progress has been made, the countries of the BCLME continue to face challenges with marine pollution management due to inadequate governance and institutional frameworks, lack of financing for developing and maintaining infrastructure, and lack of equipment for pollution control. Without the improvement of capacities (including stakeholder awareness and knowledge), technology and infrastructure, marine pollution can become an increasing threat to the BCLME. </w:t>
      </w:r>
    </w:p>
    <w:p w14:paraId="6808F813" w14:textId="77777777" w:rsidR="00CF33D9" w:rsidRDefault="00CF33D9">
      <w:pPr>
        <w:jc w:val="both"/>
        <w:rPr>
          <w:rFonts w:ascii="Calibri" w:eastAsia="Calibri" w:hAnsi="Calibri" w:cs="Calibri"/>
          <w:sz w:val="20"/>
          <w:szCs w:val="20"/>
        </w:rPr>
      </w:pPr>
    </w:p>
    <w:p w14:paraId="6808F814" w14:textId="77777777" w:rsidR="00CF33D9" w:rsidRDefault="00E3332A">
      <w:pPr>
        <w:jc w:val="both"/>
        <w:rPr>
          <w:rFonts w:ascii="Calibri" w:eastAsia="Calibri" w:hAnsi="Calibri" w:cs="Calibri"/>
          <w:color w:val="000000"/>
          <w:sz w:val="20"/>
          <w:szCs w:val="20"/>
        </w:rPr>
      </w:pPr>
      <w:r>
        <w:rPr>
          <w:rFonts w:ascii="Calibri" w:eastAsia="Calibri" w:hAnsi="Calibri" w:cs="Calibri"/>
          <w:sz w:val="20"/>
          <w:szCs w:val="20"/>
        </w:rPr>
        <w:t xml:space="preserve">This Component consists of three separate but related outcomes which, in combination, will focus on improving the management of marine pollution in the BCLME. Specifically, the </w:t>
      </w:r>
      <w:r>
        <w:rPr>
          <w:rFonts w:ascii="Calibri" w:eastAsia="Calibri" w:hAnsi="Calibri" w:cs="Calibri"/>
          <w:sz w:val="20"/>
          <w:szCs w:val="20"/>
          <w:u w:val="single"/>
        </w:rPr>
        <w:t>first outcome</w:t>
      </w:r>
      <w:r>
        <w:rPr>
          <w:rFonts w:ascii="Calibri" w:eastAsia="Calibri" w:hAnsi="Calibri" w:cs="Calibri"/>
          <w:sz w:val="20"/>
          <w:szCs w:val="20"/>
        </w:rPr>
        <w:t xml:space="preserve"> will a</w:t>
      </w:r>
      <w:r>
        <w:rPr>
          <w:rFonts w:ascii="Calibri" w:eastAsia="Calibri" w:hAnsi="Calibri" w:cs="Calibri"/>
          <w:color w:val="000000"/>
          <w:sz w:val="20"/>
          <w:szCs w:val="20"/>
        </w:rPr>
        <w:t xml:space="preserve">ssist participating countries in developing the necessary legislation and technical capability to implement international conventions relating to marine, incorporating the `polluter pays´ principle into policy and legislative frameworks. The </w:t>
      </w:r>
      <w:r>
        <w:rPr>
          <w:rFonts w:ascii="Calibri" w:eastAsia="Calibri" w:hAnsi="Calibri" w:cs="Calibri"/>
          <w:color w:val="000000"/>
          <w:sz w:val="20"/>
          <w:szCs w:val="20"/>
          <w:u w:val="single"/>
        </w:rPr>
        <w:t>second outcome</w:t>
      </w:r>
      <w:r>
        <w:rPr>
          <w:rFonts w:ascii="Calibri" w:eastAsia="Calibri" w:hAnsi="Calibri" w:cs="Calibri"/>
          <w:color w:val="000000"/>
          <w:sz w:val="20"/>
          <w:szCs w:val="20"/>
        </w:rPr>
        <w:t xml:space="preserve"> aims at strengthening institutional capacity to manage marine pollution problems. The </w:t>
      </w:r>
      <w:r>
        <w:rPr>
          <w:rFonts w:ascii="Calibri" w:eastAsia="Calibri" w:hAnsi="Calibri" w:cs="Calibri"/>
          <w:color w:val="000000"/>
          <w:sz w:val="20"/>
          <w:szCs w:val="20"/>
          <w:u w:val="single"/>
        </w:rPr>
        <w:t>third outcome</w:t>
      </w:r>
      <w:r>
        <w:rPr>
          <w:rFonts w:ascii="Calibri" w:eastAsia="Calibri" w:hAnsi="Calibri" w:cs="Calibri"/>
          <w:color w:val="000000"/>
          <w:sz w:val="20"/>
          <w:szCs w:val="20"/>
        </w:rPr>
        <w:t xml:space="preserve"> will aim at formalizing cooperative agreements and long-term programs for ecosystem monitoring and compliance between the countries, including developing and adopting regional quality standards of nutrients and sediments in fresh, coastal and marine waters, and establishing a harmonised regional water quality monitoring in pollution hotspots within the selected MPAs and coastal ecosystems. In addition, this component will also work on accelerating actions to curb land-based sources of pollution. The demonstration project to test solutions proposed within this component will be implemented in the area of Saldanha Bay (South Africa).</w:t>
      </w:r>
    </w:p>
    <w:p w14:paraId="6808F815" w14:textId="77777777" w:rsidR="00CF33D9" w:rsidRDefault="00CF33D9">
      <w:pPr>
        <w:jc w:val="both"/>
        <w:rPr>
          <w:rFonts w:ascii="Calibri" w:eastAsia="Calibri" w:hAnsi="Calibri" w:cs="Calibri"/>
          <w:color w:val="000000"/>
          <w:sz w:val="20"/>
          <w:szCs w:val="20"/>
        </w:rPr>
      </w:pPr>
    </w:p>
    <w:p w14:paraId="6808F816" w14:textId="77777777" w:rsidR="00CF33D9" w:rsidRDefault="00E3332A">
      <w:pPr>
        <w:ind w:right="-46"/>
        <w:jc w:val="both"/>
        <w:rPr>
          <w:rFonts w:ascii="Calibri" w:eastAsia="Calibri" w:hAnsi="Calibri" w:cs="Calibri"/>
          <w:color w:val="000000"/>
          <w:sz w:val="20"/>
          <w:szCs w:val="20"/>
        </w:rPr>
      </w:pPr>
      <w:r>
        <w:rPr>
          <w:rFonts w:ascii="Calibri" w:eastAsia="Calibri" w:hAnsi="Calibri" w:cs="Calibri"/>
          <w:color w:val="000000"/>
          <w:sz w:val="20"/>
          <w:szCs w:val="20"/>
        </w:rPr>
        <w:t>Each outcome has several outputs to be delivered:</w:t>
      </w:r>
    </w:p>
    <w:p w14:paraId="6808F817" w14:textId="77777777" w:rsidR="00CF33D9" w:rsidRDefault="00CF33D9">
      <w:pPr>
        <w:jc w:val="both"/>
        <w:rPr>
          <w:rFonts w:ascii="Calibri" w:eastAsia="Calibri" w:hAnsi="Calibri" w:cs="Calibri"/>
          <w:color w:val="000000"/>
          <w:sz w:val="20"/>
          <w:szCs w:val="20"/>
        </w:rPr>
      </w:pPr>
    </w:p>
    <w:p w14:paraId="6808F818" w14:textId="77777777" w:rsidR="00CF33D9" w:rsidRDefault="00E333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libri" w:eastAsia="Calibri" w:hAnsi="Calibri" w:cs="Calibri"/>
          <w:bCs/>
          <w:iCs/>
          <w:color w:val="000000"/>
          <w:sz w:val="20"/>
          <w:szCs w:val="20"/>
        </w:rPr>
      </w:pPr>
      <w:r>
        <w:rPr>
          <w:rFonts w:ascii="Calibri" w:eastAsia="Calibri" w:hAnsi="Calibri" w:cs="Calibri"/>
          <w:bCs/>
          <w:iCs/>
          <w:sz w:val="20"/>
          <w:szCs w:val="20"/>
        </w:rPr>
        <w:t xml:space="preserve">Outcome </w:t>
      </w:r>
      <w:r>
        <w:rPr>
          <w:rFonts w:ascii="Calibri" w:eastAsia="Calibri" w:hAnsi="Calibri" w:cs="Calibri"/>
          <w:bCs/>
          <w:iCs/>
          <w:color w:val="000000"/>
          <w:sz w:val="20"/>
          <w:szCs w:val="20"/>
        </w:rPr>
        <w:t xml:space="preserve">3.1 </w:t>
      </w:r>
      <w:r>
        <w:rPr>
          <w:rFonts w:ascii="Calibri" w:eastAsia="Calibri" w:hAnsi="Calibri" w:cs="Calibri"/>
          <w:bCs/>
          <w:iCs/>
          <w:sz w:val="20"/>
          <w:szCs w:val="20"/>
        </w:rPr>
        <w:t>Reduced discharge of pollutants from ocean-based activities</w:t>
      </w:r>
      <w:r>
        <w:rPr>
          <w:rFonts w:ascii="Calibri" w:eastAsia="Calibri" w:hAnsi="Calibri" w:cs="Calibri"/>
          <w:bCs/>
          <w:iCs/>
          <w:color w:val="000000"/>
          <w:sz w:val="20"/>
          <w:szCs w:val="20"/>
        </w:rPr>
        <w:t>:</w:t>
      </w:r>
    </w:p>
    <w:p w14:paraId="6808F819" w14:textId="77777777" w:rsidR="00CF33D9" w:rsidRDefault="00CF33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libri" w:eastAsia="Calibri" w:hAnsi="Calibri" w:cs="Calibri"/>
          <w:bCs/>
          <w:iCs/>
          <w:color w:val="000000"/>
          <w:sz w:val="20"/>
          <w:szCs w:val="20"/>
        </w:rPr>
      </w:pPr>
    </w:p>
    <w:p w14:paraId="6808F81A" w14:textId="77777777" w:rsidR="00CF33D9" w:rsidRDefault="00E3332A">
      <w:pPr>
        <w:pStyle w:val="ListParagraph"/>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26" w:hanging="426"/>
        <w:contextualSpacing/>
        <w:jc w:val="both"/>
        <w:rPr>
          <w:rFonts w:ascii="Calibri" w:eastAsia="Calibri" w:hAnsi="Calibri" w:cs="Calibri"/>
          <w:bCs/>
          <w:iCs/>
          <w:color w:val="000000"/>
          <w:sz w:val="20"/>
          <w:szCs w:val="20"/>
        </w:rPr>
      </w:pPr>
      <w:r>
        <w:rPr>
          <w:rFonts w:ascii="Calibri" w:eastAsia="Calibri" w:hAnsi="Calibri" w:cs="Calibri"/>
          <w:bCs/>
          <w:sz w:val="20"/>
          <w:szCs w:val="20"/>
        </w:rPr>
        <w:t xml:space="preserve">Output 3.1.1: </w:t>
      </w:r>
      <w:r>
        <w:rPr>
          <w:rFonts w:ascii="Calibri" w:eastAsia="Calibri" w:hAnsi="Calibri" w:cs="Calibri"/>
          <w:bCs/>
          <w:color w:val="000000"/>
          <w:sz w:val="20"/>
          <w:szCs w:val="20"/>
        </w:rPr>
        <w:t>Policy and legislative frameworks developed, updated or strengthened</w:t>
      </w:r>
      <w:r>
        <w:rPr>
          <w:rFonts w:ascii="Calibri" w:eastAsia="Calibri" w:hAnsi="Calibri" w:cs="Calibri"/>
          <w:bCs/>
          <w:color w:val="000000"/>
          <w:sz w:val="20"/>
          <w:szCs w:val="20"/>
        </w:rPr>
        <w:br/>
        <w:t>to address pollution prevention and control and response from shipping and extractive industries in the BCLME</w:t>
      </w:r>
    </w:p>
    <w:p w14:paraId="6808F81B" w14:textId="77777777" w:rsidR="00CF33D9" w:rsidRDefault="00CF33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contextualSpacing/>
        <w:jc w:val="both"/>
        <w:rPr>
          <w:rFonts w:ascii="Calibri" w:eastAsia="Calibri" w:hAnsi="Calibri" w:cs="Calibri"/>
          <w:bCs/>
          <w:iCs/>
          <w:color w:val="000000"/>
          <w:sz w:val="20"/>
          <w:szCs w:val="20"/>
        </w:rPr>
      </w:pPr>
    </w:p>
    <w:p w14:paraId="6808F81C" w14:textId="77777777" w:rsidR="00CF33D9" w:rsidRDefault="00E3332A">
      <w:pPr>
        <w:jc w:val="both"/>
        <w:rPr>
          <w:rFonts w:ascii="Calibri" w:eastAsia="Calibri" w:hAnsi="Calibri" w:cs="Calibri"/>
          <w:bCs/>
          <w:iCs/>
          <w:sz w:val="20"/>
          <w:szCs w:val="20"/>
        </w:rPr>
      </w:pPr>
      <w:r>
        <w:rPr>
          <w:rFonts w:ascii="Calibri" w:eastAsia="Calibri" w:hAnsi="Calibri" w:cs="Calibri"/>
          <w:bCs/>
          <w:iCs/>
          <w:sz w:val="20"/>
          <w:szCs w:val="20"/>
        </w:rPr>
        <w:t xml:space="preserve">Outcome </w:t>
      </w:r>
      <w:r>
        <w:rPr>
          <w:rFonts w:ascii="Calibri" w:eastAsia="Calibri" w:hAnsi="Calibri" w:cs="Calibri"/>
          <w:bCs/>
          <w:iCs/>
          <w:color w:val="000000"/>
          <w:sz w:val="20"/>
          <w:szCs w:val="20"/>
        </w:rPr>
        <w:t xml:space="preserve">3.2: </w:t>
      </w:r>
      <w:r>
        <w:rPr>
          <w:rFonts w:ascii="Calibri" w:eastAsia="Calibri" w:hAnsi="Calibri" w:cs="Calibri"/>
          <w:bCs/>
          <w:iCs/>
          <w:sz w:val="20"/>
          <w:szCs w:val="20"/>
        </w:rPr>
        <w:t>Reduced discharge of pollutants from land-based activities in priority coastal areas [and river basins] through Community-Level Stakeholder Engagement:</w:t>
      </w:r>
    </w:p>
    <w:p w14:paraId="6808F81D" w14:textId="77777777" w:rsidR="00CF33D9" w:rsidRDefault="00CF33D9">
      <w:pPr>
        <w:jc w:val="both"/>
        <w:rPr>
          <w:rFonts w:ascii="Calibri" w:eastAsia="Calibri" w:hAnsi="Calibri" w:cs="Calibri"/>
          <w:bCs/>
          <w:iCs/>
          <w:sz w:val="20"/>
          <w:szCs w:val="20"/>
        </w:rPr>
      </w:pPr>
    </w:p>
    <w:p w14:paraId="6808F81E" w14:textId="77777777" w:rsidR="00CF33D9" w:rsidRDefault="00E3332A">
      <w:pPr>
        <w:pStyle w:val="ListParagraph"/>
        <w:numPr>
          <w:ilvl w:val="0"/>
          <w:numId w:val="21"/>
        </w:numPr>
        <w:ind w:left="426" w:hanging="426"/>
        <w:jc w:val="both"/>
        <w:rPr>
          <w:rFonts w:ascii="Calibri" w:eastAsia="Calibri" w:hAnsi="Calibri" w:cs="Calibri"/>
          <w:bCs/>
          <w:iCs/>
          <w:sz w:val="20"/>
          <w:szCs w:val="20"/>
        </w:rPr>
      </w:pPr>
      <w:r>
        <w:rPr>
          <w:rFonts w:ascii="Calibri" w:eastAsia="Calibri" w:hAnsi="Calibri" w:cs="Calibri"/>
          <w:bCs/>
          <w:sz w:val="20"/>
          <w:szCs w:val="20"/>
        </w:rPr>
        <w:t>Output 3.2.1: Pilot level community-based integrated coastal zone management (ICZM) approaches to pollution reduction demonstrated and addressed through demonstrations at pilot sites by mid-project and ready for replication</w:t>
      </w:r>
    </w:p>
    <w:p w14:paraId="6808F81F" w14:textId="77777777" w:rsidR="00CF33D9" w:rsidRDefault="00E3332A">
      <w:pPr>
        <w:pStyle w:val="ListParagraph"/>
        <w:numPr>
          <w:ilvl w:val="0"/>
          <w:numId w:val="21"/>
        </w:numPr>
        <w:ind w:left="426" w:hanging="426"/>
        <w:jc w:val="both"/>
        <w:rPr>
          <w:rFonts w:ascii="Calibri" w:eastAsia="Calibri" w:hAnsi="Calibri" w:cs="Calibri"/>
          <w:bCs/>
          <w:iCs/>
          <w:sz w:val="20"/>
          <w:szCs w:val="20"/>
        </w:rPr>
      </w:pPr>
      <w:r>
        <w:rPr>
          <w:rFonts w:ascii="Calibri" w:eastAsia="Calibri" w:hAnsi="Calibri" w:cs="Calibri"/>
          <w:bCs/>
          <w:sz w:val="20"/>
          <w:szCs w:val="20"/>
        </w:rPr>
        <w:t>Output 3.2.2: Community awareness, training and capacity building and implementation plans and best practices for pollution management undertaken (with a gender-sensitive approach) in selected communities along the BCLME coast</w:t>
      </w:r>
    </w:p>
    <w:p w14:paraId="6808F820" w14:textId="77777777" w:rsidR="00CF33D9" w:rsidRDefault="00CF33D9">
      <w:pPr>
        <w:jc w:val="both"/>
        <w:rPr>
          <w:rFonts w:ascii="Calibri" w:eastAsia="Calibri" w:hAnsi="Calibri" w:cs="Calibri"/>
          <w:sz w:val="20"/>
          <w:szCs w:val="20"/>
          <w:u w:val="single"/>
        </w:rPr>
      </w:pPr>
    </w:p>
    <w:p w14:paraId="6808F821" w14:textId="77777777" w:rsidR="00CF33D9" w:rsidRDefault="00E3332A">
      <w:pPr>
        <w:jc w:val="both"/>
        <w:rPr>
          <w:rFonts w:ascii="Calibri" w:eastAsia="Calibri" w:hAnsi="Calibri" w:cs="Calibri"/>
          <w:bCs/>
          <w:iCs/>
          <w:color w:val="000000"/>
          <w:sz w:val="20"/>
          <w:szCs w:val="20"/>
        </w:rPr>
      </w:pPr>
      <w:r>
        <w:rPr>
          <w:rFonts w:ascii="Calibri" w:eastAsia="Calibri" w:hAnsi="Calibri" w:cs="Calibri"/>
          <w:bCs/>
          <w:iCs/>
          <w:color w:val="000000"/>
          <w:sz w:val="20"/>
          <w:szCs w:val="20"/>
        </w:rPr>
        <w:t>Outcome 3.3: Strengthened regional cooperation and coordination, and increased institutional and technical capacity to undertake broad-scale monitoring and surveillance of marine pollution in priority transboundary and coastal hotspots of the BCLME:</w:t>
      </w:r>
    </w:p>
    <w:p w14:paraId="6808F822" w14:textId="77777777" w:rsidR="00CF33D9" w:rsidRDefault="00CF33D9">
      <w:pPr>
        <w:jc w:val="both"/>
        <w:rPr>
          <w:rFonts w:ascii="Calibri" w:eastAsia="Calibri" w:hAnsi="Calibri" w:cs="Calibri"/>
          <w:b/>
          <w:sz w:val="20"/>
          <w:szCs w:val="20"/>
        </w:rPr>
      </w:pPr>
    </w:p>
    <w:p w14:paraId="6808F823" w14:textId="77777777" w:rsidR="00CF33D9" w:rsidRDefault="00E3332A">
      <w:pPr>
        <w:pStyle w:val="ListParagraph"/>
        <w:numPr>
          <w:ilvl w:val="0"/>
          <w:numId w:val="22"/>
        </w:numPr>
        <w:ind w:left="426" w:hanging="426"/>
        <w:jc w:val="both"/>
        <w:rPr>
          <w:rFonts w:ascii="Calibri" w:eastAsia="Calibri" w:hAnsi="Calibri" w:cs="Calibri"/>
          <w:bCs/>
          <w:sz w:val="20"/>
          <w:szCs w:val="20"/>
        </w:rPr>
      </w:pPr>
      <w:r>
        <w:rPr>
          <w:rFonts w:ascii="Calibri" w:eastAsia="Calibri" w:hAnsi="Calibri" w:cs="Calibri"/>
          <w:bCs/>
          <w:sz w:val="20"/>
          <w:szCs w:val="20"/>
        </w:rPr>
        <w:t>Output 3.3.1: Cooperative agreements and long-term programs for ecosystem health monitoring and compliance between countries formalized</w:t>
      </w:r>
    </w:p>
    <w:p w14:paraId="6808F824" w14:textId="77777777" w:rsidR="00CF33D9" w:rsidRDefault="00E3332A">
      <w:pPr>
        <w:jc w:val="both"/>
        <w:rPr>
          <w:rFonts w:ascii="Calibri" w:eastAsia="Calibri" w:hAnsi="Calibri" w:cs="Calibri"/>
          <w:b/>
          <w:sz w:val="20"/>
          <w:szCs w:val="20"/>
        </w:rPr>
      </w:pPr>
      <w:r>
        <w:rPr>
          <w:rFonts w:ascii="Calibri" w:eastAsia="Calibri" w:hAnsi="Calibri" w:cs="Calibri"/>
          <w:b/>
          <w:sz w:val="20"/>
          <w:szCs w:val="20"/>
        </w:rPr>
        <w:t xml:space="preserve"> </w:t>
      </w:r>
    </w:p>
    <w:p w14:paraId="6808F825" w14:textId="77777777" w:rsidR="00CF33D9" w:rsidRDefault="00E3332A">
      <w:pPr>
        <w:jc w:val="both"/>
        <w:rPr>
          <w:rFonts w:ascii="Calibri" w:eastAsia="Calibri" w:hAnsi="Calibri" w:cs="Calibri"/>
          <w:b/>
          <w:color w:val="000000"/>
          <w:sz w:val="20"/>
          <w:szCs w:val="20"/>
          <w:u w:val="single"/>
        </w:rPr>
      </w:pPr>
      <w:r>
        <w:rPr>
          <w:rFonts w:ascii="Calibri" w:eastAsia="Calibri" w:hAnsi="Calibri" w:cs="Calibri"/>
          <w:b/>
          <w:color w:val="000000"/>
          <w:sz w:val="20"/>
          <w:szCs w:val="20"/>
          <w:u w:val="single"/>
        </w:rPr>
        <w:t>Component 4: Promote regional and national frameworks for innovative sustainable blue/ocean economy finance to foster positive ecosystem, social and economic impacts.</w:t>
      </w:r>
    </w:p>
    <w:p w14:paraId="6808F826" w14:textId="77777777" w:rsidR="00CF33D9" w:rsidRDefault="00CF33D9">
      <w:pPr>
        <w:rPr>
          <w:rFonts w:ascii="Calibri" w:eastAsia="Calibri" w:hAnsi="Calibri" w:cs="Calibri"/>
          <w:b/>
          <w:color w:val="000000"/>
          <w:sz w:val="20"/>
          <w:szCs w:val="20"/>
          <w:u w:val="single"/>
        </w:rPr>
      </w:pPr>
    </w:p>
    <w:p w14:paraId="6808F827" w14:textId="77777777" w:rsidR="00CF33D9" w:rsidRDefault="00E3332A">
      <w:pPr>
        <w:jc w:val="both"/>
        <w:rPr>
          <w:rFonts w:ascii="Calibri" w:eastAsia="Calibri" w:hAnsi="Calibri" w:cs="Calibri"/>
          <w:color w:val="000000"/>
          <w:sz w:val="20"/>
          <w:szCs w:val="20"/>
        </w:rPr>
      </w:pPr>
      <w:r>
        <w:rPr>
          <w:rFonts w:ascii="Calibri" w:eastAsia="Calibri" w:hAnsi="Calibri" w:cs="Calibri"/>
          <w:color w:val="000000"/>
          <w:sz w:val="20"/>
          <w:szCs w:val="20"/>
        </w:rPr>
        <w:lastRenderedPageBreak/>
        <w:t>Component 4 faces the following challenges in its implementation: i) unsustainable infrastructure development, such as inadequate facilities for marine activities, transportation and resource management hinder the effective utilisation of marine and coastal resources; ii) inadequate management of natural habitats and resources, such as overfishing, pollution and habitat degradation threaten the productivity of marine and coastal ecosystems; iii) climate change mitigation and adaptation impacts such as rising sea levels, ocean acidification, and extreme weather events affect coastal communities and marine ecosystems; iv) Increasing demand for maritime space for various uses requires an integrated approach to ocean management, thus coordinating multiple activities while ensuring environmental sustainability is a complex task; v) striking a balance between economic growth and ocean ecosystem health is also very challenging.</w:t>
      </w:r>
    </w:p>
    <w:p w14:paraId="6808F828" w14:textId="77777777" w:rsidR="00CF33D9" w:rsidRDefault="00CF33D9">
      <w:pPr>
        <w:jc w:val="both"/>
        <w:rPr>
          <w:rFonts w:ascii="Calibri" w:eastAsia="Calibri" w:hAnsi="Calibri" w:cs="Calibri"/>
          <w:color w:val="000000"/>
          <w:sz w:val="20"/>
          <w:szCs w:val="20"/>
        </w:rPr>
      </w:pPr>
    </w:p>
    <w:p w14:paraId="6808F829" w14:textId="77777777" w:rsidR="00CF33D9" w:rsidRDefault="00E3332A">
      <w:pPr>
        <w:jc w:val="both"/>
        <w:rPr>
          <w:rFonts w:ascii="Calibri" w:eastAsia="Calibri" w:hAnsi="Calibri" w:cs="Calibri"/>
          <w:color w:val="000000"/>
          <w:sz w:val="20"/>
          <w:szCs w:val="20"/>
        </w:rPr>
      </w:pPr>
      <w:r>
        <w:rPr>
          <w:rFonts w:ascii="Calibri" w:eastAsia="Calibri" w:hAnsi="Calibri" w:cs="Calibri"/>
          <w:color w:val="000000"/>
          <w:sz w:val="20"/>
          <w:szCs w:val="20"/>
        </w:rPr>
        <w:t xml:space="preserve">In order to address these challenges, it is necessary to integrate climate-resilient blue economy principles into the existing Strategic Action Programme (SAP) for the BCLME, directly implementing the SAP, promoting regional collaboration and coordination, building capacity and sharing knowledge, across all key stakeholders, encouraging the adoption of Marine Spatial Planning (MSP) principles, and supporting climate-resilient infrastructure projects. </w:t>
      </w:r>
    </w:p>
    <w:p w14:paraId="6808F82A" w14:textId="77777777" w:rsidR="00CF33D9" w:rsidRDefault="00CF33D9">
      <w:pPr>
        <w:jc w:val="both"/>
        <w:rPr>
          <w:rFonts w:ascii="Calibri" w:eastAsia="Calibri" w:hAnsi="Calibri" w:cs="Calibri"/>
          <w:color w:val="000000"/>
          <w:sz w:val="20"/>
          <w:szCs w:val="20"/>
        </w:rPr>
      </w:pPr>
    </w:p>
    <w:p w14:paraId="6808F82B" w14:textId="77777777" w:rsidR="00CF33D9" w:rsidRDefault="00E3332A">
      <w:pPr>
        <w:jc w:val="both"/>
        <w:rPr>
          <w:rFonts w:ascii="Calibri" w:eastAsia="Calibri" w:hAnsi="Calibri" w:cs="Calibri"/>
          <w:sz w:val="20"/>
          <w:szCs w:val="20"/>
        </w:rPr>
      </w:pPr>
      <w:r>
        <w:rPr>
          <w:rFonts w:ascii="Calibri" w:eastAsia="Calibri" w:hAnsi="Calibri" w:cs="Calibri"/>
          <w:color w:val="000000"/>
          <w:sz w:val="20"/>
          <w:szCs w:val="20"/>
        </w:rPr>
        <w:t>Component 4 overall comprises two outcomes</w:t>
      </w:r>
      <w:r>
        <w:rPr>
          <w:rFonts w:ascii="Calibri" w:eastAsia="Calibri" w:hAnsi="Calibri" w:cs="Calibri"/>
          <w:sz w:val="20"/>
          <w:szCs w:val="20"/>
        </w:rPr>
        <w:t>.</w:t>
      </w:r>
      <w:r>
        <w:rPr>
          <w:rFonts w:ascii="Calibri" w:eastAsia="Calibri" w:hAnsi="Calibri" w:cs="Calibri"/>
          <w:color w:val="000000"/>
          <w:sz w:val="20"/>
          <w:szCs w:val="20"/>
        </w:rPr>
        <w:t xml:space="preserve"> </w:t>
      </w:r>
      <w:r>
        <w:rPr>
          <w:rFonts w:ascii="Calibri" w:eastAsia="Calibri" w:hAnsi="Calibri" w:cs="Calibri"/>
          <w:sz w:val="20"/>
          <w:szCs w:val="20"/>
        </w:rPr>
        <w:t xml:space="preserve">The </w:t>
      </w:r>
      <w:r>
        <w:rPr>
          <w:rFonts w:ascii="Calibri" w:eastAsia="Calibri" w:hAnsi="Calibri" w:cs="Calibri"/>
          <w:sz w:val="20"/>
          <w:szCs w:val="20"/>
          <w:u w:val="single"/>
        </w:rPr>
        <w:t>first outcome</w:t>
      </w:r>
      <w:r>
        <w:rPr>
          <w:rFonts w:ascii="Calibri" w:eastAsia="Calibri" w:hAnsi="Calibri" w:cs="Calibri"/>
          <w:sz w:val="20"/>
          <w:szCs w:val="20"/>
        </w:rPr>
        <w:t xml:space="preserve"> will focus on strengthening policy, regulatory and institutional capacity to promote sustainable, innovative financing for the blue/ocean economy (in the context of a circular economy). </w:t>
      </w:r>
      <w:r>
        <w:rPr>
          <w:rFonts w:ascii="Calibri" w:eastAsia="Calibri" w:hAnsi="Calibri" w:cs="Calibri"/>
          <w:color w:val="000000"/>
          <w:sz w:val="20"/>
          <w:szCs w:val="20"/>
        </w:rPr>
        <w:t xml:space="preserve">The activities </w:t>
      </w:r>
      <w:r>
        <w:rPr>
          <w:rFonts w:ascii="Calibri" w:eastAsia="Calibri" w:hAnsi="Calibri" w:cs="Calibri"/>
          <w:sz w:val="20"/>
          <w:szCs w:val="20"/>
        </w:rPr>
        <w:t xml:space="preserve">involve the review of existing policies, legislation and strategies, to identify key strengths, as well as weaknesses and/or gaps in coverage that need to be addressed. This review will also include a rapid review of available finance and financing mechanisms, including rapid consultation with financing actors. Following this review, specific proposals will be developed, as needed, to address gaps or areas where improvements are considered important, and following the drafting of specific proposals, and consultation thereon, these will be presented to the government for discussion and adoption. </w:t>
      </w:r>
      <w:r>
        <w:rPr>
          <w:rFonts w:ascii="Calibri" w:eastAsia="Calibri" w:hAnsi="Calibri" w:cs="Calibri"/>
          <w:color w:val="000000"/>
          <w:sz w:val="20"/>
          <w:szCs w:val="20"/>
        </w:rPr>
        <w:t xml:space="preserve">The </w:t>
      </w:r>
      <w:r>
        <w:rPr>
          <w:rFonts w:ascii="Calibri" w:eastAsia="Calibri" w:hAnsi="Calibri" w:cs="Calibri"/>
          <w:color w:val="000000"/>
          <w:sz w:val="20"/>
          <w:szCs w:val="20"/>
          <w:u w:val="single"/>
        </w:rPr>
        <w:t>second outcom</w:t>
      </w:r>
      <w:r>
        <w:rPr>
          <w:rFonts w:ascii="Calibri" w:eastAsia="Calibri" w:hAnsi="Calibri" w:cs="Calibri"/>
          <w:color w:val="000000"/>
          <w:sz w:val="20"/>
          <w:szCs w:val="20"/>
        </w:rPr>
        <w:t xml:space="preserve">e represents a key facet of sustainable blue/ocean economy financing. Its primary objective is to accelerate the implementation of innovative financial mechanisms specifically tailored to ocean-related endeavours. In doing so, it transcends national boundaries and operates at both national and regional levels. Its scope lies in fostering financial innovation, promoting strategic investments and fostering collaborative efforts. By driving this transition, BCLME IV aims to cultivate a resilient and ethically responsible blue economy that balances economic growth with environmental responsibility. </w:t>
      </w:r>
      <w:r>
        <w:rPr>
          <w:rFonts w:ascii="Calibri" w:eastAsia="Calibri" w:hAnsi="Calibri" w:cs="Calibri"/>
          <w:sz w:val="20"/>
          <w:szCs w:val="20"/>
        </w:rPr>
        <w:t>Outcome 4.2 incentivises regional, national, local and private sector investment in small and medium-sized enterprises (SMEs), pollution reduction and the circular economy. It also seeks to provide a catalytic set of actions that turn sustainable blue economy aspirations into action, ensuring that the BCLME blue economy can thrive in an increasingly financially sustainable manner. It actively promotes the implementation of sustainable financial practices, focusing on the introduction of innovative financial solutions that support ocean-related initiatives. These solutions include novel financing mechanisms, investment models and financial instruments. Within this component, the demonstration project in Namibe area shared by Angola and Namibia will be implemented.</w:t>
      </w:r>
    </w:p>
    <w:p w14:paraId="6808F82C" w14:textId="77777777" w:rsidR="00CF33D9" w:rsidRDefault="00CF33D9">
      <w:pPr>
        <w:jc w:val="both"/>
        <w:rPr>
          <w:rFonts w:ascii="Calibri" w:eastAsia="Calibri" w:hAnsi="Calibri" w:cs="Calibri"/>
          <w:sz w:val="20"/>
          <w:szCs w:val="20"/>
        </w:rPr>
      </w:pPr>
    </w:p>
    <w:p w14:paraId="6808F82D" w14:textId="77777777" w:rsidR="00CF33D9" w:rsidRDefault="00E3332A">
      <w:pPr>
        <w:ind w:right="-46"/>
        <w:jc w:val="both"/>
        <w:rPr>
          <w:rFonts w:ascii="Calibri" w:eastAsia="Calibri" w:hAnsi="Calibri" w:cs="Calibri"/>
          <w:color w:val="000000"/>
          <w:sz w:val="20"/>
          <w:szCs w:val="20"/>
        </w:rPr>
      </w:pPr>
      <w:r>
        <w:rPr>
          <w:rFonts w:ascii="Calibri" w:eastAsia="Calibri" w:hAnsi="Calibri" w:cs="Calibri"/>
          <w:color w:val="000000"/>
          <w:sz w:val="20"/>
          <w:szCs w:val="20"/>
        </w:rPr>
        <w:t>Each outcome has several outputs to be delivered:</w:t>
      </w:r>
    </w:p>
    <w:p w14:paraId="6808F82E" w14:textId="77777777" w:rsidR="00CF33D9" w:rsidRDefault="00CF33D9">
      <w:pPr>
        <w:jc w:val="both"/>
        <w:rPr>
          <w:rFonts w:ascii="Calibri" w:eastAsia="Calibri" w:hAnsi="Calibri" w:cs="Calibri"/>
          <w:color w:val="000000"/>
          <w:sz w:val="20"/>
          <w:szCs w:val="20"/>
        </w:rPr>
      </w:pPr>
    </w:p>
    <w:p w14:paraId="6808F82F" w14:textId="77777777" w:rsidR="00CF33D9" w:rsidRDefault="00E3332A">
      <w:pPr>
        <w:jc w:val="both"/>
        <w:rPr>
          <w:rFonts w:ascii="Calibri" w:eastAsia="Calibri" w:hAnsi="Calibri" w:cs="Calibri"/>
          <w:bCs/>
          <w:iCs/>
          <w:color w:val="000000"/>
          <w:sz w:val="20"/>
          <w:szCs w:val="20"/>
        </w:rPr>
      </w:pPr>
      <w:r>
        <w:rPr>
          <w:rFonts w:ascii="Calibri" w:eastAsia="Calibri" w:hAnsi="Calibri" w:cs="Calibri"/>
          <w:bCs/>
          <w:iCs/>
          <w:color w:val="000000"/>
          <w:sz w:val="20"/>
          <w:szCs w:val="20"/>
        </w:rPr>
        <w:t>Outcome 4.1: Policy, regulatory and institutional capacity for boosting sustainable innovative blue/ocean economy finance strengthened (within the framework of a Circular Economy):</w:t>
      </w:r>
    </w:p>
    <w:p w14:paraId="6808F830" w14:textId="77777777" w:rsidR="00CF33D9" w:rsidRDefault="00CF33D9">
      <w:pPr>
        <w:jc w:val="both"/>
        <w:rPr>
          <w:rFonts w:ascii="Calibri" w:eastAsia="Calibri" w:hAnsi="Calibri" w:cs="Calibri"/>
          <w:color w:val="000000"/>
          <w:sz w:val="20"/>
          <w:szCs w:val="20"/>
        </w:rPr>
      </w:pPr>
    </w:p>
    <w:p w14:paraId="6808F831" w14:textId="77777777" w:rsidR="00CF33D9" w:rsidRDefault="00E3332A">
      <w:pPr>
        <w:pStyle w:val="ListParagraph"/>
        <w:numPr>
          <w:ilvl w:val="0"/>
          <w:numId w:val="22"/>
        </w:numPr>
        <w:ind w:left="426" w:hanging="426"/>
        <w:rPr>
          <w:rFonts w:ascii="Calibri" w:eastAsia="Calibri" w:hAnsi="Calibri" w:cs="Calibri"/>
          <w:bCs/>
          <w:color w:val="000000"/>
          <w:sz w:val="20"/>
          <w:szCs w:val="20"/>
        </w:rPr>
      </w:pPr>
      <w:r>
        <w:rPr>
          <w:rFonts w:ascii="Calibri" w:eastAsia="Calibri" w:hAnsi="Calibri" w:cs="Calibri"/>
          <w:bCs/>
          <w:color w:val="000000"/>
          <w:sz w:val="20"/>
          <w:szCs w:val="20"/>
        </w:rPr>
        <w:t>Output 4.1.1 Policies and strategies for Sustainable Blue/ Ocean Economy finance developed and/or strengthened</w:t>
      </w:r>
    </w:p>
    <w:p w14:paraId="6808F832" w14:textId="77777777" w:rsidR="00CF33D9" w:rsidRDefault="00E3332A">
      <w:pPr>
        <w:pStyle w:val="ListParagraph"/>
        <w:numPr>
          <w:ilvl w:val="0"/>
          <w:numId w:val="22"/>
        </w:numPr>
        <w:ind w:left="426" w:hanging="426"/>
        <w:rPr>
          <w:rFonts w:ascii="Calibri" w:eastAsia="Calibri" w:hAnsi="Calibri" w:cs="Calibri"/>
          <w:bCs/>
          <w:color w:val="000000"/>
          <w:sz w:val="20"/>
          <w:szCs w:val="20"/>
        </w:rPr>
      </w:pPr>
      <w:r>
        <w:rPr>
          <w:rFonts w:ascii="Calibri" w:eastAsia="Calibri" w:hAnsi="Calibri" w:cs="Calibri"/>
          <w:bCs/>
          <w:color w:val="000000"/>
          <w:sz w:val="20"/>
          <w:szCs w:val="20"/>
        </w:rPr>
        <w:t xml:space="preserve">Output 4.1.2: Reinforced public sector (national and regional) and private sector capacities in the design and implementation of bankable Sustainable Blue/ocean economy projects, innovative financing, principles, standards and green investments, among others  </w:t>
      </w:r>
    </w:p>
    <w:p w14:paraId="6808F833" w14:textId="77777777" w:rsidR="00CF33D9" w:rsidRDefault="00CF33D9">
      <w:pPr>
        <w:jc w:val="both"/>
        <w:rPr>
          <w:rFonts w:ascii="Calibri" w:eastAsia="Calibri" w:hAnsi="Calibri" w:cs="Calibri"/>
          <w:b/>
          <w:sz w:val="20"/>
          <w:szCs w:val="20"/>
        </w:rPr>
      </w:pPr>
    </w:p>
    <w:p w14:paraId="6808F834" w14:textId="77777777" w:rsidR="00CF33D9" w:rsidRDefault="00E3332A">
      <w:pPr>
        <w:jc w:val="both"/>
        <w:rPr>
          <w:rFonts w:ascii="Calibri" w:eastAsia="Calibri" w:hAnsi="Calibri" w:cs="Calibri"/>
          <w:bCs/>
          <w:iCs/>
          <w:color w:val="000000"/>
          <w:sz w:val="20"/>
          <w:szCs w:val="20"/>
        </w:rPr>
      </w:pPr>
      <w:r>
        <w:rPr>
          <w:rFonts w:ascii="Calibri" w:eastAsia="Calibri" w:hAnsi="Calibri" w:cs="Calibri"/>
          <w:bCs/>
          <w:iCs/>
          <w:color w:val="000000"/>
          <w:sz w:val="20"/>
          <w:szCs w:val="20"/>
        </w:rPr>
        <w:t>Outcome 4.2: Innovative sustainable blue/ocean finance at national and/or regional levels accelerated:</w:t>
      </w:r>
    </w:p>
    <w:p w14:paraId="6808F835" w14:textId="77777777" w:rsidR="00CF33D9" w:rsidRDefault="00CF33D9">
      <w:pPr>
        <w:rPr>
          <w:rFonts w:ascii="Calibri" w:eastAsia="Calibri" w:hAnsi="Calibri" w:cs="Calibri"/>
          <w:b/>
          <w:color w:val="000000"/>
          <w:sz w:val="20"/>
          <w:szCs w:val="20"/>
        </w:rPr>
      </w:pPr>
    </w:p>
    <w:p w14:paraId="6808F836" w14:textId="77777777" w:rsidR="00CF33D9" w:rsidRDefault="00E3332A">
      <w:pPr>
        <w:pStyle w:val="ListParagraph"/>
        <w:numPr>
          <w:ilvl w:val="0"/>
          <w:numId w:val="23"/>
        </w:numPr>
        <w:ind w:left="426" w:hanging="284"/>
        <w:rPr>
          <w:rFonts w:ascii="Calibri" w:eastAsia="Calibri" w:hAnsi="Calibri" w:cs="Calibri"/>
          <w:bCs/>
          <w:color w:val="000000"/>
          <w:sz w:val="20"/>
          <w:szCs w:val="20"/>
        </w:rPr>
      </w:pPr>
      <w:r>
        <w:rPr>
          <w:rFonts w:ascii="Calibri" w:eastAsia="Calibri" w:hAnsi="Calibri" w:cs="Calibri"/>
          <w:bCs/>
          <w:color w:val="000000"/>
          <w:sz w:val="20"/>
          <w:szCs w:val="20"/>
        </w:rPr>
        <w:lastRenderedPageBreak/>
        <w:t>Output: 4.2.1: Viable sustainable blue/ocean finance mechanisms and tools developed and piloted (including incentives to stimulate regional, national, local and private sector SBE investments, pollution reduction, circular economy etc.)</w:t>
      </w:r>
    </w:p>
    <w:p w14:paraId="6808F837" w14:textId="77777777" w:rsidR="00CF33D9" w:rsidRDefault="00E3332A">
      <w:pPr>
        <w:pStyle w:val="ListParagraph"/>
        <w:numPr>
          <w:ilvl w:val="0"/>
          <w:numId w:val="23"/>
        </w:numPr>
        <w:ind w:left="426" w:hanging="284"/>
        <w:rPr>
          <w:rFonts w:ascii="Calibri" w:eastAsia="Calibri" w:hAnsi="Calibri" w:cs="Calibri"/>
          <w:bCs/>
          <w:color w:val="000000"/>
          <w:sz w:val="20"/>
          <w:szCs w:val="20"/>
        </w:rPr>
      </w:pPr>
      <w:r>
        <w:rPr>
          <w:rFonts w:ascii="Calibri" w:eastAsia="Calibri" w:hAnsi="Calibri" w:cs="Calibri"/>
          <w:bCs/>
          <w:color w:val="000000"/>
          <w:sz w:val="20"/>
          <w:szCs w:val="20"/>
        </w:rPr>
        <w:t>Output 4.2.2 - Feasibility for blue carbon finance assessed and viable options developed (the project will work with NGI to expand kelp harvesting</w:t>
      </w:r>
    </w:p>
    <w:p w14:paraId="6808F838" w14:textId="77777777" w:rsidR="00CF33D9" w:rsidRDefault="00E3332A">
      <w:pPr>
        <w:pStyle w:val="ListParagraph"/>
        <w:numPr>
          <w:ilvl w:val="0"/>
          <w:numId w:val="23"/>
        </w:numPr>
        <w:ind w:left="426" w:hanging="284"/>
        <w:rPr>
          <w:rFonts w:ascii="Calibri" w:eastAsia="Calibri" w:hAnsi="Calibri" w:cs="Calibri"/>
          <w:b/>
          <w:color w:val="000000"/>
          <w:sz w:val="20"/>
          <w:szCs w:val="20"/>
        </w:rPr>
      </w:pPr>
      <w:r>
        <w:rPr>
          <w:rFonts w:ascii="Calibri" w:eastAsia="Calibri" w:hAnsi="Calibri" w:cs="Calibri"/>
          <w:bCs/>
          <w:color w:val="000000"/>
          <w:sz w:val="20"/>
          <w:szCs w:val="20"/>
        </w:rPr>
        <w:t>Output 4.2.3: Blue carbon finance mechanism developed and implemented</w:t>
      </w:r>
    </w:p>
    <w:p w14:paraId="6808F839" w14:textId="77777777" w:rsidR="00CF33D9" w:rsidRDefault="00CF33D9">
      <w:pPr>
        <w:jc w:val="both"/>
        <w:rPr>
          <w:rFonts w:ascii="Calibri" w:eastAsia="Calibri" w:hAnsi="Calibri" w:cs="Calibri"/>
          <w:b/>
          <w:sz w:val="20"/>
          <w:szCs w:val="20"/>
        </w:rPr>
      </w:pPr>
    </w:p>
    <w:p w14:paraId="6808F83A" w14:textId="77777777" w:rsidR="00CF33D9" w:rsidRDefault="00E3332A">
      <w:pPr>
        <w:jc w:val="both"/>
        <w:rPr>
          <w:rFonts w:ascii="Calibri" w:eastAsia="Calibri" w:hAnsi="Calibri" w:cs="Calibri"/>
          <w:b/>
          <w:color w:val="000000"/>
          <w:sz w:val="20"/>
          <w:szCs w:val="20"/>
          <w:u w:val="single"/>
        </w:rPr>
      </w:pPr>
      <w:r>
        <w:rPr>
          <w:rFonts w:ascii="Calibri" w:eastAsia="Calibri" w:hAnsi="Calibri" w:cs="Calibri"/>
          <w:b/>
          <w:color w:val="000000"/>
          <w:sz w:val="20"/>
          <w:szCs w:val="20"/>
          <w:u w:val="single"/>
        </w:rPr>
        <w:t xml:space="preserve">Component 5: Knowledge management, awareness raising and upscaling for Sustainable Blue/Ocean Economy </w:t>
      </w:r>
    </w:p>
    <w:p w14:paraId="6808F83B" w14:textId="77777777" w:rsidR="00CF33D9" w:rsidRDefault="00CF33D9">
      <w:pPr>
        <w:rPr>
          <w:rFonts w:ascii="Calibri" w:hAnsi="Calibri" w:cs="Calibri"/>
          <w:sz w:val="20"/>
          <w:szCs w:val="20"/>
        </w:rPr>
      </w:pPr>
    </w:p>
    <w:p w14:paraId="6808F83C" w14:textId="77777777" w:rsidR="00CF33D9" w:rsidRDefault="00E3332A">
      <w:pPr>
        <w:jc w:val="both"/>
        <w:rPr>
          <w:rFonts w:ascii="Calibri" w:eastAsia="Calibri" w:hAnsi="Calibri" w:cs="Calibri"/>
          <w:color w:val="000000"/>
          <w:sz w:val="20"/>
          <w:szCs w:val="20"/>
          <w:lang w:val="hr-HR"/>
        </w:rPr>
      </w:pPr>
      <w:r>
        <w:rPr>
          <w:rFonts w:ascii="Calibri" w:eastAsia="Calibri" w:hAnsi="Calibri" w:cs="Calibri"/>
          <w:color w:val="000000"/>
          <w:sz w:val="20"/>
          <w:szCs w:val="20"/>
        </w:rPr>
        <w:t xml:space="preserve">This component will support the preparation and dissemination of SBE knowledge products, tools and support services that are based on the outcomes, impacts, benefits and experiences of the SBE project interventions under all components, for use in awareness raising campaigns and upscaling SBE development and growth within and among BCLME countries. Innovative SBE practices, value-added partnerships, successful financing and operating templates, and other relevant knowledge products and technologies from the SBE pilot interventions will be prepared, shared, and upscaled. All knowledge outputs and products will be uploaded to the </w:t>
      </w:r>
      <w:r>
        <w:rPr>
          <w:rFonts w:ascii="Calibri" w:eastAsia="Calibri" w:hAnsi="Calibri" w:cs="Calibri"/>
          <w:sz w:val="20"/>
          <w:szCs w:val="20"/>
        </w:rPr>
        <w:t xml:space="preserve">BCLME Sustainable Blue Economy Knowledge Management Platform. Which will be hosted by the </w:t>
      </w:r>
      <w:r>
        <w:rPr>
          <w:rFonts w:ascii="Calibri" w:eastAsia="Calibri" w:hAnsi="Calibri" w:cs="Calibri"/>
          <w:color w:val="000000"/>
          <w:sz w:val="20"/>
          <w:szCs w:val="20"/>
        </w:rPr>
        <w:t>BCC Regional Integrated Information Management System (RIIMS) for ease of access and sharing, and will be made available for access via partner websites and platforms (above list including SADC, African Union Commission, IW:LEARN and the UN System). This component will also address gaps and strengthen knowledge management for supporting blue/ocean economy decision making, planning, enhancing visibility, access to information, readiness and awareness programs for sustainable blue/ocean economy, including also through building and strengthening linkages to relevant academic and research  institutions in the region (for sharing the scientific research and not participating in it), within BCLME countries and wider, through the Africa LME Caucus IW:LEARN platform. Participation in IW:LEARN activities will be supported by adequate allocations in the project’s budget (1%).</w:t>
      </w:r>
      <w:r>
        <w:rPr>
          <w:rFonts w:ascii="Calibri" w:eastAsia="Calibri" w:hAnsi="Calibri" w:cs="Calibri"/>
          <w:color w:val="000000"/>
          <w:sz w:val="20"/>
          <w:szCs w:val="20"/>
          <w:lang w:val="hr-HR"/>
        </w:rPr>
        <w:t xml:space="preserve"> </w:t>
      </w:r>
      <w:r>
        <w:rPr>
          <w:rFonts w:ascii="Calibri" w:eastAsia="Calibri" w:hAnsi="Calibri" w:cs="Calibri"/>
          <w:color w:val="000000"/>
          <w:sz w:val="20"/>
          <w:szCs w:val="20"/>
        </w:rPr>
        <w:t xml:space="preserve">Finally, this component will </w:t>
      </w:r>
      <w:r>
        <w:rPr>
          <w:rFonts w:ascii="Calibri" w:hAnsi="Calibri" w:cs="Calibri"/>
          <w:color w:val="000000"/>
          <w:sz w:val="20"/>
          <w:szCs w:val="20"/>
        </w:rPr>
        <w:t>address Environmental and Social Safeguards for the project and streamline processes across all project Components. Several plans, assessments, mechanisms, and procedures will be developed or updated, including Environmental and Social Impact Assessment (ESIA), Environmental and Social Management Plans (ESMP), gender action plan, Comprehensive Stakeholder Engagement Plan, and Grievance Redress Mechanism. SES activities will, by enhancing capacity of relevant national, regional and local actors, as well as targeted groups, ensure that they have the required knowledge and skills to actively participate in project interventions, incorporate lessons learned, and uptake good practices contributing, thus to project's sustainability.</w:t>
      </w:r>
    </w:p>
    <w:p w14:paraId="6808F83D" w14:textId="77777777" w:rsidR="00CF33D9" w:rsidRDefault="00CF33D9">
      <w:pPr>
        <w:jc w:val="both"/>
        <w:rPr>
          <w:rFonts w:ascii="Calibri" w:eastAsia="Calibri" w:hAnsi="Calibri" w:cs="Calibri"/>
          <w:color w:val="000000"/>
          <w:sz w:val="20"/>
          <w:szCs w:val="20"/>
        </w:rPr>
      </w:pPr>
    </w:p>
    <w:p w14:paraId="6808F83E" w14:textId="77777777" w:rsidR="00CF33D9" w:rsidRDefault="00E3332A">
      <w:pPr>
        <w:ind w:right="-46"/>
        <w:jc w:val="both"/>
        <w:rPr>
          <w:rFonts w:ascii="Calibri" w:eastAsia="Calibri" w:hAnsi="Calibri" w:cs="Calibri"/>
          <w:color w:val="000000"/>
          <w:sz w:val="20"/>
          <w:szCs w:val="20"/>
        </w:rPr>
      </w:pPr>
      <w:r>
        <w:rPr>
          <w:rFonts w:ascii="Calibri" w:eastAsia="Calibri" w:hAnsi="Calibri" w:cs="Calibri"/>
          <w:color w:val="000000"/>
          <w:sz w:val="20"/>
          <w:szCs w:val="20"/>
        </w:rPr>
        <w:t>Each outcome has several outputs to be delivered:</w:t>
      </w:r>
    </w:p>
    <w:p w14:paraId="6808F83F" w14:textId="77777777" w:rsidR="00CF33D9" w:rsidRDefault="00CF33D9">
      <w:pPr>
        <w:jc w:val="both"/>
        <w:rPr>
          <w:rFonts w:ascii="Calibri" w:eastAsia="Calibri" w:hAnsi="Calibri" w:cs="Calibri"/>
          <w:sz w:val="20"/>
          <w:szCs w:val="20"/>
        </w:rPr>
      </w:pPr>
    </w:p>
    <w:p w14:paraId="6808F840" w14:textId="77777777" w:rsidR="00CF33D9" w:rsidRDefault="00E3332A">
      <w:pPr>
        <w:jc w:val="both"/>
        <w:rPr>
          <w:rFonts w:ascii="Calibri" w:eastAsia="Calibri" w:hAnsi="Calibri" w:cs="Calibri"/>
          <w:bCs/>
          <w:iCs/>
          <w:color w:val="000000"/>
          <w:sz w:val="20"/>
          <w:szCs w:val="20"/>
        </w:rPr>
      </w:pPr>
      <w:r>
        <w:rPr>
          <w:rFonts w:ascii="Calibri" w:eastAsia="Calibri" w:hAnsi="Calibri" w:cs="Calibri"/>
          <w:bCs/>
          <w:iCs/>
          <w:color w:val="000000"/>
          <w:sz w:val="20"/>
          <w:szCs w:val="20"/>
        </w:rPr>
        <w:t>Outcome 5.1: Knowledge management, awareness raising and communication on Sustainable Blue/Ocean Economy</w:t>
      </w:r>
      <w:r>
        <w:rPr>
          <w:rFonts w:ascii="Calibri" w:hAnsi="Calibri" w:cs="Calibri"/>
          <w:color w:val="000000" w:themeColor="text1"/>
          <w:sz w:val="20"/>
          <w:szCs w:val="20"/>
        </w:rPr>
        <w:t>, and Social and Environmental Safeguards</w:t>
      </w:r>
      <w:r>
        <w:rPr>
          <w:rFonts w:ascii="Calibri" w:eastAsia="Calibri" w:hAnsi="Calibri" w:cs="Calibri"/>
          <w:bCs/>
          <w:iCs/>
          <w:color w:val="000000"/>
          <w:sz w:val="20"/>
          <w:szCs w:val="20"/>
        </w:rPr>
        <w:t xml:space="preserve"> in the BCLME region strengthened:</w:t>
      </w:r>
    </w:p>
    <w:p w14:paraId="6808F841" w14:textId="77777777" w:rsidR="00CF33D9" w:rsidRDefault="00CF33D9">
      <w:pPr>
        <w:jc w:val="both"/>
        <w:rPr>
          <w:rFonts w:ascii="Calibri" w:eastAsia="Calibri" w:hAnsi="Calibri" w:cs="Calibri"/>
          <w:bCs/>
          <w:iCs/>
          <w:sz w:val="20"/>
          <w:szCs w:val="20"/>
        </w:rPr>
      </w:pPr>
    </w:p>
    <w:p w14:paraId="6808F842" w14:textId="77777777" w:rsidR="00CF33D9" w:rsidRDefault="00E3332A">
      <w:pPr>
        <w:pStyle w:val="ListParagraph"/>
        <w:numPr>
          <w:ilvl w:val="0"/>
          <w:numId w:val="24"/>
        </w:numPr>
        <w:ind w:left="426" w:hanging="426"/>
        <w:jc w:val="both"/>
        <w:rPr>
          <w:rFonts w:ascii="Calibri" w:eastAsia="Calibri" w:hAnsi="Calibri" w:cs="Calibri"/>
          <w:bCs/>
          <w:sz w:val="20"/>
          <w:szCs w:val="20"/>
        </w:rPr>
      </w:pPr>
      <w:r>
        <w:rPr>
          <w:rFonts w:ascii="Calibri" w:eastAsia="Calibri" w:hAnsi="Calibri" w:cs="Calibri"/>
          <w:bCs/>
          <w:sz w:val="20"/>
          <w:szCs w:val="20"/>
        </w:rPr>
        <w:t>Output 5.1.1</w:t>
      </w:r>
      <w:r>
        <w:rPr>
          <w:rFonts w:ascii="Calibri" w:hAnsi="Calibri" w:cs="Calibri"/>
          <w:color w:val="000000" w:themeColor="text1"/>
          <w:sz w:val="20"/>
          <w:szCs w:val="20"/>
        </w:rPr>
        <w:t>: Strengthened capacities for knowledge management in relation to SBE, ICZM, MSP and MPA, and monitoring Knowledge Management performance</w:t>
      </w:r>
    </w:p>
    <w:p w14:paraId="6808F843" w14:textId="77777777" w:rsidR="00CF33D9" w:rsidRDefault="00E3332A">
      <w:pPr>
        <w:pStyle w:val="ListParagraph"/>
        <w:numPr>
          <w:ilvl w:val="0"/>
          <w:numId w:val="24"/>
        </w:numPr>
        <w:ind w:left="426" w:hanging="426"/>
        <w:jc w:val="both"/>
        <w:rPr>
          <w:rFonts w:ascii="Calibri" w:eastAsia="Calibri" w:hAnsi="Calibri" w:cs="Calibri"/>
          <w:bCs/>
          <w:sz w:val="20"/>
          <w:szCs w:val="20"/>
        </w:rPr>
      </w:pPr>
      <w:r>
        <w:rPr>
          <w:rFonts w:ascii="Calibri" w:eastAsia="Calibri" w:hAnsi="Calibri" w:cs="Calibri"/>
          <w:bCs/>
          <w:color w:val="000000"/>
          <w:sz w:val="20"/>
          <w:szCs w:val="20"/>
        </w:rPr>
        <w:t xml:space="preserve">Output 5.1.2: </w:t>
      </w:r>
      <w:r>
        <w:rPr>
          <w:rFonts w:ascii="Calibri" w:hAnsi="Calibri" w:cs="Calibri"/>
          <w:color w:val="000000" w:themeColor="text1"/>
          <w:sz w:val="20"/>
          <w:szCs w:val="20"/>
        </w:rPr>
        <w:t>Communication and Outreach Programme for awareness raising on Sustainable Blue/ocean economy and implementation of SEP and GAP</w:t>
      </w:r>
    </w:p>
    <w:p w14:paraId="6808F844" w14:textId="77777777" w:rsidR="00CF33D9" w:rsidRDefault="00E3332A">
      <w:pPr>
        <w:pStyle w:val="ListParagraph"/>
        <w:numPr>
          <w:ilvl w:val="0"/>
          <w:numId w:val="24"/>
        </w:numPr>
        <w:ind w:left="426" w:hanging="426"/>
        <w:jc w:val="both"/>
        <w:rPr>
          <w:rFonts w:ascii="Calibri" w:eastAsia="Calibri" w:hAnsi="Calibri" w:cs="Calibri"/>
          <w:bCs/>
          <w:sz w:val="20"/>
          <w:szCs w:val="20"/>
        </w:rPr>
      </w:pPr>
      <w:r>
        <w:rPr>
          <w:rFonts w:ascii="Calibri" w:eastAsia="Calibri" w:hAnsi="Calibri" w:cs="Calibri"/>
          <w:bCs/>
          <w:color w:val="000000"/>
          <w:sz w:val="20"/>
          <w:szCs w:val="20"/>
        </w:rPr>
        <w:t xml:space="preserve">Output 5.1.3: </w:t>
      </w:r>
      <w:r>
        <w:rPr>
          <w:rFonts w:ascii="Calibri" w:hAnsi="Calibri" w:cs="Calibri"/>
          <w:color w:val="000000"/>
          <w:sz w:val="20"/>
          <w:szCs w:val="20"/>
          <w:shd w:val="clear" w:color="auto" w:fill="FFFFFF"/>
        </w:rPr>
        <w:t>Environmental and Social Safeguards Management is developed and operationalized</w:t>
      </w:r>
    </w:p>
    <w:p w14:paraId="6808F845" w14:textId="77777777" w:rsidR="00CF33D9" w:rsidRDefault="00CF33D9">
      <w:pPr>
        <w:jc w:val="both"/>
        <w:rPr>
          <w:rFonts w:ascii="Calibri" w:eastAsia="Calibri" w:hAnsi="Calibri" w:cs="Calibri"/>
          <w:sz w:val="20"/>
          <w:szCs w:val="20"/>
          <w:u w:val="single"/>
        </w:rPr>
      </w:pPr>
    </w:p>
    <w:p w14:paraId="6808F846" w14:textId="77777777" w:rsidR="00CF33D9" w:rsidRDefault="00E3332A">
      <w:pPr>
        <w:jc w:val="both"/>
        <w:rPr>
          <w:rFonts w:ascii="Calibri" w:eastAsia="Calibri" w:hAnsi="Calibri" w:cs="Calibri"/>
          <w:bCs/>
          <w:iCs/>
          <w:color w:val="000000"/>
          <w:sz w:val="20"/>
          <w:szCs w:val="20"/>
        </w:rPr>
      </w:pPr>
      <w:r>
        <w:rPr>
          <w:rFonts w:ascii="Calibri" w:eastAsia="Calibri" w:hAnsi="Calibri" w:cs="Calibri"/>
          <w:bCs/>
          <w:iCs/>
          <w:color w:val="000000"/>
          <w:sz w:val="20"/>
          <w:szCs w:val="20"/>
        </w:rPr>
        <w:t>Outcome 5.2: The upscaling</w:t>
      </w:r>
      <w:r>
        <w:rPr>
          <w:rFonts w:ascii="Calibri" w:eastAsia="Calibri" w:hAnsi="Calibri" w:cs="Calibri"/>
          <w:bCs/>
          <w:iCs/>
          <w:color w:val="000000"/>
          <w:sz w:val="20"/>
          <w:szCs w:val="20"/>
          <w:highlight w:val="yellow"/>
        </w:rPr>
        <w:t xml:space="preserve"> </w:t>
      </w:r>
      <w:r>
        <w:rPr>
          <w:rFonts w:ascii="Calibri" w:eastAsia="Calibri" w:hAnsi="Calibri" w:cs="Calibri"/>
          <w:bCs/>
          <w:iCs/>
          <w:color w:val="000000"/>
          <w:sz w:val="20"/>
          <w:szCs w:val="20"/>
        </w:rPr>
        <w:t>of sustainable</w:t>
      </w:r>
      <w:r>
        <w:rPr>
          <w:rFonts w:ascii="Calibri" w:eastAsia="Calibri" w:hAnsi="Calibri" w:cs="Calibri"/>
          <w:bCs/>
          <w:iCs/>
          <w:color w:val="000000"/>
          <w:sz w:val="20"/>
          <w:szCs w:val="20"/>
          <w:highlight w:val="yellow"/>
        </w:rPr>
        <w:t xml:space="preserve"> </w:t>
      </w:r>
      <w:r>
        <w:rPr>
          <w:rFonts w:ascii="Calibri" w:eastAsia="Calibri" w:hAnsi="Calibri" w:cs="Calibri"/>
          <w:bCs/>
          <w:iCs/>
          <w:color w:val="000000"/>
          <w:sz w:val="20"/>
          <w:szCs w:val="20"/>
        </w:rPr>
        <w:t>and viable  blue/ocean economy interventions is promoted:</w:t>
      </w:r>
    </w:p>
    <w:p w14:paraId="6808F847" w14:textId="77777777" w:rsidR="00CF33D9" w:rsidRDefault="00CF33D9">
      <w:pPr>
        <w:jc w:val="both"/>
        <w:rPr>
          <w:rFonts w:ascii="Calibri" w:eastAsia="Calibri" w:hAnsi="Calibri" w:cs="Calibri"/>
          <w:sz w:val="20"/>
          <w:szCs w:val="20"/>
          <w:u w:val="single"/>
        </w:rPr>
      </w:pPr>
    </w:p>
    <w:p w14:paraId="6808F848" w14:textId="77777777" w:rsidR="00CF33D9" w:rsidRDefault="00E3332A">
      <w:pPr>
        <w:pStyle w:val="ListParagraph"/>
        <w:numPr>
          <w:ilvl w:val="0"/>
          <w:numId w:val="25"/>
        </w:numPr>
        <w:ind w:left="426" w:hanging="426"/>
        <w:jc w:val="both"/>
        <w:rPr>
          <w:rFonts w:ascii="Calibri" w:eastAsia="Calibri" w:hAnsi="Calibri" w:cs="Calibri"/>
          <w:bCs/>
          <w:sz w:val="20"/>
          <w:szCs w:val="20"/>
          <w:u w:val="single"/>
        </w:rPr>
      </w:pPr>
      <w:r>
        <w:rPr>
          <w:rFonts w:ascii="Calibri" w:eastAsia="Calibri" w:hAnsi="Calibri" w:cs="Calibri"/>
          <w:bCs/>
          <w:color w:val="000000"/>
          <w:sz w:val="20"/>
          <w:szCs w:val="20"/>
        </w:rPr>
        <w:t>Output 5.2.1: Communications and knowledge products (information packages, tools and approaches) for upscaling developed and shared with beneficiaries via knowledge-sharing platform</w:t>
      </w:r>
    </w:p>
    <w:p w14:paraId="6808F849" w14:textId="77777777" w:rsidR="00CF33D9" w:rsidRDefault="00E3332A">
      <w:pPr>
        <w:pStyle w:val="ListParagraph"/>
        <w:numPr>
          <w:ilvl w:val="0"/>
          <w:numId w:val="25"/>
        </w:numPr>
        <w:ind w:left="426" w:hanging="426"/>
        <w:jc w:val="both"/>
        <w:rPr>
          <w:rFonts w:ascii="Calibri" w:eastAsia="Calibri" w:hAnsi="Calibri" w:cs="Calibri"/>
          <w:bCs/>
          <w:sz w:val="20"/>
          <w:szCs w:val="20"/>
          <w:u w:val="single"/>
        </w:rPr>
      </w:pPr>
      <w:r>
        <w:rPr>
          <w:rFonts w:ascii="Calibri" w:eastAsia="Calibri" w:hAnsi="Calibri" w:cs="Calibri"/>
          <w:bCs/>
          <w:color w:val="000000"/>
          <w:sz w:val="20"/>
          <w:szCs w:val="20"/>
        </w:rPr>
        <w:t>Output 5.2.2: Sustainable blue/ocean economy practice, knowledge and lessons shared across African LMEs in partnership with IW:LEARN</w:t>
      </w:r>
    </w:p>
    <w:p w14:paraId="6808F84A" w14:textId="77777777" w:rsidR="00CF33D9" w:rsidRDefault="00CF33D9">
      <w:pPr>
        <w:jc w:val="both"/>
        <w:rPr>
          <w:rFonts w:ascii="Calibri" w:eastAsia="Calibri" w:hAnsi="Calibri" w:cs="Calibri"/>
          <w:sz w:val="20"/>
          <w:szCs w:val="20"/>
          <w:u w:val="single"/>
        </w:rPr>
      </w:pPr>
    </w:p>
    <w:p w14:paraId="6808F84B" w14:textId="77777777" w:rsidR="00CF33D9" w:rsidRDefault="00E3332A">
      <w:pPr>
        <w:jc w:val="both"/>
        <w:rPr>
          <w:rFonts w:ascii="Calibri" w:eastAsia="Calibri" w:hAnsi="Calibri" w:cs="Calibri"/>
          <w:b/>
          <w:color w:val="000000"/>
          <w:sz w:val="20"/>
          <w:szCs w:val="20"/>
          <w:u w:val="single"/>
        </w:rPr>
      </w:pPr>
      <w:r>
        <w:rPr>
          <w:rFonts w:ascii="Calibri" w:eastAsia="Calibri" w:hAnsi="Calibri" w:cs="Calibri"/>
          <w:b/>
          <w:color w:val="000000"/>
          <w:sz w:val="20"/>
          <w:szCs w:val="20"/>
        </w:rPr>
        <w:lastRenderedPageBreak/>
        <w:t>Output M&amp;E:  Monitoring and evaluation developed and implemented to ensure adaptive project implementation</w:t>
      </w:r>
    </w:p>
    <w:p w14:paraId="6808F84C" w14:textId="77777777" w:rsidR="00CF33D9" w:rsidRDefault="00CF33D9">
      <w:pPr>
        <w:jc w:val="both"/>
        <w:rPr>
          <w:rFonts w:ascii="Calibri" w:eastAsia="Calibri" w:hAnsi="Calibri" w:cs="Calibri"/>
          <w:b/>
          <w:color w:val="000000"/>
          <w:sz w:val="20"/>
          <w:szCs w:val="20"/>
          <w:u w:val="single"/>
        </w:rPr>
      </w:pPr>
    </w:p>
    <w:p w14:paraId="6808F84D" w14:textId="77777777" w:rsidR="00CF33D9" w:rsidRDefault="00E3332A">
      <w:pPr>
        <w:jc w:val="both"/>
        <w:rPr>
          <w:rFonts w:ascii="Calibri" w:eastAsia="Calibri" w:hAnsi="Calibri" w:cs="Calibri"/>
          <w:color w:val="000000"/>
          <w:sz w:val="20"/>
          <w:szCs w:val="20"/>
        </w:rPr>
      </w:pPr>
      <w:r>
        <w:rPr>
          <w:rFonts w:ascii="Calibri" w:eastAsia="Calibri" w:hAnsi="Calibri" w:cs="Calibri"/>
          <w:color w:val="000000"/>
          <w:sz w:val="20"/>
          <w:szCs w:val="20"/>
        </w:rPr>
        <w:t xml:space="preserve">The M&amp;E plan is presented in section VI of this Project Document including the detailed Results Monitoring Plan, specifying the outcome-level indicators, targets, methods, means of verification and risks and assumptions. It will be revalidated at the Project Inception/PSC meeting. The plan details the expected information to be gathered and specified by the responsible project staff, for the routine monitoring and evaluation to meet GEF and UNDP requirements (e.g. PIRs, quarterly reports, etc.). The M&amp;E plan will ensure that indicators and their targets presented in the Project Results Framework are collected at the required time. </w:t>
      </w:r>
    </w:p>
    <w:p w14:paraId="6808F84E" w14:textId="77777777" w:rsidR="00CF33D9" w:rsidRDefault="00CF33D9">
      <w:pPr>
        <w:jc w:val="both"/>
        <w:rPr>
          <w:rFonts w:ascii="Calibri" w:eastAsia="Calibri" w:hAnsi="Calibri" w:cs="Calibri"/>
          <w:color w:val="000000"/>
          <w:sz w:val="20"/>
          <w:szCs w:val="20"/>
        </w:rPr>
      </w:pPr>
    </w:p>
    <w:p w14:paraId="6808F84F" w14:textId="77777777" w:rsidR="00CF33D9" w:rsidRDefault="00E3332A">
      <w:pPr>
        <w:pStyle w:val="Heading2"/>
        <w:ind w:left="0"/>
        <w:rPr>
          <w:rFonts w:ascii="Calibri" w:hAnsi="Calibri" w:cs="Calibri"/>
          <w:szCs w:val="20"/>
        </w:rPr>
      </w:pPr>
      <w:bookmarkStart w:id="9" w:name="_Toc169739149"/>
      <w:r>
        <w:rPr>
          <w:rFonts w:ascii="Calibri" w:hAnsi="Calibri" w:cs="Calibri"/>
          <w:szCs w:val="20"/>
        </w:rPr>
        <w:t>B</w:t>
      </w:r>
      <w:r>
        <w:rPr>
          <w:rFonts w:ascii="Calibri" w:hAnsi="Calibri" w:cs="Calibri"/>
          <w:szCs w:val="20"/>
        </w:rPr>
        <w:tab/>
        <w:t>Resources required to achieve the expected result</w:t>
      </w:r>
      <w:bookmarkEnd w:id="9"/>
    </w:p>
    <w:p w14:paraId="6808F850" w14:textId="77777777" w:rsidR="00CF33D9" w:rsidRDefault="00CF33D9">
      <w:pPr>
        <w:spacing w:after="60"/>
        <w:jc w:val="both"/>
        <w:rPr>
          <w:rFonts w:ascii="Calibri" w:eastAsia="Calibri" w:hAnsi="Calibri" w:cs="Calibri"/>
          <w:i/>
          <w:sz w:val="20"/>
          <w:szCs w:val="20"/>
          <w:highlight w:val="yellow"/>
        </w:rPr>
      </w:pPr>
    </w:p>
    <w:p w14:paraId="6808F851"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 xml:space="preserve">BCLME IV impact at the regional, national and local levels demands a diverse technical team complemented with efficient coordination and management at the project and programming level. Successful implementation will rely on effective partnership between UNDP, BCC and national and local stakeholders, as well as other partners implementing complementary initiatives in the BCLME region. It will also leverage the quality assurance and technical capacity of other parts of UNDP including the Regional Hub. </w:t>
      </w:r>
      <w:r>
        <w:rPr>
          <w:rFonts w:ascii="Calibri" w:eastAsia="Calibri" w:hAnsi="Calibri" w:cs="Calibri"/>
          <w:color w:val="000000"/>
          <w:sz w:val="20"/>
          <w:szCs w:val="20"/>
        </w:rPr>
        <w:t>UNDP Country Office in Namibia will support compliance and quality of project work, particularly supervision, field visits, review of reports and other project documents according to standards and framework agreements of UNDP and the donor; audit planning and coordination; planning and coordination of the evaluation and identification of lessons learned; and assurance of project compliance with UNDP policies and procedures.</w:t>
      </w:r>
    </w:p>
    <w:p w14:paraId="6808F852" w14:textId="77777777" w:rsidR="00CF33D9" w:rsidRDefault="00CF33D9">
      <w:pPr>
        <w:jc w:val="both"/>
        <w:rPr>
          <w:rFonts w:ascii="Calibri" w:eastAsia="Calibri" w:hAnsi="Calibri" w:cs="Calibri"/>
          <w:sz w:val="20"/>
          <w:szCs w:val="20"/>
        </w:rPr>
      </w:pPr>
    </w:p>
    <w:p w14:paraId="6808F853"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 xml:space="preserve">The project has successfully mobilised a total of USD 10,484,931 as a grant from GEF, but also USD 55,561,027.52 in co-financing from various project partners and other organisations that are implementing complementary activities in the BCLME region. It is estimated that the above resources are enough to make progress towards implementing changes in the pathways indicated in the project’s Theory of Change. </w:t>
      </w:r>
    </w:p>
    <w:p w14:paraId="6808F854" w14:textId="77777777" w:rsidR="00CF33D9" w:rsidRDefault="00CF33D9">
      <w:pPr>
        <w:jc w:val="both"/>
        <w:rPr>
          <w:rFonts w:ascii="Calibri" w:eastAsia="Calibri" w:hAnsi="Calibri" w:cs="Calibri"/>
          <w:sz w:val="20"/>
          <w:szCs w:val="20"/>
        </w:rPr>
      </w:pPr>
    </w:p>
    <w:p w14:paraId="6808F855"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Resources have been budgeted to provide required technical support. To do so, project management need to have the ability to recruit highly skilled professionals that will be able to carry out tasks required by the project’s objectives and expected outcomes. This is specifically important for the parts of the project’s programme related to the activities that will bring successful transition to SBE. Additionally, sizable resources have been allotted to provide ongoing capacity development support to partners. Experience has shown that this requires close mentoring and engagement with partners. Substantial resources have also been allocated to supporting community engagement work. BCC is offering material support to the implementation of the project, in particular by hosting the PCU but also by providing the technical and administrative support to the implementation of the project.</w:t>
      </w:r>
    </w:p>
    <w:p w14:paraId="6808F856" w14:textId="77777777" w:rsidR="00CF33D9" w:rsidRDefault="00CF33D9">
      <w:pPr>
        <w:jc w:val="both"/>
        <w:rPr>
          <w:rFonts w:ascii="Calibri" w:eastAsia="Calibri" w:hAnsi="Calibri" w:cs="Calibri"/>
          <w:color w:val="000000"/>
          <w:sz w:val="20"/>
          <w:szCs w:val="20"/>
        </w:rPr>
      </w:pPr>
    </w:p>
    <w:p w14:paraId="6808F857" w14:textId="77777777" w:rsidR="00CF33D9" w:rsidRDefault="00E3332A">
      <w:pPr>
        <w:pStyle w:val="Heading2"/>
        <w:ind w:left="0"/>
        <w:rPr>
          <w:rFonts w:ascii="Calibri" w:hAnsi="Calibri" w:cs="Calibri"/>
          <w:i/>
          <w:szCs w:val="20"/>
        </w:rPr>
      </w:pPr>
      <w:bookmarkStart w:id="10" w:name="_Toc169739150"/>
      <w:r>
        <w:rPr>
          <w:rFonts w:ascii="Calibri" w:hAnsi="Calibri" w:cs="Calibri"/>
          <w:szCs w:val="20"/>
        </w:rPr>
        <w:t>C</w:t>
      </w:r>
      <w:r>
        <w:rPr>
          <w:rFonts w:ascii="Calibri" w:hAnsi="Calibri" w:cs="Calibri"/>
          <w:szCs w:val="20"/>
        </w:rPr>
        <w:tab/>
        <w:t>Partnerships</w:t>
      </w:r>
      <w:bookmarkEnd w:id="10"/>
      <w:r>
        <w:rPr>
          <w:rFonts w:ascii="Calibri" w:hAnsi="Calibri" w:cs="Calibri"/>
          <w:i/>
          <w:szCs w:val="20"/>
        </w:rPr>
        <w:t xml:space="preserve"> </w:t>
      </w:r>
    </w:p>
    <w:p w14:paraId="6808F858" w14:textId="77777777" w:rsidR="00CF33D9" w:rsidRDefault="00CF33D9">
      <w:pPr>
        <w:rPr>
          <w:rFonts w:ascii="Calibri" w:eastAsia="Calibri" w:hAnsi="Calibri" w:cs="Calibri"/>
          <w:color w:val="000000"/>
          <w:sz w:val="20"/>
          <w:szCs w:val="20"/>
        </w:rPr>
      </w:pPr>
    </w:p>
    <w:p w14:paraId="6808F859" w14:textId="77777777" w:rsidR="00CF33D9" w:rsidRDefault="00E3332A">
      <w:pPr>
        <w:jc w:val="both"/>
        <w:rPr>
          <w:rFonts w:ascii="Calibri" w:hAnsi="Calibri" w:cs="Calibri"/>
          <w:sz w:val="20"/>
          <w:szCs w:val="20"/>
        </w:rPr>
      </w:pPr>
      <w:r>
        <w:rPr>
          <w:rFonts w:ascii="Calibri" w:eastAsia="Calibri" w:hAnsi="Calibri" w:cs="Calibri"/>
          <w:sz w:val="20"/>
          <w:szCs w:val="20"/>
        </w:rPr>
        <w:t>The BCLME</w:t>
      </w:r>
      <w:r>
        <w:rPr>
          <w:rFonts w:ascii="Calibri" w:eastAsia="Calibri" w:hAnsi="Calibri" w:cs="Calibri"/>
          <w:color w:val="000000"/>
          <w:sz w:val="20"/>
          <w:szCs w:val="20"/>
        </w:rPr>
        <w:t xml:space="preserve"> IV project aims to work with a number of development partners. There is a core set of partners, whose work programs during the life of BCLME IV form an extensive baseline of capacity-development or information management activities to support it. The core project partners will be involved directly in the implementation of the project, and will be responsible for its implementation as a whole.</w:t>
      </w:r>
    </w:p>
    <w:p w14:paraId="6808F85A" w14:textId="77777777" w:rsidR="00CF33D9" w:rsidRDefault="00CF33D9">
      <w:pPr>
        <w:rPr>
          <w:rFonts w:ascii="Calibri" w:hAnsi="Calibri" w:cs="Calibri"/>
          <w:sz w:val="20"/>
          <w:szCs w:val="20"/>
        </w:rPr>
      </w:pPr>
    </w:p>
    <w:p w14:paraId="6808F85B" w14:textId="77777777" w:rsidR="00CF33D9" w:rsidRDefault="00E3332A">
      <w:pPr>
        <w:jc w:val="both"/>
        <w:rPr>
          <w:rFonts w:ascii="Calibri" w:hAnsi="Calibri" w:cs="Calibri"/>
          <w:sz w:val="20"/>
          <w:szCs w:val="20"/>
        </w:rPr>
      </w:pPr>
      <w:r>
        <w:rPr>
          <w:rFonts w:ascii="Calibri" w:eastAsia="Calibri" w:hAnsi="Calibri" w:cs="Calibri"/>
          <w:b/>
          <w:color w:val="000000"/>
          <w:sz w:val="20"/>
          <w:szCs w:val="20"/>
        </w:rPr>
        <w:t>UNDP</w:t>
      </w:r>
      <w:r>
        <w:rPr>
          <w:rFonts w:ascii="Calibri" w:eastAsia="Calibri" w:hAnsi="Calibri" w:cs="Calibri"/>
          <w:color w:val="000000"/>
          <w:sz w:val="20"/>
          <w:szCs w:val="20"/>
        </w:rPr>
        <w:t xml:space="preserve"> will be the GEF agency responsible for the project. Its comparative advantage for the GEF lies in its global network of country offices, its experience in integrated policy development, human resources development, institutional strengthening, and non‐governmental and community participation. UNDP assists countries in promoting, designing and implementing activities consistent with both the GEF mandate and national sustainable development plans. IN the BCLME IV project, the UNDP Country Office in Namibia will be supporting the project implementation by offering quality assurance functions, but also, through its </w:t>
      </w:r>
      <w:r>
        <w:rPr>
          <w:rFonts w:ascii="Calibri" w:eastAsia="Calibri" w:hAnsi="Calibri" w:cs="Calibri"/>
          <w:color w:val="000000"/>
          <w:sz w:val="20"/>
          <w:szCs w:val="20"/>
        </w:rPr>
        <w:lastRenderedPageBreak/>
        <w:t xml:space="preserve">Regional Hub, providing the technical assistance and exchange of experience with other regions that are implementing similar line of activities as the BCLME IV project. </w:t>
      </w:r>
    </w:p>
    <w:p w14:paraId="6808F85C" w14:textId="77777777" w:rsidR="00CF33D9" w:rsidRDefault="00CF33D9">
      <w:pPr>
        <w:jc w:val="both"/>
        <w:rPr>
          <w:rFonts w:ascii="Calibri" w:eastAsia="Calibri" w:hAnsi="Calibri" w:cs="Calibri"/>
          <w:i/>
          <w:sz w:val="20"/>
          <w:szCs w:val="20"/>
        </w:rPr>
      </w:pPr>
    </w:p>
    <w:p w14:paraId="6808F85D" w14:textId="77777777" w:rsidR="00CF33D9" w:rsidRDefault="00E3332A">
      <w:pPr>
        <w:spacing w:after="120"/>
        <w:jc w:val="both"/>
        <w:rPr>
          <w:rFonts w:ascii="Calibri" w:hAnsi="Calibri" w:cs="Calibri"/>
          <w:color w:val="000000"/>
          <w:sz w:val="20"/>
          <w:szCs w:val="20"/>
        </w:rPr>
      </w:pPr>
      <w:r>
        <w:rPr>
          <w:rFonts w:ascii="Calibri" w:eastAsia="Calibri" w:hAnsi="Calibri" w:cs="Calibri"/>
          <w:b/>
          <w:color w:val="000000"/>
          <w:sz w:val="20"/>
          <w:szCs w:val="20"/>
        </w:rPr>
        <w:t xml:space="preserve">BCC </w:t>
      </w:r>
      <w:r>
        <w:rPr>
          <w:rFonts w:ascii="Calibri" w:eastAsia="Calibri" w:hAnsi="Calibri" w:cs="Calibri"/>
          <w:color w:val="000000"/>
          <w:sz w:val="20"/>
          <w:szCs w:val="20"/>
        </w:rPr>
        <w:t xml:space="preserve">will </w:t>
      </w:r>
      <w:r>
        <w:rPr>
          <w:rFonts w:ascii="Calibri" w:eastAsia="Calibri" w:hAnsi="Calibri" w:cs="Calibri"/>
          <w:sz w:val="20"/>
          <w:szCs w:val="20"/>
        </w:rPr>
        <w:t>be the executing</w:t>
      </w:r>
      <w:r>
        <w:rPr>
          <w:rFonts w:ascii="Calibri" w:eastAsia="Calibri" w:hAnsi="Calibri" w:cs="Calibri"/>
          <w:color w:val="000000"/>
          <w:sz w:val="20"/>
          <w:szCs w:val="20"/>
        </w:rPr>
        <w:t xml:space="preserve"> partner of the project. The Commission’s primary function is coordinating the implementation of the SAP, which is also one of the principal objectives of the BCLME IV project. By performing this function and being the host of the PCU, BCC is a critical partner for the project’s implementation. Its role as a coordinator of SAP implementation is particularly important for the implementation of Components 1, 2 and 3 of the project, which primarily focus on strengthening the marine and coastal resource base for the successful transition to SBE in the BCLME IV region.</w:t>
      </w:r>
    </w:p>
    <w:p w14:paraId="6808F85E" w14:textId="77777777" w:rsidR="00CF33D9" w:rsidRDefault="00E333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libri" w:eastAsia="Calibri" w:hAnsi="Calibri" w:cs="Calibri"/>
          <w:color w:val="000000"/>
          <w:sz w:val="20"/>
          <w:szCs w:val="20"/>
        </w:rPr>
      </w:pPr>
      <w:r>
        <w:rPr>
          <w:rFonts w:ascii="Calibri" w:eastAsia="Calibri" w:hAnsi="Calibri" w:cs="Calibri"/>
          <w:color w:val="000000"/>
          <w:sz w:val="20"/>
          <w:szCs w:val="20"/>
        </w:rPr>
        <w:t xml:space="preserve">Other partners involved will include, </w:t>
      </w:r>
      <w:r>
        <w:rPr>
          <w:rFonts w:ascii="Calibri" w:eastAsia="Calibri" w:hAnsi="Calibri" w:cs="Calibri"/>
          <w:i/>
          <w:color w:val="000000"/>
          <w:sz w:val="20"/>
          <w:szCs w:val="20"/>
        </w:rPr>
        <w:t>inter alia</w:t>
      </w:r>
      <w:r>
        <w:rPr>
          <w:rFonts w:ascii="Calibri" w:eastAsia="Calibri" w:hAnsi="Calibri" w:cs="Calibri"/>
          <w:color w:val="000000"/>
          <w:sz w:val="20"/>
          <w:szCs w:val="20"/>
        </w:rPr>
        <w:t xml:space="preserve">, the following: </w:t>
      </w:r>
    </w:p>
    <w:p w14:paraId="6808F85F" w14:textId="77777777" w:rsidR="00CF33D9" w:rsidRDefault="00CF33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libri" w:eastAsia="Calibri" w:hAnsi="Calibri" w:cs="Calibri"/>
          <w:color w:val="000000"/>
          <w:sz w:val="20"/>
          <w:szCs w:val="20"/>
        </w:rPr>
      </w:pPr>
    </w:p>
    <w:p w14:paraId="6808F860" w14:textId="77777777" w:rsidR="00CF33D9" w:rsidRDefault="00E3332A">
      <w:pPr>
        <w:numPr>
          <w:ilvl w:val="0"/>
          <w:numId w:val="2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26" w:hanging="426"/>
        <w:jc w:val="both"/>
        <w:rPr>
          <w:rFonts w:ascii="Calibri" w:eastAsia="Calibri" w:hAnsi="Calibri" w:cs="Calibri"/>
          <w:color w:val="000000"/>
          <w:sz w:val="20"/>
          <w:szCs w:val="20"/>
        </w:rPr>
      </w:pPr>
      <w:r>
        <w:rPr>
          <w:rFonts w:ascii="Calibri" w:eastAsia="Calibri" w:hAnsi="Calibri" w:cs="Calibri"/>
          <w:color w:val="000000"/>
          <w:sz w:val="20"/>
          <w:szCs w:val="20"/>
        </w:rPr>
        <w:t xml:space="preserve">The </w:t>
      </w:r>
      <w:r>
        <w:rPr>
          <w:rFonts w:ascii="Calibri" w:eastAsia="Calibri" w:hAnsi="Calibri" w:cs="Calibri"/>
          <w:b/>
          <w:color w:val="000000"/>
          <w:sz w:val="20"/>
          <w:szCs w:val="20"/>
        </w:rPr>
        <w:t>Namibia Nature Foundation</w:t>
      </w:r>
      <w:r>
        <w:rPr>
          <w:rFonts w:ascii="Calibri" w:eastAsia="Calibri" w:hAnsi="Calibri" w:cs="Calibri"/>
          <w:color w:val="000000"/>
          <w:sz w:val="20"/>
          <w:szCs w:val="20"/>
        </w:rPr>
        <w:t xml:space="preserve"> (NNF) will contribute to the work to be covered in the demo project in Namibia under Component 1 as it is focusing on improving the socio-economics of the Islands MPA (NIMPA);</w:t>
      </w:r>
    </w:p>
    <w:p w14:paraId="6808F861" w14:textId="77777777" w:rsidR="00CF33D9" w:rsidRDefault="00E3332A">
      <w:pPr>
        <w:numPr>
          <w:ilvl w:val="0"/>
          <w:numId w:val="2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26" w:hanging="426"/>
        <w:jc w:val="both"/>
        <w:rPr>
          <w:rFonts w:ascii="Calibri" w:eastAsia="Calibri" w:hAnsi="Calibri" w:cs="Calibri"/>
          <w:color w:val="000000"/>
          <w:sz w:val="20"/>
          <w:szCs w:val="20"/>
        </w:rPr>
      </w:pPr>
      <w:r>
        <w:rPr>
          <w:rFonts w:ascii="Calibri" w:eastAsia="Calibri" w:hAnsi="Calibri" w:cs="Calibri"/>
          <w:sz w:val="20"/>
          <w:szCs w:val="20"/>
        </w:rPr>
        <w:t>One important partner to the project will be the United Nations Trade and Development (</w:t>
      </w:r>
      <w:r>
        <w:rPr>
          <w:rFonts w:ascii="Calibri" w:eastAsia="Calibri" w:hAnsi="Calibri" w:cs="Calibri"/>
          <w:b/>
          <w:sz w:val="20"/>
          <w:szCs w:val="20"/>
        </w:rPr>
        <w:t>UNCTAD</w:t>
      </w:r>
      <w:r>
        <w:rPr>
          <w:rFonts w:ascii="Calibri" w:eastAsia="Calibri" w:hAnsi="Calibri" w:cs="Calibri"/>
          <w:sz w:val="20"/>
          <w:szCs w:val="20"/>
        </w:rPr>
        <w:t xml:space="preserve">), which is addressing the issue of coastal fisheries in Angola with a view to bringing the practice of fisheries and mariculture in line with the principles of SBE. Its initiative is tackling the issues of MSP, mapping the Blue Economy actors, fisheries stock assessment, capacity building, investment policies for SBE, targeting production to meet market demand, ensuring the safety and quality of fisheries products, and supporting the private sector. The partnership with UNCTAD will specifically be linked to the activities in Components 2 and 4 and in particular related to demo projects in Barra Do Dande and </w:t>
      </w:r>
      <w:r>
        <w:rPr>
          <w:rFonts w:ascii="Calibri" w:eastAsia="Calibri" w:hAnsi="Calibri" w:cs="Calibri"/>
          <w:color w:val="363636"/>
          <w:sz w:val="20"/>
          <w:szCs w:val="20"/>
        </w:rPr>
        <w:t>Mussulo-Kwanza-Cabo Ledo Complex (Component 2) and Namibe (Component 4).</w:t>
      </w:r>
    </w:p>
    <w:p w14:paraId="6808F862" w14:textId="77777777" w:rsidR="00CF33D9" w:rsidRDefault="00CF33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libri" w:eastAsia="Calibri" w:hAnsi="Calibri" w:cs="Calibri"/>
          <w:color w:val="000000"/>
          <w:sz w:val="20"/>
          <w:szCs w:val="20"/>
        </w:rPr>
      </w:pPr>
    </w:p>
    <w:p w14:paraId="6808F863" w14:textId="77777777" w:rsidR="00CF33D9" w:rsidRDefault="00E3332A">
      <w:pPr>
        <w:pStyle w:val="Heading2"/>
        <w:ind w:left="0"/>
        <w:rPr>
          <w:rFonts w:ascii="Calibri" w:hAnsi="Calibri" w:cs="Calibri"/>
          <w:i/>
          <w:szCs w:val="20"/>
        </w:rPr>
      </w:pPr>
      <w:bookmarkStart w:id="11" w:name="_Toc169739151"/>
      <w:r>
        <w:rPr>
          <w:rFonts w:ascii="Calibri" w:hAnsi="Calibri" w:cs="Calibri"/>
          <w:szCs w:val="20"/>
        </w:rPr>
        <w:t>D</w:t>
      </w:r>
      <w:r>
        <w:rPr>
          <w:rFonts w:ascii="Calibri" w:hAnsi="Calibri" w:cs="Calibri"/>
          <w:szCs w:val="20"/>
        </w:rPr>
        <w:tab/>
        <w:t>Risks and Assumptions</w:t>
      </w:r>
      <w:bookmarkEnd w:id="11"/>
    </w:p>
    <w:p w14:paraId="6808F864" w14:textId="77777777" w:rsidR="00CF33D9" w:rsidRDefault="00CF33D9">
      <w:pPr>
        <w:spacing w:after="60"/>
        <w:jc w:val="both"/>
        <w:rPr>
          <w:rFonts w:ascii="Calibri" w:eastAsia="Calibri" w:hAnsi="Calibri" w:cs="Calibri"/>
          <w:i/>
          <w:sz w:val="20"/>
          <w:szCs w:val="20"/>
        </w:rPr>
      </w:pPr>
    </w:p>
    <w:p w14:paraId="6808F865" w14:textId="77777777" w:rsidR="00CF33D9" w:rsidRDefault="00E3332A">
      <w:pPr>
        <w:jc w:val="both"/>
        <w:rPr>
          <w:rFonts w:ascii="Calibri" w:hAnsi="Calibri" w:cs="Calibri"/>
          <w:sz w:val="20"/>
          <w:szCs w:val="20"/>
        </w:rPr>
      </w:pPr>
      <w:r>
        <w:rPr>
          <w:rFonts w:ascii="Calibri" w:hAnsi="Calibri" w:cs="Calibri"/>
          <w:color w:val="000000"/>
          <w:sz w:val="20"/>
          <w:szCs w:val="20"/>
        </w:rPr>
        <w:t>The overall project risk categorization is substantial. The project activities are designed to ensure that there is minimal or no risks of adverse social or environmental impacts. During the project design stage, the social and environmental screening (UNDP SESP) was updated (see Annex 6) and an ESMF was developed (see Annex 10). In addition, a Comprehensive Stakeholder Engagement Plan (see Annex 9) was developed. During project inception the ESMF will be finalized/updated in order to ensure that all affected indigenous peoples and other local stakeholders are fully consulted prior to the implementation phase. Although no Indigenous Peoples were identified in the Stakeholder Analysis during PPG, a deeper analysis will be carried out during the project’s inception. If indigenous peoples are identified in the project’s area, in this analysis an Indigenous Peoples Planning Framework (IPPF) and Indigenous Peoples Plan (IPP) will be included in the ESMF. An ESIA/ESMP will be developed once the final decision on the selected sites and demonstration activities is reached during the inception phase. The baseline study of the ESIA will identify the individuals who would be adversely affected by these project activities, not only in terms of their traditional subsistence practices but also in terms of their traditional knowledge and use of ritual space in the restricted areas.</w:t>
      </w:r>
    </w:p>
    <w:p w14:paraId="6808F866" w14:textId="77777777" w:rsidR="00CF33D9" w:rsidRDefault="00CF33D9">
      <w:pPr>
        <w:rPr>
          <w:rFonts w:ascii="Calibri" w:hAnsi="Calibri" w:cs="Calibri"/>
          <w:sz w:val="20"/>
          <w:szCs w:val="20"/>
        </w:rPr>
      </w:pPr>
    </w:p>
    <w:p w14:paraId="6808F867" w14:textId="77777777" w:rsidR="00CF33D9" w:rsidRDefault="00E3332A">
      <w:pPr>
        <w:jc w:val="both"/>
        <w:rPr>
          <w:rFonts w:ascii="Calibri" w:hAnsi="Calibri" w:cs="Calibri"/>
          <w:sz w:val="20"/>
          <w:szCs w:val="20"/>
        </w:rPr>
      </w:pPr>
      <w:r>
        <w:rPr>
          <w:rFonts w:ascii="Calibri" w:hAnsi="Calibri" w:cs="Calibri"/>
          <w:color w:val="000000"/>
          <w:sz w:val="20"/>
          <w:szCs w:val="20"/>
        </w:rPr>
        <w:t xml:space="preserve">Also, in cases where restrictions to access resources within MPA are planned, a Process Framework will be implemented to establish dialogue and negotiation with local communities. The PF will be the basis for preparing a Livelihood Action Plan (LAP). Economic displacement outside MPAs will be managed through a LAP. The LAP will include compensation packages for affected individuals, ensuring the same or better income and livelihood status. To understand and assess these potential impacts on the intangible cultural component further, an intangible Cultural Heritage Impact Assessment (CHIA) will be carried out. The Cultural Heritage Management Plan (CHMP) will include the appropriate management measures. As per standard UNDP requirements, the Project Manager will monitor risks quarterly and report on the status of risks to the UNDP Country Office. The UNDP Country Office will record progress in the UNDP ATLAS risk register. Risks will be reported as critical when the impact and probability are high (i.e., when impact is rated as 5, and when impact is rated as 4 and probability is rated at 3 or higher). Management responses to critical risks, as well as environmental and social grievances will also be reported to the GEF in the annual PIR. </w:t>
      </w:r>
    </w:p>
    <w:p w14:paraId="6808F868" w14:textId="77777777" w:rsidR="00CF33D9" w:rsidRDefault="00CF33D9">
      <w:pPr>
        <w:rPr>
          <w:rFonts w:ascii="Calibri" w:hAnsi="Calibri" w:cs="Calibri"/>
          <w:sz w:val="20"/>
          <w:szCs w:val="20"/>
        </w:rPr>
      </w:pPr>
    </w:p>
    <w:p w14:paraId="6808F869" w14:textId="77777777" w:rsidR="00CF33D9" w:rsidRDefault="00E3332A">
      <w:pPr>
        <w:pStyle w:val="Heading2"/>
        <w:ind w:left="0"/>
        <w:rPr>
          <w:rFonts w:ascii="Calibri" w:hAnsi="Calibri" w:cs="Calibri"/>
          <w:szCs w:val="20"/>
        </w:rPr>
      </w:pPr>
      <w:bookmarkStart w:id="12" w:name="_Toc169739152"/>
      <w:r>
        <w:rPr>
          <w:rFonts w:ascii="Calibri" w:hAnsi="Calibri" w:cs="Calibri"/>
          <w:szCs w:val="20"/>
        </w:rPr>
        <w:lastRenderedPageBreak/>
        <w:t>E</w:t>
      </w:r>
      <w:r>
        <w:rPr>
          <w:rFonts w:ascii="Calibri" w:hAnsi="Calibri" w:cs="Calibri"/>
          <w:szCs w:val="20"/>
        </w:rPr>
        <w:tab/>
        <w:t>Stakeholder engagement</w:t>
      </w:r>
      <w:bookmarkEnd w:id="12"/>
    </w:p>
    <w:p w14:paraId="6808F86A" w14:textId="77777777" w:rsidR="00CF33D9" w:rsidRDefault="00CF33D9">
      <w:pPr>
        <w:spacing w:line="276" w:lineRule="auto"/>
        <w:jc w:val="both"/>
        <w:rPr>
          <w:rFonts w:ascii="Calibri" w:eastAsia="Calibri" w:hAnsi="Calibri" w:cs="Calibri"/>
          <w:sz w:val="20"/>
          <w:szCs w:val="20"/>
        </w:rPr>
      </w:pPr>
    </w:p>
    <w:p w14:paraId="6808F86B"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The realisation of effective adaptive management within a Large Marine Ecosystem requires a comprehensive stakeholder engagement strategy that is rolled out throughout the project lifespan in accordance with the principle of “</w:t>
      </w:r>
      <w:r>
        <w:rPr>
          <w:rFonts w:ascii="Calibri" w:eastAsia="Calibri" w:hAnsi="Calibri" w:cs="Calibri"/>
          <w:i/>
          <w:sz w:val="20"/>
          <w:szCs w:val="20"/>
        </w:rPr>
        <w:t>leaving no one behind</w:t>
      </w:r>
      <w:r>
        <w:rPr>
          <w:rFonts w:ascii="Calibri" w:eastAsia="Calibri" w:hAnsi="Calibri" w:cs="Calibri"/>
          <w:sz w:val="20"/>
          <w:szCs w:val="20"/>
        </w:rPr>
        <w:t>”. Effective stakeholder participation improves project ownership and acceptance; and strengthens the social and environmental sustainability and benefits of supported project interventions, particularly with civil society, indigenous people, communities and the private sector. For purposes of maintaining an inclusive integration of stakeholders, a stakeholder analysis was carried out to support the future implementation of the project.</w:t>
      </w:r>
    </w:p>
    <w:p w14:paraId="6808F86C" w14:textId="77777777" w:rsidR="00CF33D9" w:rsidRDefault="00CF33D9">
      <w:pPr>
        <w:jc w:val="both"/>
        <w:rPr>
          <w:rFonts w:ascii="Calibri" w:eastAsia="Calibri" w:hAnsi="Calibri" w:cs="Calibri"/>
          <w:sz w:val="20"/>
          <w:szCs w:val="20"/>
        </w:rPr>
      </w:pPr>
    </w:p>
    <w:p w14:paraId="6808F86D"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BCC stakeholders come from a wide range of different sectors and levels of power, from the government ministries, industries, researchers, and to the interested coastal community members. Furthermore, these stakeholders are scattered throughout three different countries, adding another level of complexity to any plans for their involvement. However, the right participation mechanisms can address these challenges and ensure effective stakeholder participation in the project throughout and beyond its lifespan. The PPG process builds on the historical work of the BCLME Programs that have been ongoing since the late 1990s. As a result, stakeholders have already been identified and categorised from each of the three countries. The just ended BCLME III Project supported various governance structures as part of strengthening ocean governance, including establishment of inter-sectoral committees on blue economy. These structures will be augmented with civil society and private sector participation, to reach more stakeholders during implementation of the project.</w:t>
      </w:r>
    </w:p>
    <w:p w14:paraId="6808F86E" w14:textId="77777777" w:rsidR="00CF33D9" w:rsidRDefault="00CF33D9">
      <w:pPr>
        <w:jc w:val="both"/>
        <w:rPr>
          <w:rFonts w:ascii="Calibri" w:eastAsia="Calibri" w:hAnsi="Calibri" w:cs="Calibri"/>
          <w:sz w:val="20"/>
          <w:szCs w:val="20"/>
        </w:rPr>
      </w:pPr>
    </w:p>
    <w:p w14:paraId="6808F86F"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The involvement of the local communities in the pilot demonstration activities is essential to the success of the project in order to ensure smooth collaboration between project staff and local communities and to minimise and mitigate environmental and social risks related to the proposed project activities. Particular attention will be given to each group of stakeholders to maximise their involvement and support of the project. The Stakeholder Engagement Plan (SEP) outlines the approaches in which the project team shall communicate with stakeholders and includes a mechanism by which people can raise concerns, provide feedback, or make complaints about the project and any activities related to the project. In accordance with the UNDP policies; environmental and social safeguards, a response mechanism for the concerned interested parties or a Grievance Redress Mechanism (GRM) to guarantee that persons, indigenous peoples and local communities impacted by the project have access to adequate procedures for dispute resolution and address complaints and disputes related to the project. A detailed mechanism for grievance redress shall be designed to complement the proactive participation of the stakeholders in project activities. This effective participation of stakeholders creates opportunities to solve problems that would otherwise lead to conflict. In this context, any person or community group who believe they are negatively affected by the BCLME IV Project, or are at risk of adverse impacts, may file a grievance following the procedure (inclusive of GRM Form) that will be established.</w:t>
      </w:r>
    </w:p>
    <w:p w14:paraId="6808F870" w14:textId="77777777" w:rsidR="00CF33D9" w:rsidRDefault="00CF33D9">
      <w:pPr>
        <w:jc w:val="both"/>
        <w:rPr>
          <w:rFonts w:ascii="Calibri" w:eastAsia="Calibri" w:hAnsi="Calibri" w:cs="Calibri"/>
          <w:sz w:val="20"/>
          <w:szCs w:val="20"/>
        </w:rPr>
      </w:pPr>
    </w:p>
    <w:p w14:paraId="6808F871"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BCLME IV PCU will manage the overall GRM process throughout implementation of the project; using procedures that will be suitable for the context. The GRM aims to address all complaints received, regardless of whether they arise from real or perceived issues. The intention is to resolve a complaint as quickly as possible to avoid a minor issue from becoming a significant grievance.</w:t>
      </w:r>
    </w:p>
    <w:p w14:paraId="6808F872" w14:textId="77777777" w:rsidR="00CF33D9" w:rsidRDefault="00CF33D9">
      <w:pPr>
        <w:jc w:val="both"/>
        <w:rPr>
          <w:rFonts w:ascii="Calibri" w:eastAsia="Calibri" w:hAnsi="Calibri" w:cs="Calibri"/>
          <w:i/>
          <w:sz w:val="20"/>
          <w:szCs w:val="20"/>
        </w:rPr>
      </w:pPr>
    </w:p>
    <w:p w14:paraId="6808F873" w14:textId="77777777" w:rsidR="00CF33D9" w:rsidRDefault="00E3332A">
      <w:pPr>
        <w:pStyle w:val="Heading2"/>
        <w:ind w:left="0"/>
        <w:rPr>
          <w:rFonts w:ascii="Calibri" w:hAnsi="Calibri" w:cs="Calibri"/>
          <w:szCs w:val="20"/>
        </w:rPr>
      </w:pPr>
      <w:bookmarkStart w:id="13" w:name="_Toc169739153"/>
      <w:r>
        <w:rPr>
          <w:rFonts w:ascii="Calibri" w:hAnsi="Calibri" w:cs="Calibri"/>
          <w:szCs w:val="20"/>
        </w:rPr>
        <w:t>F</w:t>
      </w:r>
      <w:r>
        <w:rPr>
          <w:rFonts w:ascii="Calibri" w:hAnsi="Calibri" w:cs="Calibri"/>
          <w:szCs w:val="20"/>
        </w:rPr>
        <w:tab/>
        <w:t>South-South and Triangular Cooperation (SSC/TrC)</w:t>
      </w:r>
      <w:bookmarkEnd w:id="13"/>
      <w:r>
        <w:rPr>
          <w:rFonts w:ascii="Calibri" w:hAnsi="Calibri" w:cs="Calibri"/>
          <w:szCs w:val="20"/>
        </w:rPr>
        <w:t xml:space="preserve"> </w:t>
      </w:r>
    </w:p>
    <w:p w14:paraId="6808F874" w14:textId="77777777" w:rsidR="00CF33D9" w:rsidRDefault="00CF33D9">
      <w:pPr>
        <w:pStyle w:val="Heading2"/>
        <w:ind w:left="0"/>
        <w:rPr>
          <w:rFonts w:ascii="Calibri" w:hAnsi="Calibri" w:cs="Calibri"/>
          <w:szCs w:val="20"/>
        </w:rPr>
      </w:pPr>
    </w:p>
    <w:p w14:paraId="6808F875" w14:textId="77777777" w:rsidR="00CF33D9" w:rsidRDefault="00E3332A">
      <w:pPr>
        <w:jc w:val="both"/>
        <w:rPr>
          <w:rFonts w:ascii="Calibri" w:eastAsia="Calibri" w:hAnsi="Calibri" w:cs="Calibri"/>
          <w:color w:val="000000"/>
          <w:sz w:val="20"/>
          <w:szCs w:val="20"/>
        </w:rPr>
      </w:pPr>
      <w:r>
        <w:rPr>
          <w:rFonts w:ascii="Calibri" w:eastAsia="Calibri" w:hAnsi="Calibri" w:cs="Calibri"/>
          <w:color w:val="000000"/>
          <w:sz w:val="20"/>
          <w:szCs w:val="20"/>
        </w:rPr>
        <w:t xml:space="preserve">South-South cooperation is a means of development cooperation in which developing countries assist each other by sharing technical or economic knowledge and skills to facilitate development. It differs from bilateral exchange of knowledge, skills, resources and technical know-how by developing countries, which are often buttressed by bilateral cooperation agreements, in that it is much broader as it entails political, economic and technical collaboration among developing countries. </w:t>
      </w:r>
    </w:p>
    <w:p w14:paraId="6808F876" w14:textId="77777777" w:rsidR="00CF33D9" w:rsidRDefault="00CF33D9">
      <w:pPr>
        <w:jc w:val="both"/>
        <w:rPr>
          <w:rFonts w:ascii="Calibri" w:eastAsia="Calibri" w:hAnsi="Calibri" w:cs="Calibri"/>
          <w:color w:val="000000"/>
          <w:sz w:val="20"/>
          <w:szCs w:val="20"/>
        </w:rPr>
      </w:pPr>
    </w:p>
    <w:p w14:paraId="6808F877" w14:textId="77777777" w:rsidR="00CF33D9" w:rsidRDefault="00E3332A">
      <w:pPr>
        <w:jc w:val="both"/>
        <w:rPr>
          <w:rFonts w:ascii="Calibri" w:hAnsi="Calibri" w:cs="Calibri"/>
          <w:sz w:val="20"/>
          <w:szCs w:val="20"/>
        </w:rPr>
      </w:pPr>
      <w:r>
        <w:rPr>
          <w:rFonts w:ascii="Calibri" w:eastAsia="Calibri" w:hAnsi="Calibri" w:cs="Calibri"/>
          <w:color w:val="000000"/>
          <w:sz w:val="20"/>
          <w:szCs w:val="20"/>
        </w:rPr>
        <w:lastRenderedPageBreak/>
        <w:t xml:space="preserve">The exchange of knowledge, skills, resources and technical know-how between developing countries and stakeholders in the BCLME IV participating countries is integral to the success of the project. Institutions in the three countries have had extensive experience in working with other institutions in the wider region, including the Western Indian Ocean countries through projects such as WIOSAP and SAPPHIRE. This collaboration will continue as the Western Indian Region is </w:t>
      </w:r>
      <w:r>
        <w:rPr>
          <w:rFonts w:ascii="Calibri" w:eastAsia="Calibri" w:hAnsi="Calibri" w:cs="Calibri"/>
          <w:sz w:val="20"/>
          <w:szCs w:val="20"/>
        </w:rPr>
        <w:t>planning a similar</w:t>
      </w:r>
      <w:r>
        <w:rPr>
          <w:rFonts w:ascii="Calibri" w:eastAsia="Calibri" w:hAnsi="Calibri" w:cs="Calibri"/>
          <w:color w:val="000000"/>
          <w:sz w:val="20"/>
          <w:szCs w:val="20"/>
        </w:rPr>
        <w:t xml:space="preserve"> initiative on promoting transition to Sustainable Blue Economy as the BCLME IV project. One possible means of cooperation is to establish twinning programmes between two regions to exchange experience on the subjects of common concern.</w:t>
      </w:r>
    </w:p>
    <w:p w14:paraId="6808F878" w14:textId="77777777" w:rsidR="00CF33D9" w:rsidRDefault="00CF33D9">
      <w:pPr>
        <w:rPr>
          <w:rFonts w:ascii="Calibri" w:eastAsia="Calibri" w:hAnsi="Calibri" w:cs="Calibri"/>
          <w:sz w:val="20"/>
          <w:szCs w:val="20"/>
        </w:rPr>
      </w:pPr>
    </w:p>
    <w:p w14:paraId="6808F879" w14:textId="77777777" w:rsidR="00CF33D9" w:rsidRDefault="00E3332A">
      <w:pPr>
        <w:jc w:val="both"/>
        <w:rPr>
          <w:rFonts w:ascii="Calibri" w:hAnsi="Calibri" w:cs="Calibri"/>
          <w:sz w:val="20"/>
          <w:szCs w:val="20"/>
        </w:rPr>
      </w:pPr>
      <w:r>
        <w:rPr>
          <w:rFonts w:ascii="Calibri" w:eastAsia="Calibri" w:hAnsi="Calibri" w:cs="Calibri"/>
          <w:sz w:val="20"/>
          <w:szCs w:val="20"/>
        </w:rPr>
        <w:t>In addition, to bring the voice of Angola, Namibia and South Africa to global and regional fora, the project will explore opportunities for meaningful participation in specific events where UNDP could support engagement with the global development discourse on Large Marine Ecosystems management as well as transition to the Sustainable Blue Economy. The project will provide regional cooperation opportunities with countries implementing initiatives on Sustainable Blue Economy in geopolitical, social and environmental contexts relevant to the proposed project in Angola, Namibia and South Africa. In particular, the project's experiences will be transferred to other countries through the IW:LEARN platform.</w:t>
      </w:r>
    </w:p>
    <w:p w14:paraId="6808F87A" w14:textId="77777777" w:rsidR="00CF33D9" w:rsidRDefault="00CF33D9">
      <w:pPr>
        <w:jc w:val="both"/>
        <w:rPr>
          <w:rFonts w:ascii="Calibri" w:eastAsia="Calibri" w:hAnsi="Calibri" w:cs="Calibri"/>
          <w:i/>
          <w:color w:val="000000"/>
          <w:sz w:val="20"/>
          <w:szCs w:val="20"/>
        </w:rPr>
      </w:pPr>
    </w:p>
    <w:p w14:paraId="6808F87B" w14:textId="77777777" w:rsidR="00CF33D9" w:rsidRDefault="00E3332A">
      <w:pPr>
        <w:pStyle w:val="Heading2"/>
        <w:ind w:left="0"/>
        <w:rPr>
          <w:rFonts w:ascii="Calibri" w:hAnsi="Calibri" w:cs="Calibri"/>
          <w:szCs w:val="20"/>
        </w:rPr>
      </w:pPr>
      <w:bookmarkStart w:id="14" w:name="_Toc169739154"/>
      <w:r>
        <w:rPr>
          <w:rFonts w:ascii="Calibri" w:hAnsi="Calibri" w:cs="Calibri"/>
          <w:szCs w:val="20"/>
        </w:rPr>
        <w:t>G</w:t>
      </w:r>
      <w:r>
        <w:rPr>
          <w:rFonts w:ascii="Calibri" w:hAnsi="Calibri" w:cs="Calibri"/>
          <w:szCs w:val="20"/>
        </w:rPr>
        <w:tab/>
        <w:t>Gender equality and Women’s Empowerment</w:t>
      </w:r>
      <w:bookmarkEnd w:id="14"/>
      <w:r>
        <w:rPr>
          <w:rFonts w:ascii="Calibri" w:hAnsi="Calibri" w:cs="Calibri"/>
          <w:szCs w:val="20"/>
        </w:rPr>
        <w:t xml:space="preserve"> </w:t>
      </w:r>
    </w:p>
    <w:p w14:paraId="6808F87C" w14:textId="77777777" w:rsidR="00CF33D9" w:rsidRDefault="00CF33D9">
      <w:pPr>
        <w:jc w:val="both"/>
        <w:rPr>
          <w:rFonts w:ascii="Calibri" w:eastAsia="Calibri" w:hAnsi="Calibri" w:cs="Calibri"/>
          <w:sz w:val="20"/>
          <w:szCs w:val="20"/>
        </w:rPr>
      </w:pPr>
    </w:p>
    <w:p w14:paraId="6808F87D"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 xml:space="preserve">There is a need to recognise the gender dimensions in the marine economic sector to improve the livelihoods and well-being of all those in the BCLME. This would require participation of women, youth, indigenous communities in the broader sector of the marine economy, varying from offshore oil and gas, coastal and marine tourism, aquaculture, marine transport, and manufacturing. The importance of identifying the composition and diversity of communities along the BCLME, those residing in and around the project demonstration sites would allow for a more inclusive and representative management processes, governance participation and gender responsive policies in fisheries and the marine restoration initiatives. </w:t>
      </w:r>
    </w:p>
    <w:p w14:paraId="6808F87E" w14:textId="77777777" w:rsidR="00CF33D9" w:rsidRDefault="00CF33D9">
      <w:pPr>
        <w:jc w:val="both"/>
        <w:rPr>
          <w:rFonts w:ascii="Calibri" w:eastAsia="Calibri" w:hAnsi="Calibri" w:cs="Calibri"/>
          <w:sz w:val="20"/>
          <w:szCs w:val="20"/>
        </w:rPr>
      </w:pPr>
    </w:p>
    <w:p w14:paraId="6808F87F"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 xml:space="preserve">Climate change impacts in the BCLME magnifies existing inequalities, reinforcing the disparity between women and men in their vulnerability to and capability to cope with climate change. The impacts of climate change burdens the poorest and most vulnerable members of society, especially women who depend on natural resources for sustenance, in comparison to men. Women are less able to cope with climate change impacts due to lack of social capital and cultural practices that directly or indirectly influences their adaptation. </w:t>
      </w:r>
    </w:p>
    <w:p w14:paraId="6808F880" w14:textId="77777777" w:rsidR="00CF33D9" w:rsidRDefault="00CF33D9">
      <w:pPr>
        <w:jc w:val="both"/>
        <w:rPr>
          <w:rFonts w:ascii="Calibri" w:eastAsia="Calibri" w:hAnsi="Calibri" w:cs="Calibri"/>
          <w:sz w:val="20"/>
          <w:szCs w:val="20"/>
        </w:rPr>
      </w:pPr>
    </w:p>
    <w:p w14:paraId="6808F881"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The BCLME IV should capitalise on the BCC member states blue economy strategies which prioritised Social</w:t>
      </w:r>
      <w:r>
        <w:rPr>
          <w:rFonts w:ascii="Calibri" w:eastAsia="Calibri" w:hAnsi="Calibri" w:cs="Calibri"/>
          <w:sz w:val="20"/>
          <w:szCs w:val="20"/>
          <w:highlight w:val="white"/>
        </w:rPr>
        <w:t xml:space="preserve"> Equity and Inclusivity as central principals and states that: ensure that the benefits derived from Blue Economy activities are shared in a fair and transparent manner and to achieve a socially just society through the inclusion of all societal groups, especially previously disadvantaged communities, women, youth, people with disabilities and economically marginalised groups. It is therefore important to develop appropriate policies aimed at redressing the past, redefining access rights, and empowering women to participate equitably and sustainably in the broader aspects of the marine economic sector. Several initiatives can be considered for inclusion of women through the </w:t>
      </w:r>
      <w:r>
        <w:rPr>
          <w:rFonts w:ascii="Calibri" w:eastAsia="Calibri" w:hAnsi="Calibri" w:cs="Calibri"/>
          <w:sz w:val="20"/>
          <w:szCs w:val="20"/>
        </w:rPr>
        <w:t xml:space="preserve">establishment of women </w:t>
      </w:r>
      <w:r>
        <w:rPr>
          <w:rFonts w:ascii="Calibri" w:eastAsia="Calibri" w:hAnsi="Calibri" w:cs="Calibri"/>
          <w:sz w:val="20"/>
          <w:szCs w:val="20"/>
          <w:highlight w:val="white"/>
        </w:rPr>
        <w:t>micro entrepreneurs.</w:t>
      </w:r>
      <w:r>
        <w:rPr>
          <w:rFonts w:ascii="Calibri" w:eastAsia="Calibri" w:hAnsi="Calibri" w:cs="Calibri"/>
          <w:sz w:val="20"/>
          <w:szCs w:val="20"/>
        </w:rPr>
        <w:t xml:space="preserve"> </w:t>
      </w:r>
    </w:p>
    <w:p w14:paraId="6808F882" w14:textId="77777777" w:rsidR="00CF33D9" w:rsidRDefault="00CF33D9">
      <w:pPr>
        <w:pStyle w:val="Heading2"/>
        <w:ind w:left="0"/>
        <w:rPr>
          <w:rFonts w:ascii="Calibri" w:hAnsi="Calibri" w:cs="Calibri"/>
          <w:szCs w:val="20"/>
        </w:rPr>
      </w:pPr>
    </w:p>
    <w:p w14:paraId="6808F883" w14:textId="77777777" w:rsidR="00CF33D9" w:rsidRDefault="00E3332A">
      <w:pPr>
        <w:pStyle w:val="Heading2"/>
        <w:ind w:left="0"/>
        <w:rPr>
          <w:rFonts w:ascii="Calibri" w:hAnsi="Calibri" w:cs="Calibri"/>
          <w:szCs w:val="20"/>
        </w:rPr>
      </w:pPr>
      <w:bookmarkStart w:id="15" w:name="_Toc169739155"/>
      <w:r>
        <w:rPr>
          <w:rFonts w:ascii="Calibri" w:hAnsi="Calibri" w:cs="Calibri"/>
          <w:szCs w:val="20"/>
        </w:rPr>
        <w:t>H</w:t>
      </w:r>
      <w:r>
        <w:rPr>
          <w:rFonts w:ascii="Calibri" w:hAnsi="Calibri" w:cs="Calibri"/>
          <w:szCs w:val="20"/>
        </w:rPr>
        <w:tab/>
        <w:t>Knowledge</w:t>
      </w:r>
      <w:bookmarkEnd w:id="15"/>
    </w:p>
    <w:p w14:paraId="6808F884" w14:textId="77777777" w:rsidR="00CF33D9" w:rsidRDefault="00CF33D9">
      <w:pPr>
        <w:jc w:val="both"/>
        <w:rPr>
          <w:rFonts w:ascii="Calibri" w:eastAsia="Calibri" w:hAnsi="Calibri" w:cs="Calibri"/>
          <w:i/>
          <w:sz w:val="20"/>
          <w:szCs w:val="20"/>
        </w:rPr>
      </w:pPr>
    </w:p>
    <w:p w14:paraId="6808F885" w14:textId="77777777" w:rsidR="00CF33D9" w:rsidRDefault="00E3332A">
      <w:pPr>
        <w:jc w:val="both"/>
        <w:rPr>
          <w:rFonts w:ascii="Calibri" w:eastAsia="Calibri" w:hAnsi="Calibri" w:cs="Calibri"/>
          <w:color w:val="000000"/>
          <w:sz w:val="20"/>
          <w:szCs w:val="20"/>
        </w:rPr>
      </w:pPr>
      <w:r>
        <w:rPr>
          <w:rFonts w:ascii="Calibri" w:eastAsia="Calibri" w:hAnsi="Calibri" w:cs="Calibri"/>
          <w:color w:val="000000"/>
          <w:sz w:val="20"/>
          <w:szCs w:val="20"/>
        </w:rPr>
        <w:t>Knowledge management is a critical element of the project and it has been incorporated into the project design. Component 5 will implement, among other, a SBE observatory and knowledge management platform as well as a website, which will also be linked to the BCC’s website. Multiple capacity development activities will be implemented focusing on specific subjects relative to transboundary marine management and SBE. The project will closely collaborate with IW:LEARN. The project will develop communications and knowledge management strategies. During the PPG phase the Gender Action Plan and the Stakeholders Engagement Plan were prepared.</w:t>
      </w:r>
    </w:p>
    <w:p w14:paraId="6808F886" w14:textId="77777777" w:rsidR="00CF33D9" w:rsidRDefault="00CF33D9">
      <w:pPr>
        <w:jc w:val="both"/>
        <w:rPr>
          <w:rFonts w:ascii="Calibri" w:eastAsia="Calibri" w:hAnsi="Calibri" w:cs="Calibri"/>
          <w:color w:val="000000"/>
          <w:sz w:val="20"/>
          <w:szCs w:val="20"/>
        </w:rPr>
      </w:pPr>
    </w:p>
    <w:p w14:paraId="6808F887" w14:textId="77777777" w:rsidR="00CF33D9" w:rsidRDefault="00E3332A">
      <w:pPr>
        <w:jc w:val="both"/>
        <w:rPr>
          <w:rFonts w:ascii="Calibri" w:eastAsia="Calibri" w:hAnsi="Calibri" w:cs="Calibri"/>
          <w:color w:val="000000"/>
          <w:sz w:val="20"/>
          <w:szCs w:val="20"/>
        </w:rPr>
      </w:pPr>
      <w:r>
        <w:rPr>
          <w:rFonts w:ascii="Calibri" w:eastAsia="Calibri" w:hAnsi="Calibri" w:cs="Calibri"/>
          <w:color w:val="000000"/>
          <w:sz w:val="20"/>
          <w:szCs w:val="20"/>
        </w:rPr>
        <w:t>The project will benefit from many lessons learned and experiences derived from BCLME interventions financially supported by GEF, and will also gather appropriate lessons from on-going projects through the activities in Component 5.</w:t>
      </w:r>
    </w:p>
    <w:p w14:paraId="6808F888" w14:textId="77777777" w:rsidR="00CF33D9" w:rsidRDefault="00CF33D9">
      <w:pPr>
        <w:jc w:val="both"/>
        <w:rPr>
          <w:rFonts w:ascii="Calibri" w:eastAsia="Calibri" w:hAnsi="Calibri" w:cs="Calibri"/>
          <w:color w:val="000000"/>
          <w:sz w:val="20"/>
          <w:szCs w:val="20"/>
        </w:rPr>
      </w:pPr>
    </w:p>
    <w:p w14:paraId="6808F889" w14:textId="77777777" w:rsidR="00CF33D9" w:rsidRDefault="00E3332A">
      <w:pPr>
        <w:jc w:val="both"/>
        <w:rPr>
          <w:rFonts w:ascii="Calibri" w:eastAsia="Calibri" w:hAnsi="Calibri" w:cs="Calibri"/>
          <w:color w:val="000000"/>
          <w:sz w:val="20"/>
          <w:szCs w:val="20"/>
        </w:rPr>
      </w:pPr>
      <w:r>
        <w:rPr>
          <w:rFonts w:ascii="Calibri" w:eastAsia="Calibri" w:hAnsi="Calibri" w:cs="Calibri"/>
          <w:color w:val="000000"/>
          <w:sz w:val="20"/>
          <w:szCs w:val="20"/>
        </w:rPr>
        <w:t>The project will rely on the management, dissemination, and scaling up of knowledge, experience and results in order to achieve the overall project objective and ensure sustainable management of the BCLME that will also facilitate up-scaling where possible and needed.</w:t>
      </w:r>
    </w:p>
    <w:p w14:paraId="6808F88A" w14:textId="77777777" w:rsidR="00CF33D9" w:rsidRDefault="00CF33D9">
      <w:pPr>
        <w:jc w:val="both"/>
        <w:rPr>
          <w:rFonts w:ascii="Calibri" w:eastAsia="Calibri" w:hAnsi="Calibri" w:cs="Calibri"/>
          <w:color w:val="000000"/>
          <w:sz w:val="20"/>
          <w:szCs w:val="20"/>
        </w:rPr>
      </w:pPr>
    </w:p>
    <w:p w14:paraId="6808F88B" w14:textId="77777777" w:rsidR="00CF33D9" w:rsidRDefault="00E3332A">
      <w:pPr>
        <w:jc w:val="both"/>
        <w:rPr>
          <w:rFonts w:ascii="Calibri" w:eastAsia="Calibri" w:hAnsi="Calibri" w:cs="Calibri"/>
          <w:color w:val="000000"/>
          <w:sz w:val="20"/>
          <w:szCs w:val="20"/>
        </w:rPr>
      </w:pPr>
      <w:r>
        <w:rPr>
          <w:rFonts w:ascii="Calibri" w:eastAsia="Calibri" w:hAnsi="Calibri" w:cs="Calibri"/>
          <w:color w:val="000000"/>
          <w:sz w:val="20"/>
          <w:szCs w:val="20"/>
        </w:rPr>
        <w:t>The knowledge management will include the following stakeholders:</w:t>
      </w:r>
    </w:p>
    <w:p w14:paraId="6808F88C" w14:textId="77777777" w:rsidR="00CF33D9" w:rsidRDefault="00CF33D9">
      <w:pPr>
        <w:jc w:val="both"/>
        <w:rPr>
          <w:rFonts w:ascii="Calibri" w:eastAsia="Calibri" w:hAnsi="Calibri" w:cs="Calibri"/>
          <w:color w:val="000000"/>
          <w:sz w:val="20"/>
          <w:szCs w:val="20"/>
        </w:rPr>
      </w:pPr>
    </w:p>
    <w:p w14:paraId="6808F88D" w14:textId="77777777" w:rsidR="00CF33D9" w:rsidRDefault="00E3332A">
      <w:pPr>
        <w:numPr>
          <w:ilvl w:val="0"/>
          <w:numId w:val="27"/>
        </w:numPr>
        <w:ind w:left="426" w:hanging="426"/>
        <w:jc w:val="both"/>
        <w:rPr>
          <w:rFonts w:ascii="Calibri" w:eastAsia="Calibri" w:hAnsi="Calibri" w:cs="Calibri"/>
          <w:color w:val="000000"/>
          <w:sz w:val="20"/>
          <w:szCs w:val="20"/>
        </w:rPr>
      </w:pPr>
      <w:r>
        <w:rPr>
          <w:rFonts w:ascii="Calibri" w:eastAsia="Calibri" w:hAnsi="Calibri" w:cs="Calibri"/>
          <w:color w:val="000000"/>
          <w:sz w:val="20"/>
          <w:szCs w:val="20"/>
        </w:rPr>
        <w:t>National authorities to ensure information on management approaches and identified solutions for marine transboundary cooperation;</w:t>
      </w:r>
    </w:p>
    <w:p w14:paraId="6808F88E" w14:textId="77777777" w:rsidR="00CF33D9" w:rsidRDefault="00E3332A">
      <w:pPr>
        <w:numPr>
          <w:ilvl w:val="0"/>
          <w:numId w:val="27"/>
        </w:numPr>
        <w:ind w:left="426" w:hanging="426"/>
        <w:jc w:val="both"/>
        <w:rPr>
          <w:rFonts w:ascii="Calibri" w:eastAsia="Calibri" w:hAnsi="Calibri" w:cs="Calibri"/>
          <w:color w:val="000000"/>
          <w:sz w:val="20"/>
          <w:szCs w:val="20"/>
        </w:rPr>
      </w:pPr>
      <w:r>
        <w:rPr>
          <w:rFonts w:ascii="Calibri" w:eastAsia="Calibri" w:hAnsi="Calibri" w:cs="Calibri"/>
          <w:color w:val="000000"/>
          <w:sz w:val="20"/>
          <w:szCs w:val="20"/>
        </w:rPr>
        <w:t>Private sector: information will be collected and distributed as relevant to the different needs of the private sector partners and other stakeholders;</w:t>
      </w:r>
    </w:p>
    <w:p w14:paraId="6808F88F" w14:textId="77777777" w:rsidR="00CF33D9" w:rsidRDefault="00E3332A">
      <w:pPr>
        <w:numPr>
          <w:ilvl w:val="0"/>
          <w:numId w:val="27"/>
        </w:numPr>
        <w:ind w:left="426" w:hanging="426"/>
        <w:jc w:val="both"/>
        <w:rPr>
          <w:rFonts w:ascii="Calibri" w:eastAsia="Calibri" w:hAnsi="Calibri" w:cs="Calibri"/>
          <w:color w:val="000000"/>
          <w:sz w:val="20"/>
          <w:szCs w:val="20"/>
        </w:rPr>
      </w:pPr>
      <w:r>
        <w:rPr>
          <w:rFonts w:ascii="Calibri" w:eastAsia="Calibri" w:hAnsi="Calibri" w:cs="Calibri"/>
          <w:color w:val="000000"/>
          <w:sz w:val="20"/>
          <w:szCs w:val="20"/>
        </w:rPr>
        <w:t>Civil society will be provided with information to inform communities that are depending on marine resources in BCLME region;</w:t>
      </w:r>
    </w:p>
    <w:p w14:paraId="6808F890" w14:textId="77777777" w:rsidR="00CF33D9" w:rsidRDefault="00E3332A">
      <w:pPr>
        <w:numPr>
          <w:ilvl w:val="0"/>
          <w:numId w:val="27"/>
        </w:numPr>
        <w:ind w:left="426" w:hanging="426"/>
        <w:jc w:val="both"/>
        <w:rPr>
          <w:rFonts w:ascii="Calibri" w:eastAsia="Calibri" w:hAnsi="Calibri" w:cs="Calibri"/>
          <w:color w:val="000000"/>
          <w:sz w:val="20"/>
          <w:szCs w:val="20"/>
        </w:rPr>
      </w:pPr>
      <w:r>
        <w:rPr>
          <w:rFonts w:ascii="Calibri" w:eastAsia="Calibri" w:hAnsi="Calibri" w:cs="Calibri"/>
          <w:color w:val="000000"/>
          <w:sz w:val="20"/>
          <w:szCs w:val="20"/>
        </w:rPr>
        <w:t>Academia will be providing scientific support to the project activities;</w:t>
      </w:r>
    </w:p>
    <w:p w14:paraId="6808F891" w14:textId="77777777" w:rsidR="00CF33D9" w:rsidRDefault="00E3332A">
      <w:pPr>
        <w:numPr>
          <w:ilvl w:val="0"/>
          <w:numId w:val="27"/>
        </w:numPr>
        <w:ind w:left="426" w:hanging="426"/>
        <w:jc w:val="both"/>
        <w:rPr>
          <w:rFonts w:ascii="Calibri" w:eastAsia="Calibri" w:hAnsi="Calibri" w:cs="Calibri"/>
          <w:color w:val="000000"/>
          <w:sz w:val="20"/>
          <w:szCs w:val="20"/>
        </w:rPr>
      </w:pPr>
      <w:r>
        <w:rPr>
          <w:rFonts w:ascii="Calibri" w:eastAsia="Calibri" w:hAnsi="Calibri" w:cs="Calibri"/>
          <w:color w:val="000000"/>
          <w:sz w:val="20"/>
          <w:szCs w:val="20"/>
        </w:rPr>
        <w:t>International community involved in parallel activities in the BCLME region;</w:t>
      </w:r>
    </w:p>
    <w:p w14:paraId="6808F892" w14:textId="77777777" w:rsidR="00CF33D9" w:rsidRDefault="00E3332A">
      <w:pPr>
        <w:numPr>
          <w:ilvl w:val="0"/>
          <w:numId w:val="27"/>
        </w:numPr>
        <w:ind w:left="426" w:hanging="426"/>
        <w:jc w:val="both"/>
        <w:rPr>
          <w:rFonts w:ascii="Calibri" w:eastAsia="Calibri" w:hAnsi="Calibri" w:cs="Calibri"/>
          <w:color w:val="000000"/>
          <w:sz w:val="20"/>
          <w:szCs w:val="20"/>
        </w:rPr>
      </w:pPr>
      <w:r>
        <w:rPr>
          <w:rFonts w:ascii="Calibri" w:eastAsia="Calibri" w:hAnsi="Calibri" w:cs="Calibri"/>
          <w:color w:val="000000"/>
          <w:sz w:val="20"/>
          <w:szCs w:val="20"/>
        </w:rPr>
        <w:t xml:space="preserve">GEF IW community of projects: results from the project will be disseminated through the GEF IW:LEARN projects. The project has allocated more than 1% of the total GEF project financing for a suite of IW:LEARN activities to share lessons learned and results from the project to the broader GEF IW community, as well as actively participate in IW:LEARN capacity building workshops, forums and biannual GEF IW conferences. The project’s website will meet the specifications suggested by the IW:LEARN for IW projects. International and cross-regional events </w:t>
      </w:r>
      <w:r>
        <w:rPr>
          <w:rFonts w:ascii="Calibri" w:eastAsia="Calibri" w:hAnsi="Calibri" w:cs="Calibri"/>
          <w:sz w:val="20"/>
          <w:szCs w:val="20"/>
        </w:rPr>
        <w:t>organised</w:t>
      </w:r>
      <w:r>
        <w:rPr>
          <w:rFonts w:ascii="Calibri" w:eastAsia="Calibri" w:hAnsi="Calibri" w:cs="Calibri"/>
          <w:color w:val="000000"/>
          <w:sz w:val="20"/>
          <w:szCs w:val="20"/>
        </w:rPr>
        <w:t xml:space="preserve"> by the BCC. The project will, when possible, be present at other international for a within the region and beyond to share project results and other knowledge gained with the international community as well as gain important insights from the others relevant for the project. </w:t>
      </w:r>
    </w:p>
    <w:p w14:paraId="6808F893" w14:textId="77777777" w:rsidR="00CF33D9" w:rsidRDefault="00CF33D9">
      <w:pPr>
        <w:jc w:val="both"/>
        <w:rPr>
          <w:rFonts w:ascii="Calibri" w:eastAsia="Calibri" w:hAnsi="Calibri" w:cs="Calibri"/>
          <w:i/>
          <w:sz w:val="20"/>
          <w:szCs w:val="20"/>
        </w:rPr>
      </w:pPr>
    </w:p>
    <w:p w14:paraId="6808F894" w14:textId="77777777" w:rsidR="00CF33D9" w:rsidRDefault="00E3332A">
      <w:pPr>
        <w:pStyle w:val="Heading2"/>
        <w:ind w:left="0"/>
        <w:rPr>
          <w:rFonts w:ascii="Calibri" w:hAnsi="Calibri" w:cs="Calibri"/>
          <w:szCs w:val="20"/>
        </w:rPr>
      </w:pPr>
      <w:bookmarkStart w:id="16" w:name="_Toc169739156"/>
      <w:r>
        <w:rPr>
          <w:rFonts w:ascii="Calibri" w:hAnsi="Calibri" w:cs="Calibri"/>
          <w:szCs w:val="20"/>
        </w:rPr>
        <w:t>I</w:t>
      </w:r>
      <w:r>
        <w:rPr>
          <w:rFonts w:ascii="Calibri" w:hAnsi="Calibri" w:cs="Calibri"/>
          <w:szCs w:val="20"/>
        </w:rPr>
        <w:tab/>
        <w:t>Innovativeness, Sustainability and Potential for Scaling Up</w:t>
      </w:r>
      <w:bookmarkEnd w:id="16"/>
    </w:p>
    <w:p w14:paraId="6808F895" w14:textId="77777777" w:rsidR="00CF33D9" w:rsidRDefault="00CF33D9">
      <w:pPr>
        <w:jc w:val="both"/>
        <w:rPr>
          <w:rFonts w:ascii="Calibri" w:eastAsia="Calibri" w:hAnsi="Calibri" w:cs="Calibri"/>
          <w:sz w:val="20"/>
          <w:szCs w:val="20"/>
        </w:rPr>
      </w:pPr>
    </w:p>
    <w:p w14:paraId="6808F896" w14:textId="77777777" w:rsidR="00CF33D9" w:rsidRDefault="00E333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libri" w:eastAsia="Calibri" w:hAnsi="Calibri" w:cs="Calibri"/>
          <w:sz w:val="20"/>
          <w:szCs w:val="20"/>
        </w:rPr>
      </w:pPr>
      <w:r>
        <w:rPr>
          <w:rFonts w:ascii="Calibri" w:eastAsia="Calibri" w:hAnsi="Calibri" w:cs="Calibri"/>
          <w:b/>
          <w:color w:val="000000"/>
          <w:sz w:val="20"/>
          <w:szCs w:val="20"/>
        </w:rPr>
        <w:t>Innovation</w:t>
      </w:r>
      <w:r>
        <w:rPr>
          <w:rFonts w:ascii="Calibri" w:eastAsia="Calibri" w:hAnsi="Calibri" w:cs="Calibri"/>
          <w:color w:val="000000"/>
          <w:sz w:val="20"/>
          <w:szCs w:val="20"/>
        </w:rPr>
        <w:t>: The project will build on the approaches gained from the previous GEF and other donor initiatives in the BCLME region. The BCLME IV project is innovative in itself as it is linking the need for effective management of the marine and coastal resources in the region (through implementation of SAP) with a transition to the SBE, which is highly dependent on a robust health of marine and coastal ecosystems which deliver necessary goods and services for the SBE. This concept, although being tried in a number of marine regions of the world, is still innovative and solutions are being sought that could be transferred elsewhere. The project is also innovative as cooperation partnerships will be established with the private sector th</w:t>
      </w:r>
      <w:r>
        <w:rPr>
          <w:rFonts w:ascii="Calibri" w:eastAsia="Calibri" w:hAnsi="Calibri" w:cs="Calibri"/>
          <w:color w:val="000000"/>
          <w:sz w:val="20"/>
          <w:szCs w:val="20"/>
          <w:lang w:val="en-US"/>
        </w:rPr>
        <w:t>at</w:t>
      </w:r>
      <w:r>
        <w:rPr>
          <w:rFonts w:ascii="Calibri" w:eastAsia="Calibri" w:hAnsi="Calibri" w:cs="Calibri"/>
          <w:color w:val="000000"/>
          <w:sz w:val="20"/>
          <w:szCs w:val="20"/>
        </w:rPr>
        <w:t xml:space="preserve"> is supposed to be a critically important engine for the SBE. Further innovations are the involvement of stakeholders in project implementation resulting in dialogue forums, supporting a framework for knowledge management and replication across the countries, including the establishment of a Regional SBE Observatory, which will contribute to developing an innovative SBE measurement system, and a regional SBE Knowledge Management Platform to exchange information and knowledge and which will provide the opportunity to a variety of stakeholders with interest in SBE development to have access and share information effectively.</w:t>
      </w:r>
    </w:p>
    <w:p w14:paraId="6808F897" w14:textId="77777777" w:rsidR="00CF33D9" w:rsidRDefault="00CF33D9">
      <w:pPr>
        <w:jc w:val="both"/>
        <w:rPr>
          <w:rFonts w:ascii="Calibri" w:eastAsia="Calibri" w:hAnsi="Calibri" w:cs="Calibri"/>
          <w:b/>
          <w:color w:val="000000"/>
          <w:sz w:val="20"/>
          <w:szCs w:val="20"/>
        </w:rPr>
      </w:pPr>
    </w:p>
    <w:p w14:paraId="6808F898" w14:textId="77777777" w:rsidR="00CF33D9" w:rsidRDefault="00E3332A">
      <w:pPr>
        <w:jc w:val="both"/>
        <w:rPr>
          <w:rFonts w:ascii="Calibri" w:eastAsia="Calibri" w:hAnsi="Calibri" w:cs="Calibri"/>
          <w:color w:val="000000"/>
          <w:sz w:val="20"/>
          <w:szCs w:val="20"/>
        </w:rPr>
      </w:pPr>
      <w:r>
        <w:rPr>
          <w:rFonts w:ascii="Calibri" w:eastAsia="Calibri" w:hAnsi="Calibri" w:cs="Calibri"/>
          <w:b/>
          <w:color w:val="000000"/>
          <w:sz w:val="20"/>
          <w:szCs w:val="20"/>
        </w:rPr>
        <w:t>Sustainability</w:t>
      </w:r>
      <w:r>
        <w:rPr>
          <w:rFonts w:ascii="Calibri" w:eastAsia="Calibri" w:hAnsi="Calibri" w:cs="Calibri"/>
          <w:color w:val="000000"/>
          <w:sz w:val="20"/>
          <w:szCs w:val="20"/>
        </w:rPr>
        <w:t>: The actions under this project will be designed with sustainability as a core component. Sustainability of the actions will be supported by:</w:t>
      </w:r>
    </w:p>
    <w:p w14:paraId="6808F899" w14:textId="77777777" w:rsidR="00CF33D9" w:rsidRDefault="00CF33D9">
      <w:pPr>
        <w:jc w:val="both"/>
        <w:rPr>
          <w:rFonts w:ascii="Calibri" w:eastAsia="Calibri" w:hAnsi="Calibri" w:cs="Calibri"/>
          <w:sz w:val="20"/>
          <w:szCs w:val="20"/>
        </w:rPr>
      </w:pPr>
    </w:p>
    <w:p w14:paraId="6808F89A" w14:textId="77777777" w:rsidR="00CF33D9" w:rsidRDefault="00E3332A">
      <w:pPr>
        <w:numPr>
          <w:ilvl w:val="0"/>
          <w:numId w:val="28"/>
        </w:numPr>
        <w:ind w:left="426" w:hanging="426"/>
        <w:jc w:val="both"/>
        <w:rPr>
          <w:rFonts w:ascii="Calibri" w:eastAsia="Calibri" w:hAnsi="Calibri" w:cs="Calibri"/>
          <w:color w:val="000000"/>
          <w:sz w:val="20"/>
          <w:szCs w:val="20"/>
        </w:rPr>
      </w:pPr>
      <w:r>
        <w:rPr>
          <w:rFonts w:ascii="Calibri" w:eastAsia="Calibri" w:hAnsi="Calibri" w:cs="Calibri"/>
          <w:color w:val="000000"/>
          <w:sz w:val="20"/>
          <w:szCs w:val="20"/>
        </w:rPr>
        <w:t>The long-term engagement for cooperation of the three countries under the Benguela Current Convention will be further strengthened by project activities;</w:t>
      </w:r>
    </w:p>
    <w:p w14:paraId="6808F89B" w14:textId="77777777" w:rsidR="00CF33D9" w:rsidRDefault="00E3332A">
      <w:pPr>
        <w:numPr>
          <w:ilvl w:val="0"/>
          <w:numId w:val="28"/>
        </w:numPr>
        <w:ind w:left="426" w:hanging="426"/>
        <w:jc w:val="both"/>
        <w:rPr>
          <w:rFonts w:ascii="Calibri" w:eastAsia="Calibri" w:hAnsi="Calibri" w:cs="Calibri"/>
          <w:color w:val="000000"/>
          <w:sz w:val="20"/>
          <w:szCs w:val="20"/>
        </w:rPr>
      </w:pPr>
      <w:r>
        <w:rPr>
          <w:rFonts w:ascii="Calibri" w:eastAsia="Calibri" w:hAnsi="Calibri" w:cs="Calibri"/>
          <w:color w:val="000000"/>
          <w:sz w:val="20"/>
          <w:szCs w:val="20"/>
        </w:rPr>
        <w:t>A close cooperation with NGOs in all countries engaged in LME cooperation;</w:t>
      </w:r>
    </w:p>
    <w:p w14:paraId="6808F89C" w14:textId="77777777" w:rsidR="00CF33D9" w:rsidRDefault="00E3332A">
      <w:pPr>
        <w:numPr>
          <w:ilvl w:val="0"/>
          <w:numId w:val="28"/>
        </w:numPr>
        <w:ind w:left="426" w:hanging="426"/>
        <w:jc w:val="both"/>
        <w:rPr>
          <w:rFonts w:ascii="Calibri" w:eastAsia="Calibri" w:hAnsi="Calibri" w:cs="Calibri"/>
          <w:color w:val="000000"/>
          <w:sz w:val="20"/>
          <w:szCs w:val="20"/>
        </w:rPr>
      </w:pPr>
      <w:r>
        <w:rPr>
          <w:rFonts w:ascii="Calibri" w:eastAsia="Calibri" w:hAnsi="Calibri" w:cs="Calibri"/>
          <w:color w:val="000000"/>
          <w:sz w:val="20"/>
          <w:szCs w:val="20"/>
        </w:rPr>
        <w:t>Involvement of stakeholders across all levels; </w:t>
      </w:r>
    </w:p>
    <w:p w14:paraId="6808F89D" w14:textId="77777777" w:rsidR="00CF33D9" w:rsidRDefault="00E3332A">
      <w:pPr>
        <w:numPr>
          <w:ilvl w:val="0"/>
          <w:numId w:val="28"/>
        </w:numPr>
        <w:ind w:left="426" w:hanging="426"/>
        <w:jc w:val="both"/>
        <w:rPr>
          <w:rFonts w:ascii="Calibri" w:eastAsia="Calibri" w:hAnsi="Calibri" w:cs="Calibri"/>
          <w:color w:val="000000"/>
          <w:sz w:val="20"/>
          <w:szCs w:val="20"/>
        </w:rPr>
      </w:pPr>
      <w:r>
        <w:rPr>
          <w:rFonts w:ascii="Calibri" w:eastAsia="Calibri" w:hAnsi="Calibri" w:cs="Calibri"/>
          <w:color w:val="000000"/>
          <w:sz w:val="20"/>
          <w:szCs w:val="20"/>
        </w:rPr>
        <w:lastRenderedPageBreak/>
        <w:t>Training of experts and stakeholders in the region will contribute to the establishment of sufficient national capacity to carry out SBE activities;</w:t>
      </w:r>
    </w:p>
    <w:p w14:paraId="6808F89E" w14:textId="77777777" w:rsidR="00CF33D9" w:rsidRDefault="00E3332A">
      <w:pPr>
        <w:numPr>
          <w:ilvl w:val="0"/>
          <w:numId w:val="28"/>
        </w:numPr>
        <w:ind w:left="426" w:hanging="426"/>
        <w:jc w:val="both"/>
        <w:rPr>
          <w:rFonts w:ascii="Calibri" w:eastAsia="Calibri" w:hAnsi="Calibri" w:cs="Calibri"/>
          <w:color w:val="000000"/>
          <w:sz w:val="20"/>
          <w:szCs w:val="20"/>
        </w:rPr>
      </w:pPr>
      <w:r>
        <w:rPr>
          <w:rFonts w:ascii="Calibri" w:eastAsia="Calibri" w:hAnsi="Calibri" w:cs="Calibri"/>
          <w:color w:val="000000"/>
          <w:sz w:val="20"/>
          <w:szCs w:val="20"/>
        </w:rPr>
        <w:t>The project has a high replicability potential to be established, first through implementation of five demonstration projects that could be replicated in other sites of the three countries and, second, through generation of knowledge that will be essential for successful implementation of SBE instruments, in particular financial ones;</w:t>
      </w:r>
    </w:p>
    <w:p w14:paraId="6808F89F" w14:textId="77777777" w:rsidR="00CF33D9" w:rsidRDefault="00E3332A">
      <w:pPr>
        <w:numPr>
          <w:ilvl w:val="0"/>
          <w:numId w:val="28"/>
        </w:numPr>
        <w:tabs>
          <w:tab w:val="left" w:pos="426"/>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26" w:hanging="426"/>
        <w:jc w:val="both"/>
        <w:rPr>
          <w:rFonts w:ascii="Calibri" w:eastAsia="Calibri" w:hAnsi="Calibri" w:cs="Calibri"/>
          <w:color w:val="000000"/>
          <w:sz w:val="20"/>
          <w:szCs w:val="20"/>
        </w:rPr>
      </w:pPr>
      <w:r>
        <w:rPr>
          <w:rFonts w:ascii="Calibri" w:eastAsia="Calibri" w:hAnsi="Calibri" w:cs="Calibri"/>
          <w:color w:val="000000"/>
          <w:sz w:val="20"/>
          <w:szCs w:val="20"/>
        </w:rPr>
        <w:t>Good practices and lessons learned will be disseminated to a broader range of stakeholders through communication channels such as websites, information networks, fora and publications, among others, to support replication and scaling-up.</w:t>
      </w:r>
    </w:p>
    <w:p w14:paraId="6808F8A0" w14:textId="77777777" w:rsidR="00CF33D9" w:rsidRDefault="00E3332A">
      <w:pPr>
        <w:jc w:val="both"/>
        <w:rPr>
          <w:rFonts w:ascii="Calibri" w:eastAsia="Calibri" w:hAnsi="Calibri" w:cs="Calibri"/>
          <w:sz w:val="20"/>
          <w:szCs w:val="20"/>
        </w:rPr>
      </w:pPr>
      <w:r>
        <w:rPr>
          <w:rFonts w:ascii="Calibri" w:eastAsia="Calibri" w:hAnsi="Calibri" w:cs="Calibri"/>
          <w:color w:val="000000"/>
          <w:sz w:val="20"/>
          <w:szCs w:val="20"/>
        </w:rPr>
        <w:t> </w:t>
      </w:r>
    </w:p>
    <w:p w14:paraId="6808F8A1" w14:textId="77777777" w:rsidR="00CF33D9" w:rsidRDefault="00E3332A">
      <w:pPr>
        <w:jc w:val="both"/>
        <w:rPr>
          <w:rFonts w:ascii="Calibri" w:eastAsia="Calibri" w:hAnsi="Calibri" w:cs="Calibri"/>
          <w:color w:val="000000"/>
          <w:sz w:val="20"/>
          <w:szCs w:val="20"/>
          <w:u w:val="single"/>
        </w:rPr>
      </w:pPr>
      <w:r>
        <w:rPr>
          <w:rFonts w:ascii="Calibri" w:eastAsia="Calibri" w:hAnsi="Calibri" w:cs="Calibri"/>
          <w:color w:val="000000"/>
          <w:sz w:val="20"/>
          <w:szCs w:val="20"/>
          <w:u w:val="single"/>
        </w:rPr>
        <w:t xml:space="preserve">Potential for scaling-up </w:t>
      </w:r>
    </w:p>
    <w:p w14:paraId="6808F8A2" w14:textId="77777777" w:rsidR="00CF33D9" w:rsidRDefault="00CF33D9">
      <w:pPr>
        <w:jc w:val="both"/>
        <w:rPr>
          <w:rFonts w:ascii="Calibri" w:eastAsia="Calibri" w:hAnsi="Calibri" w:cs="Calibri"/>
          <w:color w:val="000000"/>
          <w:sz w:val="20"/>
          <w:szCs w:val="20"/>
          <w:u w:val="single"/>
        </w:rPr>
      </w:pPr>
    </w:p>
    <w:p w14:paraId="6808F8A3" w14:textId="77777777" w:rsidR="00CF33D9" w:rsidRDefault="00E3332A">
      <w:pPr>
        <w:jc w:val="both"/>
        <w:rPr>
          <w:rFonts w:ascii="Calibri" w:eastAsia="Calibri" w:hAnsi="Calibri" w:cs="Calibri"/>
          <w:color w:val="000000"/>
          <w:sz w:val="20"/>
          <w:szCs w:val="20"/>
        </w:rPr>
      </w:pPr>
      <w:r>
        <w:rPr>
          <w:rFonts w:ascii="Calibri" w:eastAsia="Calibri" w:hAnsi="Calibri" w:cs="Calibri"/>
          <w:color w:val="000000"/>
          <w:sz w:val="20"/>
          <w:szCs w:val="20"/>
        </w:rPr>
        <w:t>The key elements appropriate for upscaling to other LMEs  include:</w:t>
      </w:r>
    </w:p>
    <w:p w14:paraId="6808F8A4" w14:textId="77777777" w:rsidR="00CF33D9" w:rsidRDefault="00CF33D9">
      <w:pPr>
        <w:jc w:val="both"/>
        <w:rPr>
          <w:rFonts w:ascii="Calibri" w:eastAsia="Calibri" w:hAnsi="Calibri" w:cs="Calibri"/>
          <w:sz w:val="20"/>
          <w:szCs w:val="20"/>
        </w:rPr>
      </w:pPr>
    </w:p>
    <w:p w14:paraId="6808F8A5" w14:textId="77777777" w:rsidR="00CF33D9" w:rsidRDefault="00E3332A">
      <w:pPr>
        <w:numPr>
          <w:ilvl w:val="0"/>
          <w:numId w:val="29"/>
        </w:numPr>
        <w:ind w:left="426" w:hanging="426"/>
        <w:jc w:val="both"/>
        <w:rPr>
          <w:rFonts w:ascii="Calibri" w:eastAsia="Calibri" w:hAnsi="Calibri" w:cs="Calibri"/>
          <w:color w:val="000000"/>
          <w:sz w:val="20"/>
          <w:szCs w:val="20"/>
        </w:rPr>
      </w:pPr>
      <w:r>
        <w:rPr>
          <w:rFonts w:ascii="Calibri" w:eastAsia="Calibri" w:hAnsi="Calibri" w:cs="Calibri"/>
          <w:color w:val="000000"/>
          <w:sz w:val="20"/>
          <w:szCs w:val="20"/>
        </w:rPr>
        <w:t>The experience of the three countries to find synergies between the GEF IW process with the activities to transform ocean economies into an SBE;</w:t>
      </w:r>
    </w:p>
    <w:p w14:paraId="6808F8A6" w14:textId="77777777" w:rsidR="00CF33D9" w:rsidRDefault="00E3332A">
      <w:pPr>
        <w:numPr>
          <w:ilvl w:val="0"/>
          <w:numId w:val="29"/>
        </w:numPr>
        <w:ind w:left="426" w:hanging="426"/>
        <w:jc w:val="both"/>
        <w:rPr>
          <w:rFonts w:ascii="Calibri" w:eastAsia="Calibri" w:hAnsi="Calibri" w:cs="Calibri"/>
          <w:color w:val="000000"/>
          <w:sz w:val="20"/>
          <w:szCs w:val="20"/>
        </w:rPr>
      </w:pPr>
      <w:r>
        <w:rPr>
          <w:rFonts w:ascii="Calibri" w:eastAsia="Calibri" w:hAnsi="Calibri" w:cs="Calibri"/>
          <w:color w:val="000000"/>
          <w:sz w:val="20"/>
          <w:szCs w:val="20"/>
        </w:rPr>
        <w:t>Demonstration projects;</w:t>
      </w:r>
    </w:p>
    <w:p w14:paraId="6808F8A7" w14:textId="77777777" w:rsidR="00CF33D9" w:rsidRDefault="00E3332A">
      <w:pPr>
        <w:numPr>
          <w:ilvl w:val="0"/>
          <w:numId w:val="29"/>
        </w:numPr>
        <w:ind w:left="426" w:hanging="426"/>
        <w:jc w:val="both"/>
        <w:rPr>
          <w:rFonts w:ascii="Calibri" w:eastAsia="Calibri" w:hAnsi="Calibri" w:cs="Calibri"/>
          <w:color w:val="000000"/>
          <w:sz w:val="20"/>
          <w:szCs w:val="20"/>
        </w:rPr>
      </w:pPr>
      <w:r>
        <w:rPr>
          <w:rFonts w:ascii="Calibri" w:eastAsia="Calibri" w:hAnsi="Calibri" w:cs="Calibri"/>
          <w:color w:val="000000"/>
          <w:sz w:val="20"/>
          <w:szCs w:val="20"/>
        </w:rPr>
        <w:t>The experience of the countries on addressing climate change related challenges at LME level; </w:t>
      </w:r>
    </w:p>
    <w:p w14:paraId="6808F8A8" w14:textId="77777777" w:rsidR="00CF33D9" w:rsidRDefault="00E3332A">
      <w:pPr>
        <w:numPr>
          <w:ilvl w:val="0"/>
          <w:numId w:val="29"/>
        </w:numPr>
        <w:ind w:left="426" w:hanging="426"/>
        <w:jc w:val="both"/>
        <w:rPr>
          <w:rFonts w:ascii="Calibri" w:eastAsia="Calibri" w:hAnsi="Calibri" w:cs="Calibri"/>
          <w:color w:val="000000"/>
          <w:sz w:val="20"/>
          <w:szCs w:val="20"/>
        </w:rPr>
      </w:pPr>
      <w:r>
        <w:rPr>
          <w:rFonts w:ascii="Calibri" w:eastAsia="Calibri" w:hAnsi="Calibri" w:cs="Calibri"/>
          <w:color w:val="000000"/>
          <w:sz w:val="20"/>
          <w:szCs w:val="20"/>
        </w:rPr>
        <w:t>Involvement of professional mediators and communication experts;</w:t>
      </w:r>
    </w:p>
    <w:p w14:paraId="6808F8A9" w14:textId="77777777" w:rsidR="00CF33D9" w:rsidRDefault="00E3332A">
      <w:pPr>
        <w:numPr>
          <w:ilvl w:val="0"/>
          <w:numId w:val="29"/>
        </w:numPr>
        <w:spacing w:after="160"/>
        <w:ind w:left="426" w:hanging="426"/>
        <w:jc w:val="both"/>
        <w:rPr>
          <w:rFonts w:ascii="Calibri" w:eastAsia="Calibri" w:hAnsi="Calibri" w:cs="Calibri"/>
          <w:color w:val="000000"/>
          <w:sz w:val="20"/>
          <w:szCs w:val="20"/>
        </w:rPr>
      </w:pPr>
      <w:r>
        <w:rPr>
          <w:rFonts w:ascii="Calibri" w:eastAsia="Calibri" w:hAnsi="Calibri" w:cs="Calibri"/>
          <w:color w:val="000000"/>
          <w:sz w:val="20"/>
          <w:szCs w:val="20"/>
        </w:rPr>
        <w:t xml:space="preserve">The close involvement of </w:t>
      </w:r>
      <w:r>
        <w:rPr>
          <w:rFonts w:ascii="Calibri" w:eastAsia="Calibri" w:hAnsi="Calibri" w:cs="Calibri"/>
          <w:sz w:val="20"/>
          <w:szCs w:val="20"/>
        </w:rPr>
        <w:t>organisations</w:t>
      </w:r>
      <w:r>
        <w:rPr>
          <w:rFonts w:ascii="Calibri" w:eastAsia="Calibri" w:hAnsi="Calibri" w:cs="Calibri"/>
          <w:color w:val="000000"/>
          <w:sz w:val="20"/>
          <w:szCs w:val="20"/>
        </w:rPr>
        <w:t xml:space="preserve"> and representatives of the SBE sectors in region-wide cooperation.</w:t>
      </w:r>
    </w:p>
    <w:p w14:paraId="6808F8AA" w14:textId="77777777" w:rsidR="00CF33D9" w:rsidRDefault="00E3332A">
      <w:pPr>
        <w:pStyle w:val="Heading2"/>
        <w:ind w:left="0"/>
        <w:rPr>
          <w:rFonts w:ascii="Calibri" w:hAnsi="Calibri" w:cs="Calibri"/>
          <w:szCs w:val="20"/>
        </w:rPr>
      </w:pPr>
      <w:bookmarkStart w:id="17" w:name="_Toc169739157"/>
      <w:r>
        <w:rPr>
          <w:rFonts w:ascii="Calibri" w:hAnsi="Calibri" w:cs="Calibri"/>
          <w:szCs w:val="20"/>
        </w:rPr>
        <w:t>J</w:t>
      </w:r>
      <w:r>
        <w:rPr>
          <w:rFonts w:ascii="Calibri" w:hAnsi="Calibri" w:cs="Calibri"/>
          <w:szCs w:val="20"/>
        </w:rPr>
        <w:tab/>
        <w:t>Digital Solutions</w:t>
      </w:r>
      <w:bookmarkEnd w:id="17"/>
      <w:r>
        <w:rPr>
          <w:rFonts w:ascii="Calibri" w:hAnsi="Calibri" w:cs="Calibri"/>
          <w:szCs w:val="20"/>
        </w:rPr>
        <w:t xml:space="preserve"> </w:t>
      </w:r>
    </w:p>
    <w:p w14:paraId="6808F8AB" w14:textId="77777777" w:rsidR="00CF33D9" w:rsidRDefault="00CF33D9">
      <w:pPr>
        <w:pStyle w:val="Heading2"/>
        <w:ind w:firstLine="720"/>
        <w:rPr>
          <w:rFonts w:ascii="Calibri" w:hAnsi="Calibri" w:cs="Calibri"/>
          <w:szCs w:val="20"/>
        </w:rPr>
      </w:pPr>
    </w:p>
    <w:p w14:paraId="6808F8AC"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The project will use a score of digital technologies. The Geographical Information System (GIS) will be used in demonstration projects to map the current and future activities in the area covered by the demo projects. In analysing the issues related to the implementation of various activities of the project, the possibilities of using Artificial Intelligence (AI) will be explored. The regional SBE observatory will use a score of data management techniques to process the information relative to SBE sectors as well as social and environmental ones. The critical challenge will be to link the economic development in the coastal and marine area of the BCLME region with the resulting social and environmental issues in order to establish the rate of progress of SBE development. The regional SBE Knowledge Management Platform will use digital techniques to disseminate SBE and marine and coastal management-related information.</w:t>
      </w:r>
    </w:p>
    <w:p w14:paraId="6808F8AD" w14:textId="77777777" w:rsidR="00CF33D9" w:rsidRDefault="00CF33D9">
      <w:pPr>
        <w:jc w:val="both"/>
        <w:rPr>
          <w:rFonts w:ascii="Calibri" w:eastAsia="Calibri" w:hAnsi="Calibri" w:cs="Calibri"/>
          <w:i/>
          <w:sz w:val="20"/>
          <w:szCs w:val="20"/>
          <w:highlight w:val="yellow"/>
        </w:rPr>
      </w:pPr>
    </w:p>
    <w:p w14:paraId="6808F8AE" w14:textId="77777777" w:rsidR="00CF33D9" w:rsidRDefault="00E3332A">
      <w:pPr>
        <w:pStyle w:val="Heading1"/>
        <w:rPr>
          <w:rFonts w:ascii="Calibri" w:hAnsi="Calibri" w:cs="Calibri"/>
          <w:sz w:val="20"/>
          <w:szCs w:val="20"/>
        </w:rPr>
      </w:pPr>
      <w:bookmarkStart w:id="18" w:name="_Toc169739158"/>
      <w:r>
        <w:rPr>
          <w:rFonts w:ascii="Calibri" w:hAnsi="Calibri" w:cs="Calibri"/>
          <w:sz w:val="20"/>
          <w:szCs w:val="20"/>
        </w:rPr>
        <w:t>IV</w:t>
      </w:r>
      <w:r>
        <w:rPr>
          <w:rFonts w:ascii="Calibri" w:hAnsi="Calibri" w:cs="Calibri"/>
          <w:sz w:val="20"/>
          <w:szCs w:val="20"/>
        </w:rPr>
        <w:tab/>
        <w:t>Project Management</w:t>
      </w:r>
      <w:bookmarkEnd w:id="18"/>
      <w:r>
        <w:rPr>
          <w:rFonts w:ascii="Calibri" w:hAnsi="Calibri" w:cs="Calibri"/>
          <w:sz w:val="20"/>
          <w:szCs w:val="20"/>
        </w:rPr>
        <w:t xml:space="preserve"> </w:t>
      </w:r>
    </w:p>
    <w:p w14:paraId="6808F8AF" w14:textId="77777777" w:rsidR="00CF33D9" w:rsidRDefault="00CF33D9">
      <w:pPr>
        <w:jc w:val="both"/>
        <w:rPr>
          <w:rFonts w:ascii="Calibri" w:eastAsia="Calibri" w:hAnsi="Calibri" w:cs="Calibri"/>
          <w:b/>
          <w:i/>
          <w:sz w:val="20"/>
          <w:szCs w:val="20"/>
          <w:highlight w:val="red"/>
        </w:rPr>
      </w:pPr>
    </w:p>
    <w:p w14:paraId="6808F8B0" w14:textId="77777777" w:rsidR="00CF33D9" w:rsidRDefault="00E3332A">
      <w:pPr>
        <w:pStyle w:val="Heading2"/>
        <w:ind w:left="0"/>
        <w:rPr>
          <w:rFonts w:ascii="Calibri" w:hAnsi="Calibri" w:cs="Calibri"/>
          <w:szCs w:val="20"/>
        </w:rPr>
      </w:pPr>
      <w:r>
        <w:rPr>
          <w:rFonts w:ascii="Calibri" w:hAnsi="Calibri" w:cs="Calibri"/>
          <w:szCs w:val="20"/>
        </w:rPr>
        <w:t xml:space="preserve"> </w:t>
      </w:r>
      <w:bookmarkStart w:id="19" w:name="_Toc169739159"/>
      <w:r>
        <w:rPr>
          <w:rFonts w:ascii="Calibri" w:hAnsi="Calibri" w:cs="Calibri"/>
          <w:szCs w:val="20"/>
        </w:rPr>
        <w:t>A</w:t>
      </w:r>
      <w:r>
        <w:rPr>
          <w:rFonts w:ascii="Calibri" w:hAnsi="Calibri" w:cs="Calibri"/>
          <w:szCs w:val="20"/>
        </w:rPr>
        <w:tab/>
        <w:t>Cost Efficiency and Effectiveness</w:t>
      </w:r>
      <w:bookmarkEnd w:id="19"/>
    </w:p>
    <w:p w14:paraId="6808F8B1" w14:textId="77777777" w:rsidR="00CF33D9" w:rsidRDefault="00CF33D9">
      <w:pPr>
        <w:rPr>
          <w:rFonts w:ascii="Calibri" w:eastAsia="Calibri" w:hAnsi="Calibri" w:cs="Calibri"/>
          <w:sz w:val="20"/>
          <w:szCs w:val="20"/>
        </w:rPr>
      </w:pPr>
    </w:p>
    <w:p w14:paraId="6808F8B2"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The BCLME IV project assists Angola, Namibia and South Africa to improve the health of marine and coastal ecosystems through implementation of the Strategic Action Programme (SAP) of the BCLME region, and supports transition to Sustainable Blue Economy contributing, thus, to sustainable development. The project builds on experience accumulated through implementation of three previous BCLME projects that were supported by GEF, as well as other complementary projects and initiatives that were implemented by other actors. That experience and the lessons learned generated during the implementation of the past project, will be closely considered and will contribute to ensuring a high degree of cost efficiency and effectiveness. As indicated in its Final Evaluation, the previous project (BCLME III) led to valuable advancement in management of important BCLME coastal and marine ecosystems, although some demonstration projects were not fully implemented and relevant legal framework was not strengthened as envisaged. However, all the lessons learned from the previous project create a solid guidance for the current project and show the areas where it has to focus.</w:t>
      </w:r>
    </w:p>
    <w:p w14:paraId="6808F8B3" w14:textId="77777777" w:rsidR="00CF33D9" w:rsidRDefault="00CF33D9">
      <w:pPr>
        <w:jc w:val="both"/>
        <w:rPr>
          <w:rFonts w:ascii="Calibri" w:eastAsia="Calibri" w:hAnsi="Calibri" w:cs="Calibri"/>
          <w:sz w:val="20"/>
          <w:szCs w:val="20"/>
        </w:rPr>
      </w:pPr>
    </w:p>
    <w:p w14:paraId="6808F8B4" w14:textId="77777777" w:rsidR="00CF33D9" w:rsidRDefault="00E3332A">
      <w:pPr>
        <w:jc w:val="both"/>
        <w:rPr>
          <w:rFonts w:ascii="Calibri" w:eastAsia="Calibri" w:hAnsi="Calibri" w:cs="Calibri"/>
          <w:sz w:val="20"/>
          <w:szCs w:val="20"/>
        </w:rPr>
      </w:pPr>
      <w:r>
        <w:rPr>
          <w:rFonts w:ascii="Calibri" w:eastAsia="Calibri" w:hAnsi="Calibri" w:cs="Calibri"/>
          <w:sz w:val="20"/>
          <w:szCs w:val="20"/>
        </w:rPr>
        <w:lastRenderedPageBreak/>
        <w:t xml:space="preserve">The project will benefit from the presence of the BCC on the ground, which is very familiar with the operational context in all three countries and will ensure that the available resources are utilised efficiently with maximum benefit for the beneficiaries. BCC will actively be involved in the project implementation, including hosting project staff and providing necessary administrative and logistical support to their work. </w:t>
      </w:r>
    </w:p>
    <w:p w14:paraId="6808F8B5" w14:textId="77777777" w:rsidR="00CF33D9" w:rsidRDefault="00CF33D9">
      <w:pPr>
        <w:jc w:val="both"/>
        <w:rPr>
          <w:rFonts w:ascii="Calibri" w:eastAsia="Calibri" w:hAnsi="Calibri" w:cs="Calibri"/>
          <w:sz w:val="20"/>
          <w:szCs w:val="20"/>
        </w:rPr>
      </w:pPr>
    </w:p>
    <w:p w14:paraId="6808F8B6"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Implementation will be carried out by following strategic pathways presented in the Theory of Change and using an operational plan and logical framework based on the results framework articulated in Section V. The operation plan chronologically traces the activities to be carried out over the 72 months planned for the duration of the project. More detailed annual and country-specific plans will then be developed with a schedule of actions, resources and budgets. The PCU will hold responsibility for development, monitoring and periodic revision of these plans.</w:t>
      </w:r>
    </w:p>
    <w:p w14:paraId="6808F8B7" w14:textId="77777777" w:rsidR="00CF33D9" w:rsidRDefault="00CF33D9">
      <w:pPr>
        <w:jc w:val="both"/>
        <w:rPr>
          <w:rFonts w:ascii="Calibri" w:eastAsia="Calibri" w:hAnsi="Calibri" w:cs="Calibri"/>
          <w:sz w:val="20"/>
          <w:szCs w:val="20"/>
        </w:rPr>
      </w:pPr>
    </w:p>
    <w:p w14:paraId="6808F8B8"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Internal monitoring and evaluation procedures are based on regular monitoring of expected results and indicators, particularly at the output level. This monitoring is to be carried out quarterly, semi-annually and annually based on a monitoring plan, which will be validated at the start of the intervention in accordance with the rules of good governance and visibility set out in accordance with UNDP rules and procedures and updated based on the baseline assessment. Costs and functions relating to project management, and in some cases knowledge management will be jointly procured and/or shared between the UNDP Country Office in Namibia and BCC.</w:t>
      </w:r>
    </w:p>
    <w:p w14:paraId="6808F8B9" w14:textId="77777777" w:rsidR="00CF33D9" w:rsidRDefault="00CF33D9">
      <w:pPr>
        <w:rPr>
          <w:rFonts w:ascii="Calibri" w:hAnsi="Calibri" w:cs="Calibri"/>
          <w:sz w:val="20"/>
          <w:szCs w:val="20"/>
        </w:rPr>
      </w:pPr>
    </w:p>
    <w:p w14:paraId="6808F8BA" w14:textId="77777777" w:rsidR="00CF33D9" w:rsidRDefault="00E3332A">
      <w:pPr>
        <w:keepNext/>
        <w:keepLines/>
        <w:rPr>
          <w:rFonts w:ascii="Calibri" w:eastAsia="Calibri" w:hAnsi="Calibri" w:cs="Calibri"/>
          <w:sz w:val="20"/>
          <w:szCs w:val="20"/>
        </w:rPr>
      </w:pPr>
      <w:r>
        <w:rPr>
          <w:rFonts w:ascii="Calibri" w:eastAsia="Calibri" w:hAnsi="Calibri" w:cs="Calibri"/>
          <w:sz w:val="20"/>
          <w:szCs w:val="20"/>
        </w:rPr>
        <w:t>Implementation will follow the principles below:</w:t>
      </w:r>
    </w:p>
    <w:p w14:paraId="6808F8BB" w14:textId="77777777" w:rsidR="00CF33D9" w:rsidRDefault="00CF33D9">
      <w:pPr>
        <w:keepNext/>
        <w:keepLines/>
        <w:rPr>
          <w:rFonts w:ascii="Calibri" w:eastAsia="Calibri" w:hAnsi="Calibri" w:cs="Calibri"/>
          <w:sz w:val="20"/>
          <w:szCs w:val="20"/>
        </w:rPr>
      </w:pPr>
    </w:p>
    <w:p w14:paraId="6808F8BC" w14:textId="77777777" w:rsidR="00CF33D9" w:rsidRDefault="00E3332A">
      <w:pPr>
        <w:numPr>
          <w:ilvl w:val="0"/>
          <w:numId w:val="30"/>
        </w:numPr>
        <w:ind w:left="426" w:hanging="426"/>
        <w:jc w:val="both"/>
        <w:rPr>
          <w:rFonts w:ascii="Calibri" w:eastAsia="Calibri" w:hAnsi="Calibri" w:cs="Calibri"/>
          <w:color w:val="000000"/>
          <w:sz w:val="20"/>
          <w:szCs w:val="20"/>
        </w:rPr>
      </w:pPr>
      <w:r>
        <w:rPr>
          <w:rFonts w:ascii="Calibri" w:eastAsia="Calibri" w:hAnsi="Calibri" w:cs="Calibri"/>
          <w:color w:val="000000"/>
          <w:sz w:val="20"/>
          <w:szCs w:val="20"/>
        </w:rPr>
        <w:t xml:space="preserve">Synergies of activities with other initiatives in the region, will be sought regularly and maintained throughout the project; </w:t>
      </w:r>
    </w:p>
    <w:p w14:paraId="6808F8BD" w14:textId="77777777" w:rsidR="00CF33D9" w:rsidRDefault="00E3332A">
      <w:pPr>
        <w:numPr>
          <w:ilvl w:val="0"/>
          <w:numId w:val="30"/>
        </w:numPr>
        <w:ind w:left="426" w:hanging="426"/>
        <w:jc w:val="both"/>
        <w:rPr>
          <w:rFonts w:ascii="Calibri" w:eastAsia="Calibri" w:hAnsi="Calibri" w:cs="Calibri"/>
          <w:color w:val="000000"/>
          <w:sz w:val="20"/>
          <w:szCs w:val="20"/>
        </w:rPr>
      </w:pPr>
      <w:r>
        <w:rPr>
          <w:rFonts w:ascii="Calibri" w:eastAsia="Calibri" w:hAnsi="Calibri" w:cs="Calibri"/>
          <w:sz w:val="20"/>
          <w:szCs w:val="20"/>
        </w:rPr>
        <w:t>Utilisation</w:t>
      </w:r>
      <w:r>
        <w:rPr>
          <w:rFonts w:ascii="Calibri" w:eastAsia="Calibri" w:hAnsi="Calibri" w:cs="Calibri"/>
          <w:color w:val="000000"/>
          <w:sz w:val="20"/>
          <w:szCs w:val="20"/>
        </w:rPr>
        <w:t xml:space="preserve"> of achievements of past projects and lessons learned will be closely considered;</w:t>
      </w:r>
    </w:p>
    <w:p w14:paraId="6808F8BE" w14:textId="77777777" w:rsidR="00CF33D9" w:rsidRDefault="00E3332A">
      <w:pPr>
        <w:numPr>
          <w:ilvl w:val="0"/>
          <w:numId w:val="30"/>
        </w:numPr>
        <w:ind w:left="426" w:hanging="426"/>
        <w:jc w:val="both"/>
        <w:rPr>
          <w:rFonts w:ascii="Calibri" w:eastAsia="Calibri" w:hAnsi="Calibri" w:cs="Calibri"/>
          <w:color w:val="000000"/>
          <w:sz w:val="20"/>
          <w:szCs w:val="20"/>
        </w:rPr>
      </w:pPr>
      <w:r>
        <w:rPr>
          <w:rFonts w:ascii="Calibri" w:eastAsia="Calibri" w:hAnsi="Calibri" w:cs="Calibri"/>
          <w:color w:val="000000"/>
          <w:sz w:val="20"/>
          <w:szCs w:val="20"/>
        </w:rPr>
        <w:t xml:space="preserve">Capacity building of relevant key institutions in the beneficiary countries will continue, as reflected also through the relevant components, outcomes, outputs and activities; </w:t>
      </w:r>
    </w:p>
    <w:p w14:paraId="6808F8BF" w14:textId="77777777" w:rsidR="00CF33D9" w:rsidRDefault="00E3332A">
      <w:pPr>
        <w:numPr>
          <w:ilvl w:val="0"/>
          <w:numId w:val="30"/>
        </w:numPr>
        <w:ind w:left="426" w:hanging="426"/>
        <w:jc w:val="both"/>
        <w:rPr>
          <w:rFonts w:ascii="Calibri" w:eastAsia="Calibri" w:hAnsi="Calibri" w:cs="Calibri"/>
          <w:color w:val="000000"/>
          <w:sz w:val="20"/>
          <w:szCs w:val="20"/>
        </w:rPr>
      </w:pPr>
      <w:r>
        <w:rPr>
          <w:rFonts w:ascii="Calibri" w:eastAsia="Calibri" w:hAnsi="Calibri" w:cs="Calibri"/>
          <w:color w:val="000000"/>
          <w:sz w:val="20"/>
          <w:szCs w:val="20"/>
        </w:rPr>
        <w:t>Involvement of other national stakeholders and Civil Society Organizations will continue as in the framework of the previous GEF funded project which was based on a participatory approach with the involvement of all stakeholders.</w:t>
      </w:r>
    </w:p>
    <w:p w14:paraId="6808F8C0" w14:textId="77777777" w:rsidR="00CF33D9" w:rsidRDefault="00CF33D9">
      <w:pPr>
        <w:ind w:left="720"/>
        <w:jc w:val="both"/>
        <w:rPr>
          <w:rFonts w:ascii="Calibri" w:eastAsia="Calibri" w:hAnsi="Calibri" w:cs="Calibri"/>
          <w:color w:val="000000"/>
          <w:sz w:val="20"/>
          <w:szCs w:val="20"/>
        </w:rPr>
      </w:pPr>
    </w:p>
    <w:p w14:paraId="6808F8C1"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 xml:space="preserve">The project approach aims at ensuring a smooth implementation where activities are mutually reinforcing and sustainable. This implies that, whenever practical links have been established between different components of the project, timing was accurately planned to make sure that the </w:t>
      </w:r>
      <w:r>
        <w:rPr>
          <w:rFonts w:ascii="Calibri" w:eastAsia="Calibri" w:hAnsi="Calibri" w:cs="Calibri"/>
          <w:sz w:val="20"/>
          <w:szCs w:val="20"/>
          <w:lang w:val="en-US"/>
        </w:rPr>
        <w:t>deliverables</w:t>
      </w:r>
      <w:r>
        <w:rPr>
          <w:rFonts w:ascii="Calibri" w:eastAsia="Calibri" w:hAnsi="Calibri" w:cs="Calibri"/>
          <w:sz w:val="20"/>
          <w:szCs w:val="20"/>
        </w:rPr>
        <w:t xml:space="preserve"> are safely provided. </w:t>
      </w:r>
    </w:p>
    <w:p w14:paraId="6808F8C2" w14:textId="77777777" w:rsidR="00CF33D9" w:rsidRDefault="00CF33D9">
      <w:pPr>
        <w:jc w:val="both"/>
        <w:rPr>
          <w:rFonts w:ascii="Calibri" w:eastAsia="Calibri" w:hAnsi="Calibri" w:cs="Calibri"/>
          <w:sz w:val="20"/>
          <w:szCs w:val="20"/>
        </w:rPr>
      </w:pPr>
    </w:p>
    <w:p w14:paraId="6808F8C3"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 xml:space="preserve">The actions designed under this project have been designed with sustainability as a core component. The project will prepare lessons learned and a sustainability plan/exit strategy, which will include a set of recommendations on possible future actions in the region, as well as specify the role of the key project stakeholders. The lessons learned and sustainability plan will be included in the Final Report as an “Exit Strategy and recommendations for follow-up activities”. </w:t>
      </w:r>
    </w:p>
    <w:p w14:paraId="6808F8C4" w14:textId="77777777" w:rsidR="00CF33D9" w:rsidRDefault="00CF33D9">
      <w:pPr>
        <w:jc w:val="both"/>
        <w:rPr>
          <w:rFonts w:ascii="Calibri" w:eastAsia="Calibri" w:hAnsi="Calibri" w:cs="Calibri"/>
          <w:sz w:val="20"/>
          <w:szCs w:val="20"/>
        </w:rPr>
      </w:pPr>
    </w:p>
    <w:p w14:paraId="6808F8C5"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 xml:space="preserve">A key focus of the work will be on ensuring that the gains made throughout the project continue once the funding ends. This will be achieved through development of strong ownership at different levels, and in all activities planned by stimulating development of concepts for new projects / initiatives amongst project participants and other relevant organisations. </w:t>
      </w:r>
    </w:p>
    <w:p w14:paraId="6808F8C6" w14:textId="77777777" w:rsidR="00CF33D9" w:rsidRDefault="00CF33D9">
      <w:pPr>
        <w:jc w:val="both"/>
        <w:rPr>
          <w:rFonts w:ascii="Calibri" w:eastAsia="Calibri" w:hAnsi="Calibri" w:cs="Calibri"/>
          <w:sz w:val="20"/>
          <w:szCs w:val="20"/>
        </w:rPr>
      </w:pPr>
    </w:p>
    <w:p w14:paraId="6808F8C7"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Sustainability of the actions will be supported, as follows:</w:t>
      </w:r>
    </w:p>
    <w:p w14:paraId="6808F8C8" w14:textId="77777777" w:rsidR="00CF33D9" w:rsidRDefault="00CF33D9">
      <w:pPr>
        <w:jc w:val="both"/>
        <w:rPr>
          <w:rFonts w:ascii="Calibri" w:eastAsia="Calibri" w:hAnsi="Calibri" w:cs="Calibri"/>
          <w:sz w:val="20"/>
          <w:szCs w:val="20"/>
        </w:rPr>
      </w:pPr>
    </w:p>
    <w:p w14:paraId="6808F8C9" w14:textId="77777777" w:rsidR="00CF33D9" w:rsidRDefault="00E3332A">
      <w:pPr>
        <w:numPr>
          <w:ilvl w:val="0"/>
          <w:numId w:val="31"/>
        </w:numPr>
        <w:ind w:left="426" w:hanging="426"/>
        <w:jc w:val="both"/>
        <w:rPr>
          <w:rFonts w:ascii="Calibri" w:eastAsia="Calibri" w:hAnsi="Calibri" w:cs="Calibri"/>
          <w:color w:val="000000"/>
          <w:sz w:val="20"/>
          <w:szCs w:val="20"/>
        </w:rPr>
      </w:pPr>
      <w:r>
        <w:rPr>
          <w:rFonts w:ascii="Calibri" w:eastAsia="Calibri" w:hAnsi="Calibri" w:cs="Calibri"/>
          <w:color w:val="000000"/>
          <w:sz w:val="20"/>
          <w:szCs w:val="20"/>
        </w:rPr>
        <w:t>The long-term engagement for cooperation of the three countries under the Benguela Current Convention will be further strengthened by project activities;</w:t>
      </w:r>
    </w:p>
    <w:p w14:paraId="6808F8CA" w14:textId="77777777" w:rsidR="00CF33D9" w:rsidRDefault="00E3332A">
      <w:pPr>
        <w:numPr>
          <w:ilvl w:val="0"/>
          <w:numId w:val="31"/>
        </w:numPr>
        <w:ind w:left="426" w:hanging="426"/>
        <w:jc w:val="both"/>
        <w:rPr>
          <w:rFonts w:ascii="Calibri" w:eastAsia="Calibri" w:hAnsi="Calibri" w:cs="Calibri"/>
          <w:color w:val="000000"/>
          <w:sz w:val="20"/>
          <w:szCs w:val="20"/>
        </w:rPr>
      </w:pPr>
      <w:r>
        <w:rPr>
          <w:rFonts w:ascii="Calibri" w:eastAsia="Calibri" w:hAnsi="Calibri" w:cs="Calibri"/>
          <w:color w:val="000000"/>
          <w:sz w:val="20"/>
          <w:szCs w:val="20"/>
        </w:rPr>
        <w:t>A close cooperation with NGOs in all three countries engaged in transboundary marine waters cooperation;</w:t>
      </w:r>
    </w:p>
    <w:p w14:paraId="6808F8CB" w14:textId="77777777" w:rsidR="00CF33D9" w:rsidRDefault="00E3332A">
      <w:pPr>
        <w:numPr>
          <w:ilvl w:val="0"/>
          <w:numId w:val="31"/>
        </w:numPr>
        <w:ind w:left="426" w:hanging="426"/>
        <w:jc w:val="both"/>
        <w:rPr>
          <w:rFonts w:ascii="Calibri" w:eastAsia="Calibri" w:hAnsi="Calibri" w:cs="Calibri"/>
          <w:color w:val="000000"/>
          <w:sz w:val="20"/>
          <w:szCs w:val="20"/>
        </w:rPr>
      </w:pPr>
      <w:r>
        <w:rPr>
          <w:rFonts w:ascii="Calibri" w:eastAsia="Calibri" w:hAnsi="Calibri" w:cs="Calibri"/>
          <w:color w:val="000000"/>
          <w:sz w:val="20"/>
          <w:szCs w:val="20"/>
        </w:rPr>
        <w:lastRenderedPageBreak/>
        <w:t>Involvement of stakeholders across all levels, in the Angola, Namibia and South Africa;</w:t>
      </w:r>
    </w:p>
    <w:p w14:paraId="6808F8CC" w14:textId="77777777" w:rsidR="00CF33D9" w:rsidRDefault="00E3332A">
      <w:pPr>
        <w:numPr>
          <w:ilvl w:val="0"/>
          <w:numId w:val="31"/>
        </w:numPr>
        <w:ind w:left="426" w:hanging="426"/>
        <w:jc w:val="both"/>
        <w:rPr>
          <w:rFonts w:ascii="Calibri" w:eastAsia="Calibri" w:hAnsi="Calibri" w:cs="Calibri"/>
          <w:color w:val="000000"/>
          <w:sz w:val="20"/>
          <w:szCs w:val="20"/>
        </w:rPr>
      </w:pPr>
      <w:r>
        <w:rPr>
          <w:rFonts w:ascii="Calibri" w:eastAsia="Calibri" w:hAnsi="Calibri" w:cs="Calibri"/>
          <w:color w:val="000000"/>
          <w:sz w:val="20"/>
          <w:szCs w:val="20"/>
        </w:rPr>
        <w:t>Training of experts and stakeholders in the BCLME region will contribute to the establishment of enhanced national capacity;</w:t>
      </w:r>
    </w:p>
    <w:p w14:paraId="6808F8CD" w14:textId="77777777" w:rsidR="00CF33D9" w:rsidRDefault="00E3332A">
      <w:pPr>
        <w:numPr>
          <w:ilvl w:val="0"/>
          <w:numId w:val="31"/>
        </w:numPr>
        <w:ind w:left="426" w:hanging="426"/>
        <w:jc w:val="both"/>
        <w:rPr>
          <w:rFonts w:ascii="Calibri" w:eastAsia="Calibri" w:hAnsi="Calibri" w:cs="Calibri"/>
          <w:color w:val="000000"/>
          <w:sz w:val="20"/>
          <w:szCs w:val="20"/>
        </w:rPr>
      </w:pPr>
      <w:r>
        <w:rPr>
          <w:rFonts w:ascii="Calibri" w:eastAsia="Calibri" w:hAnsi="Calibri" w:cs="Calibri"/>
          <w:color w:val="000000"/>
          <w:sz w:val="20"/>
          <w:szCs w:val="20"/>
        </w:rPr>
        <w:t xml:space="preserve">The beneficiary countries support the implementation of the SAP with the understanding that the new project should involve relevant stakeholders in the region. This is critical for the sustainability and accomplishment of the project plans. At the same time, countries are willing to take steps in support of SAP implementation also in the longer perspective, or when the funding for BCLME IV will cease. If individual measures of the SAP would not be entirely supported or implemented within this project, the countries will most probably strive to identify measures to provide their own support in the future. </w:t>
      </w:r>
    </w:p>
    <w:p w14:paraId="6808F8CE" w14:textId="77777777" w:rsidR="00CF33D9" w:rsidRDefault="00CF33D9">
      <w:pPr>
        <w:spacing w:line="276" w:lineRule="auto"/>
        <w:rPr>
          <w:rFonts w:ascii="Calibri" w:eastAsia="Calibri" w:hAnsi="Calibri" w:cs="Calibri"/>
          <w:i/>
          <w:sz w:val="20"/>
          <w:szCs w:val="20"/>
        </w:rPr>
      </w:pPr>
    </w:p>
    <w:p w14:paraId="6808F8CF" w14:textId="77777777" w:rsidR="00CF33D9" w:rsidRDefault="00E3332A">
      <w:pPr>
        <w:pStyle w:val="Heading2"/>
        <w:ind w:left="0"/>
        <w:rPr>
          <w:rFonts w:ascii="Calibri" w:hAnsi="Calibri" w:cs="Calibri"/>
          <w:szCs w:val="20"/>
        </w:rPr>
      </w:pPr>
      <w:bookmarkStart w:id="20" w:name="_Toc169739160"/>
      <w:r>
        <w:rPr>
          <w:rFonts w:ascii="Calibri" w:hAnsi="Calibri" w:cs="Calibri"/>
          <w:szCs w:val="20"/>
        </w:rPr>
        <w:t>B</w:t>
      </w:r>
      <w:r>
        <w:rPr>
          <w:rFonts w:ascii="Calibri" w:hAnsi="Calibri" w:cs="Calibri"/>
          <w:szCs w:val="20"/>
        </w:rPr>
        <w:tab/>
        <w:t>Project Management</w:t>
      </w:r>
      <w:bookmarkEnd w:id="20"/>
    </w:p>
    <w:p w14:paraId="6808F8D0" w14:textId="77777777" w:rsidR="00CF33D9" w:rsidRDefault="00CF33D9">
      <w:pPr>
        <w:spacing w:line="276" w:lineRule="auto"/>
        <w:ind w:left="450"/>
        <w:jc w:val="both"/>
        <w:rPr>
          <w:rFonts w:ascii="Calibri" w:eastAsia="Calibri" w:hAnsi="Calibri" w:cs="Calibri"/>
          <w:i/>
          <w:sz w:val="20"/>
          <w:szCs w:val="20"/>
          <w:highlight w:val="yellow"/>
        </w:rPr>
      </w:pPr>
    </w:p>
    <w:p w14:paraId="6808F8D1" w14:textId="77777777" w:rsidR="00CF33D9" w:rsidRDefault="00E3332A">
      <w:pPr>
        <w:jc w:val="both"/>
        <w:rPr>
          <w:rFonts w:ascii="Calibri" w:eastAsia="Calibri" w:hAnsi="Calibri" w:cs="Calibri"/>
          <w:sz w:val="20"/>
          <w:szCs w:val="20"/>
          <w:highlight w:val="yellow"/>
        </w:rPr>
      </w:pPr>
      <w:r>
        <w:rPr>
          <w:rFonts w:ascii="Calibri" w:eastAsia="Calibri" w:hAnsi="Calibri" w:cs="Calibri"/>
          <w:color w:val="000000"/>
          <w:sz w:val="20"/>
          <w:szCs w:val="20"/>
        </w:rPr>
        <w:t xml:space="preserve">The project will be implemented by UNDP and executed by BCC. </w:t>
      </w:r>
      <w:r>
        <w:rPr>
          <w:rFonts w:ascii="Calibri" w:eastAsia="Calibri" w:hAnsi="Calibri" w:cs="Calibri"/>
          <w:sz w:val="20"/>
          <w:szCs w:val="20"/>
        </w:rPr>
        <w:t>The Benguela Current Convention established the Benguela Current Commission (BCC) in 2007 as a permanent inter-governmental organisation. BCC implements a range of research projects that collectively improve knowledge and understanding of the Large Marine Ecosystem. It focuses on shared fishery management, environmental monitoring, biodiversity and ecosystem health, pollution reduction, and minimising the consequences of maritime diamond mining, oil and gas production, and other activities. Its priorities include solid environmental governance, research, capacity building and training.</w:t>
      </w:r>
    </w:p>
    <w:p w14:paraId="6808F8D2" w14:textId="77777777" w:rsidR="00CF33D9" w:rsidRDefault="00CF33D9">
      <w:pPr>
        <w:jc w:val="both"/>
        <w:rPr>
          <w:rFonts w:ascii="Calibri" w:eastAsia="Calibri" w:hAnsi="Calibri" w:cs="Calibri"/>
          <w:color w:val="000000"/>
          <w:sz w:val="20"/>
          <w:szCs w:val="20"/>
        </w:rPr>
      </w:pPr>
    </w:p>
    <w:p w14:paraId="6808F8D3" w14:textId="77777777" w:rsidR="00CF33D9" w:rsidRDefault="00E3332A">
      <w:pPr>
        <w:jc w:val="both"/>
        <w:rPr>
          <w:rFonts w:ascii="Calibri" w:eastAsia="Calibri" w:hAnsi="Calibri" w:cs="Calibri"/>
          <w:color w:val="000000"/>
          <w:sz w:val="20"/>
          <w:szCs w:val="20"/>
        </w:rPr>
      </w:pPr>
      <w:r>
        <w:rPr>
          <w:rFonts w:ascii="Calibri" w:eastAsia="Calibri" w:hAnsi="Calibri" w:cs="Calibri"/>
          <w:color w:val="000000"/>
          <w:sz w:val="20"/>
          <w:szCs w:val="20"/>
        </w:rPr>
        <w:t>BCC’s executing capacity was assessed during the preparatory phase by UNDP based on UNDP’s rules and procedures set out for selecting an Inter-Governmental Organization (IGO) as a UNDP’s Implementing Partner.  The countries have been providing considerable capacity building support and oversight to BCC in developing its finance and administration capacity of its Secretariat in the past few years through the Finance and Administration Committee</w:t>
      </w:r>
    </w:p>
    <w:p w14:paraId="6808F8D4" w14:textId="77777777" w:rsidR="00CF33D9" w:rsidRDefault="00CF33D9">
      <w:pPr>
        <w:jc w:val="both"/>
        <w:rPr>
          <w:rFonts w:ascii="Calibri" w:eastAsia="Calibri" w:hAnsi="Calibri" w:cs="Calibri"/>
          <w:sz w:val="20"/>
          <w:szCs w:val="20"/>
        </w:rPr>
      </w:pPr>
    </w:p>
    <w:p w14:paraId="6808F8D5" w14:textId="77777777" w:rsidR="00CF33D9" w:rsidRDefault="00E3332A">
      <w:pPr>
        <w:jc w:val="both"/>
        <w:rPr>
          <w:rFonts w:ascii="Calibri" w:eastAsia="Calibri" w:hAnsi="Calibri" w:cs="Calibri"/>
          <w:i/>
          <w:sz w:val="20"/>
          <w:szCs w:val="20"/>
          <w:highlight w:val="yellow"/>
        </w:rPr>
      </w:pPr>
      <w:r>
        <w:rPr>
          <w:rFonts w:ascii="Calibri" w:eastAsia="Calibri" w:hAnsi="Calibri" w:cs="Calibri"/>
          <w:color w:val="000000"/>
          <w:sz w:val="20"/>
          <w:szCs w:val="20"/>
        </w:rPr>
        <w:t xml:space="preserve">Most of the project management staff will sit within the Commission as Commission Staff within a Project Coordination Unit (PCU). The three National Project Coordinators, although members of the project staff, will be located in three countries participating in the BCLMME IV Project. The Project Manager will be answerable to the Executive Secretary of the BCC but will also have reporting functions to the UNDP Country Office in Namibia. Other Project Management staff (Chief Technical Advisor, 3 National project Coordinators; Finance and Administration Officer) will be answerable to the Project Manager. </w:t>
      </w:r>
    </w:p>
    <w:p w14:paraId="6808F8D6" w14:textId="77777777" w:rsidR="00CF33D9" w:rsidRDefault="00CF33D9">
      <w:pPr>
        <w:spacing w:line="276" w:lineRule="auto"/>
        <w:rPr>
          <w:rFonts w:ascii="Calibri" w:hAnsi="Calibri" w:cs="Calibri"/>
          <w:color w:val="000000"/>
          <w:sz w:val="20"/>
          <w:szCs w:val="20"/>
        </w:rPr>
      </w:pPr>
    </w:p>
    <w:p w14:paraId="6808F8D7"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t>A Project Steering Committee will be established alongside the BCC Management Board and with similar level representation. The PSC will thus consist of:</w:t>
      </w:r>
    </w:p>
    <w:p w14:paraId="6808F8D8" w14:textId="77777777" w:rsidR="00CF33D9" w:rsidRDefault="00CF33D9">
      <w:pPr>
        <w:rPr>
          <w:rFonts w:ascii="Calibri" w:eastAsia="Calibri" w:hAnsi="Calibri" w:cs="Calibri"/>
          <w:color w:val="000000"/>
          <w:sz w:val="20"/>
          <w:szCs w:val="20"/>
        </w:rPr>
      </w:pPr>
    </w:p>
    <w:p w14:paraId="6808F8D9" w14:textId="77777777" w:rsidR="00CF33D9" w:rsidRDefault="00E3332A">
      <w:pPr>
        <w:numPr>
          <w:ilvl w:val="0"/>
          <w:numId w:val="32"/>
        </w:numPr>
        <w:ind w:left="426" w:hanging="426"/>
        <w:jc w:val="both"/>
        <w:rPr>
          <w:rFonts w:ascii="Calibri" w:eastAsia="Calibri" w:hAnsi="Calibri" w:cs="Calibri"/>
          <w:color w:val="000000"/>
          <w:sz w:val="20"/>
          <w:szCs w:val="20"/>
        </w:rPr>
      </w:pPr>
      <w:r>
        <w:rPr>
          <w:rFonts w:ascii="Calibri" w:eastAsia="Calibri" w:hAnsi="Calibri" w:cs="Calibri"/>
          <w:color w:val="000000"/>
          <w:sz w:val="20"/>
          <w:szCs w:val="20"/>
        </w:rPr>
        <w:t>Management Board level representation from each country;</w:t>
      </w:r>
    </w:p>
    <w:p w14:paraId="6808F8DA" w14:textId="77777777" w:rsidR="00CF33D9" w:rsidRDefault="00E3332A">
      <w:pPr>
        <w:numPr>
          <w:ilvl w:val="0"/>
          <w:numId w:val="32"/>
        </w:numPr>
        <w:ind w:left="426" w:hanging="426"/>
        <w:jc w:val="both"/>
        <w:rPr>
          <w:rFonts w:ascii="Calibri" w:eastAsia="Calibri" w:hAnsi="Calibri" w:cs="Calibri"/>
          <w:color w:val="000000"/>
          <w:sz w:val="20"/>
          <w:szCs w:val="20"/>
        </w:rPr>
      </w:pPr>
      <w:r>
        <w:rPr>
          <w:rFonts w:ascii="Calibri" w:eastAsia="Calibri" w:hAnsi="Calibri" w:cs="Calibri"/>
          <w:color w:val="000000"/>
          <w:sz w:val="20"/>
          <w:szCs w:val="20"/>
        </w:rPr>
        <w:t>The BCC Executive Secretary;</w:t>
      </w:r>
    </w:p>
    <w:p w14:paraId="6808F8DB" w14:textId="77777777" w:rsidR="00CF33D9" w:rsidRDefault="00E3332A">
      <w:pPr>
        <w:numPr>
          <w:ilvl w:val="0"/>
          <w:numId w:val="32"/>
        </w:numPr>
        <w:ind w:left="426" w:hanging="426"/>
        <w:jc w:val="both"/>
        <w:rPr>
          <w:rFonts w:ascii="Calibri" w:eastAsia="Calibri" w:hAnsi="Calibri" w:cs="Calibri"/>
          <w:color w:val="000000"/>
          <w:sz w:val="20"/>
          <w:szCs w:val="20"/>
        </w:rPr>
      </w:pPr>
      <w:r>
        <w:rPr>
          <w:rFonts w:ascii="Calibri" w:eastAsia="Calibri" w:hAnsi="Calibri" w:cs="Calibri"/>
          <w:color w:val="000000"/>
          <w:sz w:val="20"/>
          <w:szCs w:val="20"/>
        </w:rPr>
        <w:t>Other appropriate BCC staff as required by the national representatives and the BCC Secretariat (e.g. The Ecosystem Advisor, Finance Officer);</w:t>
      </w:r>
    </w:p>
    <w:p w14:paraId="6808F8DC" w14:textId="77777777" w:rsidR="00CF33D9" w:rsidRDefault="00E3332A">
      <w:pPr>
        <w:numPr>
          <w:ilvl w:val="0"/>
          <w:numId w:val="32"/>
        </w:numPr>
        <w:ind w:left="426" w:hanging="426"/>
        <w:jc w:val="both"/>
        <w:rPr>
          <w:rFonts w:ascii="Calibri" w:eastAsia="Calibri" w:hAnsi="Calibri" w:cs="Calibri"/>
          <w:color w:val="000000"/>
          <w:sz w:val="20"/>
          <w:szCs w:val="20"/>
        </w:rPr>
      </w:pPr>
      <w:r>
        <w:rPr>
          <w:rFonts w:ascii="Calibri" w:eastAsia="Calibri" w:hAnsi="Calibri" w:cs="Calibri"/>
          <w:color w:val="000000"/>
          <w:sz w:val="20"/>
          <w:szCs w:val="20"/>
        </w:rPr>
        <w:t>UNDP Lead CO representation and UNDP Regional Technical Advisor;</w:t>
      </w:r>
    </w:p>
    <w:p w14:paraId="6808F8DD" w14:textId="77777777" w:rsidR="00CF33D9" w:rsidRDefault="00E3332A">
      <w:pPr>
        <w:numPr>
          <w:ilvl w:val="0"/>
          <w:numId w:val="32"/>
        </w:numPr>
        <w:ind w:left="426" w:hanging="426"/>
        <w:jc w:val="both"/>
        <w:rPr>
          <w:rFonts w:ascii="Calibri" w:eastAsia="Calibri" w:hAnsi="Calibri" w:cs="Calibri"/>
          <w:color w:val="000000"/>
          <w:sz w:val="20"/>
          <w:szCs w:val="20"/>
        </w:rPr>
      </w:pPr>
      <w:r>
        <w:rPr>
          <w:rFonts w:ascii="Calibri" w:eastAsia="Calibri" w:hAnsi="Calibri" w:cs="Calibri"/>
          <w:color w:val="000000"/>
          <w:sz w:val="20"/>
          <w:szCs w:val="20"/>
        </w:rPr>
        <w:t>The Project Manager;</w:t>
      </w:r>
    </w:p>
    <w:p w14:paraId="6808F8DE" w14:textId="77777777" w:rsidR="00CF33D9" w:rsidRDefault="00E3332A">
      <w:pPr>
        <w:numPr>
          <w:ilvl w:val="0"/>
          <w:numId w:val="32"/>
        </w:numPr>
        <w:spacing w:after="60"/>
        <w:ind w:left="426" w:hanging="426"/>
        <w:jc w:val="both"/>
        <w:rPr>
          <w:rFonts w:ascii="Calibri" w:eastAsia="Calibri" w:hAnsi="Calibri" w:cs="Calibri"/>
          <w:color w:val="000000"/>
          <w:sz w:val="20"/>
          <w:szCs w:val="20"/>
        </w:rPr>
      </w:pPr>
      <w:r>
        <w:rPr>
          <w:rFonts w:ascii="Calibri" w:eastAsia="Calibri" w:hAnsi="Calibri" w:cs="Calibri"/>
          <w:color w:val="000000"/>
          <w:sz w:val="20"/>
          <w:szCs w:val="20"/>
        </w:rPr>
        <w:t xml:space="preserve">Any other technical or scientific support input (on an </w:t>
      </w:r>
      <w:r>
        <w:rPr>
          <w:rFonts w:ascii="Calibri" w:eastAsia="Calibri" w:hAnsi="Calibri" w:cs="Calibri"/>
          <w:i/>
          <w:color w:val="000000"/>
          <w:sz w:val="20"/>
          <w:szCs w:val="20"/>
        </w:rPr>
        <w:t>ad hoc</w:t>
      </w:r>
      <w:r>
        <w:rPr>
          <w:rFonts w:ascii="Calibri" w:eastAsia="Calibri" w:hAnsi="Calibri" w:cs="Calibri"/>
          <w:color w:val="000000"/>
          <w:sz w:val="20"/>
          <w:szCs w:val="20"/>
        </w:rPr>
        <w:t xml:space="preserve"> basis) as requested by the PSC.</w:t>
      </w:r>
    </w:p>
    <w:p w14:paraId="6808F8DF" w14:textId="77777777" w:rsidR="00CF33D9" w:rsidRDefault="00CF33D9">
      <w:pPr>
        <w:spacing w:line="276" w:lineRule="auto"/>
        <w:jc w:val="both"/>
        <w:rPr>
          <w:rFonts w:ascii="Calibri" w:eastAsia="Calibri" w:hAnsi="Calibri" w:cs="Calibri"/>
          <w:i/>
          <w:sz w:val="20"/>
          <w:szCs w:val="20"/>
          <w:highlight w:val="yellow"/>
        </w:rPr>
      </w:pPr>
    </w:p>
    <w:p w14:paraId="6808F8E0"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The project will be audited in accordance with UNDP rules and regulations, and resources have been specifically identified for these expenses. This will ensure regular oversight of resources utilisation, facilitate effective execution of fiduciary responsibilities and facilitate appropriate reporting.</w:t>
      </w:r>
    </w:p>
    <w:p w14:paraId="6808F8E1" w14:textId="77777777" w:rsidR="00CF33D9" w:rsidRDefault="00CF33D9">
      <w:pPr>
        <w:spacing w:line="276" w:lineRule="auto"/>
        <w:ind w:left="450"/>
        <w:jc w:val="both"/>
        <w:rPr>
          <w:rFonts w:ascii="Calibri" w:eastAsia="Calibri" w:hAnsi="Calibri" w:cs="Calibri"/>
          <w:i/>
          <w:sz w:val="20"/>
          <w:szCs w:val="20"/>
        </w:rPr>
      </w:pPr>
    </w:p>
    <w:p w14:paraId="6808F8E2" w14:textId="77777777" w:rsidR="00CF33D9" w:rsidRDefault="00CF33D9">
      <w:pPr>
        <w:jc w:val="both"/>
        <w:rPr>
          <w:rFonts w:ascii="Calibri" w:eastAsia="Calibri" w:hAnsi="Calibri" w:cs="Calibri"/>
          <w:sz w:val="20"/>
          <w:szCs w:val="20"/>
        </w:rPr>
      </w:pPr>
    </w:p>
    <w:p w14:paraId="6808F8E3" w14:textId="77777777" w:rsidR="00CF33D9" w:rsidRDefault="00E3332A">
      <w:pPr>
        <w:pStyle w:val="Heading2"/>
        <w:ind w:left="0"/>
        <w:rPr>
          <w:rFonts w:ascii="Calibri" w:hAnsi="Calibri" w:cs="Calibri"/>
          <w:szCs w:val="20"/>
        </w:rPr>
      </w:pPr>
      <w:bookmarkStart w:id="21" w:name="_Toc169739161"/>
      <w:r>
        <w:rPr>
          <w:rFonts w:ascii="Calibri" w:eastAsia="Calibri" w:hAnsi="Calibri" w:cs="Calibri"/>
          <w:szCs w:val="20"/>
        </w:rPr>
        <w:lastRenderedPageBreak/>
        <w:t>C</w:t>
      </w:r>
      <w:r>
        <w:rPr>
          <w:rFonts w:ascii="Calibri" w:eastAsia="Calibri" w:hAnsi="Calibri" w:cs="Calibri"/>
          <w:szCs w:val="20"/>
        </w:rPr>
        <w:tab/>
      </w:r>
      <w:r>
        <w:rPr>
          <w:rFonts w:ascii="Calibri" w:hAnsi="Calibri" w:cs="Calibri"/>
          <w:szCs w:val="20"/>
        </w:rPr>
        <w:t>Agreement on intellectual property rights and use of the logo on the project’s deliverables and disclosure of information</w:t>
      </w:r>
      <w:bookmarkEnd w:id="21"/>
    </w:p>
    <w:p w14:paraId="6808F8E4" w14:textId="77777777" w:rsidR="00CF33D9" w:rsidRDefault="00CF33D9">
      <w:pPr>
        <w:rPr>
          <w:rFonts w:ascii="Calibri" w:hAnsi="Calibri" w:cs="Calibri"/>
          <w:sz w:val="20"/>
          <w:szCs w:val="20"/>
        </w:rPr>
      </w:pPr>
    </w:p>
    <w:p w14:paraId="6808F8E5" w14:textId="77777777" w:rsidR="00CF33D9" w:rsidRDefault="00E3332A">
      <w:pPr>
        <w:jc w:val="both"/>
        <w:rPr>
          <w:rFonts w:ascii="Calibri" w:hAnsi="Calibri" w:cs="Calibri"/>
          <w:sz w:val="20"/>
          <w:szCs w:val="20"/>
        </w:rPr>
        <w:sectPr w:rsidR="00CF33D9">
          <w:pgSz w:w="12240" w:h="15840"/>
          <w:pgMar w:top="1440" w:right="2011" w:bottom="1440" w:left="1440" w:header="720" w:footer="432" w:gutter="0"/>
          <w:cols w:space="720"/>
          <w:titlePg/>
        </w:sectPr>
      </w:pPr>
      <w:r>
        <w:rPr>
          <w:rFonts w:ascii="Calibri" w:eastAsia="Calibri" w:hAnsi="Calibri" w:cs="Calibri"/>
          <w:sz w:val="20"/>
          <w:szCs w:val="20"/>
        </w:rPr>
        <w:t>To accord proper acknowledgement to the GEF for providing grant funding, the GEF logo will appear together with the UNDP logo on all promotional materials, other written materials like publications developed by the project, and project hardware. Any citation on publications regarding projects funded by the GEF will also accord proper acknowledgement to the GEF. Information will be disclosed per relevant policies, notably the UNDP Disclosure Policy</w:t>
      </w:r>
      <w:r>
        <w:rPr>
          <w:rFonts w:ascii="Calibri" w:eastAsia="Arial" w:hAnsi="Calibri" w:cs="Calibri"/>
          <w:sz w:val="20"/>
          <w:szCs w:val="20"/>
          <w:vertAlign w:val="superscript"/>
        </w:rPr>
        <w:footnoteReference w:id="5"/>
      </w:r>
      <w:r>
        <w:rPr>
          <w:rFonts w:ascii="Calibri" w:eastAsia="Calibri" w:hAnsi="Calibri" w:cs="Calibri"/>
          <w:sz w:val="20"/>
          <w:szCs w:val="20"/>
        </w:rPr>
        <w:t xml:space="preserve"> and</w:t>
      </w:r>
      <w:r>
        <w:rPr>
          <w:rFonts w:ascii="Calibri" w:eastAsia="Calibri" w:hAnsi="Calibri" w:cs="Calibri"/>
          <w:color w:val="000000"/>
          <w:sz w:val="20"/>
          <w:szCs w:val="20"/>
        </w:rPr>
        <w:t xml:space="preserve"> the GEF policy on public involvement</w:t>
      </w:r>
      <w:r>
        <w:rPr>
          <w:rFonts w:ascii="Calibri" w:eastAsia="Arial" w:hAnsi="Calibri" w:cs="Calibri"/>
          <w:color w:val="000000"/>
          <w:sz w:val="20"/>
          <w:szCs w:val="20"/>
          <w:vertAlign w:val="superscript"/>
        </w:rPr>
        <w:footnoteReference w:id="6"/>
      </w:r>
      <w:r>
        <w:rPr>
          <w:rFonts w:ascii="Calibri" w:eastAsia="Calibri" w:hAnsi="Calibri" w:cs="Calibri"/>
          <w:color w:val="000000"/>
          <w:sz w:val="20"/>
          <w:szCs w:val="20"/>
        </w:rPr>
        <w:t>.</w:t>
      </w:r>
    </w:p>
    <w:p w14:paraId="6808F8E6" w14:textId="77777777" w:rsidR="00CF33D9" w:rsidRDefault="00E3332A">
      <w:pPr>
        <w:pStyle w:val="Heading1"/>
        <w:rPr>
          <w:rFonts w:ascii="Calibri" w:hAnsi="Calibri" w:cs="Calibri"/>
          <w:sz w:val="20"/>
          <w:szCs w:val="20"/>
        </w:rPr>
      </w:pPr>
      <w:bookmarkStart w:id="22" w:name="_Toc169739162"/>
      <w:r>
        <w:rPr>
          <w:rFonts w:ascii="Calibri" w:hAnsi="Calibri" w:cs="Calibri"/>
          <w:sz w:val="20"/>
          <w:szCs w:val="20"/>
        </w:rPr>
        <w:lastRenderedPageBreak/>
        <w:t>V</w:t>
      </w:r>
      <w:r>
        <w:rPr>
          <w:rFonts w:ascii="Calibri" w:hAnsi="Calibri" w:cs="Calibri"/>
          <w:sz w:val="20"/>
          <w:szCs w:val="20"/>
        </w:rPr>
        <w:tab/>
        <w:t>Project Results Framework</w:t>
      </w:r>
      <w:bookmarkEnd w:id="22"/>
    </w:p>
    <w:p w14:paraId="6808F8E7" w14:textId="77777777" w:rsidR="00CF33D9" w:rsidRDefault="00CF33D9">
      <w:pPr>
        <w:jc w:val="both"/>
        <w:rPr>
          <w:rFonts w:ascii="Calibri" w:eastAsia="Calibri" w:hAnsi="Calibri" w:cs="Calibri"/>
          <w:i/>
          <w:sz w:val="20"/>
          <w:szCs w:val="20"/>
        </w:rPr>
      </w:pPr>
    </w:p>
    <w:tbl>
      <w:tblPr>
        <w:tblW w:w="14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19"/>
        <w:gridCol w:w="1821"/>
        <w:gridCol w:w="139"/>
        <w:gridCol w:w="1694"/>
        <w:gridCol w:w="1694"/>
        <w:gridCol w:w="1826"/>
        <w:gridCol w:w="1694"/>
        <w:gridCol w:w="108"/>
        <w:gridCol w:w="1410"/>
        <w:gridCol w:w="137"/>
        <w:gridCol w:w="2053"/>
      </w:tblGrid>
      <w:tr w:rsidR="00CF33D9" w14:paraId="6808F8E9" w14:textId="77777777">
        <w:trPr>
          <w:trHeight w:val="305"/>
        </w:trPr>
        <w:tc>
          <w:tcPr>
            <w:tcW w:w="14395" w:type="dxa"/>
            <w:gridSpan w:val="11"/>
          </w:tcPr>
          <w:p w14:paraId="6808F8E8" w14:textId="77777777" w:rsidR="00CF33D9" w:rsidRDefault="00E3332A">
            <w:pPr>
              <w:rPr>
                <w:rFonts w:ascii="Calibri" w:eastAsia="Calibri" w:hAnsi="Calibri" w:cs="Calibri"/>
                <w:b/>
                <w:sz w:val="20"/>
                <w:szCs w:val="20"/>
              </w:rPr>
            </w:pPr>
            <w:r>
              <w:rPr>
                <w:rFonts w:ascii="Calibri" w:eastAsia="Calibri" w:hAnsi="Calibri" w:cs="Calibri"/>
                <w:b/>
                <w:sz w:val="20"/>
                <w:szCs w:val="20"/>
              </w:rPr>
              <w:t xml:space="preserve">Contribution to the Sustainable Development Goal (s): 5, </w:t>
            </w:r>
            <w:r>
              <w:rPr>
                <w:rFonts w:ascii="Calibri" w:eastAsia="Calibri" w:hAnsi="Calibri" w:cs="Calibri"/>
                <w:sz w:val="20"/>
                <w:szCs w:val="20"/>
              </w:rPr>
              <w:t>8, 10, 13, 14, 16, 17</w:t>
            </w:r>
          </w:p>
        </w:tc>
      </w:tr>
      <w:tr w:rsidR="00CF33D9" w14:paraId="6808F8EB" w14:textId="77777777">
        <w:trPr>
          <w:trHeight w:val="287"/>
        </w:trPr>
        <w:tc>
          <w:tcPr>
            <w:tcW w:w="14395" w:type="dxa"/>
            <w:gridSpan w:val="11"/>
          </w:tcPr>
          <w:p w14:paraId="6808F8EA" w14:textId="77777777" w:rsidR="00CF33D9" w:rsidRDefault="00E3332A">
            <w:pPr>
              <w:rPr>
                <w:rFonts w:ascii="Calibri" w:eastAsia="Calibri" w:hAnsi="Calibri" w:cs="Calibri"/>
                <w:b/>
                <w:sz w:val="20"/>
                <w:szCs w:val="20"/>
              </w:rPr>
            </w:pPr>
            <w:r>
              <w:rPr>
                <w:rFonts w:ascii="Calibri" w:eastAsia="Calibri" w:hAnsi="Calibri" w:cs="Calibri"/>
                <w:b/>
                <w:sz w:val="20"/>
                <w:szCs w:val="20"/>
              </w:rPr>
              <w:t xml:space="preserve">Intended Outcome as stated in the UNSDCF/Country </w:t>
            </w:r>
            <w:r>
              <w:rPr>
                <w:rFonts w:ascii="Calibri" w:eastAsia="Calibri" w:hAnsi="Calibri" w:cs="Calibri"/>
                <w:b/>
                <w:sz w:val="20"/>
                <w:szCs w:val="20"/>
                <w:highlight w:val="yellow"/>
              </w:rPr>
              <w:t>[or Regional]</w:t>
            </w:r>
            <w:r>
              <w:rPr>
                <w:rFonts w:ascii="Calibri" w:eastAsia="Calibri" w:hAnsi="Calibri" w:cs="Calibri"/>
                <w:b/>
                <w:sz w:val="20"/>
                <w:szCs w:val="20"/>
              </w:rPr>
              <w:t xml:space="preserve"> Programme Results and Resource Framework: </w:t>
            </w:r>
            <w:r>
              <w:rPr>
                <w:rFonts w:ascii="Calibri" w:eastAsia="Calibri" w:hAnsi="Calibri" w:cs="Calibri"/>
                <w:i/>
                <w:sz w:val="20"/>
                <w:szCs w:val="20"/>
                <w:highlight w:val="yellow"/>
              </w:rPr>
              <w:t>copy relevant outcome here</w:t>
            </w:r>
          </w:p>
        </w:tc>
      </w:tr>
      <w:tr w:rsidR="00CF33D9" w14:paraId="6808F8ED" w14:textId="77777777">
        <w:trPr>
          <w:trHeight w:val="287"/>
        </w:trPr>
        <w:tc>
          <w:tcPr>
            <w:tcW w:w="14395" w:type="dxa"/>
            <w:gridSpan w:val="11"/>
          </w:tcPr>
          <w:p w14:paraId="6808F8EC" w14:textId="77777777" w:rsidR="00CF33D9" w:rsidRDefault="00E3332A">
            <w:pPr>
              <w:rPr>
                <w:rFonts w:ascii="Calibri" w:eastAsia="Calibri" w:hAnsi="Calibri" w:cs="Calibri"/>
                <w:b/>
                <w:sz w:val="20"/>
                <w:szCs w:val="20"/>
              </w:rPr>
            </w:pPr>
            <w:r>
              <w:rPr>
                <w:rFonts w:ascii="Calibri" w:eastAsia="Calibri" w:hAnsi="Calibri" w:cs="Calibri"/>
                <w:b/>
                <w:sz w:val="20"/>
                <w:szCs w:val="20"/>
              </w:rPr>
              <w:t>Applicable Output(s) from the UNDP Strategic Plan:</w:t>
            </w:r>
            <w:r>
              <w:rPr>
                <w:rFonts w:ascii="Calibri" w:eastAsia="Calibri" w:hAnsi="Calibri" w:cs="Calibri"/>
                <w:i/>
                <w:sz w:val="20"/>
                <w:szCs w:val="20"/>
                <w:highlight w:val="yellow"/>
              </w:rPr>
              <w:t xml:space="preserve"> write in relevant SP IRRF Output(s) here</w:t>
            </w:r>
            <w:r>
              <w:rPr>
                <w:rFonts w:ascii="Calibri" w:eastAsia="Calibri" w:hAnsi="Calibri" w:cs="Calibri"/>
                <w:i/>
                <w:sz w:val="20"/>
                <w:szCs w:val="20"/>
              </w:rPr>
              <w:t xml:space="preserve"> (for ex. 1.1, 4.1, 4.2, 5.1, 5.2, etc.)</w:t>
            </w:r>
          </w:p>
        </w:tc>
      </w:tr>
      <w:tr w:rsidR="00CF33D9" w14:paraId="6808F8EF" w14:textId="77777777">
        <w:trPr>
          <w:trHeight w:val="544"/>
        </w:trPr>
        <w:tc>
          <w:tcPr>
            <w:tcW w:w="14395" w:type="dxa"/>
            <w:gridSpan w:val="11"/>
            <w:tcBorders>
              <w:bottom w:val="single" w:sz="4" w:space="0" w:color="000000"/>
            </w:tcBorders>
          </w:tcPr>
          <w:p w14:paraId="6808F8EE" w14:textId="77777777" w:rsidR="00CF33D9" w:rsidRDefault="00E333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Calibri" w:hAnsi="Calibri" w:cs="Calibri"/>
                <w:b/>
                <w:sz w:val="20"/>
                <w:szCs w:val="20"/>
              </w:rPr>
            </w:pPr>
            <w:r>
              <w:rPr>
                <w:rFonts w:ascii="Calibri" w:eastAsia="Calibri" w:hAnsi="Calibri" w:cs="Calibri"/>
                <w:b/>
                <w:sz w:val="20"/>
                <w:szCs w:val="20"/>
              </w:rPr>
              <w:t>Project title and Quantum Project Number:</w:t>
            </w:r>
            <w:r>
              <w:rPr>
                <w:rFonts w:ascii="Calibri" w:eastAsia="Arial" w:hAnsi="Calibri" w:cs="Calibri"/>
                <w:color w:val="000000"/>
                <w:sz w:val="20"/>
                <w:szCs w:val="20"/>
              </w:rPr>
              <w:t xml:space="preserve"> </w:t>
            </w:r>
            <w:r>
              <w:rPr>
                <w:rFonts w:ascii="Calibri" w:eastAsia="Calibri" w:hAnsi="Calibri" w:cs="Calibri"/>
                <w:b/>
                <w:color w:val="000000"/>
                <w:sz w:val="20"/>
                <w:szCs w:val="20"/>
              </w:rPr>
              <w:t>Mainstreaming Climate-Resilient Blue Economy in the BCLME Region</w:t>
            </w:r>
            <w:r>
              <w:rPr>
                <w:rFonts w:ascii="Calibri" w:hAnsi="Calibri" w:cs="Calibri"/>
                <w:b/>
                <w:color w:val="000000"/>
                <w:sz w:val="20"/>
                <w:szCs w:val="20"/>
              </w:rPr>
              <w:t xml:space="preserve"> </w:t>
            </w:r>
            <w:r>
              <w:rPr>
                <w:rFonts w:ascii="Calibri" w:eastAsia="Calibri" w:hAnsi="Calibri" w:cs="Calibri"/>
                <w:b/>
                <w:color w:val="000000"/>
                <w:sz w:val="20"/>
                <w:szCs w:val="20"/>
              </w:rPr>
              <w:t>(BCLME IV Project)</w:t>
            </w:r>
          </w:p>
        </w:tc>
      </w:tr>
      <w:tr w:rsidR="00CF33D9" w14:paraId="6808F8FB" w14:textId="77777777">
        <w:trPr>
          <w:trHeight w:val="345"/>
        </w:trPr>
        <w:tc>
          <w:tcPr>
            <w:tcW w:w="3779" w:type="dxa"/>
            <w:gridSpan w:val="3"/>
            <w:shd w:val="clear" w:color="auto" w:fill="E7E6E6"/>
          </w:tcPr>
          <w:p w14:paraId="6808F8F0" w14:textId="77777777" w:rsidR="00CF33D9" w:rsidRDefault="00E3332A">
            <w:pPr>
              <w:jc w:val="center"/>
              <w:rPr>
                <w:rFonts w:ascii="Calibri" w:eastAsia="Calibri" w:hAnsi="Calibri" w:cs="Calibri"/>
                <w:b/>
                <w:sz w:val="20"/>
                <w:szCs w:val="20"/>
              </w:rPr>
            </w:pPr>
            <w:r>
              <w:rPr>
                <w:rFonts w:ascii="Calibri" w:eastAsia="Calibri" w:hAnsi="Calibri" w:cs="Calibri"/>
                <w:b/>
                <w:sz w:val="20"/>
                <w:szCs w:val="20"/>
              </w:rPr>
              <w:t>Objective and Outcome Indicators</w:t>
            </w:r>
          </w:p>
        </w:tc>
        <w:tc>
          <w:tcPr>
            <w:tcW w:w="1694" w:type="dxa"/>
            <w:shd w:val="clear" w:color="auto" w:fill="E7E6E6"/>
          </w:tcPr>
          <w:p w14:paraId="6808F8F1" w14:textId="77777777" w:rsidR="00CF33D9" w:rsidRDefault="00E3332A">
            <w:pPr>
              <w:jc w:val="center"/>
              <w:rPr>
                <w:rFonts w:ascii="Calibri" w:eastAsia="Calibri" w:hAnsi="Calibri" w:cs="Calibri"/>
                <w:b/>
                <w:sz w:val="20"/>
                <w:szCs w:val="20"/>
              </w:rPr>
            </w:pPr>
            <w:r>
              <w:rPr>
                <w:rFonts w:ascii="Calibri" w:eastAsia="Calibri" w:hAnsi="Calibri" w:cs="Calibri"/>
                <w:b/>
                <w:sz w:val="20"/>
                <w:szCs w:val="20"/>
              </w:rPr>
              <w:t>Data Source</w:t>
            </w:r>
          </w:p>
          <w:p w14:paraId="6808F8F2" w14:textId="77777777" w:rsidR="00CF33D9" w:rsidRDefault="00CF33D9">
            <w:pPr>
              <w:jc w:val="center"/>
              <w:rPr>
                <w:rFonts w:ascii="Calibri" w:eastAsia="Calibri" w:hAnsi="Calibri" w:cs="Calibri"/>
                <w:b/>
                <w:sz w:val="20"/>
                <w:szCs w:val="20"/>
              </w:rPr>
            </w:pPr>
          </w:p>
        </w:tc>
        <w:tc>
          <w:tcPr>
            <w:tcW w:w="1694" w:type="dxa"/>
            <w:shd w:val="clear" w:color="auto" w:fill="E7E6E6"/>
          </w:tcPr>
          <w:p w14:paraId="6808F8F3" w14:textId="77777777" w:rsidR="00CF33D9" w:rsidRDefault="00E3332A">
            <w:pPr>
              <w:jc w:val="center"/>
              <w:rPr>
                <w:rFonts w:ascii="Calibri" w:eastAsia="Calibri" w:hAnsi="Calibri" w:cs="Calibri"/>
                <w:b/>
                <w:sz w:val="20"/>
                <w:szCs w:val="20"/>
              </w:rPr>
            </w:pPr>
            <w:r>
              <w:rPr>
                <w:rFonts w:ascii="Calibri" w:eastAsia="Calibri" w:hAnsi="Calibri" w:cs="Calibri"/>
                <w:b/>
                <w:sz w:val="20"/>
                <w:szCs w:val="20"/>
              </w:rPr>
              <w:t>Baseline</w:t>
            </w:r>
          </w:p>
          <w:p w14:paraId="6808F8F4" w14:textId="77777777" w:rsidR="00CF33D9" w:rsidRDefault="00CF33D9">
            <w:pPr>
              <w:jc w:val="center"/>
              <w:rPr>
                <w:rFonts w:ascii="Calibri" w:eastAsia="Calibri" w:hAnsi="Calibri" w:cs="Calibri"/>
                <w:b/>
                <w:sz w:val="20"/>
                <w:szCs w:val="20"/>
              </w:rPr>
            </w:pPr>
          </w:p>
        </w:tc>
        <w:tc>
          <w:tcPr>
            <w:tcW w:w="1826" w:type="dxa"/>
            <w:shd w:val="clear" w:color="auto" w:fill="E7E6E6"/>
          </w:tcPr>
          <w:p w14:paraId="6808F8F5" w14:textId="77777777" w:rsidR="00CF33D9" w:rsidRDefault="00E3332A">
            <w:pPr>
              <w:jc w:val="center"/>
              <w:rPr>
                <w:rFonts w:ascii="Calibri" w:eastAsia="Calibri" w:hAnsi="Calibri" w:cs="Calibri"/>
                <w:b/>
                <w:sz w:val="20"/>
                <w:szCs w:val="20"/>
              </w:rPr>
            </w:pPr>
            <w:r>
              <w:rPr>
                <w:rFonts w:ascii="Calibri" w:eastAsia="Calibri" w:hAnsi="Calibri" w:cs="Calibri"/>
                <w:b/>
                <w:sz w:val="20"/>
                <w:szCs w:val="20"/>
              </w:rPr>
              <w:t>Mid-term Target</w:t>
            </w:r>
          </w:p>
          <w:p w14:paraId="6808F8F6" w14:textId="77777777" w:rsidR="00CF33D9" w:rsidRDefault="00CF33D9">
            <w:pPr>
              <w:jc w:val="center"/>
              <w:rPr>
                <w:rFonts w:ascii="Calibri" w:eastAsia="Calibri" w:hAnsi="Calibri" w:cs="Calibri"/>
                <w:b/>
                <w:sz w:val="20"/>
                <w:szCs w:val="20"/>
              </w:rPr>
            </w:pPr>
          </w:p>
        </w:tc>
        <w:tc>
          <w:tcPr>
            <w:tcW w:w="1694" w:type="dxa"/>
            <w:shd w:val="clear" w:color="auto" w:fill="E7E6E6"/>
          </w:tcPr>
          <w:p w14:paraId="6808F8F7" w14:textId="77777777" w:rsidR="00CF33D9" w:rsidRDefault="00E3332A">
            <w:pPr>
              <w:jc w:val="center"/>
              <w:rPr>
                <w:rFonts w:ascii="Calibri" w:eastAsia="Calibri" w:hAnsi="Calibri" w:cs="Calibri"/>
                <w:b/>
                <w:sz w:val="20"/>
                <w:szCs w:val="20"/>
              </w:rPr>
            </w:pPr>
            <w:r>
              <w:rPr>
                <w:rFonts w:ascii="Calibri" w:eastAsia="Calibri" w:hAnsi="Calibri" w:cs="Calibri"/>
                <w:b/>
                <w:sz w:val="20"/>
                <w:szCs w:val="20"/>
              </w:rPr>
              <w:t>End of Project Target</w:t>
            </w:r>
          </w:p>
        </w:tc>
        <w:tc>
          <w:tcPr>
            <w:tcW w:w="1518" w:type="dxa"/>
            <w:gridSpan w:val="2"/>
            <w:shd w:val="clear" w:color="auto" w:fill="E7E6E6"/>
          </w:tcPr>
          <w:p w14:paraId="6808F8F8" w14:textId="77777777" w:rsidR="00CF33D9" w:rsidRDefault="00E3332A">
            <w:pPr>
              <w:jc w:val="center"/>
              <w:rPr>
                <w:rFonts w:ascii="Calibri" w:eastAsia="Calibri" w:hAnsi="Calibri" w:cs="Calibri"/>
                <w:b/>
                <w:sz w:val="20"/>
                <w:szCs w:val="20"/>
              </w:rPr>
            </w:pPr>
            <w:r>
              <w:rPr>
                <w:rFonts w:ascii="Calibri" w:eastAsia="Calibri" w:hAnsi="Calibri" w:cs="Calibri"/>
                <w:b/>
                <w:sz w:val="20"/>
                <w:szCs w:val="20"/>
              </w:rPr>
              <w:t>Data Collection Methods</w:t>
            </w:r>
          </w:p>
        </w:tc>
        <w:tc>
          <w:tcPr>
            <w:tcW w:w="2190" w:type="dxa"/>
            <w:gridSpan w:val="2"/>
            <w:shd w:val="clear" w:color="auto" w:fill="E7E6E6"/>
          </w:tcPr>
          <w:p w14:paraId="6808F8F9" w14:textId="77777777" w:rsidR="00CF33D9" w:rsidRDefault="00E3332A">
            <w:pPr>
              <w:jc w:val="center"/>
              <w:rPr>
                <w:rFonts w:ascii="Calibri" w:eastAsia="Calibri" w:hAnsi="Calibri" w:cs="Calibri"/>
                <w:b/>
                <w:sz w:val="20"/>
                <w:szCs w:val="20"/>
              </w:rPr>
            </w:pPr>
            <w:r>
              <w:rPr>
                <w:rFonts w:ascii="Calibri" w:eastAsia="Calibri" w:hAnsi="Calibri" w:cs="Calibri"/>
                <w:b/>
                <w:sz w:val="20"/>
                <w:szCs w:val="20"/>
              </w:rPr>
              <w:t>Risks/Assumptions</w:t>
            </w:r>
          </w:p>
          <w:p w14:paraId="6808F8FA" w14:textId="77777777" w:rsidR="00CF33D9" w:rsidRDefault="00CF33D9">
            <w:pPr>
              <w:jc w:val="center"/>
              <w:rPr>
                <w:rFonts w:ascii="Calibri" w:eastAsia="Calibri" w:hAnsi="Calibri" w:cs="Calibri"/>
                <w:b/>
                <w:sz w:val="20"/>
                <w:szCs w:val="20"/>
              </w:rPr>
            </w:pPr>
          </w:p>
        </w:tc>
      </w:tr>
      <w:tr w:rsidR="00CF33D9" w14:paraId="6808F901" w14:textId="77777777">
        <w:trPr>
          <w:trHeight w:val="464"/>
        </w:trPr>
        <w:tc>
          <w:tcPr>
            <w:tcW w:w="1819" w:type="dxa"/>
            <w:vMerge w:val="restart"/>
            <w:shd w:val="clear" w:color="auto" w:fill="auto"/>
          </w:tcPr>
          <w:p w14:paraId="6808F8FC" w14:textId="77777777" w:rsidR="00CF33D9" w:rsidRDefault="00E3332A">
            <w:pPr>
              <w:rPr>
                <w:rFonts w:ascii="Calibri" w:eastAsia="Calibri" w:hAnsi="Calibri" w:cs="Calibri"/>
                <w:b/>
                <w:sz w:val="20"/>
                <w:szCs w:val="20"/>
              </w:rPr>
            </w:pPr>
            <w:r>
              <w:rPr>
                <w:rFonts w:ascii="Calibri" w:eastAsia="Calibri" w:hAnsi="Calibri" w:cs="Calibri"/>
                <w:b/>
                <w:sz w:val="20"/>
                <w:szCs w:val="20"/>
              </w:rPr>
              <w:t>Project Objective:</w:t>
            </w:r>
          </w:p>
          <w:p w14:paraId="6808F8FD" w14:textId="77777777" w:rsidR="00CF33D9" w:rsidRDefault="00CF33D9">
            <w:pPr>
              <w:rPr>
                <w:rFonts w:ascii="Calibri" w:eastAsia="Calibri" w:hAnsi="Calibri" w:cs="Calibri"/>
                <w:b/>
                <w:sz w:val="20"/>
                <w:szCs w:val="20"/>
              </w:rPr>
            </w:pPr>
          </w:p>
          <w:p w14:paraId="6808F8FE" w14:textId="77777777" w:rsidR="00CF33D9" w:rsidRDefault="00CF33D9">
            <w:pPr>
              <w:rPr>
                <w:rFonts w:ascii="Calibri" w:eastAsia="Calibri" w:hAnsi="Calibri" w:cs="Calibri"/>
                <w:b/>
                <w:i/>
                <w:sz w:val="20"/>
                <w:szCs w:val="20"/>
              </w:rPr>
            </w:pPr>
          </w:p>
          <w:p w14:paraId="6808F8FF" w14:textId="77777777" w:rsidR="00CF33D9" w:rsidRDefault="00CF33D9">
            <w:pPr>
              <w:rPr>
                <w:rFonts w:ascii="Calibri" w:eastAsia="Calibri" w:hAnsi="Calibri" w:cs="Calibri"/>
                <w:b/>
                <w:sz w:val="20"/>
                <w:szCs w:val="20"/>
              </w:rPr>
            </w:pPr>
          </w:p>
        </w:tc>
        <w:tc>
          <w:tcPr>
            <w:tcW w:w="12576" w:type="dxa"/>
            <w:gridSpan w:val="10"/>
          </w:tcPr>
          <w:p w14:paraId="6808F900" w14:textId="77777777" w:rsidR="00CF33D9" w:rsidRDefault="00E333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Calibri" w:hAnsi="Calibri" w:cs="Calibri"/>
                <w:b/>
                <w:i/>
                <w:sz w:val="20"/>
                <w:szCs w:val="20"/>
                <w:highlight w:val="yellow"/>
              </w:rPr>
            </w:pPr>
            <w:r>
              <w:rPr>
                <w:rFonts w:ascii="Calibri" w:eastAsia="Calibri" w:hAnsi="Calibri" w:cs="Calibri"/>
                <w:b/>
                <w:color w:val="000000"/>
                <w:sz w:val="20"/>
                <w:szCs w:val="20"/>
              </w:rPr>
              <w:t>Mainstreaming the development of climate-resilient sustainable blue/ocean economies in the</w:t>
            </w:r>
            <w:r>
              <w:rPr>
                <w:rFonts w:ascii="Calibri" w:hAnsi="Calibri" w:cs="Calibri"/>
                <w:b/>
                <w:color w:val="000000"/>
                <w:sz w:val="20"/>
                <w:szCs w:val="20"/>
              </w:rPr>
              <w:t xml:space="preserve"> </w:t>
            </w:r>
            <w:r>
              <w:rPr>
                <w:rFonts w:ascii="Calibri" w:eastAsia="Calibri" w:hAnsi="Calibri" w:cs="Calibri"/>
                <w:b/>
                <w:color w:val="000000"/>
                <w:sz w:val="20"/>
                <w:szCs w:val="20"/>
              </w:rPr>
              <w:t>implementation of the Strategic Action Programme of the Benguela Current Large Marine</w:t>
            </w:r>
            <w:r>
              <w:rPr>
                <w:rFonts w:ascii="Calibri" w:hAnsi="Calibri" w:cs="Calibri"/>
                <w:b/>
                <w:color w:val="000000"/>
                <w:sz w:val="20"/>
                <w:szCs w:val="20"/>
              </w:rPr>
              <w:t xml:space="preserve"> </w:t>
            </w:r>
            <w:r>
              <w:rPr>
                <w:rFonts w:ascii="Calibri" w:eastAsia="Calibri" w:hAnsi="Calibri" w:cs="Calibri"/>
                <w:b/>
                <w:color w:val="000000"/>
                <w:sz w:val="20"/>
                <w:szCs w:val="20"/>
              </w:rPr>
              <w:t>Ecosystem</w:t>
            </w:r>
          </w:p>
        </w:tc>
      </w:tr>
      <w:tr w:rsidR="00CF33D9" w14:paraId="6808F90F" w14:textId="77777777">
        <w:trPr>
          <w:trHeight w:val="665"/>
        </w:trPr>
        <w:tc>
          <w:tcPr>
            <w:tcW w:w="1819" w:type="dxa"/>
            <w:vMerge/>
            <w:shd w:val="clear" w:color="auto" w:fill="auto"/>
          </w:tcPr>
          <w:p w14:paraId="6808F902" w14:textId="77777777" w:rsidR="00CF33D9" w:rsidRDefault="00CF33D9">
            <w:pPr>
              <w:widowControl w:val="0"/>
              <w:spacing w:line="276" w:lineRule="auto"/>
              <w:rPr>
                <w:rFonts w:ascii="Calibri" w:eastAsia="Calibri" w:hAnsi="Calibri" w:cs="Calibri"/>
                <w:b/>
                <w:i/>
                <w:sz w:val="20"/>
                <w:szCs w:val="20"/>
                <w:highlight w:val="yellow"/>
              </w:rPr>
            </w:pPr>
          </w:p>
        </w:tc>
        <w:tc>
          <w:tcPr>
            <w:tcW w:w="1960" w:type="dxa"/>
            <w:gridSpan w:val="2"/>
          </w:tcPr>
          <w:p w14:paraId="6808F903" w14:textId="77777777" w:rsidR="00CF33D9" w:rsidRDefault="00E3332A">
            <w:pPr>
              <w:rPr>
                <w:rFonts w:ascii="Calibri" w:eastAsia="Calibri" w:hAnsi="Calibri" w:cs="Calibri"/>
                <w:i/>
                <w:sz w:val="20"/>
                <w:szCs w:val="20"/>
              </w:rPr>
            </w:pPr>
            <w:r>
              <w:rPr>
                <w:rFonts w:ascii="Calibri" w:eastAsia="Calibri" w:hAnsi="Calibri" w:cs="Calibri"/>
                <w:b/>
                <w:sz w:val="20"/>
                <w:szCs w:val="20"/>
                <w:u w:val="single"/>
              </w:rPr>
              <w:t>Mandatory</w:t>
            </w:r>
            <w:r>
              <w:rPr>
                <w:rFonts w:ascii="Calibri" w:eastAsia="Calibri" w:hAnsi="Calibri" w:cs="Calibri"/>
                <w:sz w:val="20"/>
                <w:szCs w:val="20"/>
                <w:u w:val="single"/>
              </w:rPr>
              <w:t xml:space="preserve"> Indicator 1:</w:t>
            </w:r>
            <w:r>
              <w:rPr>
                <w:rFonts w:ascii="Calibri" w:eastAsia="Calibri" w:hAnsi="Calibri" w:cs="Calibri"/>
                <w:sz w:val="20"/>
                <w:szCs w:val="20"/>
              </w:rPr>
              <w:t xml:space="preserve"> (GEF Core Indicator #11)  direct project beneficiaries disaggregated by gender (individual people)</w:t>
            </w:r>
          </w:p>
        </w:tc>
        <w:tc>
          <w:tcPr>
            <w:tcW w:w="1694" w:type="dxa"/>
          </w:tcPr>
          <w:p w14:paraId="6808F904" w14:textId="77777777" w:rsidR="00CF33D9" w:rsidRDefault="00E3332A">
            <w:pPr>
              <w:rPr>
                <w:rFonts w:ascii="Calibri" w:eastAsia="Calibri" w:hAnsi="Calibri" w:cs="Calibri"/>
                <w:sz w:val="20"/>
                <w:szCs w:val="20"/>
              </w:rPr>
            </w:pPr>
            <w:r>
              <w:rPr>
                <w:rFonts w:ascii="Calibri" w:eastAsia="Calibri" w:hAnsi="Calibri" w:cs="Calibri"/>
                <w:sz w:val="20"/>
                <w:szCs w:val="20"/>
              </w:rPr>
              <w:t>National census reports</w:t>
            </w:r>
          </w:p>
          <w:p w14:paraId="6808F905" w14:textId="77777777" w:rsidR="00CF33D9" w:rsidRDefault="00CF33D9">
            <w:pPr>
              <w:rPr>
                <w:rFonts w:ascii="Calibri" w:eastAsia="Calibri" w:hAnsi="Calibri" w:cs="Calibri"/>
                <w:sz w:val="20"/>
                <w:szCs w:val="20"/>
              </w:rPr>
            </w:pPr>
          </w:p>
        </w:tc>
        <w:tc>
          <w:tcPr>
            <w:tcW w:w="1694" w:type="dxa"/>
          </w:tcPr>
          <w:p w14:paraId="6808F906" w14:textId="77777777" w:rsidR="00CF33D9" w:rsidRDefault="00E3332A">
            <w:pPr>
              <w:rPr>
                <w:rFonts w:ascii="Calibri" w:eastAsia="Calibri" w:hAnsi="Calibri" w:cs="Calibri"/>
                <w:i/>
                <w:sz w:val="20"/>
                <w:szCs w:val="20"/>
                <w:highlight w:val="yellow"/>
              </w:rPr>
            </w:pPr>
            <w:r>
              <w:rPr>
                <w:rFonts w:ascii="Calibri" w:eastAsia="Calibri" w:hAnsi="Calibri" w:cs="Calibri"/>
                <w:sz w:val="20"/>
                <w:szCs w:val="20"/>
              </w:rPr>
              <w:t>The BCLME region supports approximately 91 million people</w:t>
            </w:r>
          </w:p>
        </w:tc>
        <w:tc>
          <w:tcPr>
            <w:tcW w:w="1826" w:type="dxa"/>
          </w:tcPr>
          <w:p w14:paraId="6808F907" w14:textId="77777777" w:rsidR="00CF33D9" w:rsidRDefault="00E3332A">
            <w:pPr>
              <w:rPr>
                <w:rFonts w:ascii="Calibri" w:eastAsia="Calibri" w:hAnsi="Calibri" w:cs="Calibri"/>
                <w:sz w:val="20"/>
                <w:szCs w:val="20"/>
              </w:rPr>
            </w:pPr>
            <w:r>
              <w:rPr>
                <w:rFonts w:ascii="Calibri" w:eastAsia="Calibri" w:hAnsi="Calibri" w:cs="Calibri"/>
                <w:sz w:val="20"/>
                <w:szCs w:val="20"/>
              </w:rPr>
              <w:t>2500 in each country, of which 25% are women</w:t>
            </w:r>
          </w:p>
        </w:tc>
        <w:tc>
          <w:tcPr>
            <w:tcW w:w="1694" w:type="dxa"/>
          </w:tcPr>
          <w:p w14:paraId="6808F908" w14:textId="77777777" w:rsidR="00CF33D9" w:rsidRDefault="00E3332A">
            <w:pPr>
              <w:rPr>
                <w:rFonts w:ascii="Calibri" w:eastAsia="Calibri" w:hAnsi="Calibri" w:cs="Calibri"/>
                <w:sz w:val="20"/>
                <w:szCs w:val="20"/>
              </w:rPr>
            </w:pPr>
            <w:r>
              <w:rPr>
                <w:rFonts w:ascii="Calibri" w:eastAsia="Calibri" w:hAnsi="Calibri" w:cs="Calibri"/>
                <w:sz w:val="20"/>
                <w:szCs w:val="20"/>
              </w:rPr>
              <w:t>5,000 in each country, of which 50% are women</w:t>
            </w:r>
          </w:p>
        </w:tc>
        <w:tc>
          <w:tcPr>
            <w:tcW w:w="1518" w:type="dxa"/>
            <w:gridSpan w:val="2"/>
          </w:tcPr>
          <w:p w14:paraId="6808F909"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t>Annual project reports</w:t>
            </w:r>
          </w:p>
          <w:p w14:paraId="6808F90A" w14:textId="77777777" w:rsidR="00CF33D9" w:rsidRDefault="00CF33D9">
            <w:pPr>
              <w:rPr>
                <w:rFonts w:ascii="Calibri" w:eastAsia="Calibri" w:hAnsi="Calibri" w:cs="Calibri"/>
                <w:color w:val="000000"/>
                <w:sz w:val="20"/>
                <w:szCs w:val="20"/>
              </w:rPr>
            </w:pPr>
          </w:p>
          <w:p w14:paraId="6808F90B" w14:textId="77777777" w:rsidR="00CF33D9" w:rsidRDefault="00CF33D9">
            <w:pPr>
              <w:rPr>
                <w:rFonts w:ascii="Calibri" w:eastAsia="Calibri" w:hAnsi="Calibri" w:cs="Calibri"/>
                <w:color w:val="000000"/>
                <w:sz w:val="20"/>
                <w:szCs w:val="20"/>
              </w:rPr>
            </w:pPr>
          </w:p>
          <w:p w14:paraId="6808F90C" w14:textId="77777777" w:rsidR="00CF33D9" w:rsidRDefault="00CF33D9">
            <w:pPr>
              <w:rPr>
                <w:rFonts w:ascii="Calibri" w:eastAsia="Calibri" w:hAnsi="Calibri" w:cs="Calibri"/>
                <w:i/>
                <w:sz w:val="20"/>
                <w:szCs w:val="20"/>
                <w:highlight w:val="yellow"/>
              </w:rPr>
            </w:pPr>
          </w:p>
        </w:tc>
        <w:tc>
          <w:tcPr>
            <w:tcW w:w="2190" w:type="dxa"/>
            <w:gridSpan w:val="2"/>
          </w:tcPr>
          <w:p w14:paraId="6808F90D"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u w:val="single"/>
              </w:rPr>
              <w:t>Risks</w:t>
            </w:r>
            <w:r>
              <w:rPr>
                <w:rFonts w:ascii="Calibri" w:eastAsia="Calibri" w:hAnsi="Calibri" w:cs="Calibri"/>
                <w:color w:val="000000"/>
                <w:sz w:val="20"/>
                <w:szCs w:val="20"/>
              </w:rPr>
              <w:t xml:space="preserve">: Rigid gender division of </w:t>
            </w:r>
            <w:r>
              <w:rPr>
                <w:rFonts w:ascii="Calibri" w:eastAsia="Calibri" w:hAnsi="Calibri" w:cs="Calibri"/>
                <w:sz w:val="20"/>
                <w:szCs w:val="20"/>
              </w:rPr>
              <w:t>labour</w:t>
            </w:r>
            <w:r>
              <w:rPr>
                <w:rFonts w:ascii="Calibri" w:eastAsia="Calibri" w:hAnsi="Calibri" w:cs="Calibri"/>
                <w:color w:val="000000"/>
                <w:sz w:val="20"/>
                <w:szCs w:val="20"/>
              </w:rPr>
              <w:t xml:space="preserve"> can inhibit women’s participation. </w:t>
            </w:r>
          </w:p>
          <w:p w14:paraId="6808F90E" w14:textId="77777777" w:rsidR="00CF33D9" w:rsidRDefault="00E3332A">
            <w:pPr>
              <w:rPr>
                <w:rFonts w:ascii="Calibri" w:eastAsia="Calibri" w:hAnsi="Calibri" w:cs="Calibri"/>
                <w:i/>
                <w:sz w:val="20"/>
                <w:szCs w:val="20"/>
                <w:highlight w:val="yellow"/>
              </w:rPr>
            </w:pPr>
            <w:r>
              <w:rPr>
                <w:rFonts w:ascii="Calibri" w:eastAsia="Calibri" w:hAnsi="Calibri" w:cs="Calibri"/>
                <w:color w:val="000000"/>
                <w:sz w:val="20"/>
                <w:szCs w:val="20"/>
                <w:u w:val="single"/>
              </w:rPr>
              <w:t>Assumptions</w:t>
            </w:r>
            <w:r>
              <w:rPr>
                <w:rFonts w:ascii="Calibri" w:eastAsia="Calibri" w:hAnsi="Calibri" w:cs="Calibri"/>
                <w:color w:val="000000"/>
                <w:sz w:val="20"/>
                <w:szCs w:val="20"/>
              </w:rPr>
              <w:t>: Targeted   women’s inclusion during project inception has the potential of increasing women beneficiaries</w:t>
            </w:r>
          </w:p>
        </w:tc>
      </w:tr>
      <w:tr w:rsidR="00CF33D9" w14:paraId="6808F91B" w14:textId="77777777">
        <w:trPr>
          <w:trHeight w:val="1299"/>
        </w:trPr>
        <w:tc>
          <w:tcPr>
            <w:tcW w:w="1819" w:type="dxa"/>
            <w:vMerge/>
            <w:shd w:val="clear" w:color="auto" w:fill="auto"/>
          </w:tcPr>
          <w:p w14:paraId="6808F910" w14:textId="77777777" w:rsidR="00CF33D9" w:rsidRDefault="00CF33D9">
            <w:pPr>
              <w:widowControl w:val="0"/>
              <w:spacing w:line="276" w:lineRule="auto"/>
              <w:rPr>
                <w:rFonts w:ascii="Calibri" w:eastAsia="Calibri" w:hAnsi="Calibri" w:cs="Calibri"/>
                <w:i/>
                <w:sz w:val="20"/>
                <w:szCs w:val="20"/>
                <w:highlight w:val="yellow"/>
              </w:rPr>
            </w:pPr>
          </w:p>
        </w:tc>
        <w:tc>
          <w:tcPr>
            <w:tcW w:w="1960" w:type="dxa"/>
            <w:gridSpan w:val="2"/>
          </w:tcPr>
          <w:p w14:paraId="6808F911" w14:textId="77777777" w:rsidR="00CF33D9" w:rsidRDefault="00E333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Calibri" w:hAnsi="Calibri" w:cs="Calibri"/>
                <w:i/>
                <w:sz w:val="20"/>
                <w:szCs w:val="20"/>
                <w:highlight w:val="yellow"/>
              </w:rPr>
            </w:pPr>
            <w:r>
              <w:rPr>
                <w:rFonts w:ascii="Calibri" w:eastAsia="Calibri" w:hAnsi="Calibri" w:cs="Calibri"/>
                <w:b/>
                <w:sz w:val="20"/>
                <w:szCs w:val="20"/>
                <w:u w:val="single"/>
              </w:rPr>
              <w:t>Mandatory</w:t>
            </w:r>
            <w:r>
              <w:rPr>
                <w:rFonts w:ascii="Calibri" w:eastAsia="Calibri" w:hAnsi="Calibri" w:cs="Calibri"/>
                <w:sz w:val="20"/>
                <w:szCs w:val="20"/>
                <w:u w:val="single"/>
              </w:rPr>
              <w:t xml:space="preserve"> Indicator 2:</w:t>
            </w:r>
            <w:r>
              <w:rPr>
                <w:rFonts w:ascii="Calibri" w:eastAsia="Calibri" w:hAnsi="Calibri" w:cs="Calibri"/>
                <w:sz w:val="20"/>
                <w:szCs w:val="20"/>
              </w:rPr>
              <w:t xml:space="preserve"> (GEF Core Indicator #2)  </w:t>
            </w:r>
            <w:r>
              <w:rPr>
                <w:rFonts w:ascii="Calibri" w:eastAsia="Calibri" w:hAnsi="Calibri" w:cs="Calibri"/>
                <w:color w:val="000000"/>
                <w:sz w:val="20"/>
                <w:szCs w:val="20"/>
              </w:rPr>
              <w:t>Marine protected areas under improved</w:t>
            </w:r>
            <w:r>
              <w:rPr>
                <w:rFonts w:ascii="Calibri" w:hAnsi="Calibri" w:cs="Calibri"/>
                <w:color w:val="000000"/>
                <w:sz w:val="20"/>
                <w:szCs w:val="20"/>
              </w:rPr>
              <w:t xml:space="preserve"> </w:t>
            </w:r>
            <w:r>
              <w:rPr>
                <w:rFonts w:ascii="Calibri" w:eastAsia="Calibri" w:hAnsi="Calibri" w:cs="Calibri"/>
                <w:color w:val="000000"/>
                <w:sz w:val="20"/>
                <w:szCs w:val="20"/>
              </w:rPr>
              <w:t>management effectiveness</w:t>
            </w:r>
            <w:r>
              <w:rPr>
                <w:rFonts w:ascii="Calibri" w:hAnsi="Calibri" w:cs="Calibri"/>
                <w:color w:val="000000"/>
                <w:sz w:val="20"/>
                <w:szCs w:val="20"/>
              </w:rPr>
              <w:t xml:space="preserve"> (Hectares)</w:t>
            </w:r>
          </w:p>
        </w:tc>
        <w:tc>
          <w:tcPr>
            <w:tcW w:w="1694" w:type="dxa"/>
          </w:tcPr>
          <w:p w14:paraId="6808F912" w14:textId="77777777" w:rsidR="00CF33D9" w:rsidRDefault="00E3332A">
            <w:pPr>
              <w:rPr>
                <w:rFonts w:ascii="Calibri" w:eastAsia="Calibri" w:hAnsi="Calibri" w:cs="Calibri"/>
                <w:i/>
                <w:sz w:val="20"/>
                <w:szCs w:val="20"/>
                <w:highlight w:val="yellow"/>
              </w:rPr>
            </w:pPr>
            <w:r>
              <w:rPr>
                <w:rFonts w:ascii="Calibri" w:eastAsia="Calibri" w:hAnsi="Calibri" w:cs="Calibri"/>
                <w:sz w:val="20"/>
                <w:szCs w:val="20"/>
              </w:rPr>
              <w:t>Report on the marine area under legal protection status as a result of project support and improved management effectiveness</w:t>
            </w:r>
          </w:p>
        </w:tc>
        <w:tc>
          <w:tcPr>
            <w:tcW w:w="1694" w:type="dxa"/>
          </w:tcPr>
          <w:p w14:paraId="6808F913" w14:textId="77777777" w:rsidR="00CF33D9" w:rsidRDefault="00E3332A">
            <w:pPr>
              <w:jc w:val="center"/>
              <w:rPr>
                <w:rFonts w:ascii="Calibri" w:eastAsia="Calibri" w:hAnsi="Calibri" w:cs="Calibri"/>
                <w:sz w:val="20"/>
                <w:szCs w:val="20"/>
                <w:highlight w:val="yellow"/>
              </w:rPr>
            </w:pPr>
            <w:r>
              <w:rPr>
                <w:rFonts w:ascii="Calibri" w:eastAsia="Calibri" w:hAnsi="Calibri" w:cs="Calibri"/>
                <w:sz w:val="20"/>
                <w:szCs w:val="20"/>
              </w:rPr>
              <w:t>0</w:t>
            </w:r>
          </w:p>
        </w:tc>
        <w:tc>
          <w:tcPr>
            <w:tcW w:w="1826" w:type="dxa"/>
          </w:tcPr>
          <w:p w14:paraId="6808F914" w14:textId="77777777" w:rsidR="00CF33D9" w:rsidRDefault="00E3332A">
            <w:pPr>
              <w:jc w:val="center"/>
              <w:rPr>
                <w:rFonts w:ascii="Calibri" w:eastAsia="Calibri" w:hAnsi="Calibri" w:cs="Calibri"/>
                <w:i/>
                <w:sz w:val="20"/>
                <w:szCs w:val="20"/>
                <w:highlight w:val="yellow"/>
                <w:lang w:val="en-US"/>
              </w:rPr>
            </w:pPr>
            <w:r>
              <w:rPr>
                <w:rFonts w:ascii="Calibri" w:eastAsia="Calibri" w:hAnsi="Calibri" w:cs="Calibri"/>
                <w:sz w:val="20"/>
                <w:szCs w:val="20"/>
              </w:rPr>
              <w:t>949,700</w:t>
            </w:r>
            <w:r>
              <w:rPr>
                <w:rFonts w:ascii="Calibri" w:eastAsia="Calibri" w:hAnsi="Calibri" w:cs="Calibri"/>
                <w:sz w:val="20"/>
                <w:szCs w:val="20"/>
                <w:lang w:val="en-US"/>
              </w:rPr>
              <w:t xml:space="preserve"> </w:t>
            </w:r>
          </w:p>
        </w:tc>
        <w:tc>
          <w:tcPr>
            <w:tcW w:w="1694" w:type="dxa"/>
          </w:tcPr>
          <w:p w14:paraId="6808F915" w14:textId="77777777" w:rsidR="00CF33D9" w:rsidRDefault="00E3332A">
            <w:pPr>
              <w:jc w:val="center"/>
              <w:rPr>
                <w:rFonts w:ascii="Calibri" w:eastAsia="Calibri" w:hAnsi="Calibri" w:cs="Calibri"/>
                <w:sz w:val="20"/>
                <w:szCs w:val="20"/>
                <w:lang w:val="en-US"/>
              </w:rPr>
            </w:pPr>
            <w:r>
              <w:rPr>
                <w:rFonts w:ascii="Calibri" w:eastAsia="Calibri" w:hAnsi="Calibri" w:cs="Calibri"/>
                <w:sz w:val="20"/>
                <w:szCs w:val="20"/>
              </w:rPr>
              <w:t>3,165,840</w:t>
            </w:r>
          </w:p>
        </w:tc>
        <w:tc>
          <w:tcPr>
            <w:tcW w:w="1518" w:type="dxa"/>
            <w:gridSpan w:val="2"/>
          </w:tcPr>
          <w:p w14:paraId="6808F916" w14:textId="77777777" w:rsidR="00CF33D9" w:rsidRDefault="00E3332A">
            <w:pPr>
              <w:rPr>
                <w:rFonts w:ascii="Calibri" w:eastAsia="Calibri" w:hAnsi="Calibri" w:cs="Calibri"/>
                <w:sz w:val="20"/>
                <w:szCs w:val="20"/>
              </w:rPr>
            </w:pPr>
            <w:r>
              <w:rPr>
                <w:rFonts w:ascii="Calibri" w:eastAsia="Calibri" w:hAnsi="Calibri" w:cs="Calibri"/>
                <w:sz w:val="20"/>
                <w:szCs w:val="20"/>
              </w:rPr>
              <w:t>Reports on the implementation of MPAs management plans</w:t>
            </w:r>
          </w:p>
        </w:tc>
        <w:tc>
          <w:tcPr>
            <w:tcW w:w="2190" w:type="dxa"/>
            <w:gridSpan w:val="2"/>
          </w:tcPr>
          <w:p w14:paraId="6808F917" w14:textId="77777777" w:rsidR="00CF33D9" w:rsidRDefault="00E3332A">
            <w:pPr>
              <w:ind w:left="-40"/>
              <w:jc w:val="both"/>
              <w:rPr>
                <w:rFonts w:ascii="Calibri" w:eastAsia="Calibri" w:hAnsi="Calibri" w:cs="Calibri"/>
                <w:sz w:val="20"/>
                <w:szCs w:val="20"/>
                <w:u w:val="single"/>
              </w:rPr>
            </w:pPr>
            <w:r>
              <w:rPr>
                <w:rFonts w:ascii="Calibri" w:eastAsia="Calibri" w:hAnsi="Calibri" w:cs="Calibri"/>
                <w:sz w:val="20"/>
                <w:szCs w:val="20"/>
                <w:u w:val="single"/>
              </w:rPr>
              <w:t>Risks:</w:t>
            </w:r>
          </w:p>
          <w:p w14:paraId="6808F918" w14:textId="77777777" w:rsidR="00CF33D9" w:rsidRDefault="00E3332A">
            <w:pPr>
              <w:numPr>
                <w:ilvl w:val="0"/>
                <w:numId w:val="33"/>
              </w:numPr>
              <w:ind w:left="127" w:hanging="167"/>
              <w:rPr>
                <w:rFonts w:ascii="Calibri" w:eastAsia="Calibri" w:hAnsi="Calibri" w:cs="Calibri"/>
                <w:color w:val="000000"/>
                <w:sz w:val="20"/>
                <w:szCs w:val="20"/>
              </w:rPr>
            </w:pPr>
            <w:r>
              <w:rPr>
                <w:rFonts w:ascii="Calibri" w:eastAsia="Calibri" w:hAnsi="Calibri" w:cs="Calibri"/>
                <w:color w:val="000000"/>
                <w:sz w:val="20"/>
                <w:szCs w:val="20"/>
              </w:rPr>
              <w:t>Lacking effective monitoring of standards and verifiable improvement indicators.</w:t>
            </w:r>
          </w:p>
          <w:p w14:paraId="6808F919" w14:textId="77777777" w:rsidR="00CF33D9" w:rsidRDefault="00E3332A">
            <w:pPr>
              <w:ind w:left="-40"/>
              <w:jc w:val="both"/>
              <w:rPr>
                <w:rFonts w:ascii="Calibri" w:eastAsia="Calibri" w:hAnsi="Calibri" w:cs="Calibri"/>
                <w:sz w:val="20"/>
                <w:szCs w:val="20"/>
                <w:u w:val="single"/>
              </w:rPr>
            </w:pPr>
            <w:r>
              <w:rPr>
                <w:rFonts w:ascii="Calibri" w:eastAsia="Calibri" w:hAnsi="Calibri" w:cs="Calibri"/>
                <w:sz w:val="20"/>
                <w:szCs w:val="20"/>
                <w:u w:val="single"/>
              </w:rPr>
              <w:t>Assumptions:</w:t>
            </w:r>
          </w:p>
          <w:p w14:paraId="6808F91A" w14:textId="77777777" w:rsidR="00CF33D9" w:rsidRDefault="00E3332A">
            <w:pPr>
              <w:numPr>
                <w:ilvl w:val="0"/>
                <w:numId w:val="34"/>
              </w:numPr>
              <w:ind w:left="128" w:hanging="166"/>
              <w:jc w:val="both"/>
              <w:rPr>
                <w:rFonts w:ascii="Calibri" w:eastAsia="Calibri" w:hAnsi="Calibri" w:cs="Calibri"/>
                <w:color w:val="000000"/>
                <w:sz w:val="20"/>
                <w:szCs w:val="20"/>
              </w:rPr>
            </w:pPr>
            <w:r>
              <w:rPr>
                <w:rFonts w:ascii="Calibri" w:eastAsia="Calibri" w:hAnsi="Calibri" w:cs="Calibri"/>
                <w:color w:val="000000"/>
                <w:sz w:val="20"/>
                <w:szCs w:val="20"/>
              </w:rPr>
              <w:t xml:space="preserve">Each country has the capacity to gather and analyse </w:t>
            </w:r>
            <w:r>
              <w:rPr>
                <w:rFonts w:ascii="Calibri" w:eastAsia="Calibri" w:hAnsi="Calibri" w:cs="Calibri"/>
                <w:sz w:val="20"/>
                <w:szCs w:val="20"/>
              </w:rPr>
              <w:t>using</w:t>
            </w:r>
            <w:r>
              <w:rPr>
                <w:rFonts w:ascii="Calibri" w:eastAsia="Calibri" w:hAnsi="Calibri" w:cs="Calibri"/>
                <w:color w:val="000000"/>
                <w:sz w:val="20"/>
                <w:szCs w:val="20"/>
              </w:rPr>
              <w:t xml:space="preserve"> the METT score</w:t>
            </w:r>
          </w:p>
        </w:tc>
      </w:tr>
      <w:tr w:rsidR="00CF33D9" w14:paraId="6808F92A" w14:textId="77777777">
        <w:trPr>
          <w:trHeight w:val="305"/>
        </w:trPr>
        <w:tc>
          <w:tcPr>
            <w:tcW w:w="1819" w:type="dxa"/>
            <w:vMerge/>
            <w:shd w:val="clear" w:color="auto" w:fill="auto"/>
          </w:tcPr>
          <w:p w14:paraId="6808F91C" w14:textId="77777777" w:rsidR="00CF33D9" w:rsidRDefault="00CF33D9">
            <w:pPr>
              <w:widowControl w:val="0"/>
              <w:spacing w:line="276" w:lineRule="auto"/>
              <w:rPr>
                <w:rFonts w:ascii="Calibri" w:eastAsia="Calibri" w:hAnsi="Calibri" w:cs="Calibri"/>
                <w:color w:val="000000"/>
                <w:sz w:val="20"/>
                <w:szCs w:val="20"/>
              </w:rPr>
            </w:pPr>
          </w:p>
        </w:tc>
        <w:tc>
          <w:tcPr>
            <w:tcW w:w="1960" w:type="dxa"/>
            <w:gridSpan w:val="2"/>
          </w:tcPr>
          <w:p w14:paraId="6808F91D" w14:textId="77777777" w:rsidR="00CF33D9" w:rsidRDefault="00E333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Calibri" w:hAnsi="Calibri" w:cs="Calibri"/>
                <w:sz w:val="20"/>
                <w:szCs w:val="20"/>
              </w:rPr>
            </w:pPr>
            <w:r>
              <w:rPr>
                <w:rFonts w:ascii="Calibri" w:eastAsia="Calibri" w:hAnsi="Calibri" w:cs="Calibri"/>
                <w:b/>
                <w:sz w:val="20"/>
                <w:szCs w:val="20"/>
                <w:u w:val="single"/>
              </w:rPr>
              <w:t xml:space="preserve">Mandatory </w:t>
            </w:r>
            <w:r>
              <w:rPr>
                <w:rFonts w:ascii="Calibri" w:eastAsia="Calibri" w:hAnsi="Calibri" w:cs="Calibri"/>
                <w:sz w:val="20"/>
                <w:szCs w:val="20"/>
                <w:u w:val="single"/>
              </w:rPr>
              <w:t>Indicator 3</w:t>
            </w:r>
            <w:r>
              <w:rPr>
                <w:rFonts w:ascii="Calibri" w:eastAsia="Calibri" w:hAnsi="Calibri" w:cs="Calibri"/>
                <w:sz w:val="20"/>
                <w:szCs w:val="20"/>
              </w:rPr>
              <w:t xml:space="preserve">: (GEF Core Indicator #5) </w:t>
            </w:r>
            <w:r>
              <w:rPr>
                <w:rFonts w:ascii="Calibri" w:eastAsia="Calibri" w:hAnsi="Calibri" w:cs="Calibri"/>
                <w:color w:val="000000"/>
                <w:sz w:val="20"/>
                <w:szCs w:val="20"/>
              </w:rPr>
              <w:t>Area of marine habitat under improved practices (excluding</w:t>
            </w:r>
            <w:r>
              <w:rPr>
                <w:rFonts w:ascii="Calibri" w:hAnsi="Calibri" w:cs="Calibri"/>
                <w:color w:val="000000"/>
                <w:sz w:val="20"/>
                <w:szCs w:val="20"/>
              </w:rPr>
              <w:t xml:space="preserve"> </w:t>
            </w:r>
            <w:r>
              <w:rPr>
                <w:rFonts w:ascii="Calibri" w:eastAsia="Calibri" w:hAnsi="Calibri" w:cs="Calibri"/>
                <w:color w:val="000000"/>
                <w:sz w:val="20"/>
                <w:szCs w:val="20"/>
              </w:rPr>
              <w:t>protected areas) (Hectares)</w:t>
            </w:r>
          </w:p>
        </w:tc>
        <w:tc>
          <w:tcPr>
            <w:tcW w:w="1694" w:type="dxa"/>
          </w:tcPr>
          <w:p w14:paraId="6808F91E" w14:textId="77777777" w:rsidR="00CF33D9" w:rsidRDefault="00E3332A">
            <w:pPr>
              <w:rPr>
                <w:rFonts w:ascii="Calibri" w:eastAsia="Calibri" w:hAnsi="Calibri" w:cs="Calibri"/>
                <w:sz w:val="20"/>
                <w:szCs w:val="20"/>
              </w:rPr>
            </w:pPr>
            <w:r>
              <w:rPr>
                <w:rFonts w:ascii="Calibri" w:eastAsia="Calibri" w:hAnsi="Calibri" w:cs="Calibri"/>
                <w:sz w:val="20"/>
                <w:szCs w:val="20"/>
              </w:rPr>
              <w:t xml:space="preserve">Report on marine habitat under improved management to benefit biodiversity and which </w:t>
            </w:r>
            <w:r>
              <w:rPr>
                <w:rFonts w:ascii="Calibri" w:eastAsia="Calibri" w:hAnsi="Calibri" w:cs="Calibri"/>
                <w:sz w:val="20"/>
                <w:szCs w:val="20"/>
              </w:rPr>
              <w:lastRenderedPageBreak/>
              <w:t>management plans are under implementation.</w:t>
            </w:r>
          </w:p>
        </w:tc>
        <w:tc>
          <w:tcPr>
            <w:tcW w:w="1694" w:type="dxa"/>
          </w:tcPr>
          <w:p w14:paraId="6808F91F" w14:textId="77777777" w:rsidR="00CF33D9" w:rsidRDefault="00E3332A">
            <w:pPr>
              <w:jc w:val="center"/>
              <w:rPr>
                <w:rFonts w:ascii="Calibri" w:eastAsia="Calibri" w:hAnsi="Calibri" w:cs="Calibri"/>
                <w:sz w:val="20"/>
                <w:szCs w:val="20"/>
              </w:rPr>
            </w:pPr>
            <w:r>
              <w:rPr>
                <w:rFonts w:ascii="Calibri" w:eastAsia="Calibri" w:hAnsi="Calibri" w:cs="Calibri"/>
                <w:sz w:val="20"/>
                <w:szCs w:val="20"/>
              </w:rPr>
              <w:lastRenderedPageBreak/>
              <w:t>0</w:t>
            </w:r>
          </w:p>
        </w:tc>
        <w:tc>
          <w:tcPr>
            <w:tcW w:w="1826" w:type="dxa"/>
          </w:tcPr>
          <w:p w14:paraId="6808F920" w14:textId="77777777" w:rsidR="00CF33D9" w:rsidRDefault="00E3332A">
            <w:pPr>
              <w:jc w:val="center"/>
              <w:rPr>
                <w:rFonts w:ascii="Calibri" w:eastAsia="Calibri" w:hAnsi="Calibri" w:cs="Calibri"/>
                <w:sz w:val="20"/>
                <w:szCs w:val="20"/>
              </w:rPr>
            </w:pPr>
            <w:r>
              <w:rPr>
                <w:rFonts w:ascii="Calibri" w:eastAsia="Calibri" w:hAnsi="Calibri" w:cs="Calibri"/>
                <w:sz w:val="20"/>
                <w:szCs w:val="20"/>
              </w:rPr>
              <w:t>1,000,000</w:t>
            </w:r>
          </w:p>
          <w:p w14:paraId="6808F921" w14:textId="77777777" w:rsidR="00CF33D9" w:rsidRDefault="00CF33D9">
            <w:pPr>
              <w:jc w:val="both"/>
              <w:rPr>
                <w:rFonts w:ascii="Calibri" w:eastAsia="Calibri" w:hAnsi="Calibri" w:cs="Calibri"/>
                <w:sz w:val="20"/>
                <w:szCs w:val="20"/>
              </w:rPr>
            </w:pPr>
          </w:p>
        </w:tc>
        <w:tc>
          <w:tcPr>
            <w:tcW w:w="1694" w:type="dxa"/>
          </w:tcPr>
          <w:p w14:paraId="6808F922" w14:textId="77777777" w:rsidR="00CF33D9" w:rsidRDefault="00E3332A">
            <w:pPr>
              <w:jc w:val="center"/>
              <w:rPr>
                <w:rFonts w:ascii="Calibri" w:eastAsia="Calibri" w:hAnsi="Calibri" w:cs="Calibri"/>
                <w:sz w:val="20"/>
                <w:szCs w:val="20"/>
              </w:rPr>
            </w:pPr>
            <w:r>
              <w:rPr>
                <w:rFonts w:ascii="Calibri" w:eastAsia="Calibri" w:hAnsi="Calibri" w:cs="Calibri"/>
                <w:sz w:val="20"/>
                <w:szCs w:val="20"/>
              </w:rPr>
              <w:t>2,374,055</w:t>
            </w:r>
          </w:p>
        </w:tc>
        <w:tc>
          <w:tcPr>
            <w:tcW w:w="1518" w:type="dxa"/>
            <w:gridSpan w:val="2"/>
          </w:tcPr>
          <w:p w14:paraId="6808F923" w14:textId="77777777" w:rsidR="00CF33D9" w:rsidRDefault="00E3332A">
            <w:pPr>
              <w:numPr>
                <w:ilvl w:val="0"/>
                <w:numId w:val="35"/>
              </w:numPr>
              <w:ind w:left="117" w:hanging="142"/>
              <w:rPr>
                <w:rFonts w:ascii="Calibri" w:eastAsia="Calibri" w:hAnsi="Calibri" w:cs="Calibri"/>
                <w:color w:val="000000"/>
                <w:sz w:val="20"/>
                <w:szCs w:val="20"/>
              </w:rPr>
            </w:pPr>
            <w:r>
              <w:rPr>
                <w:rFonts w:ascii="Calibri" w:eastAsia="Calibri" w:hAnsi="Calibri" w:cs="Calibri"/>
                <w:color w:val="000000"/>
                <w:sz w:val="20"/>
                <w:szCs w:val="20"/>
              </w:rPr>
              <w:t xml:space="preserve">Reports on the number of fisheries that meet national and international </w:t>
            </w:r>
            <w:r>
              <w:rPr>
                <w:rFonts w:ascii="Calibri" w:eastAsia="Calibri" w:hAnsi="Calibri" w:cs="Calibri"/>
                <w:color w:val="000000"/>
                <w:sz w:val="20"/>
                <w:szCs w:val="20"/>
              </w:rPr>
              <w:lastRenderedPageBreak/>
              <w:t>third-party certification.</w:t>
            </w:r>
          </w:p>
          <w:p w14:paraId="6808F924" w14:textId="77777777" w:rsidR="00CF33D9" w:rsidRDefault="00E3332A">
            <w:pPr>
              <w:numPr>
                <w:ilvl w:val="0"/>
                <w:numId w:val="36"/>
              </w:numPr>
              <w:ind w:left="117" w:hanging="142"/>
              <w:rPr>
                <w:rFonts w:ascii="Calibri" w:eastAsia="Calibri" w:hAnsi="Calibri" w:cs="Calibri"/>
                <w:color w:val="000000"/>
                <w:sz w:val="20"/>
                <w:szCs w:val="20"/>
              </w:rPr>
            </w:pPr>
            <w:r>
              <w:rPr>
                <w:rFonts w:ascii="Calibri" w:eastAsia="Calibri" w:hAnsi="Calibri" w:cs="Calibri"/>
                <w:color w:val="000000"/>
                <w:sz w:val="20"/>
                <w:szCs w:val="20"/>
              </w:rPr>
              <w:t>Reports on LME with reduced pollution and hypoxia.</w:t>
            </w:r>
          </w:p>
          <w:p w14:paraId="6808F925" w14:textId="77777777" w:rsidR="00CF33D9" w:rsidRDefault="00E3332A">
            <w:pPr>
              <w:numPr>
                <w:ilvl w:val="0"/>
                <w:numId w:val="35"/>
              </w:numPr>
              <w:ind w:left="117" w:hanging="142"/>
              <w:rPr>
                <w:rFonts w:ascii="Calibri" w:eastAsia="Calibri" w:hAnsi="Calibri" w:cs="Calibri"/>
                <w:color w:val="000000"/>
                <w:sz w:val="20"/>
                <w:szCs w:val="20"/>
              </w:rPr>
            </w:pPr>
            <w:r>
              <w:rPr>
                <w:rFonts w:ascii="Calibri" w:eastAsia="Calibri" w:hAnsi="Calibri" w:cs="Calibri"/>
                <w:color w:val="000000"/>
                <w:sz w:val="20"/>
                <w:szCs w:val="20"/>
              </w:rPr>
              <w:t>Reports on marine litter avoided</w:t>
            </w:r>
          </w:p>
        </w:tc>
        <w:tc>
          <w:tcPr>
            <w:tcW w:w="2190" w:type="dxa"/>
            <w:gridSpan w:val="2"/>
          </w:tcPr>
          <w:p w14:paraId="6808F926" w14:textId="77777777" w:rsidR="00CF33D9" w:rsidRDefault="00E3332A">
            <w:pPr>
              <w:ind w:left="-40"/>
              <w:jc w:val="both"/>
              <w:rPr>
                <w:rFonts w:ascii="Calibri" w:eastAsia="Calibri" w:hAnsi="Calibri" w:cs="Calibri"/>
                <w:sz w:val="20"/>
                <w:szCs w:val="20"/>
                <w:u w:val="single"/>
              </w:rPr>
            </w:pPr>
            <w:r>
              <w:rPr>
                <w:rFonts w:ascii="Calibri" w:eastAsia="Calibri" w:hAnsi="Calibri" w:cs="Calibri"/>
                <w:sz w:val="20"/>
                <w:szCs w:val="20"/>
                <w:u w:val="single"/>
              </w:rPr>
              <w:lastRenderedPageBreak/>
              <w:t>Risks:</w:t>
            </w:r>
          </w:p>
          <w:p w14:paraId="6808F927" w14:textId="77777777" w:rsidR="00CF33D9" w:rsidRDefault="00E3332A">
            <w:pPr>
              <w:numPr>
                <w:ilvl w:val="0"/>
                <w:numId w:val="33"/>
              </w:numPr>
              <w:ind w:left="127" w:hanging="167"/>
              <w:rPr>
                <w:rFonts w:ascii="Calibri" w:eastAsia="Calibri" w:hAnsi="Calibri" w:cs="Calibri"/>
                <w:color w:val="000000"/>
                <w:sz w:val="20"/>
                <w:szCs w:val="20"/>
              </w:rPr>
            </w:pPr>
            <w:r>
              <w:rPr>
                <w:rFonts w:ascii="Calibri" w:eastAsia="Calibri" w:hAnsi="Calibri" w:cs="Calibri"/>
                <w:color w:val="000000"/>
                <w:sz w:val="20"/>
                <w:szCs w:val="20"/>
              </w:rPr>
              <w:t>Lacking effective monitoring of standards and verifiable improvement indicators.</w:t>
            </w:r>
          </w:p>
          <w:p w14:paraId="6808F928" w14:textId="77777777" w:rsidR="00CF33D9" w:rsidRDefault="00E3332A">
            <w:pPr>
              <w:ind w:left="-40"/>
              <w:jc w:val="both"/>
              <w:rPr>
                <w:rFonts w:ascii="Calibri" w:eastAsia="Calibri" w:hAnsi="Calibri" w:cs="Calibri"/>
                <w:sz w:val="20"/>
                <w:szCs w:val="20"/>
                <w:u w:val="single"/>
              </w:rPr>
            </w:pPr>
            <w:r>
              <w:rPr>
                <w:rFonts w:ascii="Calibri" w:eastAsia="Calibri" w:hAnsi="Calibri" w:cs="Calibri"/>
                <w:sz w:val="20"/>
                <w:szCs w:val="20"/>
                <w:u w:val="single"/>
              </w:rPr>
              <w:lastRenderedPageBreak/>
              <w:t>Assumptions:</w:t>
            </w:r>
          </w:p>
          <w:p w14:paraId="6808F929" w14:textId="77777777" w:rsidR="00CF33D9" w:rsidRDefault="00E3332A">
            <w:pPr>
              <w:numPr>
                <w:ilvl w:val="0"/>
                <w:numId w:val="35"/>
              </w:numPr>
              <w:ind w:left="128" w:hanging="166"/>
              <w:rPr>
                <w:rFonts w:ascii="Calibri" w:eastAsia="Calibri" w:hAnsi="Calibri" w:cs="Calibri"/>
                <w:b/>
                <w:color w:val="000000"/>
                <w:sz w:val="20"/>
                <w:szCs w:val="20"/>
              </w:rPr>
            </w:pPr>
            <w:r>
              <w:rPr>
                <w:rFonts w:ascii="Calibri" w:eastAsia="Calibri" w:hAnsi="Calibri" w:cs="Calibri"/>
                <w:color w:val="000000"/>
                <w:sz w:val="20"/>
                <w:szCs w:val="20"/>
              </w:rPr>
              <w:t xml:space="preserve">Each country has the capacity to gather and analyse data under improved management, </w:t>
            </w:r>
            <w:r>
              <w:rPr>
                <w:rFonts w:ascii="Calibri" w:eastAsia="Calibri" w:hAnsi="Calibri" w:cs="Calibri"/>
                <w:sz w:val="20"/>
                <w:szCs w:val="20"/>
              </w:rPr>
              <w:t>using a</w:t>
            </w:r>
            <w:r>
              <w:rPr>
                <w:rFonts w:ascii="Calibri" w:eastAsia="Calibri" w:hAnsi="Calibri" w:cs="Calibri"/>
                <w:color w:val="000000"/>
                <w:sz w:val="20"/>
                <w:szCs w:val="20"/>
              </w:rPr>
              <w:t xml:space="preserve"> </w:t>
            </w:r>
            <w:r>
              <w:rPr>
                <w:rFonts w:ascii="Calibri" w:eastAsia="Calibri" w:hAnsi="Calibri" w:cs="Calibri"/>
                <w:sz w:val="20"/>
                <w:szCs w:val="20"/>
              </w:rPr>
              <w:t>specific</w:t>
            </w:r>
            <w:r>
              <w:rPr>
                <w:rFonts w:ascii="Calibri" w:eastAsia="Calibri" w:hAnsi="Calibri" w:cs="Calibri"/>
                <w:color w:val="000000"/>
                <w:sz w:val="20"/>
                <w:szCs w:val="20"/>
              </w:rPr>
              <w:t xml:space="preserve"> approach.</w:t>
            </w:r>
          </w:p>
        </w:tc>
      </w:tr>
      <w:tr w:rsidR="00CF33D9" w14:paraId="6808F934" w14:textId="77777777">
        <w:trPr>
          <w:trHeight w:val="350"/>
        </w:trPr>
        <w:tc>
          <w:tcPr>
            <w:tcW w:w="1819" w:type="dxa"/>
            <w:vMerge/>
            <w:shd w:val="clear" w:color="auto" w:fill="auto"/>
          </w:tcPr>
          <w:p w14:paraId="6808F92B" w14:textId="77777777" w:rsidR="00CF33D9" w:rsidRDefault="00CF33D9">
            <w:pPr>
              <w:widowControl w:val="0"/>
              <w:spacing w:line="276" w:lineRule="auto"/>
              <w:rPr>
                <w:rFonts w:ascii="Calibri" w:eastAsia="Calibri" w:hAnsi="Calibri" w:cs="Calibri"/>
                <w:b/>
                <w:color w:val="000000"/>
                <w:sz w:val="20"/>
                <w:szCs w:val="20"/>
              </w:rPr>
            </w:pPr>
          </w:p>
        </w:tc>
        <w:tc>
          <w:tcPr>
            <w:tcW w:w="1960" w:type="dxa"/>
            <w:gridSpan w:val="2"/>
          </w:tcPr>
          <w:p w14:paraId="6808F92C" w14:textId="77777777" w:rsidR="00CF33D9" w:rsidRDefault="00E333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Calibri" w:hAnsi="Calibri" w:cs="Calibri"/>
                <w:sz w:val="20"/>
                <w:szCs w:val="20"/>
              </w:rPr>
            </w:pPr>
            <w:r>
              <w:rPr>
                <w:rFonts w:ascii="Calibri" w:eastAsia="Calibri" w:hAnsi="Calibri" w:cs="Calibri"/>
                <w:b/>
                <w:sz w:val="20"/>
                <w:szCs w:val="20"/>
                <w:u w:val="single"/>
              </w:rPr>
              <w:t xml:space="preserve">Mandatory </w:t>
            </w:r>
            <w:r>
              <w:rPr>
                <w:rFonts w:ascii="Calibri" w:eastAsia="Calibri" w:hAnsi="Calibri" w:cs="Calibri"/>
                <w:sz w:val="20"/>
                <w:szCs w:val="20"/>
                <w:u w:val="single"/>
              </w:rPr>
              <w:t>Indicator 4</w:t>
            </w:r>
            <w:r>
              <w:rPr>
                <w:rFonts w:ascii="Calibri" w:eastAsia="Calibri" w:hAnsi="Calibri" w:cs="Calibri"/>
                <w:sz w:val="20"/>
                <w:szCs w:val="20"/>
              </w:rPr>
              <w:t xml:space="preserve">: (GEF Core Indicator #7)  </w:t>
            </w:r>
            <w:r>
              <w:rPr>
                <w:rFonts w:ascii="Calibri" w:eastAsia="Calibri" w:hAnsi="Calibri" w:cs="Calibri"/>
                <w:color w:val="000000"/>
                <w:sz w:val="20"/>
                <w:szCs w:val="20"/>
              </w:rPr>
              <w:t>Number of shared water ecosystems (fresh or marine) under new</w:t>
            </w:r>
            <w:r>
              <w:rPr>
                <w:rFonts w:ascii="Calibri" w:hAnsi="Calibri" w:cs="Calibri"/>
                <w:color w:val="000000"/>
                <w:sz w:val="20"/>
                <w:szCs w:val="20"/>
              </w:rPr>
              <w:t xml:space="preserve"> </w:t>
            </w:r>
            <w:r>
              <w:rPr>
                <w:rFonts w:ascii="Calibri" w:eastAsia="Calibri" w:hAnsi="Calibri" w:cs="Calibri"/>
                <w:color w:val="000000"/>
                <w:sz w:val="20"/>
                <w:szCs w:val="20"/>
              </w:rPr>
              <w:t>or improved cooperative management</w:t>
            </w:r>
          </w:p>
        </w:tc>
        <w:tc>
          <w:tcPr>
            <w:tcW w:w="1694" w:type="dxa"/>
          </w:tcPr>
          <w:p w14:paraId="6808F92D" w14:textId="77777777" w:rsidR="00CF33D9" w:rsidRDefault="00E3332A">
            <w:pPr>
              <w:rPr>
                <w:rFonts w:ascii="Calibri" w:eastAsia="Calibri" w:hAnsi="Calibri" w:cs="Calibri"/>
                <w:sz w:val="20"/>
                <w:szCs w:val="20"/>
              </w:rPr>
            </w:pPr>
            <w:r>
              <w:rPr>
                <w:rFonts w:ascii="Calibri" w:eastAsia="Calibri" w:hAnsi="Calibri" w:cs="Calibri"/>
                <w:sz w:val="20"/>
                <w:szCs w:val="20"/>
              </w:rPr>
              <w:t>BCC annual reports;</w:t>
            </w:r>
          </w:p>
          <w:p w14:paraId="6808F92E" w14:textId="77777777" w:rsidR="00CF33D9" w:rsidRDefault="00E3332A">
            <w:pPr>
              <w:rPr>
                <w:rFonts w:ascii="Calibri" w:eastAsia="Calibri" w:hAnsi="Calibri" w:cs="Calibri"/>
                <w:sz w:val="20"/>
                <w:szCs w:val="20"/>
              </w:rPr>
            </w:pPr>
            <w:r>
              <w:rPr>
                <w:rFonts w:ascii="Calibri" w:eastAsia="Calibri" w:hAnsi="Calibri" w:cs="Calibri"/>
                <w:sz w:val="20"/>
                <w:szCs w:val="20"/>
              </w:rPr>
              <w:t>BCLME III Terminal Evaluation Report, which explains the challenges and issues that need to be improved with regards to management of the BCLME</w:t>
            </w:r>
          </w:p>
        </w:tc>
        <w:tc>
          <w:tcPr>
            <w:tcW w:w="1694" w:type="dxa"/>
          </w:tcPr>
          <w:p w14:paraId="6808F92F" w14:textId="77777777" w:rsidR="00CF33D9" w:rsidRDefault="00E3332A">
            <w:pPr>
              <w:jc w:val="center"/>
              <w:rPr>
                <w:rFonts w:ascii="Calibri" w:eastAsia="Calibri" w:hAnsi="Calibri" w:cs="Calibri"/>
                <w:sz w:val="20"/>
                <w:szCs w:val="20"/>
              </w:rPr>
            </w:pPr>
            <w:r>
              <w:rPr>
                <w:rFonts w:ascii="Calibri" w:eastAsia="Calibri" w:hAnsi="Calibri" w:cs="Calibri"/>
                <w:sz w:val="20"/>
                <w:szCs w:val="20"/>
              </w:rPr>
              <w:t>0</w:t>
            </w:r>
          </w:p>
        </w:tc>
        <w:tc>
          <w:tcPr>
            <w:tcW w:w="1826" w:type="dxa"/>
          </w:tcPr>
          <w:p w14:paraId="6808F930" w14:textId="77777777" w:rsidR="00CF33D9" w:rsidRDefault="00E3332A">
            <w:pPr>
              <w:jc w:val="center"/>
              <w:rPr>
                <w:rFonts w:ascii="Calibri" w:eastAsia="Calibri" w:hAnsi="Calibri" w:cs="Calibri"/>
                <w:sz w:val="20"/>
                <w:szCs w:val="20"/>
                <w:highlight w:val="yellow"/>
              </w:rPr>
            </w:pPr>
            <w:r>
              <w:rPr>
                <w:rFonts w:ascii="Calibri" w:eastAsia="Calibri" w:hAnsi="Calibri" w:cs="Calibri"/>
                <w:sz w:val="20"/>
                <w:szCs w:val="20"/>
              </w:rPr>
              <w:t>1</w:t>
            </w:r>
          </w:p>
        </w:tc>
        <w:tc>
          <w:tcPr>
            <w:tcW w:w="1694" w:type="dxa"/>
          </w:tcPr>
          <w:p w14:paraId="6808F931" w14:textId="77777777" w:rsidR="00CF33D9" w:rsidRDefault="00E3332A">
            <w:pPr>
              <w:jc w:val="center"/>
              <w:rPr>
                <w:rFonts w:ascii="Calibri" w:eastAsia="Calibri" w:hAnsi="Calibri" w:cs="Calibri"/>
                <w:sz w:val="20"/>
                <w:szCs w:val="20"/>
              </w:rPr>
            </w:pPr>
            <w:r>
              <w:rPr>
                <w:rFonts w:ascii="Calibri" w:eastAsia="Calibri" w:hAnsi="Calibri" w:cs="Calibri"/>
                <w:sz w:val="20"/>
                <w:szCs w:val="20"/>
              </w:rPr>
              <w:t>1</w:t>
            </w:r>
          </w:p>
        </w:tc>
        <w:tc>
          <w:tcPr>
            <w:tcW w:w="1518" w:type="dxa"/>
            <w:gridSpan w:val="2"/>
          </w:tcPr>
          <w:p w14:paraId="6808F932" w14:textId="77777777" w:rsidR="00CF33D9" w:rsidRDefault="00E3332A">
            <w:pPr>
              <w:rPr>
                <w:rFonts w:ascii="Calibri" w:eastAsia="Calibri" w:hAnsi="Calibri" w:cs="Calibri"/>
                <w:i/>
                <w:sz w:val="20"/>
                <w:szCs w:val="20"/>
                <w:highlight w:val="yellow"/>
              </w:rPr>
            </w:pPr>
            <w:r>
              <w:rPr>
                <w:rFonts w:ascii="Calibri" w:eastAsia="Calibri" w:hAnsi="Calibri" w:cs="Calibri"/>
                <w:color w:val="000000"/>
                <w:sz w:val="20"/>
                <w:szCs w:val="20"/>
              </w:rPr>
              <w:t>Mid-term and terminal Evaluation Reports; quarterly reports; website and public awareness resources; publications; Marine Spatial Plans;  MPA management plans</w:t>
            </w:r>
          </w:p>
        </w:tc>
        <w:tc>
          <w:tcPr>
            <w:tcW w:w="2190" w:type="dxa"/>
            <w:gridSpan w:val="2"/>
          </w:tcPr>
          <w:p w14:paraId="6808F933" w14:textId="77777777" w:rsidR="00CF33D9" w:rsidRDefault="00E3332A">
            <w:pPr>
              <w:rPr>
                <w:rFonts w:ascii="Calibri" w:eastAsia="Calibri" w:hAnsi="Calibri" w:cs="Calibri"/>
                <w:i/>
                <w:sz w:val="20"/>
                <w:szCs w:val="20"/>
                <w:highlight w:val="yellow"/>
              </w:rPr>
            </w:pPr>
            <w:r>
              <w:rPr>
                <w:rFonts w:ascii="Calibri" w:eastAsia="Calibri" w:hAnsi="Calibri" w:cs="Calibri"/>
                <w:sz w:val="20"/>
                <w:szCs w:val="20"/>
                <w:u w:val="single"/>
              </w:rPr>
              <w:t>Assumptions</w:t>
            </w:r>
            <w:r>
              <w:rPr>
                <w:rFonts w:ascii="Calibri" w:eastAsia="Calibri" w:hAnsi="Calibri" w:cs="Calibri"/>
                <w:sz w:val="20"/>
                <w:szCs w:val="20"/>
              </w:rPr>
              <w:t xml:space="preserve">: </w:t>
            </w:r>
            <w:r>
              <w:rPr>
                <w:rFonts w:ascii="Calibri" w:eastAsia="Calibri" w:hAnsi="Calibri" w:cs="Calibri"/>
                <w:color w:val="000000"/>
                <w:sz w:val="20"/>
                <w:szCs w:val="20"/>
              </w:rPr>
              <w:t>There is sufficient collaboration willingness for a transition to SBE and to implement relevant instruments</w:t>
            </w:r>
          </w:p>
        </w:tc>
      </w:tr>
      <w:tr w:rsidR="00CF33D9" w14:paraId="6808F93F" w14:textId="77777777">
        <w:trPr>
          <w:trHeight w:val="350"/>
        </w:trPr>
        <w:tc>
          <w:tcPr>
            <w:tcW w:w="1819" w:type="dxa"/>
            <w:vMerge/>
            <w:shd w:val="clear" w:color="auto" w:fill="auto"/>
          </w:tcPr>
          <w:p w14:paraId="6808F935" w14:textId="77777777" w:rsidR="00CF33D9" w:rsidRDefault="00CF33D9">
            <w:pPr>
              <w:widowControl w:val="0"/>
              <w:spacing w:line="276" w:lineRule="auto"/>
              <w:rPr>
                <w:rFonts w:ascii="Calibri" w:eastAsia="Calibri" w:hAnsi="Calibri" w:cs="Calibri"/>
                <w:b/>
                <w:color w:val="000000"/>
                <w:sz w:val="20"/>
                <w:szCs w:val="20"/>
              </w:rPr>
            </w:pPr>
          </w:p>
        </w:tc>
        <w:tc>
          <w:tcPr>
            <w:tcW w:w="1960" w:type="dxa"/>
            <w:gridSpan w:val="2"/>
          </w:tcPr>
          <w:p w14:paraId="6808F936" w14:textId="77777777" w:rsidR="00CF33D9" w:rsidRDefault="00E333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sz w:val="20"/>
                <w:szCs w:val="20"/>
              </w:rPr>
            </w:pPr>
            <w:r>
              <w:rPr>
                <w:rFonts w:ascii="Calibri" w:eastAsia="Calibri" w:hAnsi="Calibri" w:cs="Calibri"/>
                <w:b/>
                <w:sz w:val="20"/>
                <w:szCs w:val="20"/>
                <w:u w:val="single"/>
              </w:rPr>
              <w:t xml:space="preserve">Mandatory </w:t>
            </w:r>
            <w:r>
              <w:rPr>
                <w:rFonts w:ascii="Calibri" w:eastAsia="Calibri" w:hAnsi="Calibri" w:cs="Calibri"/>
                <w:bCs/>
                <w:sz w:val="20"/>
                <w:szCs w:val="20"/>
                <w:u w:val="single"/>
              </w:rPr>
              <w:t>Indicator 5</w:t>
            </w:r>
            <w:r>
              <w:rPr>
                <w:rFonts w:ascii="Calibri" w:eastAsia="Calibri" w:hAnsi="Calibri" w:cs="Calibri"/>
                <w:bCs/>
                <w:sz w:val="20"/>
                <w:szCs w:val="20"/>
              </w:rPr>
              <w:t xml:space="preserve">: (GEF Core Indicator #8) </w:t>
            </w:r>
            <w:r>
              <w:rPr>
                <w:rFonts w:ascii="Calibri" w:hAnsi="Calibri" w:cs="Calibri"/>
                <w:color w:val="000000"/>
                <w:sz w:val="20"/>
                <w:szCs w:val="20"/>
              </w:rPr>
              <w:t>Globally over-exploited marine fisheries moved to more</w:t>
            </w:r>
          </w:p>
          <w:p w14:paraId="6808F937" w14:textId="77777777" w:rsidR="00CF33D9" w:rsidRDefault="00E333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Calibri" w:hAnsi="Calibri" w:cs="Calibri"/>
                <w:bCs/>
                <w:sz w:val="20"/>
                <w:szCs w:val="20"/>
              </w:rPr>
            </w:pPr>
            <w:r>
              <w:rPr>
                <w:rFonts w:ascii="Calibri" w:hAnsi="Calibri" w:cs="Calibri"/>
                <w:color w:val="000000"/>
                <w:sz w:val="20"/>
                <w:szCs w:val="20"/>
              </w:rPr>
              <w:t>sustainable levels (metric tons)</w:t>
            </w:r>
          </w:p>
        </w:tc>
        <w:tc>
          <w:tcPr>
            <w:tcW w:w="1694" w:type="dxa"/>
          </w:tcPr>
          <w:p w14:paraId="6808F938" w14:textId="77777777" w:rsidR="00CF33D9" w:rsidRDefault="00E3332A">
            <w:pPr>
              <w:rPr>
                <w:rFonts w:ascii="Calibri" w:eastAsia="Calibri" w:hAnsi="Calibri" w:cs="Calibri"/>
                <w:sz w:val="20"/>
                <w:szCs w:val="20"/>
              </w:rPr>
            </w:pPr>
            <w:r>
              <w:rPr>
                <w:rFonts w:ascii="Calibri" w:eastAsia="Calibri" w:hAnsi="Calibri" w:cs="Calibri"/>
                <w:sz w:val="20"/>
                <w:szCs w:val="20"/>
              </w:rPr>
              <w:t>Annual fish statistics</w:t>
            </w:r>
          </w:p>
        </w:tc>
        <w:tc>
          <w:tcPr>
            <w:tcW w:w="1694" w:type="dxa"/>
          </w:tcPr>
          <w:p w14:paraId="6808F939" w14:textId="77777777" w:rsidR="00CF33D9" w:rsidRDefault="00E3332A">
            <w:pPr>
              <w:jc w:val="center"/>
              <w:rPr>
                <w:rFonts w:ascii="Calibri" w:eastAsia="Calibri" w:hAnsi="Calibri" w:cs="Calibri"/>
                <w:sz w:val="20"/>
                <w:szCs w:val="20"/>
              </w:rPr>
            </w:pPr>
            <w:r>
              <w:rPr>
                <w:rFonts w:ascii="Calibri" w:eastAsia="Calibri" w:hAnsi="Calibri" w:cs="Calibri"/>
                <w:sz w:val="20"/>
                <w:szCs w:val="20"/>
              </w:rPr>
              <w:t>0</w:t>
            </w:r>
          </w:p>
        </w:tc>
        <w:tc>
          <w:tcPr>
            <w:tcW w:w="1826" w:type="dxa"/>
          </w:tcPr>
          <w:p w14:paraId="6808F93A" w14:textId="77777777" w:rsidR="00CF33D9" w:rsidRDefault="00E3332A">
            <w:pPr>
              <w:jc w:val="center"/>
              <w:rPr>
                <w:rFonts w:ascii="Calibri" w:eastAsia="Calibri" w:hAnsi="Calibri" w:cs="Calibri"/>
                <w:sz w:val="20"/>
                <w:szCs w:val="20"/>
              </w:rPr>
            </w:pPr>
            <w:r>
              <w:rPr>
                <w:rFonts w:ascii="Calibri" w:eastAsia="Calibri" w:hAnsi="Calibri" w:cs="Calibri"/>
                <w:sz w:val="20"/>
                <w:szCs w:val="20"/>
              </w:rPr>
              <w:t>25,000</w:t>
            </w:r>
          </w:p>
        </w:tc>
        <w:tc>
          <w:tcPr>
            <w:tcW w:w="1694" w:type="dxa"/>
          </w:tcPr>
          <w:p w14:paraId="6808F93B" w14:textId="77777777" w:rsidR="00CF33D9" w:rsidRDefault="00E3332A">
            <w:pPr>
              <w:jc w:val="center"/>
              <w:rPr>
                <w:rFonts w:ascii="Calibri" w:eastAsia="Calibri" w:hAnsi="Calibri" w:cs="Calibri"/>
                <w:sz w:val="20"/>
                <w:szCs w:val="20"/>
              </w:rPr>
            </w:pPr>
            <w:r>
              <w:rPr>
                <w:rFonts w:ascii="Calibri" w:eastAsia="Calibri" w:hAnsi="Calibri" w:cs="Calibri"/>
                <w:sz w:val="20"/>
                <w:szCs w:val="20"/>
              </w:rPr>
              <w:t>50,000</w:t>
            </w:r>
          </w:p>
        </w:tc>
        <w:tc>
          <w:tcPr>
            <w:tcW w:w="1518" w:type="dxa"/>
            <w:gridSpan w:val="2"/>
          </w:tcPr>
          <w:p w14:paraId="6808F93C" w14:textId="77777777" w:rsidR="00CF33D9" w:rsidRDefault="00E3332A">
            <w:pPr>
              <w:rPr>
                <w:rFonts w:ascii="Calibri" w:hAnsi="Calibri" w:cs="Calibri"/>
                <w:color w:val="1E2328"/>
                <w:sz w:val="20"/>
                <w:szCs w:val="20"/>
              </w:rPr>
            </w:pPr>
            <w:r>
              <w:rPr>
                <w:rFonts w:ascii="Calibri" w:hAnsi="Calibri" w:cs="Calibri"/>
                <w:color w:val="1E2328"/>
                <w:sz w:val="20"/>
                <w:szCs w:val="20"/>
              </w:rPr>
              <w:t>Species catch data validated against official reports and audited statements</w:t>
            </w:r>
          </w:p>
          <w:p w14:paraId="6808F93D"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t>Mid-term and terminal Evaluation Reports; quarterly reports</w:t>
            </w:r>
          </w:p>
        </w:tc>
        <w:tc>
          <w:tcPr>
            <w:tcW w:w="2190" w:type="dxa"/>
            <w:gridSpan w:val="2"/>
          </w:tcPr>
          <w:p w14:paraId="6808F93E" w14:textId="77777777" w:rsidR="00CF33D9" w:rsidRDefault="00E3332A">
            <w:pPr>
              <w:rPr>
                <w:rFonts w:ascii="Calibri" w:eastAsia="Calibri" w:hAnsi="Calibri" w:cs="Calibri"/>
                <w:sz w:val="20"/>
                <w:szCs w:val="20"/>
              </w:rPr>
            </w:pPr>
            <w:r>
              <w:rPr>
                <w:rFonts w:ascii="Calibri" w:eastAsia="Calibri" w:hAnsi="Calibri" w:cs="Calibri"/>
                <w:sz w:val="20"/>
                <w:szCs w:val="20"/>
                <w:u w:val="single"/>
              </w:rPr>
              <w:t xml:space="preserve">Assumptions: </w:t>
            </w:r>
            <w:r>
              <w:rPr>
                <w:rFonts w:ascii="Calibri" w:hAnsi="Calibri" w:cs="Calibri"/>
                <w:color w:val="1E2328"/>
                <w:sz w:val="20"/>
                <w:szCs w:val="20"/>
              </w:rPr>
              <w:t>Catch Data reliable and auditable</w:t>
            </w:r>
          </w:p>
        </w:tc>
      </w:tr>
      <w:tr w:rsidR="00CF33D9" w14:paraId="6808F943" w14:textId="77777777">
        <w:trPr>
          <w:trHeight w:val="575"/>
        </w:trPr>
        <w:tc>
          <w:tcPr>
            <w:tcW w:w="1819" w:type="dxa"/>
            <w:tcBorders>
              <w:bottom w:val="single" w:sz="4" w:space="0" w:color="000000"/>
            </w:tcBorders>
            <w:shd w:val="clear" w:color="auto" w:fill="E7E6E6"/>
          </w:tcPr>
          <w:p w14:paraId="6808F940" w14:textId="77777777" w:rsidR="00CF33D9" w:rsidRDefault="00E3332A">
            <w:pPr>
              <w:rPr>
                <w:rFonts w:ascii="Calibri" w:eastAsia="Calibri" w:hAnsi="Calibri" w:cs="Calibri"/>
                <w:b/>
                <w:i/>
                <w:sz w:val="20"/>
                <w:szCs w:val="20"/>
              </w:rPr>
            </w:pPr>
            <w:r>
              <w:rPr>
                <w:rFonts w:ascii="Calibri" w:eastAsia="Calibri" w:hAnsi="Calibri" w:cs="Calibri"/>
                <w:b/>
                <w:sz w:val="20"/>
                <w:szCs w:val="20"/>
              </w:rPr>
              <w:t xml:space="preserve">Project component 1 </w:t>
            </w:r>
          </w:p>
        </w:tc>
        <w:tc>
          <w:tcPr>
            <w:tcW w:w="12576" w:type="dxa"/>
            <w:gridSpan w:val="10"/>
            <w:shd w:val="clear" w:color="auto" w:fill="E7E6E6"/>
          </w:tcPr>
          <w:p w14:paraId="6808F941" w14:textId="77777777" w:rsidR="00CF33D9" w:rsidRDefault="00E3332A">
            <w:pPr>
              <w:rPr>
                <w:rFonts w:ascii="Calibri" w:eastAsia="Calibri" w:hAnsi="Calibri" w:cs="Calibri"/>
                <w:b/>
                <w:sz w:val="20"/>
                <w:szCs w:val="20"/>
              </w:rPr>
            </w:pPr>
            <w:r>
              <w:rPr>
                <w:rFonts w:ascii="Calibri" w:eastAsia="Calibri" w:hAnsi="Calibri" w:cs="Calibri"/>
                <w:b/>
                <w:color w:val="000000"/>
                <w:sz w:val="20"/>
                <w:szCs w:val="20"/>
              </w:rPr>
              <w:t>Improve marine and coastal management efforts in the BCLME through effective spatial management tools and the establishment and expansion of MPAs and SMAs taking into consideration climate change and ensuring climate-resilient socio-economic development</w:t>
            </w:r>
          </w:p>
          <w:p w14:paraId="6808F942" w14:textId="77777777" w:rsidR="00CF33D9" w:rsidRDefault="00CF33D9">
            <w:pPr>
              <w:rPr>
                <w:rFonts w:ascii="Calibri" w:eastAsia="Calibri" w:hAnsi="Calibri" w:cs="Calibri"/>
                <w:i/>
                <w:sz w:val="20"/>
                <w:szCs w:val="20"/>
                <w:highlight w:val="yellow"/>
              </w:rPr>
            </w:pPr>
          </w:p>
        </w:tc>
      </w:tr>
      <w:tr w:rsidR="00CF33D9" w14:paraId="6808F951" w14:textId="77777777">
        <w:trPr>
          <w:trHeight w:val="575"/>
        </w:trPr>
        <w:tc>
          <w:tcPr>
            <w:tcW w:w="1819" w:type="dxa"/>
            <w:vMerge w:val="restart"/>
            <w:shd w:val="clear" w:color="auto" w:fill="auto"/>
          </w:tcPr>
          <w:p w14:paraId="6808F944" w14:textId="77777777" w:rsidR="00CF33D9" w:rsidRDefault="00E3332A">
            <w:pPr>
              <w:rPr>
                <w:rFonts w:ascii="Calibri" w:eastAsia="Calibri" w:hAnsi="Calibri" w:cs="Calibri"/>
                <w:i/>
                <w:sz w:val="20"/>
                <w:szCs w:val="20"/>
              </w:rPr>
            </w:pPr>
            <w:r>
              <w:rPr>
                <w:rFonts w:ascii="Calibri" w:eastAsia="Calibri" w:hAnsi="Calibri" w:cs="Calibri"/>
                <w:b/>
                <w:sz w:val="20"/>
                <w:szCs w:val="20"/>
              </w:rPr>
              <w:lastRenderedPageBreak/>
              <w:t xml:space="preserve">Outcome </w:t>
            </w:r>
            <w:r>
              <w:rPr>
                <w:rFonts w:ascii="Calibri" w:eastAsia="Calibri" w:hAnsi="Calibri" w:cs="Calibri"/>
                <w:b/>
                <w:color w:val="000000"/>
                <w:sz w:val="20"/>
                <w:szCs w:val="20"/>
              </w:rPr>
              <w:t xml:space="preserve">1.1: Policy, regulatory and institutional framework for the sustainable management of the BCLME strengthened </w:t>
            </w:r>
          </w:p>
        </w:tc>
        <w:tc>
          <w:tcPr>
            <w:tcW w:w="1960" w:type="dxa"/>
            <w:gridSpan w:val="2"/>
            <w:shd w:val="clear" w:color="auto" w:fill="FFFFFF"/>
          </w:tcPr>
          <w:p w14:paraId="6808F945" w14:textId="77777777" w:rsidR="00CF33D9" w:rsidRDefault="00E3332A">
            <w:pPr>
              <w:rPr>
                <w:rFonts w:ascii="Calibri" w:eastAsia="Calibri" w:hAnsi="Calibri" w:cs="Calibri"/>
                <w:sz w:val="20"/>
                <w:szCs w:val="20"/>
              </w:rPr>
            </w:pPr>
            <w:r>
              <w:rPr>
                <w:rFonts w:ascii="Calibri" w:eastAsia="Calibri" w:hAnsi="Calibri" w:cs="Calibri"/>
                <w:sz w:val="20"/>
                <w:szCs w:val="20"/>
              </w:rPr>
              <w:t xml:space="preserve">Indicator 6: </w:t>
            </w:r>
            <w:r>
              <w:rPr>
                <w:rFonts w:ascii="Calibri" w:eastAsia="Calibri" w:hAnsi="Calibri" w:cs="Calibri"/>
                <w:color w:val="000000"/>
                <w:sz w:val="20"/>
                <w:szCs w:val="20"/>
              </w:rPr>
              <w:t># of management plans enhanced for the selected MPAs</w:t>
            </w:r>
          </w:p>
        </w:tc>
        <w:tc>
          <w:tcPr>
            <w:tcW w:w="1694" w:type="dxa"/>
            <w:shd w:val="clear" w:color="auto" w:fill="FFFFFF"/>
          </w:tcPr>
          <w:p w14:paraId="6808F946" w14:textId="77777777" w:rsidR="00CF33D9" w:rsidRDefault="00E3332A">
            <w:pPr>
              <w:rPr>
                <w:rFonts w:ascii="Calibri" w:eastAsia="Calibri" w:hAnsi="Calibri" w:cs="Calibri"/>
                <w:i/>
                <w:sz w:val="20"/>
                <w:szCs w:val="20"/>
                <w:highlight w:val="yellow"/>
              </w:rPr>
            </w:pPr>
            <w:r>
              <w:rPr>
                <w:rFonts w:ascii="Calibri" w:eastAsia="Calibri" w:hAnsi="Calibri" w:cs="Calibri"/>
                <w:sz w:val="20"/>
                <w:szCs w:val="20"/>
              </w:rPr>
              <w:t>Records of minutes reporting the reception of enhanced management plans for selected MPAs</w:t>
            </w:r>
          </w:p>
        </w:tc>
        <w:tc>
          <w:tcPr>
            <w:tcW w:w="1694" w:type="dxa"/>
            <w:shd w:val="clear" w:color="auto" w:fill="FFFFFF"/>
          </w:tcPr>
          <w:p w14:paraId="6808F947" w14:textId="77777777" w:rsidR="00CF33D9" w:rsidRDefault="00E3332A">
            <w:pPr>
              <w:jc w:val="center"/>
              <w:rPr>
                <w:rFonts w:ascii="Calibri" w:eastAsia="Calibri" w:hAnsi="Calibri" w:cs="Calibri"/>
                <w:sz w:val="20"/>
                <w:szCs w:val="20"/>
                <w:highlight w:val="yellow"/>
              </w:rPr>
            </w:pPr>
            <w:r>
              <w:rPr>
                <w:rFonts w:ascii="Calibri" w:eastAsia="Calibri" w:hAnsi="Calibri" w:cs="Calibri"/>
                <w:sz w:val="20"/>
                <w:szCs w:val="20"/>
              </w:rPr>
              <w:t>0</w:t>
            </w:r>
          </w:p>
        </w:tc>
        <w:tc>
          <w:tcPr>
            <w:tcW w:w="1826" w:type="dxa"/>
            <w:shd w:val="clear" w:color="auto" w:fill="FFFFFF"/>
          </w:tcPr>
          <w:p w14:paraId="6808F948" w14:textId="77777777" w:rsidR="00CF33D9" w:rsidRDefault="00E3332A">
            <w:pPr>
              <w:rPr>
                <w:rFonts w:ascii="Calibri" w:eastAsia="Calibri" w:hAnsi="Calibri" w:cs="Calibri"/>
                <w:sz w:val="20"/>
                <w:szCs w:val="20"/>
              </w:rPr>
            </w:pPr>
            <w:r>
              <w:rPr>
                <w:rFonts w:ascii="Calibri" w:eastAsia="Calibri" w:hAnsi="Calibri" w:cs="Calibri"/>
                <w:sz w:val="20"/>
                <w:szCs w:val="20"/>
              </w:rPr>
              <w:t>At least 1 assessed management plan per selected  MPA</w:t>
            </w:r>
          </w:p>
        </w:tc>
        <w:tc>
          <w:tcPr>
            <w:tcW w:w="1694" w:type="dxa"/>
            <w:shd w:val="clear" w:color="auto" w:fill="FFFFFF"/>
          </w:tcPr>
          <w:p w14:paraId="6808F949" w14:textId="77777777" w:rsidR="00CF33D9" w:rsidRDefault="00E3332A">
            <w:pPr>
              <w:rPr>
                <w:rFonts w:ascii="Calibri" w:eastAsia="Calibri" w:hAnsi="Calibri" w:cs="Calibri"/>
                <w:sz w:val="20"/>
                <w:szCs w:val="20"/>
              </w:rPr>
            </w:pPr>
            <w:r>
              <w:rPr>
                <w:rFonts w:ascii="Calibri" w:eastAsia="Calibri" w:hAnsi="Calibri" w:cs="Calibri"/>
                <w:sz w:val="20"/>
                <w:szCs w:val="20"/>
              </w:rPr>
              <w:t>At least 2 management plans per selected  MPA</w:t>
            </w:r>
          </w:p>
        </w:tc>
        <w:tc>
          <w:tcPr>
            <w:tcW w:w="1518" w:type="dxa"/>
            <w:gridSpan w:val="2"/>
            <w:shd w:val="clear" w:color="auto" w:fill="FFFFFF"/>
          </w:tcPr>
          <w:p w14:paraId="6808F94A" w14:textId="77777777" w:rsidR="00CF33D9" w:rsidRDefault="00E3332A">
            <w:pPr>
              <w:numPr>
                <w:ilvl w:val="0"/>
                <w:numId w:val="37"/>
              </w:numPr>
              <w:ind w:left="117" w:hanging="100"/>
              <w:rPr>
                <w:rFonts w:ascii="Calibri" w:eastAsia="Calibri" w:hAnsi="Calibri" w:cs="Calibri"/>
                <w:color w:val="000000"/>
                <w:sz w:val="20"/>
                <w:szCs w:val="20"/>
              </w:rPr>
            </w:pPr>
            <w:r>
              <w:rPr>
                <w:rFonts w:ascii="Calibri" w:eastAsia="Calibri" w:hAnsi="Calibri" w:cs="Calibri"/>
                <w:color w:val="000000"/>
                <w:sz w:val="20"/>
                <w:szCs w:val="20"/>
              </w:rPr>
              <w:t>Records of discussions on MPAs management plans</w:t>
            </w:r>
          </w:p>
          <w:p w14:paraId="6808F94B" w14:textId="77777777" w:rsidR="00CF33D9" w:rsidRDefault="00E3332A">
            <w:pPr>
              <w:numPr>
                <w:ilvl w:val="0"/>
                <w:numId w:val="37"/>
              </w:numPr>
              <w:ind w:left="117" w:hanging="100"/>
              <w:rPr>
                <w:rFonts w:ascii="Calibri" w:eastAsia="Calibri" w:hAnsi="Calibri" w:cs="Calibri"/>
                <w:color w:val="000000"/>
                <w:sz w:val="20"/>
                <w:szCs w:val="20"/>
              </w:rPr>
            </w:pPr>
            <w:r>
              <w:rPr>
                <w:rFonts w:ascii="Calibri" w:eastAsia="Calibri" w:hAnsi="Calibri" w:cs="Calibri"/>
                <w:color w:val="000000"/>
                <w:sz w:val="20"/>
                <w:szCs w:val="20"/>
              </w:rPr>
              <w:t>Governmental publication of adopted and disseminated management plans.</w:t>
            </w:r>
          </w:p>
          <w:p w14:paraId="6808F94C" w14:textId="77777777" w:rsidR="00CF33D9" w:rsidRDefault="00CF33D9">
            <w:pPr>
              <w:ind w:left="117"/>
              <w:rPr>
                <w:rFonts w:ascii="Calibri" w:eastAsia="Calibri" w:hAnsi="Calibri" w:cs="Calibri"/>
                <w:sz w:val="20"/>
                <w:szCs w:val="20"/>
              </w:rPr>
            </w:pPr>
          </w:p>
        </w:tc>
        <w:tc>
          <w:tcPr>
            <w:tcW w:w="2190" w:type="dxa"/>
            <w:gridSpan w:val="2"/>
            <w:shd w:val="clear" w:color="auto" w:fill="FFFFFF"/>
          </w:tcPr>
          <w:p w14:paraId="6808F94D" w14:textId="77777777" w:rsidR="00CF33D9" w:rsidRDefault="00E3332A">
            <w:pPr>
              <w:ind w:left="-40"/>
              <w:jc w:val="both"/>
              <w:rPr>
                <w:rFonts w:ascii="Calibri" w:eastAsia="Calibri" w:hAnsi="Calibri" w:cs="Calibri"/>
                <w:sz w:val="20"/>
                <w:szCs w:val="20"/>
                <w:u w:val="single"/>
              </w:rPr>
            </w:pPr>
            <w:r>
              <w:rPr>
                <w:rFonts w:ascii="Calibri" w:eastAsia="Calibri" w:hAnsi="Calibri" w:cs="Calibri"/>
                <w:sz w:val="20"/>
                <w:szCs w:val="20"/>
                <w:u w:val="single"/>
              </w:rPr>
              <w:t>Risks:</w:t>
            </w:r>
          </w:p>
          <w:p w14:paraId="6808F94E" w14:textId="77777777" w:rsidR="00CF33D9" w:rsidRDefault="00E3332A">
            <w:pPr>
              <w:numPr>
                <w:ilvl w:val="0"/>
                <w:numId w:val="33"/>
              </w:numPr>
              <w:ind w:left="127" w:hanging="167"/>
              <w:rPr>
                <w:rFonts w:ascii="Calibri" w:eastAsia="Calibri" w:hAnsi="Calibri" w:cs="Calibri"/>
                <w:color w:val="000000"/>
                <w:sz w:val="20"/>
                <w:szCs w:val="20"/>
              </w:rPr>
            </w:pPr>
            <w:r>
              <w:rPr>
                <w:rFonts w:ascii="Calibri" w:eastAsia="Calibri" w:hAnsi="Calibri" w:cs="Calibri"/>
                <w:color w:val="000000"/>
                <w:sz w:val="20"/>
                <w:szCs w:val="20"/>
              </w:rPr>
              <w:t>Missing those MPA’s management plans that were not recorded.</w:t>
            </w:r>
          </w:p>
          <w:p w14:paraId="6808F94F" w14:textId="77777777" w:rsidR="00CF33D9" w:rsidRDefault="00E3332A">
            <w:pPr>
              <w:ind w:left="-40"/>
              <w:jc w:val="both"/>
              <w:rPr>
                <w:rFonts w:ascii="Calibri" w:eastAsia="Calibri" w:hAnsi="Calibri" w:cs="Calibri"/>
                <w:sz w:val="20"/>
                <w:szCs w:val="20"/>
                <w:u w:val="single"/>
              </w:rPr>
            </w:pPr>
            <w:r>
              <w:rPr>
                <w:rFonts w:ascii="Calibri" w:eastAsia="Calibri" w:hAnsi="Calibri" w:cs="Calibri"/>
                <w:sz w:val="20"/>
                <w:szCs w:val="20"/>
                <w:u w:val="single"/>
              </w:rPr>
              <w:t>Assumptions:</w:t>
            </w:r>
          </w:p>
          <w:p w14:paraId="6808F950" w14:textId="77777777" w:rsidR="00CF33D9" w:rsidRDefault="00E3332A">
            <w:pPr>
              <w:numPr>
                <w:ilvl w:val="0"/>
                <w:numId w:val="33"/>
              </w:numPr>
              <w:ind w:left="127" w:hanging="167"/>
              <w:rPr>
                <w:rFonts w:ascii="Calibri" w:eastAsia="Calibri" w:hAnsi="Calibri" w:cs="Calibri"/>
                <w:color w:val="000000"/>
                <w:sz w:val="20"/>
                <w:szCs w:val="20"/>
              </w:rPr>
            </w:pPr>
            <w:r>
              <w:rPr>
                <w:rFonts w:ascii="Calibri" w:eastAsia="Calibri" w:hAnsi="Calibri" w:cs="Calibri"/>
                <w:color w:val="000000"/>
                <w:sz w:val="20"/>
                <w:szCs w:val="20"/>
              </w:rPr>
              <w:t>MPA management plans will be presented for discussion.</w:t>
            </w:r>
          </w:p>
        </w:tc>
      </w:tr>
      <w:tr w:rsidR="00CF33D9" w14:paraId="6808F95C" w14:textId="77777777">
        <w:trPr>
          <w:trHeight w:val="1253"/>
        </w:trPr>
        <w:tc>
          <w:tcPr>
            <w:tcW w:w="1819" w:type="dxa"/>
            <w:vMerge/>
            <w:shd w:val="clear" w:color="auto" w:fill="auto"/>
          </w:tcPr>
          <w:p w14:paraId="6808F952" w14:textId="77777777" w:rsidR="00CF33D9" w:rsidRDefault="00CF33D9">
            <w:pPr>
              <w:widowControl w:val="0"/>
              <w:spacing w:line="276" w:lineRule="auto"/>
              <w:rPr>
                <w:rFonts w:ascii="Calibri" w:eastAsia="Calibri" w:hAnsi="Calibri" w:cs="Calibri"/>
                <w:color w:val="000000"/>
                <w:sz w:val="20"/>
                <w:szCs w:val="20"/>
              </w:rPr>
            </w:pPr>
          </w:p>
        </w:tc>
        <w:tc>
          <w:tcPr>
            <w:tcW w:w="1960" w:type="dxa"/>
            <w:gridSpan w:val="2"/>
            <w:shd w:val="clear" w:color="auto" w:fill="FFFFFF"/>
          </w:tcPr>
          <w:p w14:paraId="6808F953"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t>Indicator 7: % of women that participated in the development processes of MPA management plans</w:t>
            </w:r>
          </w:p>
        </w:tc>
        <w:tc>
          <w:tcPr>
            <w:tcW w:w="1694" w:type="dxa"/>
            <w:shd w:val="clear" w:color="auto" w:fill="FFFFFF"/>
          </w:tcPr>
          <w:p w14:paraId="6808F954" w14:textId="77777777" w:rsidR="00CF33D9" w:rsidRDefault="00E3332A">
            <w:pPr>
              <w:rPr>
                <w:rFonts w:ascii="Calibri" w:eastAsia="Calibri" w:hAnsi="Calibri" w:cs="Calibri"/>
                <w:i/>
                <w:sz w:val="20"/>
                <w:szCs w:val="20"/>
                <w:highlight w:val="yellow"/>
              </w:rPr>
            </w:pPr>
            <w:r>
              <w:rPr>
                <w:rFonts w:ascii="Calibri" w:eastAsia="Calibri" w:hAnsi="Calibri" w:cs="Calibri"/>
                <w:color w:val="000000"/>
                <w:sz w:val="20"/>
                <w:szCs w:val="20"/>
              </w:rPr>
              <w:t>Proposed MPA activities</w:t>
            </w:r>
          </w:p>
        </w:tc>
        <w:tc>
          <w:tcPr>
            <w:tcW w:w="1694" w:type="dxa"/>
            <w:shd w:val="clear" w:color="auto" w:fill="FFFFFF"/>
          </w:tcPr>
          <w:p w14:paraId="6808F955" w14:textId="77777777" w:rsidR="00CF33D9" w:rsidRDefault="00E3332A">
            <w:pPr>
              <w:jc w:val="center"/>
              <w:rPr>
                <w:rFonts w:ascii="Calibri" w:eastAsia="Calibri" w:hAnsi="Calibri" w:cs="Calibri"/>
                <w:sz w:val="20"/>
                <w:szCs w:val="20"/>
              </w:rPr>
            </w:pPr>
            <w:r>
              <w:rPr>
                <w:rFonts w:ascii="Calibri" w:eastAsia="Calibri" w:hAnsi="Calibri" w:cs="Calibri"/>
                <w:sz w:val="20"/>
                <w:szCs w:val="20"/>
              </w:rPr>
              <w:t>0</w:t>
            </w:r>
          </w:p>
        </w:tc>
        <w:tc>
          <w:tcPr>
            <w:tcW w:w="1826" w:type="dxa"/>
            <w:shd w:val="clear" w:color="auto" w:fill="FFFFFF"/>
          </w:tcPr>
          <w:p w14:paraId="6808F956" w14:textId="77777777" w:rsidR="00CF33D9" w:rsidRDefault="00E3332A">
            <w:pPr>
              <w:jc w:val="center"/>
              <w:rPr>
                <w:rFonts w:ascii="Calibri" w:eastAsia="Calibri" w:hAnsi="Calibri" w:cs="Calibri"/>
                <w:sz w:val="20"/>
                <w:szCs w:val="20"/>
              </w:rPr>
            </w:pPr>
            <w:r>
              <w:rPr>
                <w:rFonts w:ascii="Calibri" w:eastAsia="Calibri" w:hAnsi="Calibri" w:cs="Calibri"/>
                <w:sz w:val="20"/>
                <w:szCs w:val="20"/>
              </w:rPr>
              <w:t>25</w:t>
            </w:r>
          </w:p>
        </w:tc>
        <w:tc>
          <w:tcPr>
            <w:tcW w:w="1694" w:type="dxa"/>
            <w:shd w:val="clear" w:color="auto" w:fill="FFFFFF"/>
          </w:tcPr>
          <w:p w14:paraId="6808F957" w14:textId="77777777" w:rsidR="00CF33D9" w:rsidRDefault="00E3332A">
            <w:pPr>
              <w:jc w:val="center"/>
              <w:rPr>
                <w:rFonts w:ascii="Calibri" w:eastAsia="Calibri" w:hAnsi="Calibri" w:cs="Calibri"/>
                <w:sz w:val="20"/>
                <w:szCs w:val="20"/>
              </w:rPr>
            </w:pPr>
            <w:r>
              <w:rPr>
                <w:rFonts w:ascii="Calibri" w:eastAsia="Calibri" w:hAnsi="Calibri" w:cs="Calibri"/>
                <w:sz w:val="20"/>
                <w:szCs w:val="20"/>
              </w:rPr>
              <w:t>40</w:t>
            </w:r>
          </w:p>
        </w:tc>
        <w:tc>
          <w:tcPr>
            <w:tcW w:w="1518" w:type="dxa"/>
            <w:gridSpan w:val="2"/>
            <w:shd w:val="clear" w:color="auto" w:fill="FFFFFF"/>
          </w:tcPr>
          <w:p w14:paraId="6808F958" w14:textId="77777777" w:rsidR="00CF33D9" w:rsidRDefault="00E3332A">
            <w:pPr>
              <w:rPr>
                <w:rFonts w:ascii="Calibri" w:eastAsia="Calibri" w:hAnsi="Calibri" w:cs="Calibri"/>
                <w:sz w:val="20"/>
                <w:szCs w:val="20"/>
                <w:highlight w:val="yellow"/>
              </w:rPr>
            </w:pPr>
            <w:r>
              <w:rPr>
                <w:rFonts w:ascii="Calibri" w:eastAsia="Calibri" w:hAnsi="Calibri" w:cs="Calibri"/>
                <w:color w:val="000000"/>
                <w:sz w:val="20"/>
                <w:szCs w:val="20"/>
              </w:rPr>
              <w:t>Meetings minutes of management plan development consultations</w:t>
            </w:r>
          </w:p>
        </w:tc>
        <w:tc>
          <w:tcPr>
            <w:tcW w:w="2190" w:type="dxa"/>
            <w:gridSpan w:val="2"/>
            <w:shd w:val="clear" w:color="auto" w:fill="FFFFFF"/>
          </w:tcPr>
          <w:p w14:paraId="6808F959" w14:textId="77777777" w:rsidR="00CF33D9" w:rsidRDefault="00E3332A">
            <w:pPr>
              <w:jc w:val="both"/>
              <w:rPr>
                <w:rFonts w:ascii="Calibri" w:eastAsia="Calibri" w:hAnsi="Calibri" w:cs="Calibri"/>
                <w:color w:val="000000"/>
                <w:sz w:val="20"/>
                <w:szCs w:val="20"/>
              </w:rPr>
            </w:pPr>
            <w:r>
              <w:rPr>
                <w:rFonts w:ascii="Calibri" w:eastAsia="Calibri" w:hAnsi="Calibri" w:cs="Calibri"/>
                <w:color w:val="000000"/>
                <w:sz w:val="20"/>
                <w:szCs w:val="20"/>
                <w:u w:val="single"/>
              </w:rPr>
              <w:t>Risks</w:t>
            </w:r>
            <w:r>
              <w:rPr>
                <w:rFonts w:ascii="Calibri" w:eastAsia="Calibri" w:hAnsi="Calibri" w:cs="Calibri"/>
                <w:color w:val="000000"/>
                <w:sz w:val="20"/>
                <w:szCs w:val="20"/>
              </w:rPr>
              <w:t>: Existence of logistical and communication issues</w:t>
            </w:r>
          </w:p>
          <w:p w14:paraId="6808F95A"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t xml:space="preserve">that may facilitate/ limit the effective participation of women in the development processes of MPA management plans. </w:t>
            </w:r>
          </w:p>
          <w:p w14:paraId="6808F95B" w14:textId="77777777" w:rsidR="00CF33D9" w:rsidRDefault="00E3332A">
            <w:pPr>
              <w:rPr>
                <w:rFonts w:ascii="Calibri" w:eastAsia="Calibri" w:hAnsi="Calibri" w:cs="Calibri"/>
                <w:i/>
                <w:sz w:val="20"/>
                <w:szCs w:val="20"/>
                <w:highlight w:val="yellow"/>
              </w:rPr>
            </w:pPr>
            <w:r>
              <w:rPr>
                <w:rFonts w:ascii="Calibri" w:eastAsia="Calibri" w:hAnsi="Calibri" w:cs="Calibri"/>
                <w:color w:val="000000"/>
                <w:sz w:val="20"/>
                <w:szCs w:val="20"/>
                <w:u w:val="single"/>
              </w:rPr>
              <w:t>Assumptions</w:t>
            </w:r>
            <w:r>
              <w:rPr>
                <w:rFonts w:ascii="Calibri" w:eastAsia="Calibri" w:hAnsi="Calibri" w:cs="Calibri"/>
                <w:color w:val="000000"/>
                <w:sz w:val="20"/>
                <w:szCs w:val="20"/>
              </w:rPr>
              <w:t>: The voices of women and other gender dynamics are considered within the management plans</w:t>
            </w:r>
          </w:p>
        </w:tc>
      </w:tr>
      <w:tr w:rsidR="00CF33D9" w14:paraId="6808F96C" w14:textId="77777777">
        <w:trPr>
          <w:trHeight w:val="584"/>
        </w:trPr>
        <w:tc>
          <w:tcPr>
            <w:tcW w:w="1819" w:type="dxa"/>
            <w:vMerge/>
            <w:shd w:val="clear" w:color="auto" w:fill="auto"/>
          </w:tcPr>
          <w:p w14:paraId="6808F95D" w14:textId="77777777" w:rsidR="00CF33D9" w:rsidRDefault="00CF33D9">
            <w:pPr>
              <w:widowControl w:val="0"/>
              <w:spacing w:line="276" w:lineRule="auto"/>
              <w:rPr>
                <w:rFonts w:ascii="Calibri" w:eastAsia="Calibri" w:hAnsi="Calibri" w:cs="Calibri"/>
                <w:i/>
                <w:sz w:val="20"/>
                <w:szCs w:val="20"/>
                <w:highlight w:val="yellow"/>
              </w:rPr>
            </w:pPr>
          </w:p>
        </w:tc>
        <w:tc>
          <w:tcPr>
            <w:tcW w:w="1960" w:type="dxa"/>
            <w:gridSpan w:val="2"/>
            <w:shd w:val="clear" w:color="auto" w:fill="FFFFFF"/>
          </w:tcPr>
          <w:p w14:paraId="6808F95E" w14:textId="77777777" w:rsidR="00CF33D9" w:rsidRDefault="00E3332A">
            <w:pPr>
              <w:rPr>
                <w:rFonts w:ascii="Calibri" w:eastAsia="Calibri" w:hAnsi="Calibri" w:cs="Calibri"/>
                <w:sz w:val="20"/>
                <w:szCs w:val="20"/>
              </w:rPr>
            </w:pPr>
            <w:r>
              <w:rPr>
                <w:rFonts w:ascii="Calibri" w:eastAsia="Calibri" w:hAnsi="Calibri" w:cs="Calibri"/>
                <w:sz w:val="20"/>
                <w:szCs w:val="20"/>
              </w:rPr>
              <w:t xml:space="preserve">Indicator 8: # of </w:t>
            </w:r>
            <w:r>
              <w:rPr>
                <w:rFonts w:ascii="Calibri" w:hAnsi="Calibri" w:cs="Calibri"/>
                <w:sz w:val="20"/>
                <w:szCs w:val="20"/>
              </w:rPr>
              <w:t>p</w:t>
            </w:r>
            <w:r>
              <w:rPr>
                <w:rFonts w:ascii="Calibri" w:eastAsia="Calibri" w:hAnsi="Calibri" w:cs="Calibri"/>
                <w:sz w:val="20"/>
                <w:szCs w:val="20"/>
              </w:rPr>
              <w:t>articipatory ecosystem-based marine spatial plans prepared for areas not yet covered by MSP</w:t>
            </w:r>
          </w:p>
        </w:tc>
        <w:tc>
          <w:tcPr>
            <w:tcW w:w="1694" w:type="dxa"/>
            <w:shd w:val="clear" w:color="auto" w:fill="FFFFFF"/>
          </w:tcPr>
          <w:p w14:paraId="6808F95F" w14:textId="77777777" w:rsidR="00CF33D9" w:rsidRDefault="00E3332A">
            <w:pPr>
              <w:rPr>
                <w:rFonts w:ascii="Calibri" w:eastAsia="Calibri" w:hAnsi="Calibri" w:cs="Calibri"/>
                <w:sz w:val="20"/>
                <w:szCs w:val="20"/>
              </w:rPr>
            </w:pPr>
            <w:r>
              <w:rPr>
                <w:rFonts w:ascii="Calibri" w:eastAsia="Calibri" w:hAnsi="Calibri" w:cs="Calibri"/>
                <w:sz w:val="20"/>
                <w:szCs w:val="20"/>
              </w:rPr>
              <w:t>List of proposed areas for MSP activities.</w:t>
            </w:r>
          </w:p>
          <w:p w14:paraId="6808F960" w14:textId="77777777" w:rsidR="00CF33D9" w:rsidRDefault="00E3332A">
            <w:pPr>
              <w:rPr>
                <w:rFonts w:ascii="Calibri" w:eastAsia="Calibri" w:hAnsi="Calibri" w:cs="Calibri"/>
                <w:i/>
                <w:sz w:val="20"/>
                <w:szCs w:val="20"/>
                <w:highlight w:val="yellow"/>
              </w:rPr>
            </w:pPr>
            <w:r>
              <w:rPr>
                <w:rFonts w:ascii="Calibri" w:eastAsia="Calibri" w:hAnsi="Calibri" w:cs="Calibri"/>
                <w:sz w:val="20"/>
                <w:szCs w:val="20"/>
              </w:rPr>
              <w:t>Records of minutes of the BCC MSP Working Group</w:t>
            </w:r>
          </w:p>
        </w:tc>
        <w:tc>
          <w:tcPr>
            <w:tcW w:w="1694" w:type="dxa"/>
            <w:shd w:val="clear" w:color="auto" w:fill="FFFFFF"/>
          </w:tcPr>
          <w:p w14:paraId="6808F961" w14:textId="77777777" w:rsidR="00CF33D9" w:rsidRDefault="00E3332A">
            <w:pPr>
              <w:jc w:val="center"/>
              <w:rPr>
                <w:rFonts w:ascii="Calibri" w:eastAsia="Calibri" w:hAnsi="Calibri" w:cs="Calibri"/>
                <w:sz w:val="20"/>
                <w:szCs w:val="20"/>
              </w:rPr>
            </w:pPr>
            <w:r>
              <w:rPr>
                <w:rFonts w:ascii="Calibri" w:eastAsia="Calibri" w:hAnsi="Calibri" w:cs="Calibri"/>
                <w:sz w:val="20"/>
                <w:szCs w:val="20"/>
              </w:rPr>
              <w:t>0</w:t>
            </w:r>
          </w:p>
        </w:tc>
        <w:tc>
          <w:tcPr>
            <w:tcW w:w="1826" w:type="dxa"/>
            <w:shd w:val="clear" w:color="auto" w:fill="FFFFFF"/>
          </w:tcPr>
          <w:p w14:paraId="6808F962" w14:textId="77777777" w:rsidR="00CF33D9" w:rsidRDefault="00E3332A">
            <w:pPr>
              <w:jc w:val="center"/>
              <w:rPr>
                <w:rFonts w:ascii="Calibri" w:eastAsia="Calibri" w:hAnsi="Calibri" w:cs="Calibri"/>
                <w:sz w:val="20"/>
                <w:szCs w:val="20"/>
              </w:rPr>
            </w:pPr>
            <w:r>
              <w:rPr>
                <w:rFonts w:ascii="Calibri" w:eastAsia="Calibri" w:hAnsi="Calibri" w:cs="Calibri"/>
                <w:sz w:val="20"/>
                <w:szCs w:val="20"/>
              </w:rPr>
              <w:t>0</w:t>
            </w:r>
          </w:p>
        </w:tc>
        <w:tc>
          <w:tcPr>
            <w:tcW w:w="1694" w:type="dxa"/>
            <w:shd w:val="clear" w:color="auto" w:fill="FFFFFF"/>
          </w:tcPr>
          <w:p w14:paraId="6808F963" w14:textId="77777777" w:rsidR="00CF33D9" w:rsidRDefault="00E3332A">
            <w:pPr>
              <w:jc w:val="center"/>
              <w:rPr>
                <w:rFonts w:ascii="Calibri" w:eastAsia="Calibri" w:hAnsi="Calibri" w:cs="Calibri"/>
                <w:sz w:val="20"/>
                <w:szCs w:val="20"/>
              </w:rPr>
            </w:pPr>
            <w:r>
              <w:rPr>
                <w:rFonts w:ascii="Calibri" w:eastAsia="Calibri" w:hAnsi="Calibri" w:cs="Calibri"/>
                <w:sz w:val="20"/>
                <w:szCs w:val="20"/>
              </w:rPr>
              <w:t>2</w:t>
            </w:r>
          </w:p>
        </w:tc>
        <w:tc>
          <w:tcPr>
            <w:tcW w:w="1518" w:type="dxa"/>
            <w:gridSpan w:val="2"/>
            <w:shd w:val="clear" w:color="auto" w:fill="FFFFFF"/>
          </w:tcPr>
          <w:p w14:paraId="6808F964" w14:textId="77777777" w:rsidR="00CF33D9" w:rsidRDefault="00E3332A">
            <w:pPr>
              <w:rPr>
                <w:rFonts w:ascii="Calibri" w:eastAsia="Calibri" w:hAnsi="Calibri" w:cs="Calibri"/>
                <w:sz w:val="20"/>
                <w:szCs w:val="20"/>
              </w:rPr>
            </w:pPr>
            <w:r>
              <w:rPr>
                <w:rFonts w:ascii="Calibri" w:eastAsia="Calibri" w:hAnsi="Calibri" w:cs="Calibri"/>
                <w:sz w:val="20"/>
                <w:szCs w:val="20"/>
              </w:rPr>
              <w:t>Records of public consultation meetings.</w:t>
            </w:r>
          </w:p>
          <w:p w14:paraId="6808F965" w14:textId="77777777" w:rsidR="00CF33D9" w:rsidRDefault="00E3332A">
            <w:pPr>
              <w:rPr>
                <w:rFonts w:ascii="Calibri" w:eastAsia="Calibri" w:hAnsi="Calibri" w:cs="Calibri"/>
                <w:sz w:val="20"/>
                <w:szCs w:val="20"/>
              </w:rPr>
            </w:pPr>
            <w:r>
              <w:rPr>
                <w:rFonts w:ascii="Calibri" w:eastAsia="Calibri" w:hAnsi="Calibri" w:cs="Calibri"/>
                <w:sz w:val="20"/>
                <w:szCs w:val="20"/>
              </w:rPr>
              <w:t>Progress reports on the implementation of the marine spatial plans</w:t>
            </w:r>
          </w:p>
        </w:tc>
        <w:tc>
          <w:tcPr>
            <w:tcW w:w="2190" w:type="dxa"/>
            <w:gridSpan w:val="2"/>
            <w:shd w:val="clear" w:color="auto" w:fill="FFFFFF"/>
          </w:tcPr>
          <w:p w14:paraId="6808F966" w14:textId="77777777" w:rsidR="00CF33D9" w:rsidRDefault="00E3332A">
            <w:pPr>
              <w:rPr>
                <w:rFonts w:ascii="Calibri" w:eastAsia="Calibri" w:hAnsi="Calibri" w:cs="Calibri"/>
                <w:sz w:val="20"/>
                <w:szCs w:val="20"/>
              </w:rPr>
            </w:pPr>
            <w:r>
              <w:rPr>
                <w:rFonts w:ascii="Calibri" w:eastAsia="Calibri" w:hAnsi="Calibri" w:cs="Calibri"/>
                <w:sz w:val="20"/>
                <w:szCs w:val="20"/>
                <w:u w:val="single"/>
              </w:rPr>
              <w:t>Risks</w:t>
            </w:r>
            <w:r>
              <w:rPr>
                <w:rFonts w:ascii="Calibri" w:eastAsia="Calibri" w:hAnsi="Calibri" w:cs="Calibri"/>
                <w:sz w:val="20"/>
                <w:szCs w:val="20"/>
              </w:rPr>
              <w:t xml:space="preserve">: </w:t>
            </w:r>
          </w:p>
          <w:p w14:paraId="6808F967" w14:textId="77777777" w:rsidR="00CF33D9" w:rsidRDefault="00E3332A">
            <w:pPr>
              <w:numPr>
                <w:ilvl w:val="0"/>
                <w:numId w:val="38"/>
              </w:numPr>
              <w:ind w:left="159" w:hanging="141"/>
              <w:rPr>
                <w:rFonts w:ascii="Calibri" w:eastAsia="Calibri" w:hAnsi="Calibri" w:cs="Calibri"/>
                <w:color w:val="000000"/>
                <w:sz w:val="20"/>
                <w:szCs w:val="20"/>
              </w:rPr>
            </w:pPr>
            <w:r>
              <w:rPr>
                <w:rFonts w:ascii="Calibri" w:eastAsia="Calibri" w:hAnsi="Calibri" w:cs="Calibri"/>
                <w:color w:val="000000"/>
                <w:sz w:val="20"/>
                <w:szCs w:val="20"/>
              </w:rPr>
              <w:t>Lack of consensus on the areas to be addressed.</w:t>
            </w:r>
          </w:p>
          <w:p w14:paraId="6808F968" w14:textId="77777777" w:rsidR="00CF33D9" w:rsidRDefault="00E3332A">
            <w:pPr>
              <w:numPr>
                <w:ilvl w:val="0"/>
                <w:numId w:val="38"/>
              </w:numPr>
              <w:ind w:left="159" w:hanging="141"/>
              <w:rPr>
                <w:rFonts w:ascii="Calibri" w:eastAsia="Calibri" w:hAnsi="Calibri" w:cs="Calibri"/>
                <w:color w:val="000000"/>
                <w:sz w:val="20"/>
                <w:szCs w:val="20"/>
              </w:rPr>
            </w:pPr>
            <w:r>
              <w:rPr>
                <w:rFonts w:ascii="Calibri" w:eastAsia="Calibri" w:hAnsi="Calibri" w:cs="Calibri"/>
                <w:color w:val="000000"/>
                <w:sz w:val="20"/>
                <w:szCs w:val="20"/>
              </w:rPr>
              <w:t>Delays in starting result in failure to complete within the project timeframe.</w:t>
            </w:r>
          </w:p>
          <w:p w14:paraId="6808F969" w14:textId="77777777" w:rsidR="00CF33D9" w:rsidRDefault="00E3332A">
            <w:pPr>
              <w:rPr>
                <w:rFonts w:ascii="Calibri" w:eastAsia="Calibri" w:hAnsi="Calibri" w:cs="Calibri"/>
                <w:sz w:val="20"/>
                <w:szCs w:val="20"/>
              </w:rPr>
            </w:pPr>
            <w:r>
              <w:rPr>
                <w:rFonts w:ascii="Calibri" w:eastAsia="Calibri" w:hAnsi="Calibri" w:cs="Calibri"/>
                <w:sz w:val="20"/>
                <w:szCs w:val="20"/>
                <w:u w:val="single"/>
              </w:rPr>
              <w:t>Assumptions:</w:t>
            </w:r>
            <w:r>
              <w:rPr>
                <w:rFonts w:ascii="Calibri" w:eastAsia="Calibri" w:hAnsi="Calibri" w:cs="Calibri"/>
                <w:sz w:val="20"/>
                <w:szCs w:val="20"/>
              </w:rPr>
              <w:t xml:space="preserve"> </w:t>
            </w:r>
          </w:p>
          <w:p w14:paraId="6808F96A" w14:textId="77777777" w:rsidR="00CF33D9" w:rsidRDefault="00E3332A">
            <w:pPr>
              <w:numPr>
                <w:ilvl w:val="0"/>
                <w:numId w:val="39"/>
              </w:numPr>
              <w:ind w:left="159" w:hanging="159"/>
              <w:rPr>
                <w:rFonts w:ascii="Calibri" w:eastAsia="Calibri" w:hAnsi="Calibri" w:cs="Calibri"/>
                <w:color w:val="000000"/>
                <w:sz w:val="20"/>
                <w:szCs w:val="20"/>
              </w:rPr>
            </w:pPr>
            <w:r>
              <w:rPr>
                <w:rFonts w:ascii="Calibri" w:eastAsia="Calibri" w:hAnsi="Calibri" w:cs="Calibri"/>
                <w:color w:val="000000"/>
                <w:sz w:val="20"/>
                <w:szCs w:val="20"/>
              </w:rPr>
              <w:t>BCC MSP Working Group is able to define areas at an early stage in the project.</w:t>
            </w:r>
          </w:p>
          <w:p w14:paraId="6808F96B" w14:textId="77777777" w:rsidR="00CF33D9" w:rsidRDefault="00E3332A">
            <w:pPr>
              <w:numPr>
                <w:ilvl w:val="0"/>
                <w:numId w:val="39"/>
              </w:numPr>
              <w:ind w:left="159" w:hanging="159"/>
              <w:rPr>
                <w:rFonts w:ascii="Calibri" w:eastAsia="Calibri" w:hAnsi="Calibri" w:cs="Calibri"/>
                <w:color w:val="000000"/>
                <w:sz w:val="20"/>
                <w:szCs w:val="20"/>
              </w:rPr>
            </w:pPr>
            <w:r>
              <w:rPr>
                <w:rFonts w:ascii="Calibri" w:eastAsia="Calibri" w:hAnsi="Calibri" w:cs="Calibri"/>
                <w:color w:val="000000"/>
                <w:sz w:val="20"/>
                <w:szCs w:val="20"/>
              </w:rPr>
              <w:t xml:space="preserve">Countries have to show willingness to </w:t>
            </w:r>
            <w:r>
              <w:rPr>
                <w:rFonts w:ascii="Calibri" w:eastAsia="Calibri" w:hAnsi="Calibri" w:cs="Calibri"/>
                <w:color w:val="000000"/>
                <w:sz w:val="20"/>
                <w:szCs w:val="20"/>
              </w:rPr>
              <w:lastRenderedPageBreak/>
              <w:t>cooperate in transboundary areas.</w:t>
            </w:r>
          </w:p>
        </w:tc>
      </w:tr>
      <w:tr w:rsidR="00CF33D9" w14:paraId="6808F972" w14:textId="77777777">
        <w:trPr>
          <w:trHeight w:val="620"/>
        </w:trPr>
        <w:tc>
          <w:tcPr>
            <w:tcW w:w="1819" w:type="dxa"/>
            <w:shd w:val="clear" w:color="auto" w:fill="auto"/>
          </w:tcPr>
          <w:p w14:paraId="6808F96D" w14:textId="77777777" w:rsidR="00CF33D9" w:rsidRDefault="00E3332A">
            <w:pPr>
              <w:rPr>
                <w:rFonts w:ascii="Calibri" w:eastAsia="Calibri" w:hAnsi="Calibri" w:cs="Calibri"/>
                <w:b/>
                <w:sz w:val="20"/>
                <w:szCs w:val="20"/>
              </w:rPr>
            </w:pPr>
            <w:r>
              <w:rPr>
                <w:rFonts w:ascii="Calibri" w:eastAsia="Calibri" w:hAnsi="Calibri" w:cs="Calibri"/>
                <w:b/>
                <w:sz w:val="20"/>
                <w:szCs w:val="20"/>
              </w:rPr>
              <w:lastRenderedPageBreak/>
              <w:t>Outputs to achieve Outcome 1.1</w:t>
            </w:r>
          </w:p>
        </w:tc>
        <w:tc>
          <w:tcPr>
            <w:tcW w:w="12576" w:type="dxa"/>
            <w:gridSpan w:val="10"/>
          </w:tcPr>
          <w:p w14:paraId="6808F96E"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t>1.1.1: Legal frameworks of selected MPAs and coastal ecosystems of global importance improved to enhance their protection and conservation in a context of coexistence with other marine economic sectors</w:t>
            </w:r>
          </w:p>
          <w:p w14:paraId="6808F96F" w14:textId="77777777" w:rsidR="00CF33D9" w:rsidRDefault="00E3332A">
            <w:pPr>
              <w:rPr>
                <w:rFonts w:ascii="Calibri" w:hAnsi="Calibri" w:cs="Calibri"/>
                <w:color w:val="000000"/>
                <w:sz w:val="20"/>
                <w:szCs w:val="20"/>
              </w:rPr>
            </w:pPr>
            <w:r>
              <w:rPr>
                <w:rFonts w:ascii="Calibri" w:eastAsia="Calibri" w:hAnsi="Calibri" w:cs="Calibri"/>
                <w:color w:val="000000"/>
                <w:sz w:val="20"/>
                <w:szCs w:val="20"/>
              </w:rPr>
              <w:t xml:space="preserve">1.1.2 Enhanced management plans  of selected MPAs recognizing the ecological, socioeconomic, and institutional linkages and strategies to address threats that disrupt connectivity and marine ecosystem functionalities prepared with a participatory, climate and gender sensitive approach </w:t>
            </w:r>
          </w:p>
          <w:p w14:paraId="6808F970" w14:textId="77777777" w:rsidR="00CF33D9" w:rsidRDefault="00E3332A">
            <w:pPr>
              <w:rPr>
                <w:rFonts w:ascii="Calibri" w:hAnsi="Calibri" w:cs="Calibri"/>
                <w:sz w:val="20"/>
                <w:szCs w:val="20"/>
              </w:rPr>
            </w:pPr>
            <w:r>
              <w:rPr>
                <w:rFonts w:ascii="Calibri" w:eastAsia="Calibri" w:hAnsi="Calibri" w:cs="Calibri"/>
                <w:color w:val="000000"/>
                <w:sz w:val="20"/>
                <w:szCs w:val="20"/>
              </w:rPr>
              <w:t xml:space="preserve">1.1.3: </w:t>
            </w:r>
            <w:r>
              <w:rPr>
                <w:rFonts w:ascii="Calibri" w:eastAsia="Calibri" w:hAnsi="Calibri" w:cs="Calibri"/>
                <w:sz w:val="20"/>
                <w:szCs w:val="20"/>
              </w:rPr>
              <w:t>Strengthened legal and institutional capacity for the implementation of ecosystem-based marine spatial planning</w:t>
            </w:r>
          </w:p>
          <w:p w14:paraId="6808F971" w14:textId="77777777" w:rsidR="00CF33D9" w:rsidRDefault="00E3332A">
            <w:pPr>
              <w:rPr>
                <w:rFonts w:ascii="Calibri" w:eastAsia="Calibri" w:hAnsi="Calibri" w:cs="Calibri"/>
                <w:i/>
                <w:sz w:val="20"/>
                <w:szCs w:val="20"/>
                <w:highlight w:val="yellow"/>
              </w:rPr>
            </w:pPr>
            <w:r>
              <w:rPr>
                <w:rFonts w:ascii="Calibri" w:eastAsia="Calibri" w:hAnsi="Calibri" w:cs="Calibri"/>
                <w:color w:val="000000"/>
                <w:sz w:val="20"/>
                <w:szCs w:val="20"/>
              </w:rPr>
              <w:t xml:space="preserve">1.1.4: </w:t>
            </w:r>
            <w:r>
              <w:rPr>
                <w:rFonts w:ascii="Calibri" w:eastAsia="Calibri" w:hAnsi="Calibri" w:cs="Calibri"/>
                <w:sz w:val="20"/>
                <w:szCs w:val="20"/>
              </w:rPr>
              <w:t>Participatory ecosystem-based marine spatial plans prepared for areas not yet covered by MSP</w:t>
            </w:r>
          </w:p>
        </w:tc>
      </w:tr>
      <w:tr w:rsidR="00CF33D9" w14:paraId="6808F980" w14:textId="77777777">
        <w:trPr>
          <w:trHeight w:val="485"/>
        </w:trPr>
        <w:tc>
          <w:tcPr>
            <w:tcW w:w="1819" w:type="dxa"/>
            <w:vMerge w:val="restart"/>
            <w:shd w:val="clear" w:color="auto" w:fill="auto"/>
          </w:tcPr>
          <w:p w14:paraId="6808F973" w14:textId="77777777" w:rsidR="00CF33D9" w:rsidRDefault="00E3332A">
            <w:pPr>
              <w:rPr>
                <w:rFonts w:ascii="Calibri" w:eastAsia="Calibri" w:hAnsi="Calibri" w:cs="Calibri"/>
                <w:b/>
                <w:sz w:val="20"/>
                <w:szCs w:val="20"/>
              </w:rPr>
            </w:pPr>
            <w:r>
              <w:rPr>
                <w:rFonts w:ascii="Calibri" w:eastAsia="Calibri" w:hAnsi="Calibri" w:cs="Calibri"/>
                <w:b/>
                <w:sz w:val="20"/>
                <w:szCs w:val="20"/>
              </w:rPr>
              <w:t xml:space="preserve">Outcome </w:t>
            </w:r>
            <w:r>
              <w:rPr>
                <w:rFonts w:ascii="Calibri" w:eastAsia="Calibri" w:hAnsi="Calibri" w:cs="Calibri"/>
                <w:b/>
                <w:color w:val="000000"/>
                <w:sz w:val="20"/>
                <w:szCs w:val="20"/>
              </w:rPr>
              <w:t>1.2 Climate resilient nature-based solutions for restoration (and prevention of degradation) of MPAs and coastal ecosystems implemented through Special Management Areas/Locally Managed Marine Areas approach</w:t>
            </w:r>
          </w:p>
        </w:tc>
        <w:tc>
          <w:tcPr>
            <w:tcW w:w="1960" w:type="dxa"/>
            <w:gridSpan w:val="2"/>
            <w:shd w:val="clear" w:color="auto" w:fill="FFFFFF"/>
          </w:tcPr>
          <w:p w14:paraId="6808F974" w14:textId="77777777" w:rsidR="00CF33D9" w:rsidRDefault="00E3332A">
            <w:pPr>
              <w:rPr>
                <w:rFonts w:ascii="Calibri" w:eastAsia="Calibri" w:hAnsi="Calibri" w:cs="Calibri"/>
                <w:sz w:val="20"/>
                <w:szCs w:val="20"/>
              </w:rPr>
            </w:pPr>
            <w:r>
              <w:rPr>
                <w:rFonts w:ascii="Calibri" w:eastAsia="Calibri" w:hAnsi="Calibri" w:cs="Calibri"/>
                <w:sz w:val="20"/>
                <w:szCs w:val="20"/>
              </w:rPr>
              <w:t xml:space="preserve">Indicator 9: </w:t>
            </w:r>
            <w:r>
              <w:rPr>
                <w:rFonts w:ascii="Calibri" w:eastAsia="Calibri" w:hAnsi="Calibri" w:cs="Calibri"/>
                <w:color w:val="000000"/>
                <w:sz w:val="20"/>
                <w:szCs w:val="20"/>
              </w:rPr>
              <w:t># of sustainable community-based tourism areas achieved third-party certifications</w:t>
            </w:r>
          </w:p>
        </w:tc>
        <w:tc>
          <w:tcPr>
            <w:tcW w:w="1694" w:type="dxa"/>
            <w:shd w:val="clear" w:color="auto" w:fill="FFFFFF"/>
          </w:tcPr>
          <w:p w14:paraId="6808F975" w14:textId="77777777" w:rsidR="00CF33D9" w:rsidRDefault="00E3332A">
            <w:pPr>
              <w:rPr>
                <w:rFonts w:ascii="Calibri" w:eastAsia="Calibri" w:hAnsi="Calibri" w:cs="Calibri"/>
                <w:sz w:val="20"/>
                <w:szCs w:val="20"/>
              </w:rPr>
            </w:pPr>
            <w:r>
              <w:rPr>
                <w:rFonts w:ascii="Calibri" w:eastAsia="Calibri" w:hAnsi="Calibri" w:cs="Calibri"/>
                <w:sz w:val="20"/>
                <w:szCs w:val="20"/>
              </w:rPr>
              <w:t>Register third-party Certification of sustainable community-based tourisms</w:t>
            </w:r>
          </w:p>
        </w:tc>
        <w:tc>
          <w:tcPr>
            <w:tcW w:w="1694" w:type="dxa"/>
            <w:shd w:val="clear" w:color="auto" w:fill="FFFFFF"/>
          </w:tcPr>
          <w:p w14:paraId="6808F976" w14:textId="77777777" w:rsidR="00CF33D9" w:rsidRDefault="00E3332A">
            <w:pPr>
              <w:jc w:val="center"/>
              <w:rPr>
                <w:rFonts w:ascii="Calibri" w:eastAsia="Calibri" w:hAnsi="Calibri" w:cs="Calibri"/>
                <w:sz w:val="20"/>
                <w:szCs w:val="20"/>
              </w:rPr>
            </w:pPr>
            <w:r>
              <w:rPr>
                <w:rFonts w:ascii="Calibri" w:eastAsia="Calibri" w:hAnsi="Calibri" w:cs="Calibri"/>
                <w:sz w:val="20"/>
                <w:szCs w:val="20"/>
              </w:rPr>
              <w:t>0</w:t>
            </w:r>
          </w:p>
        </w:tc>
        <w:tc>
          <w:tcPr>
            <w:tcW w:w="1826" w:type="dxa"/>
            <w:shd w:val="clear" w:color="auto" w:fill="FFFFFF"/>
          </w:tcPr>
          <w:p w14:paraId="6808F977" w14:textId="77777777" w:rsidR="00CF33D9" w:rsidRDefault="00E3332A">
            <w:pPr>
              <w:rPr>
                <w:rFonts w:ascii="Calibri" w:eastAsia="Calibri" w:hAnsi="Calibri" w:cs="Calibri"/>
                <w:sz w:val="20"/>
                <w:szCs w:val="20"/>
              </w:rPr>
            </w:pPr>
            <w:r>
              <w:rPr>
                <w:rFonts w:ascii="Calibri" w:eastAsia="Calibri" w:hAnsi="Calibri" w:cs="Calibri"/>
                <w:sz w:val="20"/>
                <w:szCs w:val="20"/>
              </w:rPr>
              <w:t>At least 1 community-based tourism area by selected MPA achieved a third-party certification.</w:t>
            </w:r>
          </w:p>
        </w:tc>
        <w:tc>
          <w:tcPr>
            <w:tcW w:w="1694" w:type="dxa"/>
            <w:shd w:val="clear" w:color="auto" w:fill="FFFFFF"/>
          </w:tcPr>
          <w:p w14:paraId="6808F978" w14:textId="77777777" w:rsidR="00CF33D9" w:rsidRDefault="00E3332A">
            <w:pPr>
              <w:rPr>
                <w:rFonts w:ascii="Calibri" w:eastAsia="Calibri" w:hAnsi="Calibri" w:cs="Calibri"/>
                <w:sz w:val="20"/>
                <w:szCs w:val="20"/>
              </w:rPr>
            </w:pPr>
            <w:r>
              <w:rPr>
                <w:rFonts w:ascii="Calibri" w:eastAsia="Calibri" w:hAnsi="Calibri" w:cs="Calibri"/>
                <w:sz w:val="20"/>
                <w:szCs w:val="20"/>
              </w:rPr>
              <w:t>At least 2 third-party certifications for selected sustainable community-based tourism. (Certification of every selected sustainable community-based tourism.</w:t>
            </w:r>
          </w:p>
        </w:tc>
        <w:tc>
          <w:tcPr>
            <w:tcW w:w="1518" w:type="dxa"/>
            <w:gridSpan w:val="2"/>
            <w:shd w:val="clear" w:color="auto" w:fill="FFFFFF"/>
          </w:tcPr>
          <w:p w14:paraId="6808F979" w14:textId="77777777" w:rsidR="00CF33D9" w:rsidRDefault="00E3332A">
            <w:pPr>
              <w:rPr>
                <w:rFonts w:ascii="Calibri" w:eastAsia="Calibri" w:hAnsi="Calibri" w:cs="Calibri"/>
                <w:sz w:val="20"/>
                <w:szCs w:val="20"/>
              </w:rPr>
            </w:pPr>
            <w:r>
              <w:rPr>
                <w:rFonts w:ascii="Calibri" w:eastAsia="Calibri" w:hAnsi="Calibri" w:cs="Calibri"/>
                <w:sz w:val="20"/>
                <w:szCs w:val="20"/>
              </w:rPr>
              <w:t>Records of register third-party certification organisations</w:t>
            </w:r>
          </w:p>
        </w:tc>
        <w:tc>
          <w:tcPr>
            <w:tcW w:w="2190" w:type="dxa"/>
            <w:gridSpan w:val="2"/>
            <w:shd w:val="clear" w:color="auto" w:fill="FFFFFF"/>
          </w:tcPr>
          <w:p w14:paraId="6808F97A" w14:textId="77777777" w:rsidR="00CF33D9" w:rsidRDefault="00E3332A">
            <w:pPr>
              <w:ind w:left="-40"/>
              <w:rPr>
                <w:rFonts w:ascii="Calibri" w:eastAsia="Calibri" w:hAnsi="Calibri" w:cs="Calibri"/>
                <w:sz w:val="20"/>
                <w:szCs w:val="20"/>
                <w:u w:val="single"/>
              </w:rPr>
            </w:pPr>
            <w:r>
              <w:rPr>
                <w:rFonts w:ascii="Calibri" w:eastAsia="Calibri" w:hAnsi="Calibri" w:cs="Calibri"/>
                <w:sz w:val="20"/>
                <w:szCs w:val="20"/>
                <w:u w:val="single"/>
              </w:rPr>
              <w:t>Risks:</w:t>
            </w:r>
          </w:p>
          <w:p w14:paraId="6808F97B" w14:textId="77777777" w:rsidR="00CF33D9" w:rsidRDefault="00E3332A">
            <w:pPr>
              <w:numPr>
                <w:ilvl w:val="0"/>
                <w:numId w:val="40"/>
              </w:numPr>
              <w:ind w:left="127" w:hanging="167"/>
              <w:rPr>
                <w:rFonts w:ascii="Calibri" w:eastAsia="Calibri" w:hAnsi="Calibri" w:cs="Calibri"/>
                <w:color w:val="000000"/>
                <w:sz w:val="20"/>
                <w:szCs w:val="20"/>
              </w:rPr>
            </w:pPr>
            <w:r>
              <w:rPr>
                <w:rFonts w:ascii="Calibri" w:eastAsia="Calibri" w:hAnsi="Calibri" w:cs="Calibri"/>
                <w:color w:val="000000"/>
                <w:sz w:val="20"/>
                <w:szCs w:val="20"/>
              </w:rPr>
              <w:t>Lack capacity of the community-based organisation to complete the third-party certification.</w:t>
            </w:r>
          </w:p>
          <w:p w14:paraId="6808F97C" w14:textId="77777777" w:rsidR="00CF33D9" w:rsidRDefault="00E3332A">
            <w:pPr>
              <w:numPr>
                <w:ilvl w:val="0"/>
                <w:numId w:val="40"/>
              </w:numPr>
              <w:ind w:left="127" w:hanging="167"/>
              <w:rPr>
                <w:rFonts w:ascii="Calibri" w:eastAsia="Calibri" w:hAnsi="Calibri" w:cs="Calibri"/>
                <w:color w:val="000000"/>
                <w:sz w:val="20"/>
                <w:szCs w:val="20"/>
              </w:rPr>
            </w:pPr>
            <w:r>
              <w:rPr>
                <w:rFonts w:ascii="Calibri" w:eastAsia="Calibri" w:hAnsi="Calibri" w:cs="Calibri"/>
                <w:color w:val="000000"/>
                <w:sz w:val="20"/>
                <w:szCs w:val="20"/>
              </w:rPr>
              <w:t>Lack interest in carrying the third-party certification.</w:t>
            </w:r>
          </w:p>
          <w:p w14:paraId="6808F97D" w14:textId="77777777" w:rsidR="00CF33D9" w:rsidRDefault="00E3332A">
            <w:pPr>
              <w:ind w:left="-40"/>
              <w:rPr>
                <w:rFonts w:ascii="Calibri" w:eastAsia="Calibri" w:hAnsi="Calibri" w:cs="Calibri"/>
                <w:sz w:val="20"/>
                <w:szCs w:val="20"/>
                <w:u w:val="single"/>
              </w:rPr>
            </w:pPr>
            <w:r>
              <w:rPr>
                <w:rFonts w:ascii="Calibri" w:eastAsia="Calibri" w:hAnsi="Calibri" w:cs="Calibri"/>
                <w:sz w:val="20"/>
                <w:szCs w:val="20"/>
                <w:u w:val="single"/>
              </w:rPr>
              <w:t>Assumptions:</w:t>
            </w:r>
          </w:p>
          <w:p w14:paraId="6808F97E" w14:textId="77777777" w:rsidR="00CF33D9" w:rsidRDefault="00E3332A">
            <w:pPr>
              <w:numPr>
                <w:ilvl w:val="0"/>
                <w:numId w:val="40"/>
              </w:numPr>
              <w:ind w:left="127" w:hanging="167"/>
              <w:rPr>
                <w:rFonts w:ascii="Calibri" w:eastAsia="Calibri" w:hAnsi="Calibri" w:cs="Calibri"/>
                <w:color w:val="000000"/>
                <w:sz w:val="20"/>
                <w:szCs w:val="20"/>
              </w:rPr>
            </w:pPr>
            <w:r>
              <w:rPr>
                <w:rFonts w:ascii="Calibri" w:eastAsia="Calibri" w:hAnsi="Calibri" w:cs="Calibri"/>
                <w:color w:val="000000"/>
                <w:sz w:val="20"/>
                <w:szCs w:val="20"/>
              </w:rPr>
              <w:t>The chosen third-party certifications are pertinent to the community-based tourism organisations, reflecting their commitment to good environmental, social , ethical and food safety practices.</w:t>
            </w:r>
          </w:p>
          <w:p w14:paraId="6808F97F" w14:textId="77777777" w:rsidR="00CF33D9" w:rsidRDefault="00E3332A">
            <w:pPr>
              <w:numPr>
                <w:ilvl w:val="0"/>
                <w:numId w:val="40"/>
              </w:numPr>
              <w:ind w:left="127" w:hanging="167"/>
              <w:rPr>
                <w:rFonts w:ascii="Calibri" w:eastAsia="Calibri" w:hAnsi="Calibri" w:cs="Calibri"/>
                <w:color w:val="000000"/>
                <w:sz w:val="20"/>
                <w:szCs w:val="20"/>
              </w:rPr>
            </w:pPr>
            <w:r>
              <w:rPr>
                <w:rFonts w:ascii="Calibri" w:eastAsia="Calibri" w:hAnsi="Calibri" w:cs="Calibri"/>
                <w:color w:val="000000"/>
                <w:sz w:val="20"/>
                <w:szCs w:val="20"/>
              </w:rPr>
              <w:t>There are diversify choices of sustainable tourism certification (minimise negative impact on the environment, maximise positive impact for community, culture and local economy)</w:t>
            </w:r>
          </w:p>
        </w:tc>
      </w:tr>
      <w:tr w:rsidR="00CF33D9" w14:paraId="6808F997" w14:textId="77777777">
        <w:trPr>
          <w:trHeight w:val="350"/>
        </w:trPr>
        <w:tc>
          <w:tcPr>
            <w:tcW w:w="1819" w:type="dxa"/>
            <w:vMerge/>
            <w:shd w:val="clear" w:color="auto" w:fill="auto"/>
          </w:tcPr>
          <w:p w14:paraId="6808F981" w14:textId="77777777" w:rsidR="00CF33D9" w:rsidRDefault="00CF33D9">
            <w:pPr>
              <w:widowControl w:val="0"/>
              <w:spacing w:line="276" w:lineRule="auto"/>
              <w:rPr>
                <w:rFonts w:ascii="Calibri" w:eastAsia="Calibri" w:hAnsi="Calibri" w:cs="Calibri"/>
                <w:color w:val="000000"/>
                <w:sz w:val="20"/>
                <w:szCs w:val="20"/>
              </w:rPr>
            </w:pPr>
          </w:p>
        </w:tc>
        <w:tc>
          <w:tcPr>
            <w:tcW w:w="1960" w:type="dxa"/>
            <w:gridSpan w:val="2"/>
            <w:shd w:val="clear" w:color="auto" w:fill="FFFFFF"/>
          </w:tcPr>
          <w:p w14:paraId="6808F982" w14:textId="77777777" w:rsidR="00CF33D9" w:rsidRDefault="00E3332A">
            <w:pPr>
              <w:rPr>
                <w:rFonts w:ascii="Calibri" w:eastAsia="Calibri" w:hAnsi="Calibri" w:cs="Calibri"/>
                <w:sz w:val="20"/>
                <w:szCs w:val="20"/>
              </w:rPr>
            </w:pPr>
            <w:r>
              <w:rPr>
                <w:rFonts w:ascii="Calibri" w:eastAsia="Calibri" w:hAnsi="Calibri" w:cs="Calibri"/>
                <w:sz w:val="20"/>
                <w:szCs w:val="20"/>
              </w:rPr>
              <w:t xml:space="preserve">Indicator 10: </w:t>
            </w:r>
            <w:r>
              <w:rPr>
                <w:rFonts w:ascii="Calibri" w:eastAsia="Calibri" w:hAnsi="Calibri" w:cs="Calibri"/>
                <w:color w:val="000000"/>
                <w:sz w:val="20"/>
                <w:szCs w:val="20"/>
              </w:rPr>
              <w:t xml:space="preserve"># of restoration interventions in community-based </w:t>
            </w:r>
            <w:r>
              <w:rPr>
                <w:rFonts w:ascii="Calibri" w:eastAsia="Calibri" w:hAnsi="Calibri" w:cs="Calibri"/>
                <w:color w:val="000000"/>
                <w:sz w:val="20"/>
                <w:szCs w:val="20"/>
              </w:rPr>
              <w:lastRenderedPageBreak/>
              <w:t>climate resilient ecosystems</w:t>
            </w:r>
          </w:p>
        </w:tc>
        <w:tc>
          <w:tcPr>
            <w:tcW w:w="1694" w:type="dxa"/>
            <w:shd w:val="clear" w:color="auto" w:fill="FFFFFF"/>
          </w:tcPr>
          <w:p w14:paraId="6808F983" w14:textId="77777777" w:rsidR="00CF33D9" w:rsidRDefault="00E3332A">
            <w:pPr>
              <w:numPr>
                <w:ilvl w:val="0"/>
                <w:numId w:val="41"/>
              </w:numPr>
              <w:ind w:left="91" w:hanging="142"/>
              <w:rPr>
                <w:rFonts w:ascii="Calibri" w:eastAsia="Calibri" w:hAnsi="Calibri" w:cs="Calibri"/>
                <w:color w:val="000000"/>
                <w:sz w:val="20"/>
                <w:szCs w:val="20"/>
              </w:rPr>
            </w:pPr>
            <w:r>
              <w:rPr>
                <w:rFonts w:ascii="Calibri" w:eastAsia="Calibri" w:hAnsi="Calibri" w:cs="Calibri"/>
                <w:color w:val="000000"/>
                <w:sz w:val="20"/>
                <w:szCs w:val="20"/>
              </w:rPr>
              <w:lastRenderedPageBreak/>
              <w:t xml:space="preserve">Records of minutes reporting the selected </w:t>
            </w:r>
            <w:r>
              <w:rPr>
                <w:rFonts w:ascii="Calibri" w:eastAsia="Calibri" w:hAnsi="Calibri" w:cs="Calibri"/>
                <w:color w:val="000000"/>
                <w:sz w:val="20"/>
                <w:szCs w:val="20"/>
              </w:rPr>
              <w:lastRenderedPageBreak/>
              <w:t>restoration interventions in community-based climate resilient ecosystems.</w:t>
            </w:r>
          </w:p>
          <w:p w14:paraId="6808F984" w14:textId="77777777" w:rsidR="00CF33D9" w:rsidRDefault="00E3332A">
            <w:pPr>
              <w:numPr>
                <w:ilvl w:val="0"/>
                <w:numId w:val="41"/>
              </w:numPr>
              <w:ind w:left="91" w:hanging="142"/>
              <w:rPr>
                <w:rFonts w:ascii="Calibri" w:eastAsia="Calibri" w:hAnsi="Calibri" w:cs="Calibri"/>
                <w:color w:val="000000"/>
                <w:sz w:val="20"/>
                <w:szCs w:val="20"/>
              </w:rPr>
            </w:pPr>
            <w:r>
              <w:rPr>
                <w:rFonts w:ascii="Calibri" w:eastAsia="Calibri" w:hAnsi="Calibri" w:cs="Calibri"/>
                <w:color w:val="000000"/>
                <w:sz w:val="20"/>
                <w:szCs w:val="20"/>
              </w:rPr>
              <w:t>Reports on the implementation of the selected restoration interventions.</w:t>
            </w:r>
          </w:p>
          <w:p w14:paraId="6808F985" w14:textId="77777777" w:rsidR="00CF33D9" w:rsidRDefault="00E3332A">
            <w:pPr>
              <w:numPr>
                <w:ilvl w:val="0"/>
                <w:numId w:val="41"/>
              </w:numPr>
              <w:ind w:left="91" w:hanging="142"/>
              <w:rPr>
                <w:rFonts w:ascii="Calibri" w:eastAsia="Calibri" w:hAnsi="Calibri" w:cs="Calibri"/>
                <w:color w:val="000000"/>
                <w:sz w:val="20"/>
                <w:szCs w:val="20"/>
              </w:rPr>
            </w:pPr>
            <w:r>
              <w:rPr>
                <w:rFonts w:ascii="Calibri" w:eastAsia="Calibri" w:hAnsi="Calibri" w:cs="Calibri"/>
                <w:color w:val="000000"/>
                <w:sz w:val="20"/>
                <w:szCs w:val="20"/>
              </w:rPr>
              <w:t>Reports on the obtained results of the selected restoration interventions</w:t>
            </w:r>
          </w:p>
          <w:p w14:paraId="6808F986" w14:textId="77777777" w:rsidR="00CF33D9" w:rsidRDefault="00CF33D9">
            <w:pPr>
              <w:rPr>
                <w:rFonts w:ascii="Calibri" w:eastAsia="Calibri" w:hAnsi="Calibri" w:cs="Calibri"/>
                <w:sz w:val="20"/>
                <w:szCs w:val="20"/>
              </w:rPr>
            </w:pPr>
          </w:p>
        </w:tc>
        <w:tc>
          <w:tcPr>
            <w:tcW w:w="1694" w:type="dxa"/>
            <w:shd w:val="clear" w:color="auto" w:fill="FFFFFF"/>
          </w:tcPr>
          <w:p w14:paraId="6808F987" w14:textId="77777777" w:rsidR="00CF33D9" w:rsidRDefault="00E3332A">
            <w:pPr>
              <w:jc w:val="center"/>
              <w:rPr>
                <w:rFonts w:ascii="Calibri" w:eastAsia="Calibri" w:hAnsi="Calibri" w:cs="Calibri"/>
                <w:sz w:val="20"/>
                <w:szCs w:val="20"/>
              </w:rPr>
            </w:pPr>
            <w:r>
              <w:rPr>
                <w:rFonts w:ascii="Calibri" w:eastAsia="Calibri" w:hAnsi="Calibri" w:cs="Calibri"/>
                <w:sz w:val="20"/>
                <w:szCs w:val="20"/>
              </w:rPr>
              <w:lastRenderedPageBreak/>
              <w:t>0</w:t>
            </w:r>
          </w:p>
          <w:p w14:paraId="6808F988" w14:textId="77777777" w:rsidR="00CF33D9" w:rsidRDefault="00CF33D9">
            <w:pPr>
              <w:rPr>
                <w:rFonts w:ascii="Calibri" w:eastAsia="Calibri" w:hAnsi="Calibri" w:cs="Calibri"/>
                <w:sz w:val="20"/>
                <w:szCs w:val="20"/>
              </w:rPr>
            </w:pPr>
          </w:p>
        </w:tc>
        <w:tc>
          <w:tcPr>
            <w:tcW w:w="1826" w:type="dxa"/>
            <w:shd w:val="clear" w:color="auto" w:fill="FFFFFF"/>
          </w:tcPr>
          <w:p w14:paraId="6808F989" w14:textId="77777777" w:rsidR="00CF33D9" w:rsidRDefault="00E3332A">
            <w:pPr>
              <w:rPr>
                <w:rFonts w:ascii="Calibri" w:eastAsia="Calibri" w:hAnsi="Calibri" w:cs="Calibri"/>
                <w:sz w:val="20"/>
                <w:szCs w:val="20"/>
              </w:rPr>
            </w:pPr>
            <w:r>
              <w:rPr>
                <w:rFonts w:ascii="Calibri" w:eastAsia="Calibri" w:hAnsi="Calibri" w:cs="Calibri"/>
                <w:sz w:val="20"/>
                <w:szCs w:val="20"/>
              </w:rPr>
              <w:t xml:space="preserve">At least 1 design of restoration intervention in each selected MPA </w:t>
            </w:r>
            <w:r>
              <w:rPr>
                <w:rFonts w:ascii="Calibri" w:eastAsia="Calibri" w:hAnsi="Calibri" w:cs="Calibri"/>
                <w:sz w:val="20"/>
                <w:szCs w:val="20"/>
              </w:rPr>
              <w:lastRenderedPageBreak/>
              <w:t xml:space="preserve">and Coastal ecosystem </w:t>
            </w:r>
          </w:p>
        </w:tc>
        <w:tc>
          <w:tcPr>
            <w:tcW w:w="1694" w:type="dxa"/>
            <w:shd w:val="clear" w:color="auto" w:fill="FFFFFF"/>
          </w:tcPr>
          <w:p w14:paraId="6808F98A" w14:textId="77777777" w:rsidR="00CF33D9" w:rsidRDefault="00E3332A">
            <w:pPr>
              <w:rPr>
                <w:rFonts w:ascii="Calibri" w:eastAsia="Calibri" w:hAnsi="Calibri" w:cs="Calibri"/>
                <w:sz w:val="20"/>
                <w:szCs w:val="20"/>
              </w:rPr>
            </w:pPr>
            <w:r>
              <w:rPr>
                <w:rFonts w:ascii="Calibri" w:eastAsia="Calibri" w:hAnsi="Calibri" w:cs="Calibri"/>
                <w:sz w:val="20"/>
                <w:szCs w:val="20"/>
              </w:rPr>
              <w:lastRenderedPageBreak/>
              <w:t xml:space="preserve">At least 2 restoration interventions per selected MPA and </w:t>
            </w:r>
            <w:r>
              <w:rPr>
                <w:rFonts w:ascii="Calibri" w:eastAsia="Calibri" w:hAnsi="Calibri" w:cs="Calibri"/>
                <w:sz w:val="20"/>
                <w:szCs w:val="20"/>
              </w:rPr>
              <w:lastRenderedPageBreak/>
              <w:t xml:space="preserve">Coastal ecosystems </w:t>
            </w:r>
          </w:p>
        </w:tc>
        <w:tc>
          <w:tcPr>
            <w:tcW w:w="1518" w:type="dxa"/>
            <w:gridSpan w:val="2"/>
            <w:shd w:val="clear" w:color="auto" w:fill="FFFFFF"/>
          </w:tcPr>
          <w:p w14:paraId="6808F98B" w14:textId="77777777" w:rsidR="00CF33D9" w:rsidRDefault="00E3332A">
            <w:pPr>
              <w:numPr>
                <w:ilvl w:val="0"/>
                <w:numId w:val="41"/>
              </w:numPr>
              <w:ind w:left="108" w:hanging="142"/>
              <w:rPr>
                <w:rFonts w:ascii="Calibri" w:eastAsia="Calibri" w:hAnsi="Calibri" w:cs="Calibri"/>
                <w:color w:val="000000"/>
                <w:sz w:val="20"/>
                <w:szCs w:val="20"/>
              </w:rPr>
            </w:pPr>
            <w:r>
              <w:rPr>
                <w:rFonts w:ascii="Calibri" w:eastAsia="Calibri" w:hAnsi="Calibri" w:cs="Calibri"/>
                <w:color w:val="000000"/>
                <w:sz w:val="20"/>
                <w:szCs w:val="20"/>
              </w:rPr>
              <w:lastRenderedPageBreak/>
              <w:t>Records of public consultation meetings.</w:t>
            </w:r>
          </w:p>
          <w:p w14:paraId="6808F98C" w14:textId="77777777" w:rsidR="00CF33D9" w:rsidRDefault="00E3332A">
            <w:pPr>
              <w:numPr>
                <w:ilvl w:val="0"/>
                <w:numId w:val="41"/>
              </w:numPr>
              <w:ind w:left="108" w:hanging="142"/>
              <w:rPr>
                <w:rFonts w:ascii="Calibri" w:eastAsia="Calibri" w:hAnsi="Calibri" w:cs="Calibri"/>
                <w:color w:val="000000"/>
                <w:sz w:val="20"/>
                <w:szCs w:val="20"/>
              </w:rPr>
            </w:pPr>
            <w:r>
              <w:rPr>
                <w:rFonts w:ascii="Calibri" w:eastAsia="Calibri" w:hAnsi="Calibri" w:cs="Calibri"/>
                <w:color w:val="000000"/>
                <w:sz w:val="20"/>
                <w:szCs w:val="20"/>
              </w:rPr>
              <w:lastRenderedPageBreak/>
              <w:t>Progress reports on the implementation of the restoration interventions</w:t>
            </w:r>
          </w:p>
          <w:p w14:paraId="6808F98D" w14:textId="77777777" w:rsidR="00CF33D9" w:rsidRDefault="00CF33D9">
            <w:pPr>
              <w:rPr>
                <w:rFonts w:ascii="Calibri" w:eastAsia="Calibri" w:hAnsi="Calibri" w:cs="Calibri"/>
                <w:sz w:val="20"/>
                <w:szCs w:val="20"/>
              </w:rPr>
            </w:pPr>
          </w:p>
        </w:tc>
        <w:tc>
          <w:tcPr>
            <w:tcW w:w="2190" w:type="dxa"/>
            <w:gridSpan w:val="2"/>
            <w:shd w:val="clear" w:color="auto" w:fill="FFFFFF"/>
          </w:tcPr>
          <w:p w14:paraId="6808F98E" w14:textId="77777777" w:rsidR="00CF33D9" w:rsidRDefault="00E3332A">
            <w:pPr>
              <w:ind w:left="-40"/>
              <w:rPr>
                <w:rFonts w:ascii="Calibri" w:eastAsia="Calibri" w:hAnsi="Calibri" w:cs="Calibri"/>
                <w:sz w:val="20"/>
                <w:szCs w:val="20"/>
                <w:u w:val="single"/>
              </w:rPr>
            </w:pPr>
            <w:r>
              <w:rPr>
                <w:rFonts w:ascii="Calibri" w:eastAsia="Calibri" w:hAnsi="Calibri" w:cs="Calibri"/>
                <w:sz w:val="20"/>
                <w:szCs w:val="20"/>
                <w:u w:val="single"/>
              </w:rPr>
              <w:lastRenderedPageBreak/>
              <w:t>Risks:</w:t>
            </w:r>
          </w:p>
          <w:p w14:paraId="6808F98F" w14:textId="77777777" w:rsidR="00CF33D9" w:rsidRDefault="00E3332A">
            <w:pPr>
              <w:numPr>
                <w:ilvl w:val="0"/>
                <w:numId w:val="40"/>
              </w:numPr>
              <w:ind w:left="127" w:hanging="167"/>
              <w:rPr>
                <w:rFonts w:ascii="Calibri" w:eastAsia="Calibri" w:hAnsi="Calibri" w:cs="Calibri"/>
                <w:color w:val="000000"/>
                <w:sz w:val="20"/>
                <w:szCs w:val="20"/>
              </w:rPr>
            </w:pPr>
            <w:r>
              <w:rPr>
                <w:rFonts w:ascii="Calibri" w:eastAsia="Calibri" w:hAnsi="Calibri" w:cs="Calibri"/>
                <w:color w:val="000000"/>
                <w:sz w:val="20"/>
                <w:szCs w:val="20"/>
              </w:rPr>
              <w:t xml:space="preserve">Communities’ inability to support and </w:t>
            </w:r>
            <w:r>
              <w:rPr>
                <w:rFonts w:ascii="Calibri" w:eastAsia="Calibri" w:hAnsi="Calibri" w:cs="Calibri"/>
                <w:color w:val="000000"/>
                <w:sz w:val="20"/>
                <w:szCs w:val="20"/>
              </w:rPr>
              <w:lastRenderedPageBreak/>
              <w:t>maintain restoration activities.</w:t>
            </w:r>
          </w:p>
          <w:p w14:paraId="6808F990" w14:textId="77777777" w:rsidR="00CF33D9" w:rsidRDefault="00E3332A">
            <w:pPr>
              <w:numPr>
                <w:ilvl w:val="0"/>
                <w:numId w:val="40"/>
              </w:numPr>
              <w:ind w:left="127" w:hanging="167"/>
              <w:rPr>
                <w:rFonts w:ascii="Calibri" w:eastAsia="Calibri" w:hAnsi="Calibri" w:cs="Calibri"/>
                <w:color w:val="000000"/>
                <w:sz w:val="20"/>
                <w:szCs w:val="20"/>
              </w:rPr>
            </w:pPr>
            <w:r>
              <w:rPr>
                <w:rFonts w:ascii="Calibri" w:eastAsia="Calibri" w:hAnsi="Calibri" w:cs="Calibri"/>
                <w:color w:val="000000"/>
                <w:sz w:val="20"/>
                <w:szCs w:val="20"/>
              </w:rPr>
              <w:t>Lack of causal pathway from programme implementation to intended socioeconomic and environmental results.</w:t>
            </w:r>
          </w:p>
          <w:p w14:paraId="6808F991" w14:textId="77777777" w:rsidR="00CF33D9" w:rsidRDefault="00E3332A">
            <w:pPr>
              <w:numPr>
                <w:ilvl w:val="0"/>
                <w:numId w:val="40"/>
              </w:numPr>
              <w:ind w:left="127" w:hanging="167"/>
              <w:rPr>
                <w:rFonts w:ascii="Calibri" w:eastAsia="Calibri" w:hAnsi="Calibri" w:cs="Calibri"/>
                <w:color w:val="000000"/>
                <w:sz w:val="20"/>
                <w:szCs w:val="20"/>
              </w:rPr>
            </w:pPr>
            <w:r>
              <w:rPr>
                <w:rFonts w:ascii="Calibri" w:eastAsia="Calibri" w:hAnsi="Calibri" w:cs="Calibri"/>
                <w:color w:val="000000"/>
                <w:sz w:val="20"/>
                <w:szCs w:val="20"/>
              </w:rPr>
              <w:t>Misfit restoration interventions.</w:t>
            </w:r>
          </w:p>
          <w:p w14:paraId="6808F992" w14:textId="77777777" w:rsidR="00CF33D9" w:rsidRDefault="00E3332A">
            <w:pPr>
              <w:ind w:left="-40"/>
              <w:rPr>
                <w:rFonts w:ascii="Calibri" w:eastAsia="Calibri" w:hAnsi="Calibri" w:cs="Calibri"/>
                <w:sz w:val="20"/>
                <w:szCs w:val="20"/>
                <w:u w:val="single"/>
              </w:rPr>
            </w:pPr>
            <w:r>
              <w:rPr>
                <w:rFonts w:ascii="Calibri" w:eastAsia="Calibri" w:hAnsi="Calibri" w:cs="Calibri"/>
                <w:sz w:val="20"/>
                <w:szCs w:val="20"/>
                <w:u w:val="single"/>
              </w:rPr>
              <w:t>Assumptions:</w:t>
            </w:r>
          </w:p>
          <w:p w14:paraId="6808F993" w14:textId="77777777" w:rsidR="00CF33D9" w:rsidRDefault="00E3332A">
            <w:pPr>
              <w:numPr>
                <w:ilvl w:val="0"/>
                <w:numId w:val="40"/>
              </w:numPr>
              <w:ind w:left="127" w:hanging="167"/>
              <w:rPr>
                <w:rFonts w:ascii="Calibri" w:eastAsia="Calibri" w:hAnsi="Calibri" w:cs="Calibri"/>
                <w:color w:val="000000"/>
                <w:sz w:val="20"/>
                <w:szCs w:val="20"/>
              </w:rPr>
            </w:pPr>
            <w:r>
              <w:rPr>
                <w:rFonts w:ascii="Calibri" w:eastAsia="Calibri" w:hAnsi="Calibri" w:cs="Calibri"/>
                <w:color w:val="000000"/>
                <w:sz w:val="20"/>
                <w:szCs w:val="20"/>
              </w:rPr>
              <w:t>Understanding of the four approaches to restoration in the interventions.</w:t>
            </w:r>
          </w:p>
          <w:p w14:paraId="6808F994" w14:textId="77777777" w:rsidR="00CF33D9" w:rsidRDefault="00E3332A">
            <w:pPr>
              <w:numPr>
                <w:ilvl w:val="0"/>
                <w:numId w:val="42"/>
              </w:numPr>
              <w:ind w:left="159" w:hanging="159"/>
              <w:rPr>
                <w:rFonts w:ascii="Calibri" w:eastAsia="Calibri" w:hAnsi="Calibri" w:cs="Calibri"/>
                <w:color w:val="000000"/>
                <w:sz w:val="20"/>
                <w:szCs w:val="20"/>
              </w:rPr>
            </w:pPr>
            <w:r>
              <w:rPr>
                <w:rFonts w:ascii="Calibri" w:eastAsia="Calibri" w:hAnsi="Calibri" w:cs="Calibri"/>
                <w:color w:val="000000"/>
                <w:sz w:val="20"/>
                <w:szCs w:val="20"/>
              </w:rPr>
              <w:t xml:space="preserve">Accessible training in </w:t>
            </w:r>
            <w:r>
              <w:rPr>
                <w:rFonts w:ascii="Calibri" w:eastAsia="Calibri" w:hAnsi="Calibri" w:cs="Calibri"/>
                <w:sz w:val="20"/>
                <w:szCs w:val="20"/>
              </w:rPr>
              <w:t>restoration</w:t>
            </w:r>
            <w:r>
              <w:rPr>
                <w:rFonts w:ascii="Calibri" w:eastAsia="Calibri" w:hAnsi="Calibri" w:cs="Calibri"/>
                <w:color w:val="000000"/>
                <w:sz w:val="20"/>
                <w:szCs w:val="20"/>
              </w:rPr>
              <w:t xml:space="preserve"> to selected </w:t>
            </w:r>
            <w:r>
              <w:rPr>
                <w:rFonts w:ascii="Calibri" w:eastAsia="Calibri" w:hAnsi="Calibri" w:cs="Calibri"/>
                <w:sz w:val="20"/>
                <w:szCs w:val="20"/>
              </w:rPr>
              <w:t>communities</w:t>
            </w:r>
          </w:p>
          <w:p w14:paraId="6808F995" w14:textId="77777777" w:rsidR="00CF33D9" w:rsidRDefault="00E3332A">
            <w:pPr>
              <w:numPr>
                <w:ilvl w:val="0"/>
                <w:numId w:val="42"/>
              </w:numPr>
              <w:ind w:left="159" w:hanging="159"/>
              <w:rPr>
                <w:rFonts w:ascii="Calibri" w:eastAsia="Calibri" w:hAnsi="Calibri" w:cs="Calibri"/>
                <w:color w:val="000000"/>
                <w:sz w:val="20"/>
                <w:szCs w:val="20"/>
              </w:rPr>
            </w:pPr>
            <w:r>
              <w:rPr>
                <w:rFonts w:ascii="Calibri" w:eastAsia="Calibri" w:hAnsi="Calibri" w:cs="Calibri"/>
                <w:color w:val="000000"/>
                <w:sz w:val="20"/>
                <w:szCs w:val="20"/>
              </w:rPr>
              <w:t xml:space="preserve">Countries show willingness to draft new </w:t>
            </w:r>
            <w:r>
              <w:rPr>
                <w:rFonts w:ascii="Calibri" w:eastAsia="Calibri" w:hAnsi="Calibri" w:cs="Calibri"/>
                <w:sz w:val="20"/>
                <w:szCs w:val="20"/>
              </w:rPr>
              <w:t>regulations</w:t>
            </w:r>
            <w:r>
              <w:rPr>
                <w:rFonts w:ascii="Calibri" w:eastAsia="Calibri" w:hAnsi="Calibri" w:cs="Calibri"/>
                <w:color w:val="000000"/>
                <w:sz w:val="20"/>
                <w:szCs w:val="20"/>
              </w:rPr>
              <w:t xml:space="preserve"> and to adopt them.</w:t>
            </w:r>
          </w:p>
          <w:p w14:paraId="6808F996" w14:textId="77777777" w:rsidR="00CF33D9" w:rsidRDefault="00E3332A">
            <w:pPr>
              <w:numPr>
                <w:ilvl w:val="0"/>
                <w:numId w:val="42"/>
              </w:numPr>
              <w:ind w:left="159" w:hanging="159"/>
              <w:rPr>
                <w:rFonts w:ascii="Calibri" w:eastAsia="Calibri" w:hAnsi="Calibri" w:cs="Calibri"/>
                <w:color w:val="000000"/>
                <w:sz w:val="20"/>
                <w:szCs w:val="20"/>
              </w:rPr>
            </w:pPr>
            <w:r>
              <w:rPr>
                <w:rFonts w:ascii="Calibri" w:eastAsia="Calibri" w:hAnsi="Calibri" w:cs="Calibri"/>
                <w:color w:val="000000"/>
                <w:sz w:val="20"/>
                <w:szCs w:val="20"/>
              </w:rPr>
              <w:t>Countries accept the findings of previous studies undertaken by BCC including proposed environmental standards-based climate resilient ecosystems.</w:t>
            </w:r>
          </w:p>
        </w:tc>
      </w:tr>
      <w:tr w:rsidR="00CF33D9" w14:paraId="6808F99B" w14:textId="77777777">
        <w:trPr>
          <w:trHeight w:val="800"/>
        </w:trPr>
        <w:tc>
          <w:tcPr>
            <w:tcW w:w="1819" w:type="dxa"/>
            <w:shd w:val="clear" w:color="auto" w:fill="auto"/>
          </w:tcPr>
          <w:p w14:paraId="6808F998" w14:textId="77777777" w:rsidR="00CF33D9" w:rsidRDefault="00E3332A">
            <w:pPr>
              <w:rPr>
                <w:rFonts w:ascii="Calibri" w:eastAsia="Calibri" w:hAnsi="Calibri" w:cs="Calibri"/>
                <w:b/>
                <w:sz w:val="20"/>
                <w:szCs w:val="20"/>
              </w:rPr>
            </w:pPr>
            <w:r>
              <w:rPr>
                <w:rFonts w:ascii="Calibri" w:eastAsia="Calibri" w:hAnsi="Calibri" w:cs="Calibri"/>
                <w:b/>
                <w:sz w:val="20"/>
                <w:szCs w:val="20"/>
              </w:rPr>
              <w:lastRenderedPageBreak/>
              <w:t>Outputs to achieve Outcome 1.2</w:t>
            </w:r>
          </w:p>
        </w:tc>
        <w:tc>
          <w:tcPr>
            <w:tcW w:w="12576" w:type="dxa"/>
            <w:gridSpan w:val="10"/>
          </w:tcPr>
          <w:p w14:paraId="6808F999" w14:textId="77777777" w:rsidR="00CF33D9" w:rsidRDefault="00E3332A">
            <w:pPr>
              <w:rPr>
                <w:rFonts w:ascii="Calibri" w:hAnsi="Calibri" w:cs="Calibri"/>
                <w:color w:val="000000"/>
                <w:sz w:val="20"/>
                <w:szCs w:val="20"/>
              </w:rPr>
            </w:pPr>
            <w:r>
              <w:rPr>
                <w:rFonts w:ascii="Calibri" w:eastAsia="Calibri" w:hAnsi="Calibri" w:cs="Calibri"/>
                <w:color w:val="000000"/>
                <w:sz w:val="20"/>
                <w:szCs w:val="20"/>
              </w:rPr>
              <w:t>1.2.1: Sustainable community-based tourism developed in and around selected MPAs and coastal ecosystems (under 1.1) with potential for third-party certifications (</w:t>
            </w:r>
            <w:hyperlink r:id="rId19">
              <w:r>
                <w:rPr>
                  <w:rFonts w:ascii="Calibri" w:hAnsi="Calibri" w:cs="Calibri"/>
                  <w:color w:val="0000FF"/>
                  <w:sz w:val="20"/>
                  <w:szCs w:val="20"/>
                  <w:u w:val="single"/>
                </w:rPr>
                <w:t>www.earthcheck.org</w:t>
              </w:r>
            </w:hyperlink>
            <w:r>
              <w:rPr>
                <w:rFonts w:ascii="Calibri" w:eastAsia="Calibri" w:hAnsi="Calibri" w:cs="Calibri"/>
                <w:color w:val="000000"/>
                <w:sz w:val="20"/>
                <w:szCs w:val="20"/>
              </w:rPr>
              <w:t>)</w:t>
            </w:r>
          </w:p>
          <w:p w14:paraId="6808F99A" w14:textId="77777777" w:rsidR="00CF33D9" w:rsidRDefault="00E3332A">
            <w:pPr>
              <w:rPr>
                <w:rFonts w:ascii="Calibri" w:eastAsia="Calibri" w:hAnsi="Calibri" w:cs="Calibri"/>
                <w:i/>
                <w:sz w:val="20"/>
                <w:szCs w:val="20"/>
                <w:highlight w:val="yellow"/>
              </w:rPr>
            </w:pPr>
            <w:r>
              <w:rPr>
                <w:rFonts w:ascii="Calibri" w:eastAsia="Calibri" w:hAnsi="Calibri" w:cs="Calibri"/>
                <w:color w:val="000000"/>
                <w:sz w:val="20"/>
                <w:szCs w:val="20"/>
              </w:rPr>
              <w:t>1.2.2: Community-based climate-resilient ecosystem restoration interventions such as enhanced protection, control of alien and invasive species, assisted regeneration implemented in selected MPAs and coastal ecosystems (under 1.1)</w:t>
            </w:r>
          </w:p>
        </w:tc>
      </w:tr>
      <w:tr w:rsidR="00CF33D9" w14:paraId="6808F9AA" w14:textId="77777777">
        <w:trPr>
          <w:trHeight w:val="2334"/>
        </w:trPr>
        <w:tc>
          <w:tcPr>
            <w:tcW w:w="1819" w:type="dxa"/>
            <w:shd w:val="clear" w:color="auto" w:fill="auto"/>
          </w:tcPr>
          <w:p w14:paraId="6808F99C" w14:textId="77777777" w:rsidR="00CF33D9" w:rsidRDefault="00E3332A">
            <w:pPr>
              <w:rPr>
                <w:rFonts w:ascii="Calibri" w:eastAsia="Calibri" w:hAnsi="Calibri" w:cs="Calibri"/>
                <w:b/>
                <w:color w:val="000000"/>
                <w:sz w:val="20"/>
                <w:szCs w:val="20"/>
              </w:rPr>
            </w:pPr>
            <w:r>
              <w:rPr>
                <w:rFonts w:ascii="Calibri" w:eastAsia="Calibri" w:hAnsi="Calibri" w:cs="Calibri"/>
                <w:b/>
                <w:color w:val="000000"/>
                <w:sz w:val="20"/>
                <w:szCs w:val="20"/>
              </w:rPr>
              <w:lastRenderedPageBreak/>
              <w:t xml:space="preserve">Outcome 1.3: Improved biodiversity monitoring (using eDNA-based methods) to inform actions for improved management of MPAs and coastal ecosystems </w:t>
            </w:r>
          </w:p>
        </w:tc>
        <w:tc>
          <w:tcPr>
            <w:tcW w:w="1960" w:type="dxa"/>
            <w:gridSpan w:val="2"/>
          </w:tcPr>
          <w:p w14:paraId="6808F99D"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t>Indicator 11: # of biodiversity monitoring analyses carried out in selected MPAs and coastal ecosystems</w:t>
            </w:r>
          </w:p>
        </w:tc>
        <w:tc>
          <w:tcPr>
            <w:tcW w:w="1694" w:type="dxa"/>
          </w:tcPr>
          <w:p w14:paraId="6808F99E"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t>Biodiversity Reports on selected MPAs and coastal ecosystems in Namibia.</w:t>
            </w:r>
          </w:p>
        </w:tc>
        <w:tc>
          <w:tcPr>
            <w:tcW w:w="1694" w:type="dxa"/>
          </w:tcPr>
          <w:p w14:paraId="6808F99F" w14:textId="77777777" w:rsidR="00CF33D9" w:rsidRDefault="00E3332A">
            <w:pPr>
              <w:jc w:val="center"/>
              <w:rPr>
                <w:rFonts w:ascii="Calibri" w:eastAsia="Calibri" w:hAnsi="Calibri" w:cs="Calibri"/>
                <w:color w:val="000000"/>
                <w:sz w:val="20"/>
                <w:szCs w:val="20"/>
              </w:rPr>
            </w:pPr>
            <w:r>
              <w:rPr>
                <w:rFonts w:ascii="Calibri" w:eastAsia="Calibri" w:hAnsi="Calibri" w:cs="Calibri"/>
                <w:color w:val="000000"/>
                <w:sz w:val="20"/>
                <w:szCs w:val="20"/>
              </w:rPr>
              <w:t>0</w:t>
            </w:r>
          </w:p>
          <w:p w14:paraId="6808F9A0" w14:textId="77777777" w:rsidR="00CF33D9" w:rsidRDefault="00CF33D9">
            <w:pPr>
              <w:jc w:val="center"/>
              <w:rPr>
                <w:rFonts w:ascii="Calibri" w:eastAsia="Calibri" w:hAnsi="Calibri" w:cs="Calibri"/>
                <w:color w:val="000000"/>
                <w:sz w:val="20"/>
                <w:szCs w:val="20"/>
              </w:rPr>
            </w:pPr>
          </w:p>
        </w:tc>
        <w:tc>
          <w:tcPr>
            <w:tcW w:w="1826" w:type="dxa"/>
          </w:tcPr>
          <w:p w14:paraId="6808F9A1"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t>3 designs of biodiversity monitoring using eDNA based methods</w:t>
            </w:r>
          </w:p>
        </w:tc>
        <w:tc>
          <w:tcPr>
            <w:tcW w:w="1694" w:type="dxa"/>
          </w:tcPr>
          <w:p w14:paraId="6808F9A2"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t>6 biodiversity monitoring analyses across selected MPAs and coastal ecosystems.</w:t>
            </w:r>
          </w:p>
        </w:tc>
        <w:tc>
          <w:tcPr>
            <w:tcW w:w="1518" w:type="dxa"/>
            <w:gridSpan w:val="2"/>
          </w:tcPr>
          <w:p w14:paraId="6808F9A3" w14:textId="77777777" w:rsidR="00CF33D9" w:rsidRDefault="00E3332A">
            <w:pPr>
              <w:rPr>
                <w:rFonts w:ascii="Calibri" w:hAnsi="Calibri" w:cs="Calibri"/>
                <w:color w:val="000000"/>
                <w:sz w:val="20"/>
                <w:szCs w:val="20"/>
              </w:rPr>
            </w:pPr>
            <w:r>
              <w:rPr>
                <w:rFonts w:ascii="Calibri" w:eastAsia="Calibri" w:hAnsi="Calibri" w:cs="Calibri"/>
                <w:color w:val="000000"/>
                <w:sz w:val="20"/>
                <w:szCs w:val="20"/>
              </w:rPr>
              <w:t>Legislation gazetted by parliament</w:t>
            </w:r>
          </w:p>
        </w:tc>
        <w:tc>
          <w:tcPr>
            <w:tcW w:w="2190" w:type="dxa"/>
            <w:gridSpan w:val="2"/>
          </w:tcPr>
          <w:p w14:paraId="6808F9A4" w14:textId="77777777" w:rsidR="00CF33D9" w:rsidRDefault="00E3332A">
            <w:pPr>
              <w:ind w:left="-40"/>
              <w:jc w:val="both"/>
              <w:rPr>
                <w:rFonts w:ascii="Calibri" w:eastAsia="Calibri" w:hAnsi="Calibri" w:cs="Calibri"/>
                <w:sz w:val="20"/>
                <w:szCs w:val="20"/>
                <w:u w:val="single"/>
              </w:rPr>
            </w:pPr>
            <w:r>
              <w:rPr>
                <w:rFonts w:ascii="Calibri" w:eastAsia="Calibri" w:hAnsi="Calibri" w:cs="Calibri"/>
                <w:sz w:val="20"/>
                <w:szCs w:val="20"/>
                <w:u w:val="single"/>
              </w:rPr>
              <w:t>Risks:</w:t>
            </w:r>
          </w:p>
          <w:p w14:paraId="6808F9A5" w14:textId="77777777" w:rsidR="00CF33D9" w:rsidRDefault="00E3332A">
            <w:pPr>
              <w:numPr>
                <w:ilvl w:val="0"/>
                <w:numId w:val="40"/>
              </w:numPr>
              <w:ind w:left="127" w:hanging="167"/>
              <w:rPr>
                <w:rFonts w:ascii="Calibri" w:eastAsia="Calibri" w:hAnsi="Calibri" w:cs="Calibri"/>
                <w:color w:val="000000"/>
                <w:sz w:val="20"/>
                <w:szCs w:val="20"/>
              </w:rPr>
            </w:pPr>
            <w:r>
              <w:rPr>
                <w:rFonts w:ascii="Calibri" w:eastAsia="Calibri" w:hAnsi="Calibri" w:cs="Calibri"/>
                <w:color w:val="000000"/>
                <w:sz w:val="20"/>
                <w:szCs w:val="20"/>
              </w:rPr>
              <w:t>Lack of technical capacity to carry out eDNA based methods in biodiversity monitoring.</w:t>
            </w:r>
          </w:p>
          <w:p w14:paraId="6808F9A6" w14:textId="77777777" w:rsidR="00CF33D9" w:rsidRDefault="00E3332A">
            <w:pPr>
              <w:numPr>
                <w:ilvl w:val="0"/>
                <w:numId w:val="40"/>
              </w:numPr>
              <w:ind w:left="127" w:hanging="167"/>
              <w:rPr>
                <w:rFonts w:ascii="Calibri" w:eastAsia="Calibri" w:hAnsi="Calibri" w:cs="Calibri"/>
                <w:color w:val="000000"/>
                <w:sz w:val="20"/>
                <w:szCs w:val="20"/>
              </w:rPr>
            </w:pPr>
            <w:r>
              <w:rPr>
                <w:rFonts w:ascii="Calibri" w:eastAsia="Calibri" w:hAnsi="Calibri" w:cs="Calibri"/>
                <w:color w:val="000000"/>
                <w:sz w:val="20"/>
                <w:szCs w:val="20"/>
              </w:rPr>
              <w:t>Lack of financial capacity to carry out eDNA in biodiversity monitoring.</w:t>
            </w:r>
          </w:p>
          <w:p w14:paraId="6808F9A7" w14:textId="77777777" w:rsidR="00CF33D9" w:rsidRDefault="00E3332A">
            <w:pPr>
              <w:ind w:left="-40"/>
              <w:jc w:val="both"/>
              <w:rPr>
                <w:rFonts w:ascii="Calibri" w:eastAsia="Calibri" w:hAnsi="Calibri" w:cs="Calibri"/>
                <w:sz w:val="20"/>
                <w:szCs w:val="20"/>
                <w:u w:val="single"/>
              </w:rPr>
            </w:pPr>
            <w:r>
              <w:rPr>
                <w:rFonts w:ascii="Calibri" w:eastAsia="Calibri" w:hAnsi="Calibri" w:cs="Calibri"/>
                <w:sz w:val="20"/>
                <w:szCs w:val="20"/>
                <w:u w:val="single"/>
              </w:rPr>
              <w:t>Assumptions:</w:t>
            </w:r>
          </w:p>
          <w:p w14:paraId="6808F9A8" w14:textId="77777777" w:rsidR="00CF33D9" w:rsidRDefault="00E3332A">
            <w:pPr>
              <w:numPr>
                <w:ilvl w:val="0"/>
                <w:numId w:val="40"/>
              </w:numPr>
              <w:ind w:left="127" w:hanging="167"/>
              <w:rPr>
                <w:rFonts w:ascii="Calibri" w:eastAsia="Calibri" w:hAnsi="Calibri" w:cs="Calibri"/>
                <w:color w:val="000000"/>
                <w:sz w:val="20"/>
                <w:szCs w:val="20"/>
              </w:rPr>
            </w:pPr>
            <w:r>
              <w:rPr>
                <w:rFonts w:ascii="Calibri" w:eastAsia="Calibri" w:hAnsi="Calibri" w:cs="Calibri"/>
                <w:color w:val="000000"/>
                <w:sz w:val="20"/>
                <w:szCs w:val="20"/>
              </w:rPr>
              <w:t>Fluent communication based on scientific analysis of the monitored data to MPAs responsible and community- based involved in the monitoring.</w:t>
            </w:r>
          </w:p>
          <w:p w14:paraId="6808F9A9" w14:textId="77777777" w:rsidR="00CF33D9" w:rsidRDefault="00E3332A">
            <w:pPr>
              <w:numPr>
                <w:ilvl w:val="0"/>
                <w:numId w:val="40"/>
              </w:numPr>
              <w:ind w:left="127" w:hanging="167"/>
              <w:rPr>
                <w:rFonts w:ascii="Calibri" w:eastAsia="Calibri" w:hAnsi="Calibri" w:cs="Calibri"/>
                <w:color w:val="000000"/>
                <w:sz w:val="20"/>
                <w:szCs w:val="20"/>
              </w:rPr>
            </w:pPr>
            <w:r>
              <w:rPr>
                <w:rFonts w:ascii="Calibri" w:eastAsia="Calibri" w:hAnsi="Calibri" w:cs="Calibri"/>
                <w:color w:val="000000"/>
                <w:sz w:val="20"/>
                <w:szCs w:val="20"/>
              </w:rPr>
              <w:t>Capacity to convey monitoring information into assertive mitigating decisions.</w:t>
            </w:r>
          </w:p>
        </w:tc>
      </w:tr>
      <w:tr w:rsidR="00CF33D9" w14:paraId="6808F9AD" w14:textId="77777777">
        <w:trPr>
          <w:trHeight w:val="453"/>
        </w:trPr>
        <w:tc>
          <w:tcPr>
            <w:tcW w:w="1819" w:type="dxa"/>
            <w:shd w:val="clear" w:color="auto" w:fill="auto"/>
          </w:tcPr>
          <w:p w14:paraId="6808F9AB" w14:textId="77777777" w:rsidR="00CF33D9" w:rsidRDefault="00E3332A">
            <w:pPr>
              <w:rPr>
                <w:rFonts w:ascii="Calibri" w:eastAsia="Calibri" w:hAnsi="Calibri" w:cs="Calibri"/>
                <w:b/>
                <w:sz w:val="20"/>
                <w:szCs w:val="20"/>
              </w:rPr>
            </w:pPr>
            <w:r>
              <w:rPr>
                <w:rFonts w:ascii="Calibri" w:eastAsia="Calibri" w:hAnsi="Calibri" w:cs="Calibri"/>
                <w:b/>
                <w:sz w:val="20"/>
                <w:szCs w:val="20"/>
              </w:rPr>
              <w:t>Outputs to achieve Outcome 1.3</w:t>
            </w:r>
          </w:p>
        </w:tc>
        <w:tc>
          <w:tcPr>
            <w:tcW w:w="12576" w:type="dxa"/>
            <w:gridSpan w:val="10"/>
          </w:tcPr>
          <w:p w14:paraId="6808F9AC" w14:textId="77777777" w:rsidR="00CF33D9" w:rsidRDefault="00E3332A">
            <w:pPr>
              <w:rPr>
                <w:rFonts w:ascii="Calibri" w:hAnsi="Calibri" w:cs="Calibri"/>
                <w:color w:val="000000"/>
                <w:sz w:val="20"/>
                <w:szCs w:val="20"/>
              </w:rPr>
            </w:pPr>
            <w:r>
              <w:rPr>
                <w:rFonts w:ascii="Calibri" w:eastAsia="Calibri" w:hAnsi="Calibri" w:cs="Calibri"/>
                <w:color w:val="000000"/>
                <w:sz w:val="20"/>
                <w:szCs w:val="20"/>
              </w:rPr>
              <w:t xml:space="preserve">1.3.1: Community-based biodiversity monitoring within the selected MPAs and coastal ecosystems (under 1.1) developed or enhanced </w:t>
            </w:r>
          </w:p>
        </w:tc>
      </w:tr>
      <w:tr w:rsidR="00CF33D9" w14:paraId="6808F9BB" w14:textId="77777777">
        <w:trPr>
          <w:trHeight w:val="800"/>
        </w:trPr>
        <w:tc>
          <w:tcPr>
            <w:tcW w:w="1819" w:type="dxa"/>
            <w:shd w:val="clear" w:color="auto" w:fill="auto"/>
          </w:tcPr>
          <w:p w14:paraId="6808F9AE" w14:textId="77777777" w:rsidR="00CF33D9" w:rsidRDefault="00E3332A">
            <w:pPr>
              <w:rPr>
                <w:rFonts w:ascii="Calibri" w:eastAsia="Calibri" w:hAnsi="Calibri" w:cs="Calibri"/>
                <w:b/>
                <w:sz w:val="20"/>
                <w:szCs w:val="20"/>
              </w:rPr>
            </w:pPr>
            <w:r>
              <w:rPr>
                <w:rFonts w:ascii="Calibri" w:hAnsi="Calibri" w:cs="Calibri"/>
                <w:b/>
                <w:color w:val="000000"/>
                <w:sz w:val="20"/>
                <w:szCs w:val="20"/>
              </w:rPr>
              <w:t xml:space="preserve">Outcome </w:t>
            </w:r>
            <w:r>
              <w:rPr>
                <w:rFonts w:ascii="Calibri" w:eastAsia="Calibri" w:hAnsi="Calibri" w:cs="Calibri"/>
                <w:b/>
                <w:color w:val="000000"/>
                <w:sz w:val="20"/>
                <w:szCs w:val="20"/>
              </w:rPr>
              <w:t>1.4: Minimise impacts of exploration and extraction of non-living marine resources (NLMR) on critical marine and coastal ecosystems through regulation and industry action</w:t>
            </w:r>
          </w:p>
        </w:tc>
        <w:tc>
          <w:tcPr>
            <w:tcW w:w="1960" w:type="dxa"/>
            <w:gridSpan w:val="2"/>
          </w:tcPr>
          <w:p w14:paraId="6808F9AF"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t>Indicator 12: # of countries that have included relevant environmental performance standards into national legislation</w:t>
            </w:r>
          </w:p>
        </w:tc>
        <w:tc>
          <w:tcPr>
            <w:tcW w:w="1694" w:type="dxa"/>
          </w:tcPr>
          <w:p w14:paraId="6808F9B0" w14:textId="77777777" w:rsidR="00CF33D9" w:rsidRDefault="00E3332A">
            <w:pPr>
              <w:rPr>
                <w:rFonts w:ascii="Calibri" w:eastAsia="Calibri" w:hAnsi="Calibri" w:cs="Calibri"/>
                <w:sz w:val="20"/>
                <w:szCs w:val="20"/>
              </w:rPr>
            </w:pPr>
            <w:r>
              <w:rPr>
                <w:rFonts w:ascii="Calibri" w:eastAsia="Calibri" w:hAnsi="Calibri" w:cs="Calibri"/>
                <w:sz w:val="20"/>
                <w:szCs w:val="20"/>
              </w:rPr>
              <w:t>Records of public consultation for draft documents review.</w:t>
            </w:r>
          </w:p>
          <w:p w14:paraId="6808F9B1" w14:textId="77777777" w:rsidR="00CF33D9" w:rsidRDefault="00CF33D9">
            <w:pPr>
              <w:jc w:val="both"/>
              <w:rPr>
                <w:rFonts w:ascii="Calibri" w:eastAsia="Calibri" w:hAnsi="Calibri" w:cs="Calibri"/>
                <w:sz w:val="20"/>
                <w:szCs w:val="20"/>
              </w:rPr>
            </w:pPr>
          </w:p>
          <w:p w14:paraId="6808F9B2" w14:textId="77777777" w:rsidR="00CF33D9" w:rsidRDefault="00CF33D9">
            <w:pPr>
              <w:jc w:val="both"/>
              <w:rPr>
                <w:rFonts w:ascii="Calibri" w:hAnsi="Calibri" w:cs="Calibri"/>
                <w:color w:val="000000"/>
                <w:sz w:val="20"/>
                <w:szCs w:val="20"/>
              </w:rPr>
            </w:pPr>
          </w:p>
        </w:tc>
        <w:tc>
          <w:tcPr>
            <w:tcW w:w="1694" w:type="dxa"/>
          </w:tcPr>
          <w:p w14:paraId="6808F9B3" w14:textId="77777777" w:rsidR="00CF33D9" w:rsidRDefault="00E3332A">
            <w:pPr>
              <w:rPr>
                <w:rFonts w:ascii="Calibri" w:hAnsi="Calibri" w:cs="Calibri"/>
                <w:color w:val="000000"/>
                <w:sz w:val="20"/>
                <w:szCs w:val="20"/>
              </w:rPr>
            </w:pPr>
            <w:r>
              <w:rPr>
                <w:rFonts w:ascii="Calibri" w:eastAsia="Calibri" w:hAnsi="Calibri" w:cs="Calibri"/>
                <w:sz w:val="20"/>
                <w:szCs w:val="20"/>
              </w:rPr>
              <w:t xml:space="preserve">To date, while countries have broad environmental standards that are applied to offshore extractive industries, none have adopted specific environmental performance standards for oil and gas and </w:t>
            </w:r>
            <w:r>
              <w:rPr>
                <w:rFonts w:ascii="Calibri" w:eastAsia="Calibri" w:hAnsi="Calibri" w:cs="Calibri"/>
                <w:sz w:val="20"/>
                <w:szCs w:val="20"/>
              </w:rPr>
              <w:lastRenderedPageBreak/>
              <w:t>seabed mining industries.</w:t>
            </w:r>
          </w:p>
        </w:tc>
        <w:tc>
          <w:tcPr>
            <w:tcW w:w="1826" w:type="dxa"/>
          </w:tcPr>
          <w:p w14:paraId="6808F9B4" w14:textId="77777777" w:rsidR="00CF33D9" w:rsidRDefault="00E3332A">
            <w:pPr>
              <w:jc w:val="center"/>
              <w:rPr>
                <w:rFonts w:ascii="Calibri" w:hAnsi="Calibri" w:cs="Calibri"/>
                <w:color w:val="000000"/>
                <w:sz w:val="20"/>
                <w:szCs w:val="20"/>
              </w:rPr>
            </w:pPr>
            <w:r>
              <w:rPr>
                <w:rFonts w:ascii="Calibri" w:hAnsi="Calibri" w:cs="Calibri"/>
                <w:color w:val="000000"/>
                <w:sz w:val="20"/>
                <w:szCs w:val="20"/>
              </w:rPr>
              <w:lastRenderedPageBreak/>
              <w:t>1</w:t>
            </w:r>
          </w:p>
        </w:tc>
        <w:tc>
          <w:tcPr>
            <w:tcW w:w="1694" w:type="dxa"/>
          </w:tcPr>
          <w:p w14:paraId="6808F9B5" w14:textId="77777777" w:rsidR="00CF33D9" w:rsidRDefault="00E3332A">
            <w:pPr>
              <w:jc w:val="center"/>
              <w:rPr>
                <w:rFonts w:ascii="Calibri" w:hAnsi="Calibri" w:cs="Calibri"/>
                <w:color w:val="000000"/>
                <w:sz w:val="20"/>
                <w:szCs w:val="20"/>
              </w:rPr>
            </w:pPr>
            <w:r>
              <w:rPr>
                <w:rFonts w:ascii="Calibri" w:hAnsi="Calibri" w:cs="Calibri"/>
                <w:color w:val="000000"/>
                <w:sz w:val="20"/>
                <w:szCs w:val="20"/>
              </w:rPr>
              <w:t>3</w:t>
            </w:r>
          </w:p>
        </w:tc>
        <w:tc>
          <w:tcPr>
            <w:tcW w:w="1518" w:type="dxa"/>
            <w:gridSpan w:val="2"/>
          </w:tcPr>
          <w:p w14:paraId="6808F9B6" w14:textId="77777777" w:rsidR="00CF33D9" w:rsidRDefault="00E3332A">
            <w:pPr>
              <w:rPr>
                <w:rFonts w:ascii="Calibri" w:hAnsi="Calibri" w:cs="Calibri"/>
                <w:color w:val="000000"/>
                <w:sz w:val="20"/>
                <w:szCs w:val="20"/>
              </w:rPr>
            </w:pPr>
            <w:r>
              <w:rPr>
                <w:rFonts w:ascii="Calibri" w:eastAsia="Calibri" w:hAnsi="Calibri" w:cs="Calibri"/>
                <w:sz w:val="20"/>
                <w:szCs w:val="20"/>
              </w:rPr>
              <w:t>Gazette notices of new regulations.</w:t>
            </w:r>
          </w:p>
        </w:tc>
        <w:tc>
          <w:tcPr>
            <w:tcW w:w="2190" w:type="dxa"/>
            <w:gridSpan w:val="2"/>
          </w:tcPr>
          <w:p w14:paraId="6808F9B7" w14:textId="77777777" w:rsidR="00CF33D9" w:rsidRDefault="00E3332A">
            <w:pPr>
              <w:rPr>
                <w:rFonts w:ascii="Calibri" w:eastAsia="Calibri" w:hAnsi="Calibri" w:cs="Calibri"/>
                <w:sz w:val="20"/>
                <w:szCs w:val="20"/>
              </w:rPr>
            </w:pPr>
            <w:r>
              <w:rPr>
                <w:rFonts w:ascii="Calibri" w:eastAsia="Calibri" w:hAnsi="Calibri" w:cs="Calibri"/>
                <w:sz w:val="20"/>
                <w:szCs w:val="20"/>
                <w:u w:val="single"/>
              </w:rPr>
              <w:t>Risks</w:t>
            </w:r>
            <w:r>
              <w:rPr>
                <w:rFonts w:ascii="Calibri" w:eastAsia="Calibri" w:hAnsi="Calibri" w:cs="Calibri"/>
                <w:sz w:val="20"/>
                <w:szCs w:val="20"/>
              </w:rPr>
              <w:t>: Lack of relevant expertise in the countries. Inability to agree harmonised standards for extractive industries.</w:t>
            </w:r>
          </w:p>
          <w:p w14:paraId="6808F9B8" w14:textId="77777777" w:rsidR="00CF33D9" w:rsidRDefault="00E3332A">
            <w:pPr>
              <w:rPr>
                <w:rFonts w:ascii="Calibri" w:eastAsia="Calibri" w:hAnsi="Calibri" w:cs="Calibri"/>
                <w:sz w:val="20"/>
                <w:szCs w:val="20"/>
              </w:rPr>
            </w:pPr>
            <w:r>
              <w:rPr>
                <w:rFonts w:ascii="Calibri" w:eastAsia="Calibri" w:hAnsi="Calibri" w:cs="Calibri"/>
                <w:sz w:val="20"/>
                <w:szCs w:val="20"/>
                <w:u w:val="single"/>
              </w:rPr>
              <w:t>Assumptions</w:t>
            </w:r>
            <w:r>
              <w:rPr>
                <w:rFonts w:ascii="Calibri" w:eastAsia="Calibri" w:hAnsi="Calibri" w:cs="Calibri"/>
                <w:sz w:val="20"/>
                <w:szCs w:val="20"/>
              </w:rPr>
              <w:t xml:space="preserve">: </w:t>
            </w:r>
          </w:p>
          <w:p w14:paraId="6808F9B9" w14:textId="77777777" w:rsidR="00CF33D9" w:rsidRDefault="00E3332A">
            <w:pPr>
              <w:numPr>
                <w:ilvl w:val="0"/>
                <w:numId w:val="43"/>
              </w:numPr>
              <w:ind w:left="159" w:hanging="159"/>
              <w:rPr>
                <w:rFonts w:ascii="Calibri" w:eastAsia="Calibri" w:hAnsi="Calibri" w:cs="Calibri"/>
                <w:color w:val="000000"/>
                <w:sz w:val="20"/>
                <w:szCs w:val="20"/>
              </w:rPr>
            </w:pPr>
            <w:r>
              <w:rPr>
                <w:rFonts w:ascii="Calibri" w:eastAsia="Calibri" w:hAnsi="Calibri" w:cs="Calibri"/>
                <w:color w:val="000000"/>
                <w:sz w:val="20"/>
                <w:szCs w:val="20"/>
              </w:rPr>
              <w:t xml:space="preserve">Countries show willingness to draft new </w:t>
            </w:r>
            <w:r>
              <w:rPr>
                <w:rFonts w:ascii="Calibri" w:eastAsia="Calibri" w:hAnsi="Calibri" w:cs="Calibri"/>
                <w:sz w:val="20"/>
                <w:szCs w:val="20"/>
              </w:rPr>
              <w:t>regulations</w:t>
            </w:r>
            <w:r>
              <w:rPr>
                <w:rFonts w:ascii="Calibri" w:eastAsia="Calibri" w:hAnsi="Calibri" w:cs="Calibri"/>
                <w:color w:val="000000"/>
                <w:sz w:val="20"/>
                <w:szCs w:val="20"/>
              </w:rPr>
              <w:t xml:space="preserve"> and to adopt them.</w:t>
            </w:r>
          </w:p>
          <w:p w14:paraId="6808F9BA" w14:textId="77777777" w:rsidR="00CF33D9" w:rsidRDefault="00E3332A">
            <w:pPr>
              <w:numPr>
                <w:ilvl w:val="0"/>
                <w:numId w:val="43"/>
              </w:numPr>
              <w:ind w:left="159" w:hanging="159"/>
              <w:rPr>
                <w:rFonts w:ascii="Calibri" w:hAnsi="Calibri" w:cs="Calibri"/>
                <w:color w:val="000000"/>
                <w:sz w:val="20"/>
                <w:szCs w:val="20"/>
              </w:rPr>
            </w:pPr>
            <w:r>
              <w:rPr>
                <w:rFonts w:ascii="Calibri" w:eastAsia="Calibri" w:hAnsi="Calibri" w:cs="Calibri"/>
                <w:color w:val="000000"/>
                <w:sz w:val="20"/>
                <w:szCs w:val="20"/>
              </w:rPr>
              <w:t xml:space="preserve">Countries accept the findings of previous studies undertaken by BCC including proposed </w:t>
            </w:r>
            <w:r>
              <w:rPr>
                <w:rFonts w:ascii="Calibri" w:eastAsia="Calibri" w:hAnsi="Calibri" w:cs="Calibri"/>
                <w:color w:val="000000"/>
                <w:sz w:val="20"/>
                <w:szCs w:val="20"/>
              </w:rPr>
              <w:lastRenderedPageBreak/>
              <w:t>environmental standards.</w:t>
            </w:r>
          </w:p>
        </w:tc>
      </w:tr>
      <w:tr w:rsidR="00CF33D9" w14:paraId="6808F9BF" w14:textId="77777777">
        <w:trPr>
          <w:trHeight w:val="659"/>
        </w:trPr>
        <w:tc>
          <w:tcPr>
            <w:tcW w:w="1819" w:type="dxa"/>
            <w:shd w:val="clear" w:color="auto" w:fill="auto"/>
          </w:tcPr>
          <w:p w14:paraId="6808F9BC" w14:textId="77777777" w:rsidR="00CF33D9" w:rsidRDefault="00E3332A">
            <w:pPr>
              <w:rPr>
                <w:rFonts w:ascii="Calibri" w:eastAsia="Calibri" w:hAnsi="Calibri" w:cs="Calibri"/>
                <w:b/>
                <w:sz w:val="20"/>
                <w:szCs w:val="20"/>
              </w:rPr>
            </w:pPr>
            <w:r>
              <w:rPr>
                <w:rFonts w:ascii="Calibri" w:eastAsia="Calibri" w:hAnsi="Calibri" w:cs="Calibri"/>
                <w:b/>
                <w:sz w:val="20"/>
                <w:szCs w:val="20"/>
              </w:rPr>
              <w:lastRenderedPageBreak/>
              <w:t>Outputs to achieve Outcome 1.4</w:t>
            </w:r>
          </w:p>
        </w:tc>
        <w:tc>
          <w:tcPr>
            <w:tcW w:w="12576" w:type="dxa"/>
            <w:gridSpan w:val="10"/>
          </w:tcPr>
          <w:p w14:paraId="6808F9BD" w14:textId="77777777" w:rsidR="00CF33D9" w:rsidRDefault="00E3332A">
            <w:pPr>
              <w:rPr>
                <w:rFonts w:ascii="Calibri" w:hAnsi="Calibri" w:cs="Calibri"/>
                <w:color w:val="000000"/>
                <w:sz w:val="20"/>
                <w:szCs w:val="20"/>
              </w:rPr>
            </w:pPr>
            <w:r>
              <w:rPr>
                <w:rFonts w:ascii="Calibri" w:eastAsia="Calibri" w:hAnsi="Calibri" w:cs="Calibri"/>
                <w:color w:val="000000"/>
                <w:sz w:val="20"/>
                <w:szCs w:val="20"/>
              </w:rPr>
              <w:t xml:space="preserve">1.4.1: Policy and legislative frameworks strengthened to </w:t>
            </w:r>
            <w:r>
              <w:rPr>
                <w:rFonts w:ascii="Calibri" w:eastAsia="Calibri" w:hAnsi="Calibri" w:cs="Calibri"/>
                <w:sz w:val="20"/>
                <w:szCs w:val="20"/>
              </w:rPr>
              <w:t>minimise</w:t>
            </w:r>
            <w:r>
              <w:rPr>
                <w:rFonts w:ascii="Calibri" w:eastAsia="Calibri" w:hAnsi="Calibri" w:cs="Calibri"/>
                <w:color w:val="000000"/>
                <w:sz w:val="20"/>
                <w:szCs w:val="20"/>
              </w:rPr>
              <w:t xml:space="preserve"> adverse impacts of extractive activities in the BCLME</w:t>
            </w:r>
          </w:p>
          <w:p w14:paraId="6808F9BE" w14:textId="77777777" w:rsidR="00CF33D9" w:rsidRDefault="00E3332A">
            <w:pPr>
              <w:rPr>
                <w:rFonts w:ascii="Calibri" w:hAnsi="Calibri" w:cs="Calibri"/>
                <w:color w:val="000000"/>
                <w:sz w:val="20"/>
                <w:szCs w:val="20"/>
              </w:rPr>
            </w:pPr>
            <w:r>
              <w:rPr>
                <w:rFonts w:ascii="Calibri" w:eastAsia="Calibri" w:hAnsi="Calibri" w:cs="Calibri"/>
                <w:color w:val="000000"/>
                <w:sz w:val="20"/>
                <w:szCs w:val="20"/>
              </w:rPr>
              <w:t>1.4.2: Capacity of government institutions, private sector actors and financial institutions involved in exploration/exploitation of non-living marine resources strengthened (with a gender-sensitive approach) for adoption of innovative environmentally friendly exploratory and extractive methods and technologies.</w:t>
            </w:r>
          </w:p>
        </w:tc>
      </w:tr>
      <w:tr w:rsidR="00CF33D9" w14:paraId="6808F9C2" w14:textId="77777777">
        <w:trPr>
          <w:trHeight w:val="568"/>
        </w:trPr>
        <w:tc>
          <w:tcPr>
            <w:tcW w:w="1819" w:type="dxa"/>
            <w:shd w:val="clear" w:color="auto" w:fill="E7E6E6"/>
          </w:tcPr>
          <w:p w14:paraId="6808F9C0" w14:textId="77777777" w:rsidR="00CF33D9" w:rsidRDefault="00E3332A">
            <w:pPr>
              <w:rPr>
                <w:rFonts w:ascii="Calibri" w:eastAsia="Calibri" w:hAnsi="Calibri" w:cs="Calibri"/>
                <w:b/>
                <w:i/>
                <w:sz w:val="20"/>
                <w:szCs w:val="20"/>
              </w:rPr>
            </w:pPr>
            <w:r>
              <w:rPr>
                <w:rFonts w:ascii="Calibri" w:eastAsia="Calibri" w:hAnsi="Calibri" w:cs="Calibri"/>
                <w:b/>
                <w:sz w:val="20"/>
                <w:szCs w:val="20"/>
              </w:rPr>
              <w:t xml:space="preserve">Project component 2 </w:t>
            </w:r>
          </w:p>
        </w:tc>
        <w:tc>
          <w:tcPr>
            <w:tcW w:w="12576" w:type="dxa"/>
            <w:gridSpan w:val="10"/>
            <w:shd w:val="clear" w:color="auto" w:fill="E7E6E6"/>
          </w:tcPr>
          <w:p w14:paraId="6808F9C1" w14:textId="77777777" w:rsidR="00CF33D9" w:rsidRDefault="00E3332A">
            <w:pPr>
              <w:rPr>
                <w:rFonts w:ascii="Calibri" w:eastAsia="Calibri" w:hAnsi="Calibri" w:cs="Calibri"/>
                <w:i/>
                <w:sz w:val="20"/>
                <w:szCs w:val="20"/>
                <w:highlight w:val="yellow"/>
              </w:rPr>
            </w:pPr>
            <w:r>
              <w:rPr>
                <w:rFonts w:ascii="Calibri" w:eastAsia="Calibri" w:hAnsi="Calibri" w:cs="Calibri"/>
                <w:b/>
                <w:color w:val="000000"/>
                <w:sz w:val="20"/>
                <w:szCs w:val="20"/>
              </w:rPr>
              <w:t>Enhance sustainable and climate resilient marine living resources and their value chains in the BCLME</w:t>
            </w:r>
          </w:p>
        </w:tc>
      </w:tr>
      <w:tr w:rsidR="00CF33D9" w14:paraId="6808F9D2" w14:textId="77777777">
        <w:trPr>
          <w:trHeight w:val="413"/>
        </w:trPr>
        <w:tc>
          <w:tcPr>
            <w:tcW w:w="1819" w:type="dxa"/>
            <w:vMerge w:val="restart"/>
            <w:shd w:val="clear" w:color="auto" w:fill="auto"/>
          </w:tcPr>
          <w:p w14:paraId="6808F9C3" w14:textId="77777777" w:rsidR="00CF33D9" w:rsidRDefault="00E3332A">
            <w:pPr>
              <w:rPr>
                <w:rFonts w:ascii="Calibri" w:eastAsia="Calibri" w:hAnsi="Calibri" w:cs="Calibri"/>
                <w:b/>
                <w:color w:val="000000"/>
                <w:sz w:val="20"/>
                <w:szCs w:val="20"/>
              </w:rPr>
            </w:pPr>
            <w:r>
              <w:rPr>
                <w:rFonts w:ascii="Calibri" w:eastAsia="Calibri" w:hAnsi="Calibri" w:cs="Calibri"/>
                <w:b/>
                <w:color w:val="000000"/>
                <w:sz w:val="20"/>
                <w:szCs w:val="20"/>
              </w:rPr>
              <w:t>Outcome 2.1: Climate resilient and sustainably managed fisheries and seafood</w:t>
            </w:r>
            <w:r>
              <w:rPr>
                <w:rFonts w:ascii="Calibri" w:eastAsia="Calibri" w:hAnsi="Calibri" w:cs="Calibri"/>
                <w:color w:val="000000"/>
                <w:sz w:val="20"/>
                <w:szCs w:val="20"/>
              </w:rPr>
              <w:t xml:space="preserve"> </w:t>
            </w:r>
          </w:p>
        </w:tc>
        <w:tc>
          <w:tcPr>
            <w:tcW w:w="1960" w:type="dxa"/>
            <w:gridSpan w:val="2"/>
          </w:tcPr>
          <w:p w14:paraId="6808F9C4" w14:textId="77777777" w:rsidR="00CF33D9" w:rsidRDefault="00E3332A">
            <w:pPr>
              <w:rPr>
                <w:rFonts w:ascii="Calibri" w:eastAsia="Calibri" w:hAnsi="Calibri" w:cs="Calibri"/>
                <w:sz w:val="20"/>
                <w:szCs w:val="20"/>
              </w:rPr>
            </w:pPr>
            <w:r>
              <w:rPr>
                <w:rFonts w:ascii="Calibri" w:eastAsia="Calibri" w:hAnsi="Calibri" w:cs="Calibri"/>
                <w:sz w:val="20"/>
                <w:szCs w:val="20"/>
              </w:rPr>
              <w:t xml:space="preserve">Indicator 13: </w:t>
            </w:r>
            <w:r>
              <w:rPr>
                <w:rFonts w:ascii="Calibri" w:eastAsia="Calibri" w:hAnsi="Calibri" w:cs="Calibri"/>
                <w:color w:val="000000"/>
                <w:sz w:val="20"/>
                <w:szCs w:val="20"/>
              </w:rPr>
              <w:t># of bilateral agreements for joint sustainable and climate resilient of transboundary fish stocks implemented</w:t>
            </w:r>
          </w:p>
        </w:tc>
        <w:tc>
          <w:tcPr>
            <w:tcW w:w="1694" w:type="dxa"/>
          </w:tcPr>
          <w:p w14:paraId="6808F9C5" w14:textId="77777777" w:rsidR="00CF33D9" w:rsidRDefault="00E3332A">
            <w:pPr>
              <w:rPr>
                <w:rFonts w:ascii="Calibri" w:eastAsia="Calibri" w:hAnsi="Calibri" w:cs="Calibri"/>
                <w:sz w:val="20"/>
                <w:szCs w:val="20"/>
              </w:rPr>
            </w:pPr>
            <w:r>
              <w:rPr>
                <w:rFonts w:ascii="Calibri" w:eastAsia="Calibri" w:hAnsi="Calibri" w:cs="Calibri"/>
                <w:sz w:val="20"/>
                <w:szCs w:val="20"/>
              </w:rPr>
              <w:t>Records of public consultation for draft bilateral agreements on joint transboundary fish stocks.</w:t>
            </w:r>
          </w:p>
          <w:p w14:paraId="6808F9C6" w14:textId="77777777" w:rsidR="00CF33D9" w:rsidRDefault="00CF33D9">
            <w:pPr>
              <w:rPr>
                <w:rFonts w:ascii="Calibri" w:eastAsia="Calibri" w:hAnsi="Calibri" w:cs="Calibri"/>
                <w:sz w:val="20"/>
                <w:szCs w:val="20"/>
              </w:rPr>
            </w:pPr>
          </w:p>
          <w:p w14:paraId="6808F9C7" w14:textId="77777777" w:rsidR="00CF33D9" w:rsidRDefault="00E3332A">
            <w:pPr>
              <w:rPr>
                <w:rFonts w:ascii="Calibri" w:eastAsia="Calibri" w:hAnsi="Calibri" w:cs="Calibri"/>
                <w:sz w:val="20"/>
                <w:szCs w:val="20"/>
              </w:rPr>
            </w:pPr>
            <w:r>
              <w:rPr>
                <w:rFonts w:ascii="Calibri" w:eastAsia="Calibri" w:hAnsi="Calibri" w:cs="Calibri"/>
                <w:sz w:val="20"/>
                <w:szCs w:val="20"/>
              </w:rPr>
              <w:t>Agreement upon harmonised and standardised data collection protocols  for fisheries assessments are the bases for generating the transboundary fish  stock bilateral agreement</w:t>
            </w:r>
          </w:p>
        </w:tc>
        <w:tc>
          <w:tcPr>
            <w:tcW w:w="1694" w:type="dxa"/>
          </w:tcPr>
          <w:p w14:paraId="6808F9C8" w14:textId="77777777" w:rsidR="00CF33D9" w:rsidRDefault="00E3332A">
            <w:pPr>
              <w:jc w:val="center"/>
              <w:rPr>
                <w:rFonts w:ascii="Calibri" w:eastAsia="Calibri" w:hAnsi="Calibri" w:cs="Calibri"/>
                <w:sz w:val="20"/>
                <w:szCs w:val="20"/>
              </w:rPr>
            </w:pPr>
            <w:r>
              <w:rPr>
                <w:rFonts w:ascii="Calibri" w:eastAsia="Calibri" w:hAnsi="Calibri" w:cs="Calibri"/>
                <w:sz w:val="20"/>
                <w:szCs w:val="20"/>
              </w:rPr>
              <w:t>0</w:t>
            </w:r>
          </w:p>
        </w:tc>
        <w:tc>
          <w:tcPr>
            <w:tcW w:w="1826" w:type="dxa"/>
          </w:tcPr>
          <w:p w14:paraId="6808F9C9" w14:textId="77777777" w:rsidR="00CF33D9" w:rsidRDefault="00E3332A">
            <w:pPr>
              <w:rPr>
                <w:rFonts w:ascii="Calibri" w:eastAsia="Calibri" w:hAnsi="Calibri" w:cs="Calibri"/>
                <w:sz w:val="20"/>
                <w:szCs w:val="20"/>
              </w:rPr>
            </w:pPr>
            <w:r>
              <w:rPr>
                <w:rFonts w:ascii="Calibri" w:eastAsia="Calibri" w:hAnsi="Calibri" w:cs="Calibri"/>
                <w:sz w:val="20"/>
                <w:szCs w:val="20"/>
              </w:rPr>
              <w:t>3 designed Bilateral agreements for joint sustainable and climate resilient transboundary stocks.</w:t>
            </w:r>
          </w:p>
        </w:tc>
        <w:tc>
          <w:tcPr>
            <w:tcW w:w="1694" w:type="dxa"/>
          </w:tcPr>
          <w:p w14:paraId="6808F9CA" w14:textId="77777777" w:rsidR="00CF33D9" w:rsidRDefault="00E3332A">
            <w:pPr>
              <w:rPr>
                <w:rFonts w:ascii="Calibri" w:eastAsia="Calibri" w:hAnsi="Calibri" w:cs="Calibri"/>
                <w:sz w:val="20"/>
                <w:szCs w:val="20"/>
              </w:rPr>
            </w:pPr>
            <w:r>
              <w:rPr>
                <w:rFonts w:ascii="Calibri" w:eastAsia="Calibri" w:hAnsi="Calibri" w:cs="Calibri"/>
                <w:sz w:val="20"/>
                <w:szCs w:val="20"/>
              </w:rPr>
              <w:t xml:space="preserve">6 implemented Bilateral agreements </w:t>
            </w:r>
          </w:p>
        </w:tc>
        <w:tc>
          <w:tcPr>
            <w:tcW w:w="1518" w:type="dxa"/>
            <w:gridSpan w:val="2"/>
          </w:tcPr>
          <w:p w14:paraId="6808F9CB" w14:textId="77777777" w:rsidR="00CF33D9" w:rsidRDefault="00E3332A">
            <w:pPr>
              <w:rPr>
                <w:rFonts w:ascii="Calibri" w:eastAsia="Calibri" w:hAnsi="Calibri" w:cs="Calibri"/>
                <w:sz w:val="20"/>
                <w:szCs w:val="20"/>
                <w:highlight w:val="yellow"/>
              </w:rPr>
            </w:pPr>
            <w:r>
              <w:rPr>
                <w:rFonts w:ascii="Calibri" w:eastAsia="Calibri" w:hAnsi="Calibri" w:cs="Calibri"/>
                <w:sz w:val="20"/>
                <w:szCs w:val="20"/>
              </w:rPr>
              <w:t>Gazette notices of new regulations.</w:t>
            </w:r>
          </w:p>
        </w:tc>
        <w:tc>
          <w:tcPr>
            <w:tcW w:w="2190" w:type="dxa"/>
            <w:gridSpan w:val="2"/>
          </w:tcPr>
          <w:p w14:paraId="6808F9CC" w14:textId="77777777" w:rsidR="00CF33D9" w:rsidRDefault="00E3332A">
            <w:pPr>
              <w:ind w:left="-40"/>
              <w:jc w:val="both"/>
              <w:rPr>
                <w:rFonts w:ascii="Calibri" w:eastAsia="Calibri" w:hAnsi="Calibri" w:cs="Calibri"/>
                <w:sz w:val="20"/>
                <w:szCs w:val="20"/>
                <w:u w:val="single"/>
              </w:rPr>
            </w:pPr>
            <w:r>
              <w:rPr>
                <w:rFonts w:ascii="Calibri" w:eastAsia="Calibri" w:hAnsi="Calibri" w:cs="Calibri"/>
                <w:sz w:val="20"/>
                <w:szCs w:val="20"/>
                <w:u w:val="single"/>
              </w:rPr>
              <w:t>Risks:</w:t>
            </w:r>
          </w:p>
          <w:p w14:paraId="6808F9CD" w14:textId="77777777" w:rsidR="00CF33D9" w:rsidRDefault="00E3332A">
            <w:pPr>
              <w:numPr>
                <w:ilvl w:val="0"/>
                <w:numId w:val="40"/>
              </w:numPr>
              <w:ind w:left="127" w:hanging="167"/>
              <w:rPr>
                <w:rFonts w:ascii="Calibri" w:eastAsia="Calibri" w:hAnsi="Calibri" w:cs="Calibri"/>
                <w:color w:val="000000"/>
                <w:sz w:val="20"/>
                <w:szCs w:val="20"/>
              </w:rPr>
            </w:pPr>
            <w:r>
              <w:rPr>
                <w:rFonts w:ascii="Calibri" w:eastAsia="Calibri" w:hAnsi="Calibri" w:cs="Calibri"/>
                <w:color w:val="000000"/>
                <w:sz w:val="20"/>
                <w:szCs w:val="20"/>
              </w:rPr>
              <w:t xml:space="preserve">Lack of capacity </w:t>
            </w:r>
            <w:r>
              <w:rPr>
                <w:rFonts w:ascii="Calibri" w:eastAsia="Calibri" w:hAnsi="Calibri" w:cs="Calibri"/>
                <w:sz w:val="20"/>
                <w:szCs w:val="20"/>
              </w:rPr>
              <w:t>at the country</w:t>
            </w:r>
            <w:r>
              <w:rPr>
                <w:rFonts w:ascii="Calibri" w:eastAsia="Calibri" w:hAnsi="Calibri" w:cs="Calibri"/>
                <w:color w:val="000000"/>
                <w:sz w:val="20"/>
                <w:szCs w:val="20"/>
              </w:rPr>
              <w:t xml:space="preserve"> level to implement the agreement.</w:t>
            </w:r>
          </w:p>
          <w:p w14:paraId="6808F9CE" w14:textId="77777777" w:rsidR="00CF33D9" w:rsidRDefault="00E3332A">
            <w:pPr>
              <w:numPr>
                <w:ilvl w:val="0"/>
                <w:numId w:val="40"/>
              </w:numPr>
              <w:ind w:left="127" w:hanging="167"/>
              <w:rPr>
                <w:rFonts w:ascii="Calibri" w:eastAsia="Calibri" w:hAnsi="Calibri" w:cs="Calibri"/>
                <w:color w:val="000000"/>
                <w:sz w:val="20"/>
                <w:szCs w:val="20"/>
              </w:rPr>
            </w:pPr>
            <w:r>
              <w:rPr>
                <w:rFonts w:ascii="Calibri" w:eastAsia="Calibri" w:hAnsi="Calibri" w:cs="Calibri"/>
                <w:color w:val="000000"/>
                <w:sz w:val="20"/>
                <w:szCs w:val="20"/>
              </w:rPr>
              <w:t>Limited resources to implement the bilateral agreements.</w:t>
            </w:r>
          </w:p>
          <w:p w14:paraId="6808F9CF" w14:textId="77777777" w:rsidR="00CF33D9" w:rsidRDefault="00E3332A">
            <w:pPr>
              <w:ind w:left="-40"/>
              <w:rPr>
                <w:rFonts w:ascii="Calibri" w:eastAsia="Calibri" w:hAnsi="Calibri" w:cs="Calibri"/>
                <w:sz w:val="20"/>
                <w:szCs w:val="20"/>
                <w:u w:val="single"/>
              </w:rPr>
            </w:pPr>
            <w:r>
              <w:rPr>
                <w:rFonts w:ascii="Calibri" w:eastAsia="Calibri" w:hAnsi="Calibri" w:cs="Calibri"/>
                <w:sz w:val="20"/>
                <w:szCs w:val="20"/>
                <w:u w:val="single"/>
              </w:rPr>
              <w:t>Assumptions:</w:t>
            </w:r>
          </w:p>
          <w:p w14:paraId="6808F9D0" w14:textId="77777777" w:rsidR="00CF33D9" w:rsidRDefault="00E3332A">
            <w:pPr>
              <w:numPr>
                <w:ilvl w:val="0"/>
                <w:numId w:val="40"/>
              </w:numPr>
              <w:ind w:left="127" w:hanging="167"/>
              <w:rPr>
                <w:rFonts w:ascii="Calibri" w:eastAsia="Calibri" w:hAnsi="Calibri" w:cs="Calibri"/>
                <w:color w:val="000000"/>
                <w:sz w:val="20"/>
                <w:szCs w:val="20"/>
              </w:rPr>
            </w:pPr>
            <w:r>
              <w:rPr>
                <w:rFonts w:ascii="Calibri" w:eastAsia="Calibri" w:hAnsi="Calibri" w:cs="Calibri"/>
                <w:color w:val="000000"/>
                <w:sz w:val="20"/>
                <w:szCs w:val="20"/>
              </w:rPr>
              <w:t>Each country is able to monitor and track their fish stocks consumption/extraction.</w:t>
            </w:r>
          </w:p>
          <w:p w14:paraId="6808F9D1" w14:textId="77777777" w:rsidR="00CF33D9" w:rsidRDefault="00E3332A">
            <w:pPr>
              <w:numPr>
                <w:ilvl w:val="0"/>
                <w:numId w:val="40"/>
              </w:numPr>
              <w:ind w:left="127" w:hanging="167"/>
              <w:rPr>
                <w:rFonts w:ascii="Calibri" w:eastAsia="Calibri" w:hAnsi="Calibri" w:cs="Calibri"/>
                <w:color w:val="000000"/>
                <w:sz w:val="20"/>
                <w:szCs w:val="20"/>
              </w:rPr>
            </w:pPr>
            <w:r>
              <w:rPr>
                <w:rFonts w:ascii="Calibri" w:eastAsia="Calibri" w:hAnsi="Calibri" w:cs="Calibri"/>
                <w:color w:val="000000"/>
                <w:sz w:val="20"/>
                <w:szCs w:val="20"/>
              </w:rPr>
              <w:t xml:space="preserve">Existing country legislation supports the transboundary fish stock control and have the means to carry the control required. </w:t>
            </w:r>
          </w:p>
        </w:tc>
      </w:tr>
      <w:tr w:rsidR="00CF33D9" w14:paraId="6808F9E0" w14:textId="77777777">
        <w:trPr>
          <w:trHeight w:val="642"/>
        </w:trPr>
        <w:tc>
          <w:tcPr>
            <w:tcW w:w="1819" w:type="dxa"/>
            <w:vMerge/>
            <w:shd w:val="clear" w:color="auto" w:fill="auto"/>
          </w:tcPr>
          <w:p w14:paraId="6808F9D3" w14:textId="77777777" w:rsidR="00CF33D9" w:rsidRDefault="00CF33D9">
            <w:pPr>
              <w:widowControl w:val="0"/>
              <w:spacing w:line="276" w:lineRule="auto"/>
              <w:rPr>
                <w:rFonts w:ascii="Calibri" w:eastAsia="Calibri" w:hAnsi="Calibri" w:cs="Calibri"/>
                <w:color w:val="000000"/>
                <w:sz w:val="20"/>
                <w:szCs w:val="20"/>
                <w:highlight w:val="yellow"/>
              </w:rPr>
            </w:pPr>
          </w:p>
        </w:tc>
        <w:tc>
          <w:tcPr>
            <w:tcW w:w="1960" w:type="dxa"/>
            <w:gridSpan w:val="2"/>
          </w:tcPr>
          <w:p w14:paraId="6808F9D4" w14:textId="77777777" w:rsidR="00CF33D9" w:rsidRDefault="00E3332A">
            <w:pPr>
              <w:rPr>
                <w:rFonts w:ascii="Calibri" w:eastAsia="Calibri" w:hAnsi="Calibri" w:cs="Calibri"/>
                <w:sz w:val="20"/>
                <w:szCs w:val="20"/>
              </w:rPr>
            </w:pPr>
            <w:r>
              <w:rPr>
                <w:rFonts w:ascii="Calibri" w:eastAsia="Calibri" w:hAnsi="Calibri" w:cs="Calibri"/>
                <w:sz w:val="20"/>
                <w:szCs w:val="20"/>
              </w:rPr>
              <w:t xml:space="preserve">Indicator 14: </w:t>
            </w:r>
            <w:r>
              <w:rPr>
                <w:rFonts w:ascii="Calibri" w:eastAsia="Calibri" w:hAnsi="Calibri" w:cs="Calibri"/>
                <w:color w:val="000000"/>
                <w:sz w:val="20"/>
                <w:szCs w:val="20"/>
              </w:rPr>
              <w:t># of sustainable and climate resilient mariculture opportunities developed</w:t>
            </w:r>
          </w:p>
        </w:tc>
        <w:tc>
          <w:tcPr>
            <w:tcW w:w="1694" w:type="dxa"/>
          </w:tcPr>
          <w:p w14:paraId="6808F9D5" w14:textId="77777777" w:rsidR="00CF33D9" w:rsidRDefault="00E3332A">
            <w:pPr>
              <w:rPr>
                <w:rFonts w:ascii="Calibri" w:eastAsia="Calibri" w:hAnsi="Calibri" w:cs="Calibri"/>
                <w:sz w:val="20"/>
                <w:szCs w:val="20"/>
              </w:rPr>
            </w:pPr>
            <w:r>
              <w:rPr>
                <w:rFonts w:ascii="Calibri" w:eastAsia="Calibri" w:hAnsi="Calibri" w:cs="Calibri"/>
                <w:sz w:val="20"/>
                <w:szCs w:val="20"/>
              </w:rPr>
              <w:t>Report on the developed mariculture opportunities</w:t>
            </w:r>
          </w:p>
        </w:tc>
        <w:tc>
          <w:tcPr>
            <w:tcW w:w="1694" w:type="dxa"/>
          </w:tcPr>
          <w:p w14:paraId="6808F9D6" w14:textId="77777777" w:rsidR="00CF33D9" w:rsidRDefault="00E3332A">
            <w:pPr>
              <w:jc w:val="center"/>
              <w:rPr>
                <w:rFonts w:ascii="Calibri" w:eastAsia="Calibri" w:hAnsi="Calibri" w:cs="Calibri"/>
                <w:sz w:val="20"/>
                <w:szCs w:val="20"/>
              </w:rPr>
            </w:pPr>
            <w:r>
              <w:rPr>
                <w:rFonts w:ascii="Calibri" w:eastAsia="Calibri" w:hAnsi="Calibri" w:cs="Calibri"/>
                <w:sz w:val="20"/>
                <w:szCs w:val="20"/>
              </w:rPr>
              <w:t>0</w:t>
            </w:r>
          </w:p>
        </w:tc>
        <w:tc>
          <w:tcPr>
            <w:tcW w:w="1826" w:type="dxa"/>
          </w:tcPr>
          <w:p w14:paraId="6808F9D7" w14:textId="77777777" w:rsidR="00CF33D9" w:rsidRDefault="00E3332A">
            <w:pPr>
              <w:jc w:val="center"/>
              <w:rPr>
                <w:rFonts w:ascii="Calibri" w:eastAsia="Calibri" w:hAnsi="Calibri" w:cs="Calibri"/>
                <w:sz w:val="20"/>
                <w:szCs w:val="20"/>
              </w:rPr>
            </w:pPr>
            <w:r>
              <w:rPr>
                <w:rFonts w:ascii="Calibri" w:eastAsia="Calibri" w:hAnsi="Calibri" w:cs="Calibri"/>
                <w:sz w:val="20"/>
                <w:szCs w:val="20"/>
              </w:rPr>
              <w:t>0</w:t>
            </w:r>
          </w:p>
        </w:tc>
        <w:tc>
          <w:tcPr>
            <w:tcW w:w="1694" w:type="dxa"/>
          </w:tcPr>
          <w:p w14:paraId="6808F9D8" w14:textId="77777777" w:rsidR="00CF33D9" w:rsidRDefault="00E3332A">
            <w:pPr>
              <w:rPr>
                <w:rFonts w:ascii="Calibri" w:eastAsia="Calibri" w:hAnsi="Calibri" w:cs="Calibri"/>
                <w:sz w:val="20"/>
                <w:szCs w:val="20"/>
              </w:rPr>
            </w:pPr>
            <w:r>
              <w:rPr>
                <w:rFonts w:ascii="Calibri" w:eastAsia="Calibri" w:hAnsi="Calibri" w:cs="Calibri"/>
                <w:sz w:val="20"/>
                <w:szCs w:val="20"/>
              </w:rPr>
              <w:t>At least 1 mariculture opportunity adopted by selected MPA.</w:t>
            </w:r>
          </w:p>
        </w:tc>
        <w:tc>
          <w:tcPr>
            <w:tcW w:w="1518" w:type="dxa"/>
            <w:gridSpan w:val="2"/>
          </w:tcPr>
          <w:p w14:paraId="6808F9D9" w14:textId="77777777" w:rsidR="00CF33D9" w:rsidRDefault="00E3332A">
            <w:pPr>
              <w:rPr>
                <w:rFonts w:ascii="Calibri" w:eastAsia="Calibri" w:hAnsi="Calibri" w:cs="Calibri"/>
                <w:sz w:val="20"/>
                <w:szCs w:val="20"/>
                <w:highlight w:val="yellow"/>
              </w:rPr>
            </w:pPr>
            <w:r>
              <w:rPr>
                <w:rFonts w:ascii="Calibri" w:eastAsia="Calibri" w:hAnsi="Calibri" w:cs="Calibri"/>
                <w:sz w:val="20"/>
                <w:szCs w:val="20"/>
              </w:rPr>
              <w:t>Reports and dissemination on the successful mariculture industry in each MPA.</w:t>
            </w:r>
          </w:p>
        </w:tc>
        <w:tc>
          <w:tcPr>
            <w:tcW w:w="2190" w:type="dxa"/>
            <w:gridSpan w:val="2"/>
          </w:tcPr>
          <w:p w14:paraId="6808F9DA" w14:textId="77777777" w:rsidR="00CF33D9" w:rsidRDefault="00E3332A">
            <w:pPr>
              <w:ind w:left="-40"/>
              <w:jc w:val="both"/>
              <w:rPr>
                <w:rFonts w:ascii="Calibri" w:eastAsia="Calibri" w:hAnsi="Calibri" w:cs="Calibri"/>
                <w:sz w:val="20"/>
                <w:szCs w:val="20"/>
                <w:u w:val="single"/>
              </w:rPr>
            </w:pPr>
            <w:r>
              <w:rPr>
                <w:rFonts w:ascii="Calibri" w:eastAsia="Calibri" w:hAnsi="Calibri" w:cs="Calibri"/>
                <w:sz w:val="20"/>
                <w:szCs w:val="20"/>
                <w:u w:val="single"/>
              </w:rPr>
              <w:t>Risks:</w:t>
            </w:r>
          </w:p>
          <w:p w14:paraId="6808F9DB" w14:textId="77777777" w:rsidR="00CF33D9" w:rsidRDefault="00E3332A">
            <w:pPr>
              <w:numPr>
                <w:ilvl w:val="0"/>
                <w:numId w:val="40"/>
              </w:numPr>
              <w:ind w:left="127" w:hanging="167"/>
              <w:rPr>
                <w:rFonts w:ascii="Calibri" w:eastAsia="Calibri" w:hAnsi="Calibri" w:cs="Calibri"/>
                <w:color w:val="000000"/>
                <w:sz w:val="20"/>
                <w:szCs w:val="20"/>
              </w:rPr>
            </w:pPr>
            <w:r>
              <w:rPr>
                <w:rFonts w:ascii="Calibri" w:eastAsia="Calibri" w:hAnsi="Calibri" w:cs="Calibri"/>
                <w:color w:val="000000"/>
                <w:sz w:val="20"/>
                <w:szCs w:val="20"/>
              </w:rPr>
              <w:t>Vulnerability of food production systems and communities can present a barrier to their implementation and sustainability.</w:t>
            </w:r>
          </w:p>
          <w:p w14:paraId="6808F9DC" w14:textId="77777777" w:rsidR="00CF33D9" w:rsidRDefault="00E3332A">
            <w:pPr>
              <w:numPr>
                <w:ilvl w:val="0"/>
                <w:numId w:val="40"/>
              </w:numPr>
              <w:ind w:left="127" w:hanging="167"/>
              <w:rPr>
                <w:rFonts w:ascii="Calibri" w:eastAsia="Calibri" w:hAnsi="Calibri" w:cs="Calibri"/>
                <w:color w:val="000000"/>
                <w:sz w:val="20"/>
                <w:szCs w:val="20"/>
              </w:rPr>
            </w:pPr>
            <w:r>
              <w:rPr>
                <w:rFonts w:ascii="Calibri" w:eastAsia="Calibri" w:hAnsi="Calibri" w:cs="Calibri"/>
                <w:color w:val="000000"/>
                <w:sz w:val="20"/>
                <w:szCs w:val="20"/>
              </w:rPr>
              <w:t xml:space="preserve">Lack of technical and financial capacity to sustainably embrace mariculture due to  demand </w:t>
            </w:r>
            <w:r>
              <w:rPr>
                <w:rFonts w:ascii="Calibri" w:eastAsia="Calibri" w:hAnsi="Calibri" w:cs="Calibri"/>
                <w:sz w:val="20"/>
                <w:szCs w:val="20"/>
              </w:rPr>
              <w:t>for additional</w:t>
            </w:r>
            <w:r>
              <w:rPr>
                <w:rFonts w:ascii="Calibri" w:eastAsia="Calibri" w:hAnsi="Calibri" w:cs="Calibri"/>
                <w:color w:val="000000"/>
                <w:sz w:val="20"/>
                <w:szCs w:val="20"/>
              </w:rPr>
              <w:t xml:space="preserve"> </w:t>
            </w:r>
            <w:r>
              <w:rPr>
                <w:rFonts w:ascii="Calibri" w:eastAsia="Calibri" w:hAnsi="Calibri" w:cs="Calibri"/>
                <w:color w:val="000000"/>
                <w:sz w:val="20"/>
                <w:szCs w:val="20"/>
              </w:rPr>
              <w:lastRenderedPageBreak/>
              <w:t>resources not readily available, or required industry to move or expand.</w:t>
            </w:r>
          </w:p>
          <w:p w14:paraId="6808F9DD" w14:textId="77777777" w:rsidR="00CF33D9" w:rsidRDefault="00E3332A">
            <w:pPr>
              <w:ind w:left="-40"/>
              <w:jc w:val="both"/>
              <w:rPr>
                <w:rFonts w:ascii="Calibri" w:eastAsia="Calibri" w:hAnsi="Calibri" w:cs="Calibri"/>
                <w:sz w:val="20"/>
                <w:szCs w:val="20"/>
                <w:u w:val="single"/>
              </w:rPr>
            </w:pPr>
            <w:r>
              <w:rPr>
                <w:rFonts w:ascii="Calibri" w:eastAsia="Calibri" w:hAnsi="Calibri" w:cs="Calibri"/>
                <w:sz w:val="20"/>
                <w:szCs w:val="20"/>
                <w:u w:val="single"/>
              </w:rPr>
              <w:t>Assumptions:</w:t>
            </w:r>
          </w:p>
          <w:p w14:paraId="6808F9DE" w14:textId="77777777" w:rsidR="00CF33D9" w:rsidRDefault="00E3332A">
            <w:pPr>
              <w:numPr>
                <w:ilvl w:val="0"/>
                <w:numId w:val="40"/>
              </w:numPr>
              <w:ind w:left="127" w:hanging="167"/>
              <w:rPr>
                <w:rFonts w:ascii="Calibri" w:eastAsia="Calibri" w:hAnsi="Calibri" w:cs="Calibri"/>
                <w:color w:val="000000"/>
                <w:sz w:val="20"/>
                <w:szCs w:val="20"/>
              </w:rPr>
            </w:pPr>
            <w:r>
              <w:rPr>
                <w:rFonts w:ascii="Calibri" w:eastAsia="Calibri" w:hAnsi="Calibri" w:cs="Calibri"/>
                <w:color w:val="000000"/>
                <w:sz w:val="20"/>
                <w:szCs w:val="20"/>
              </w:rPr>
              <w:t>The mariculture opportunities are aligned with the socio-cultural communities.</w:t>
            </w:r>
          </w:p>
          <w:p w14:paraId="6808F9DF" w14:textId="77777777" w:rsidR="00CF33D9" w:rsidRDefault="00E3332A">
            <w:pPr>
              <w:numPr>
                <w:ilvl w:val="0"/>
                <w:numId w:val="40"/>
              </w:numPr>
              <w:ind w:left="127" w:hanging="167"/>
              <w:rPr>
                <w:rFonts w:ascii="Calibri" w:eastAsia="Calibri" w:hAnsi="Calibri" w:cs="Calibri"/>
                <w:color w:val="000000"/>
                <w:sz w:val="20"/>
                <w:szCs w:val="20"/>
              </w:rPr>
            </w:pPr>
            <w:r>
              <w:rPr>
                <w:rFonts w:ascii="Calibri" w:eastAsia="Calibri" w:hAnsi="Calibri" w:cs="Calibri"/>
                <w:color w:val="000000"/>
                <w:sz w:val="20"/>
                <w:szCs w:val="20"/>
              </w:rPr>
              <w:t>Diversification of mariculture according to the natural resources available</w:t>
            </w:r>
          </w:p>
        </w:tc>
      </w:tr>
      <w:tr w:rsidR="00CF33D9" w14:paraId="6808F9E5" w14:textId="77777777">
        <w:trPr>
          <w:trHeight w:val="274"/>
        </w:trPr>
        <w:tc>
          <w:tcPr>
            <w:tcW w:w="1819" w:type="dxa"/>
            <w:shd w:val="clear" w:color="auto" w:fill="auto"/>
          </w:tcPr>
          <w:p w14:paraId="6808F9E1" w14:textId="77777777" w:rsidR="00CF33D9" w:rsidRDefault="00E3332A">
            <w:pPr>
              <w:rPr>
                <w:rFonts w:ascii="Calibri" w:eastAsia="Calibri" w:hAnsi="Calibri" w:cs="Calibri"/>
                <w:b/>
                <w:sz w:val="20"/>
                <w:szCs w:val="20"/>
              </w:rPr>
            </w:pPr>
            <w:r>
              <w:rPr>
                <w:rFonts w:ascii="Calibri" w:eastAsia="Calibri" w:hAnsi="Calibri" w:cs="Calibri"/>
                <w:b/>
                <w:sz w:val="20"/>
                <w:szCs w:val="20"/>
              </w:rPr>
              <w:lastRenderedPageBreak/>
              <w:t>Outputs to achieve Outcome 2.1</w:t>
            </w:r>
          </w:p>
        </w:tc>
        <w:tc>
          <w:tcPr>
            <w:tcW w:w="12576" w:type="dxa"/>
            <w:gridSpan w:val="10"/>
          </w:tcPr>
          <w:p w14:paraId="6808F9E2"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t>2.1.1: Bilateral agreements for joint sustainable and climate resilient management of transboundary fish stocks (Cape horse mackerel, Cape hakes) developed and implemented to curb IUU fishing</w:t>
            </w:r>
          </w:p>
          <w:p w14:paraId="6808F9E3" w14:textId="77777777" w:rsidR="00CF33D9" w:rsidRDefault="00E3332A">
            <w:pPr>
              <w:rPr>
                <w:rFonts w:ascii="Calibri" w:hAnsi="Calibri" w:cs="Calibri"/>
                <w:color w:val="000000"/>
                <w:sz w:val="20"/>
                <w:szCs w:val="20"/>
              </w:rPr>
            </w:pPr>
            <w:r>
              <w:rPr>
                <w:rFonts w:ascii="Calibri" w:eastAsia="Calibri" w:hAnsi="Calibri" w:cs="Calibri"/>
                <w:color w:val="000000"/>
                <w:sz w:val="20"/>
                <w:szCs w:val="20"/>
              </w:rPr>
              <w:t>2.1.2: Sustainable and climate resilient mariculture opportunities and exploitation of other living marine resources at national levels identifies and plans for development and scaling up developed</w:t>
            </w:r>
          </w:p>
          <w:p w14:paraId="6808F9E4" w14:textId="77777777" w:rsidR="00CF33D9" w:rsidRDefault="00E3332A">
            <w:pPr>
              <w:rPr>
                <w:rFonts w:ascii="Calibri" w:eastAsia="Calibri" w:hAnsi="Calibri" w:cs="Calibri"/>
                <w:i/>
                <w:sz w:val="20"/>
                <w:szCs w:val="20"/>
                <w:highlight w:val="yellow"/>
              </w:rPr>
            </w:pPr>
            <w:r>
              <w:rPr>
                <w:rFonts w:ascii="Calibri" w:eastAsia="Calibri" w:hAnsi="Calibri" w:cs="Calibri"/>
                <w:color w:val="000000"/>
                <w:sz w:val="20"/>
                <w:szCs w:val="20"/>
              </w:rPr>
              <w:t>2.1.3: Third-party sustainability and climate resilience certifications for fish and seafood products undertaken</w:t>
            </w:r>
          </w:p>
        </w:tc>
      </w:tr>
      <w:tr w:rsidR="00CF33D9" w14:paraId="6808F9F3" w14:textId="77777777">
        <w:trPr>
          <w:trHeight w:val="440"/>
        </w:trPr>
        <w:tc>
          <w:tcPr>
            <w:tcW w:w="1819" w:type="dxa"/>
            <w:vMerge w:val="restart"/>
            <w:shd w:val="clear" w:color="auto" w:fill="auto"/>
          </w:tcPr>
          <w:p w14:paraId="6808F9E6" w14:textId="77777777" w:rsidR="00CF33D9" w:rsidRDefault="00E3332A">
            <w:pPr>
              <w:rPr>
                <w:rFonts w:ascii="Calibri" w:eastAsia="Calibri" w:hAnsi="Calibri" w:cs="Calibri"/>
                <w:b/>
                <w:sz w:val="20"/>
                <w:szCs w:val="20"/>
              </w:rPr>
            </w:pPr>
            <w:r>
              <w:rPr>
                <w:rFonts w:ascii="Calibri" w:eastAsia="Calibri" w:hAnsi="Calibri" w:cs="Calibri"/>
                <w:b/>
                <w:sz w:val="20"/>
                <w:szCs w:val="20"/>
              </w:rPr>
              <w:t xml:space="preserve">Outcome 2.2: </w:t>
            </w:r>
            <w:r>
              <w:rPr>
                <w:rFonts w:ascii="Calibri" w:eastAsia="Calibri" w:hAnsi="Calibri" w:cs="Calibri"/>
                <w:b/>
                <w:color w:val="000000"/>
                <w:sz w:val="20"/>
                <w:szCs w:val="20"/>
              </w:rPr>
              <w:t>Market growth and diversification for BCLME sustainable and climate resilient marine commodities in domestic and international markets and improved socio-economic conditions of fishing communities</w:t>
            </w:r>
          </w:p>
        </w:tc>
        <w:tc>
          <w:tcPr>
            <w:tcW w:w="1960" w:type="dxa"/>
            <w:gridSpan w:val="2"/>
          </w:tcPr>
          <w:p w14:paraId="6808F9E7" w14:textId="77777777" w:rsidR="00CF33D9" w:rsidRDefault="00E3332A">
            <w:pPr>
              <w:rPr>
                <w:rFonts w:ascii="Calibri" w:eastAsia="Calibri" w:hAnsi="Calibri" w:cs="Calibri"/>
                <w:sz w:val="20"/>
                <w:szCs w:val="20"/>
              </w:rPr>
            </w:pPr>
            <w:r>
              <w:rPr>
                <w:rFonts w:ascii="Calibri" w:eastAsia="Calibri" w:hAnsi="Calibri" w:cs="Calibri"/>
                <w:sz w:val="20"/>
                <w:szCs w:val="20"/>
              </w:rPr>
              <w:t xml:space="preserve">Indicator 15: </w:t>
            </w:r>
            <w:r>
              <w:rPr>
                <w:rFonts w:ascii="Calibri" w:eastAsia="Calibri" w:hAnsi="Calibri" w:cs="Calibri"/>
                <w:color w:val="000000"/>
                <w:sz w:val="20"/>
                <w:szCs w:val="20"/>
              </w:rPr>
              <w:t># of fish and seafood products identified for value addition and potential for market diversification and value chains</w:t>
            </w:r>
          </w:p>
        </w:tc>
        <w:tc>
          <w:tcPr>
            <w:tcW w:w="1694" w:type="dxa"/>
          </w:tcPr>
          <w:p w14:paraId="6808F9E8" w14:textId="77777777" w:rsidR="00CF33D9" w:rsidRDefault="00E3332A">
            <w:pPr>
              <w:rPr>
                <w:rFonts w:ascii="Calibri" w:eastAsia="Calibri" w:hAnsi="Calibri" w:cs="Calibri"/>
                <w:sz w:val="20"/>
                <w:szCs w:val="20"/>
              </w:rPr>
            </w:pPr>
            <w:r>
              <w:rPr>
                <w:rFonts w:ascii="Calibri" w:eastAsia="Calibri" w:hAnsi="Calibri" w:cs="Calibri"/>
                <w:sz w:val="20"/>
                <w:szCs w:val="20"/>
              </w:rPr>
              <w:t xml:space="preserve">Reports of best suitable fish and seafood products for value addition and potential for market diversification and growth. </w:t>
            </w:r>
          </w:p>
        </w:tc>
        <w:tc>
          <w:tcPr>
            <w:tcW w:w="1694" w:type="dxa"/>
          </w:tcPr>
          <w:p w14:paraId="6808F9E9" w14:textId="77777777" w:rsidR="00CF33D9" w:rsidRDefault="00E3332A">
            <w:pPr>
              <w:jc w:val="center"/>
              <w:rPr>
                <w:rFonts w:ascii="Calibri" w:eastAsia="Calibri" w:hAnsi="Calibri" w:cs="Calibri"/>
                <w:sz w:val="20"/>
                <w:szCs w:val="20"/>
              </w:rPr>
            </w:pPr>
            <w:r>
              <w:rPr>
                <w:rFonts w:ascii="Calibri" w:eastAsia="Calibri" w:hAnsi="Calibri" w:cs="Calibri"/>
                <w:sz w:val="20"/>
                <w:szCs w:val="20"/>
              </w:rPr>
              <w:t>0</w:t>
            </w:r>
          </w:p>
        </w:tc>
        <w:tc>
          <w:tcPr>
            <w:tcW w:w="1826" w:type="dxa"/>
          </w:tcPr>
          <w:p w14:paraId="6808F9EA" w14:textId="77777777" w:rsidR="00CF33D9" w:rsidRDefault="00E3332A">
            <w:pPr>
              <w:rPr>
                <w:rFonts w:ascii="Calibri" w:eastAsia="Calibri" w:hAnsi="Calibri" w:cs="Calibri"/>
                <w:sz w:val="20"/>
                <w:szCs w:val="20"/>
              </w:rPr>
            </w:pPr>
            <w:r>
              <w:rPr>
                <w:rFonts w:ascii="Calibri" w:eastAsia="Calibri" w:hAnsi="Calibri" w:cs="Calibri"/>
                <w:sz w:val="20"/>
                <w:szCs w:val="20"/>
              </w:rPr>
              <w:t>At least 1 identified fish /seafood product implemented by each target country.</w:t>
            </w:r>
          </w:p>
        </w:tc>
        <w:tc>
          <w:tcPr>
            <w:tcW w:w="1694" w:type="dxa"/>
          </w:tcPr>
          <w:p w14:paraId="6808F9EB" w14:textId="77777777" w:rsidR="00CF33D9" w:rsidRDefault="00E3332A">
            <w:pPr>
              <w:rPr>
                <w:rFonts w:ascii="Calibri" w:eastAsia="Calibri" w:hAnsi="Calibri" w:cs="Calibri"/>
                <w:sz w:val="20"/>
                <w:szCs w:val="20"/>
              </w:rPr>
            </w:pPr>
            <w:r>
              <w:rPr>
                <w:rFonts w:ascii="Calibri" w:eastAsia="Calibri" w:hAnsi="Calibri" w:cs="Calibri"/>
                <w:sz w:val="20"/>
                <w:szCs w:val="20"/>
              </w:rPr>
              <w:t>At least 2 identified fish /seafood products supported and adopted by each selected MPA.</w:t>
            </w:r>
          </w:p>
        </w:tc>
        <w:tc>
          <w:tcPr>
            <w:tcW w:w="1518" w:type="dxa"/>
            <w:gridSpan w:val="2"/>
          </w:tcPr>
          <w:p w14:paraId="6808F9EC" w14:textId="77777777" w:rsidR="00CF33D9" w:rsidRDefault="00E3332A">
            <w:pPr>
              <w:rPr>
                <w:rFonts w:ascii="Calibri" w:eastAsia="Calibri" w:hAnsi="Calibri" w:cs="Calibri"/>
                <w:sz w:val="20"/>
                <w:szCs w:val="20"/>
              </w:rPr>
            </w:pPr>
            <w:r>
              <w:rPr>
                <w:rFonts w:ascii="Calibri" w:eastAsia="Calibri" w:hAnsi="Calibri" w:cs="Calibri"/>
                <w:sz w:val="20"/>
                <w:szCs w:val="20"/>
              </w:rPr>
              <w:t>Minutes of relevant  stakeholders reporting adoption of identified fish and seafood products.</w:t>
            </w:r>
          </w:p>
        </w:tc>
        <w:tc>
          <w:tcPr>
            <w:tcW w:w="2190" w:type="dxa"/>
            <w:gridSpan w:val="2"/>
          </w:tcPr>
          <w:p w14:paraId="6808F9ED" w14:textId="77777777" w:rsidR="00CF33D9" w:rsidRDefault="00E3332A">
            <w:pPr>
              <w:ind w:left="-40"/>
              <w:jc w:val="both"/>
              <w:rPr>
                <w:rFonts w:ascii="Calibri" w:eastAsia="Calibri" w:hAnsi="Calibri" w:cs="Calibri"/>
                <w:sz w:val="20"/>
                <w:szCs w:val="20"/>
                <w:u w:val="single"/>
              </w:rPr>
            </w:pPr>
            <w:r>
              <w:rPr>
                <w:rFonts w:ascii="Calibri" w:eastAsia="Calibri" w:hAnsi="Calibri" w:cs="Calibri"/>
                <w:sz w:val="20"/>
                <w:szCs w:val="20"/>
                <w:u w:val="single"/>
              </w:rPr>
              <w:t>Risks:</w:t>
            </w:r>
          </w:p>
          <w:p w14:paraId="6808F9EE" w14:textId="77777777" w:rsidR="00CF33D9" w:rsidRDefault="00E3332A">
            <w:pPr>
              <w:numPr>
                <w:ilvl w:val="0"/>
                <w:numId w:val="40"/>
              </w:numPr>
              <w:ind w:left="127" w:hanging="167"/>
              <w:rPr>
                <w:rFonts w:ascii="Calibri" w:eastAsia="Calibri" w:hAnsi="Calibri" w:cs="Calibri"/>
                <w:color w:val="000000"/>
                <w:sz w:val="20"/>
                <w:szCs w:val="20"/>
              </w:rPr>
            </w:pPr>
            <w:r>
              <w:rPr>
                <w:rFonts w:ascii="Calibri" w:eastAsia="Calibri" w:hAnsi="Calibri" w:cs="Calibri"/>
                <w:color w:val="000000"/>
                <w:sz w:val="20"/>
                <w:szCs w:val="20"/>
              </w:rPr>
              <w:t>Lack of capacity to comply with market standards and conditions for diversification and value chains.</w:t>
            </w:r>
          </w:p>
          <w:p w14:paraId="6808F9EF" w14:textId="77777777" w:rsidR="00CF33D9" w:rsidRDefault="00E3332A">
            <w:pPr>
              <w:numPr>
                <w:ilvl w:val="0"/>
                <w:numId w:val="40"/>
              </w:numPr>
              <w:ind w:left="127" w:hanging="167"/>
              <w:rPr>
                <w:rFonts w:ascii="Calibri" w:eastAsia="Calibri" w:hAnsi="Calibri" w:cs="Calibri"/>
                <w:color w:val="000000"/>
                <w:sz w:val="20"/>
                <w:szCs w:val="20"/>
              </w:rPr>
            </w:pPr>
            <w:r>
              <w:rPr>
                <w:rFonts w:ascii="Calibri" w:eastAsia="Calibri" w:hAnsi="Calibri" w:cs="Calibri"/>
                <w:color w:val="000000"/>
                <w:sz w:val="20"/>
                <w:szCs w:val="20"/>
              </w:rPr>
              <w:t xml:space="preserve">Willingness to include the identified fish and seafood in the existing extraction/production processes. </w:t>
            </w:r>
          </w:p>
          <w:p w14:paraId="6808F9F0" w14:textId="77777777" w:rsidR="00CF33D9" w:rsidRDefault="00E3332A">
            <w:pPr>
              <w:ind w:left="-40"/>
              <w:jc w:val="both"/>
              <w:rPr>
                <w:rFonts w:ascii="Calibri" w:eastAsia="Calibri" w:hAnsi="Calibri" w:cs="Calibri"/>
                <w:sz w:val="20"/>
                <w:szCs w:val="20"/>
                <w:u w:val="single"/>
              </w:rPr>
            </w:pPr>
            <w:r>
              <w:rPr>
                <w:rFonts w:ascii="Calibri" w:eastAsia="Calibri" w:hAnsi="Calibri" w:cs="Calibri"/>
                <w:sz w:val="20"/>
                <w:szCs w:val="20"/>
                <w:u w:val="single"/>
              </w:rPr>
              <w:t>Assumptions:</w:t>
            </w:r>
          </w:p>
          <w:p w14:paraId="6808F9F1" w14:textId="77777777" w:rsidR="00CF33D9" w:rsidRDefault="00E3332A">
            <w:pPr>
              <w:numPr>
                <w:ilvl w:val="0"/>
                <w:numId w:val="40"/>
              </w:numPr>
              <w:ind w:left="127" w:hanging="167"/>
              <w:rPr>
                <w:rFonts w:ascii="Calibri" w:eastAsia="Calibri" w:hAnsi="Calibri" w:cs="Calibri"/>
                <w:color w:val="000000"/>
                <w:sz w:val="20"/>
                <w:szCs w:val="20"/>
              </w:rPr>
            </w:pPr>
            <w:r>
              <w:rPr>
                <w:rFonts w:ascii="Calibri" w:eastAsia="Calibri" w:hAnsi="Calibri" w:cs="Calibri"/>
                <w:color w:val="000000"/>
                <w:sz w:val="20"/>
                <w:szCs w:val="20"/>
              </w:rPr>
              <w:t xml:space="preserve">Existing technical capacity to carry the inclusion and production of the identified fish and seafood products. </w:t>
            </w:r>
          </w:p>
          <w:p w14:paraId="6808F9F2" w14:textId="77777777" w:rsidR="00CF33D9" w:rsidRDefault="00E3332A">
            <w:pPr>
              <w:numPr>
                <w:ilvl w:val="0"/>
                <w:numId w:val="40"/>
              </w:numPr>
              <w:ind w:left="127" w:hanging="167"/>
              <w:rPr>
                <w:rFonts w:ascii="Calibri" w:eastAsia="Calibri" w:hAnsi="Calibri" w:cs="Calibri"/>
                <w:color w:val="000000"/>
                <w:sz w:val="20"/>
                <w:szCs w:val="20"/>
              </w:rPr>
            </w:pPr>
            <w:r>
              <w:rPr>
                <w:rFonts w:ascii="Calibri" w:eastAsia="Calibri" w:hAnsi="Calibri" w:cs="Calibri"/>
                <w:color w:val="000000"/>
                <w:sz w:val="20"/>
                <w:szCs w:val="20"/>
              </w:rPr>
              <w:t xml:space="preserve">Production capacity to generated market growth and diversification for BCLME sustainable </w:t>
            </w:r>
            <w:r>
              <w:rPr>
                <w:rFonts w:ascii="Calibri" w:eastAsia="Calibri" w:hAnsi="Calibri" w:cs="Calibri"/>
                <w:color w:val="000000"/>
                <w:sz w:val="20"/>
                <w:szCs w:val="20"/>
              </w:rPr>
              <w:lastRenderedPageBreak/>
              <w:t>and climate resilient marine commodities</w:t>
            </w:r>
          </w:p>
        </w:tc>
      </w:tr>
      <w:tr w:rsidR="00CF33D9" w14:paraId="6808F9FD" w14:textId="77777777">
        <w:trPr>
          <w:trHeight w:val="1513"/>
        </w:trPr>
        <w:tc>
          <w:tcPr>
            <w:tcW w:w="1819" w:type="dxa"/>
            <w:vMerge/>
            <w:shd w:val="clear" w:color="auto" w:fill="auto"/>
          </w:tcPr>
          <w:p w14:paraId="6808F9F4" w14:textId="77777777" w:rsidR="00CF33D9" w:rsidRDefault="00CF33D9">
            <w:pPr>
              <w:widowControl w:val="0"/>
              <w:spacing w:line="276" w:lineRule="auto"/>
              <w:rPr>
                <w:rFonts w:ascii="Calibri" w:eastAsia="Calibri" w:hAnsi="Calibri" w:cs="Calibri"/>
                <w:color w:val="000000"/>
                <w:sz w:val="20"/>
                <w:szCs w:val="20"/>
                <w:highlight w:val="yellow"/>
              </w:rPr>
            </w:pPr>
          </w:p>
        </w:tc>
        <w:tc>
          <w:tcPr>
            <w:tcW w:w="1960" w:type="dxa"/>
            <w:gridSpan w:val="2"/>
          </w:tcPr>
          <w:p w14:paraId="6808F9F5"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t>Indicator 16: % of women that have been supported to improve their business enterprises or involved in the value chains to contribute the circular economy</w:t>
            </w:r>
          </w:p>
        </w:tc>
        <w:tc>
          <w:tcPr>
            <w:tcW w:w="1694" w:type="dxa"/>
          </w:tcPr>
          <w:p w14:paraId="6808F9F6" w14:textId="77777777" w:rsidR="00CF33D9" w:rsidRDefault="00E3332A">
            <w:pPr>
              <w:rPr>
                <w:rFonts w:ascii="Calibri" w:eastAsia="Calibri" w:hAnsi="Calibri" w:cs="Calibri"/>
                <w:sz w:val="20"/>
                <w:szCs w:val="20"/>
                <w:highlight w:val="yellow"/>
              </w:rPr>
            </w:pPr>
            <w:r>
              <w:rPr>
                <w:rFonts w:ascii="Calibri" w:eastAsia="Calibri" w:hAnsi="Calibri" w:cs="Calibri"/>
                <w:sz w:val="20"/>
                <w:szCs w:val="20"/>
              </w:rPr>
              <w:t>BCC SAP</w:t>
            </w:r>
          </w:p>
        </w:tc>
        <w:tc>
          <w:tcPr>
            <w:tcW w:w="1694" w:type="dxa"/>
          </w:tcPr>
          <w:p w14:paraId="6808F9F7" w14:textId="77777777" w:rsidR="00CF33D9" w:rsidRDefault="00E3332A">
            <w:pPr>
              <w:jc w:val="center"/>
              <w:rPr>
                <w:rFonts w:ascii="Calibri" w:eastAsia="Calibri" w:hAnsi="Calibri" w:cs="Calibri"/>
                <w:sz w:val="20"/>
                <w:szCs w:val="20"/>
                <w:highlight w:val="yellow"/>
              </w:rPr>
            </w:pPr>
            <w:r>
              <w:rPr>
                <w:rFonts w:ascii="Calibri" w:eastAsia="Calibri" w:hAnsi="Calibri" w:cs="Calibri"/>
                <w:sz w:val="20"/>
                <w:szCs w:val="20"/>
              </w:rPr>
              <w:t>0</w:t>
            </w:r>
          </w:p>
        </w:tc>
        <w:tc>
          <w:tcPr>
            <w:tcW w:w="1826" w:type="dxa"/>
          </w:tcPr>
          <w:p w14:paraId="6808F9F8" w14:textId="77777777" w:rsidR="00CF33D9" w:rsidRDefault="00E3332A">
            <w:pPr>
              <w:jc w:val="center"/>
              <w:rPr>
                <w:rFonts w:ascii="Calibri" w:eastAsia="Calibri" w:hAnsi="Calibri" w:cs="Calibri"/>
                <w:sz w:val="20"/>
                <w:szCs w:val="20"/>
              </w:rPr>
            </w:pPr>
            <w:r>
              <w:rPr>
                <w:rFonts w:ascii="Calibri" w:eastAsia="Calibri" w:hAnsi="Calibri" w:cs="Calibri"/>
                <w:sz w:val="20"/>
                <w:szCs w:val="20"/>
              </w:rPr>
              <w:t>10%</w:t>
            </w:r>
          </w:p>
        </w:tc>
        <w:tc>
          <w:tcPr>
            <w:tcW w:w="1694" w:type="dxa"/>
          </w:tcPr>
          <w:p w14:paraId="6808F9F9" w14:textId="77777777" w:rsidR="00CF33D9" w:rsidRDefault="00E3332A">
            <w:pPr>
              <w:jc w:val="center"/>
              <w:rPr>
                <w:rFonts w:ascii="Calibri" w:eastAsia="Calibri" w:hAnsi="Calibri" w:cs="Calibri"/>
                <w:sz w:val="20"/>
                <w:szCs w:val="20"/>
              </w:rPr>
            </w:pPr>
            <w:r>
              <w:rPr>
                <w:rFonts w:ascii="Calibri" w:eastAsia="Calibri" w:hAnsi="Calibri" w:cs="Calibri"/>
                <w:sz w:val="20"/>
                <w:szCs w:val="20"/>
              </w:rPr>
              <w:t>30%</w:t>
            </w:r>
          </w:p>
        </w:tc>
        <w:tc>
          <w:tcPr>
            <w:tcW w:w="1518" w:type="dxa"/>
            <w:gridSpan w:val="2"/>
          </w:tcPr>
          <w:p w14:paraId="6808F9FA" w14:textId="77777777" w:rsidR="00CF33D9" w:rsidRDefault="00E3332A">
            <w:pPr>
              <w:rPr>
                <w:rFonts w:ascii="Calibri" w:eastAsia="Calibri" w:hAnsi="Calibri" w:cs="Calibri"/>
                <w:sz w:val="20"/>
                <w:szCs w:val="20"/>
              </w:rPr>
            </w:pPr>
            <w:r>
              <w:rPr>
                <w:rFonts w:ascii="Calibri" w:eastAsia="Calibri" w:hAnsi="Calibri" w:cs="Calibri"/>
                <w:color w:val="000000"/>
                <w:sz w:val="20"/>
                <w:szCs w:val="20"/>
              </w:rPr>
              <w:t>List of women-owned business involved in the value chains</w:t>
            </w:r>
          </w:p>
        </w:tc>
        <w:tc>
          <w:tcPr>
            <w:tcW w:w="2190" w:type="dxa"/>
            <w:gridSpan w:val="2"/>
          </w:tcPr>
          <w:p w14:paraId="6808F9FB" w14:textId="77777777" w:rsidR="00CF33D9" w:rsidRDefault="00E3332A">
            <w:pPr>
              <w:rPr>
                <w:rFonts w:ascii="Calibri" w:eastAsia="Calibri" w:hAnsi="Calibri" w:cs="Calibri"/>
                <w:sz w:val="20"/>
                <w:szCs w:val="20"/>
              </w:rPr>
            </w:pPr>
            <w:r>
              <w:rPr>
                <w:rFonts w:ascii="Calibri" w:eastAsia="Calibri" w:hAnsi="Calibri" w:cs="Calibri"/>
                <w:sz w:val="20"/>
                <w:szCs w:val="20"/>
                <w:u w:val="single"/>
              </w:rPr>
              <w:t>Risks</w:t>
            </w:r>
            <w:r>
              <w:rPr>
                <w:rFonts w:ascii="Calibri" w:eastAsia="Calibri" w:hAnsi="Calibri" w:cs="Calibri"/>
                <w:sz w:val="20"/>
                <w:szCs w:val="20"/>
              </w:rPr>
              <w:t>: Social norms,  types of  business enterprises and quality of paid employment opportunities, can  inhibit women’s involvement in the value chains and income-earning activities</w:t>
            </w:r>
          </w:p>
          <w:p w14:paraId="6808F9FC" w14:textId="77777777" w:rsidR="00CF33D9" w:rsidRDefault="00E3332A">
            <w:pPr>
              <w:rPr>
                <w:rFonts w:ascii="Calibri" w:eastAsia="Calibri" w:hAnsi="Calibri" w:cs="Calibri"/>
                <w:sz w:val="20"/>
                <w:szCs w:val="20"/>
                <w:highlight w:val="yellow"/>
              </w:rPr>
            </w:pPr>
            <w:r>
              <w:rPr>
                <w:rFonts w:ascii="Calibri" w:eastAsia="Calibri" w:hAnsi="Calibri" w:cs="Calibri"/>
                <w:sz w:val="20"/>
                <w:szCs w:val="20"/>
                <w:u w:val="single"/>
              </w:rPr>
              <w:t>Assumptions</w:t>
            </w:r>
            <w:r>
              <w:rPr>
                <w:rFonts w:ascii="Calibri" w:eastAsia="Calibri" w:hAnsi="Calibri" w:cs="Calibri"/>
                <w:sz w:val="20"/>
                <w:szCs w:val="20"/>
              </w:rPr>
              <w:t>: Women owned enterprises capacity to become competitive and contributing to economic development among women</w:t>
            </w:r>
          </w:p>
        </w:tc>
      </w:tr>
      <w:tr w:rsidR="00CF33D9" w14:paraId="6808FA02" w14:textId="77777777">
        <w:trPr>
          <w:trHeight w:val="274"/>
        </w:trPr>
        <w:tc>
          <w:tcPr>
            <w:tcW w:w="1819" w:type="dxa"/>
            <w:shd w:val="clear" w:color="auto" w:fill="auto"/>
          </w:tcPr>
          <w:p w14:paraId="6808F9FE" w14:textId="77777777" w:rsidR="00CF33D9" w:rsidRDefault="00E3332A">
            <w:pPr>
              <w:rPr>
                <w:rFonts w:ascii="Calibri" w:eastAsia="Calibri" w:hAnsi="Calibri" w:cs="Calibri"/>
                <w:b/>
                <w:sz w:val="20"/>
                <w:szCs w:val="20"/>
              </w:rPr>
            </w:pPr>
            <w:r>
              <w:rPr>
                <w:rFonts w:ascii="Calibri" w:eastAsia="Calibri" w:hAnsi="Calibri" w:cs="Calibri"/>
                <w:b/>
                <w:sz w:val="20"/>
                <w:szCs w:val="20"/>
              </w:rPr>
              <w:t>Outputs to achieve Outcome 2.2</w:t>
            </w:r>
          </w:p>
        </w:tc>
        <w:tc>
          <w:tcPr>
            <w:tcW w:w="12576" w:type="dxa"/>
            <w:gridSpan w:val="10"/>
          </w:tcPr>
          <w:p w14:paraId="6808F9FF" w14:textId="77777777" w:rsidR="00CF33D9" w:rsidRDefault="00E3332A">
            <w:pPr>
              <w:rPr>
                <w:rFonts w:ascii="Calibri" w:hAnsi="Calibri" w:cs="Calibri"/>
                <w:color w:val="000000"/>
                <w:sz w:val="20"/>
                <w:szCs w:val="20"/>
              </w:rPr>
            </w:pPr>
            <w:r>
              <w:rPr>
                <w:rFonts w:ascii="Calibri" w:eastAsia="Calibri" w:hAnsi="Calibri" w:cs="Calibri"/>
                <w:color w:val="000000"/>
                <w:sz w:val="20"/>
                <w:szCs w:val="20"/>
              </w:rPr>
              <w:t>2.2.1: Fish, seafood and mariculture market research and analysis that takes into consideration climate change impacts developed at national and regional levels</w:t>
            </w:r>
          </w:p>
          <w:p w14:paraId="6808FA00" w14:textId="77777777" w:rsidR="00CF33D9" w:rsidRDefault="00E3332A">
            <w:pPr>
              <w:rPr>
                <w:rFonts w:ascii="Calibri" w:hAnsi="Calibri" w:cs="Calibri"/>
                <w:color w:val="000000"/>
                <w:sz w:val="20"/>
                <w:szCs w:val="20"/>
              </w:rPr>
            </w:pPr>
            <w:r>
              <w:rPr>
                <w:rFonts w:ascii="Calibri" w:eastAsia="Calibri" w:hAnsi="Calibri" w:cs="Calibri"/>
                <w:color w:val="000000"/>
                <w:sz w:val="20"/>
                <w:szCs w:val="20"/>
              </w:rPr>
              <w:t>2.2.2: Capacities for sustainable and climate resilient value chains developed (with a gender sensitive approach) for new and diversified fish and seafood products,</w:t>
            </w:r>
            <w:r>
              <w:rPr>
                <w:rFonts w:ascii="Calibri" w:hAnsi="Calibri" w:cs="Calibri"/>
                <w:color w:val="000000"/>
                <w:sz w:val="20"/>
                <w:szCs w:val="20"/>
              </w:rPr>
              <w:t xml:space="preserve"> </w:t>
            </w:r>
            <w:r>
              <w:rPr>
                <w:rFonts w:ascii="Calibri" w:eastAsia="Calibri" w:hAnsi="Calibri" w:cs="Calibri"/>
                <w:color w:val="000000"/>
                <w:sz w:val="20"/>
                <w:szCs w:val="20"/>
              </w:rPr>
              <w:t>including mariculture</w:t>
            </w:r>
          </w:p>
          <w:p w14:paraId="6808FA01" w14:textId="77777777" w:rsidR="00CF33D9" w:rsidRDefault="00E3332A">
            <w:pPr>
              <w:rPr>
                <w:rFonts w:ascii="Calibri" w:eastAsia="Calibri" w:hAnsi="Calibri" w:cs="Calibri"/>
                <w:i/>
                <w:sz w:val="20"/>
                <w:szCs w:val="20"/>
                <w:highlight w:val="yellow"/>
              </w:rPr>
            </w:pPr>
            <w:r>
              <w:rPr>
                <w:rFonts w:ascii="Calibri" w:eastAsia="Calibri" w:hAnsi="Calibri" w:cs="Calibri"/>
                <w:color w:val="000000"/>
                <w:sz w:val="20"/>
                <w:szCs w:val="20"/>
              </w:rPr>
              <w:t>2.2.3: New climate resilient markets identified, explored and viable ones engaged</w:t>
            </w:r>
          </w:p>
        </w:tc>
      </w:tr>
      <w:tr w:rsidR="00CF33D9" w14:paraId="6808FA05" w14:textId="77777777">
        <w:trPr>
          <w:trHeight w:val="419"/>
        </w:trPr>
        <w:tc>
          <w:tcPr>
            <w:tcW w:w="1819" w:type="dxa"/>
            <w:shd w:val="clear" w:color="auto" w:fill="E7E6E6"/>
          </w:tcPr>
          <w:p w14:paraId="6808FA03" w14:textId="77777777" w:rsidR="00CF33D9" w:rsidRDefault="00E3332A">
            <w:pPr>
              <w:rPr>
                <w:rFonts w:ascii="Calibri" w:eastAsia="Calibri" w:hAnsi="Calibri" w:cs="Calibri"/>
                <w:b/>
                <w:sz w:val="20"/>
                <w:szCs w:val="20"/>
              </w:rPr>
            </w:pPr>
            <w:r>
              <w:rPr>
                <w:rFonts w:ascii="Calibri" w:eastAsia="Calibri" w:hAnsi="Calibri" w:cs="Calibri"/>
                <w:b/>
                <w:sz w:val="20"/>
                <w:szCs w:val="20"/>
              </w:rPr>
              <w:t xml:space="preserve">Project component 3 </w:t>
            </w:r>
          </w:p>
        </w:tc>
        <w:tc>
          <w:tcPr>
            <w:tcW w:w="12576" w:type="dxa"/>
            <w:gridSpan w:val="10"/>
            <w:shd w:val="clear" w:color="auto" w:fill="E7E6E6"/>
          </w:tcPr>
          <w:p w14:paraId="6808FA04" w14:textId="77777777" w:rsidR="00CF33D9" w:rsidRDefault="00E3332A">
            <w:pPr>
              <w:rPr>
                <w:rFonts w:ascii="Calibri" w:eastAsia="Calibri" w:hAnsi="Calibri" w:cs="Calibri"/>
                <w:i/>
                <w:sz w:val="20"/>
                <w:szCs w:val="20"/>
                <w:highlight w:val="yellow"/>
              </w:rPr>
            </w:pPr>
            <w:r>
              <w:rPr>
                <w:rFonts w:ascii="Calibri" w:eastAsia="Calibri" w:hAnsi="Calibri" w:cs="Calibri"/>
                <w:b/>
                <w:color w:val="000000"/>
                <w:sz w:val="20"/>
                <w:szCs w:val="20"/>
              </w:rPr>
              <w:t>Improve coastal and marine pollution management in the BCLME</w:t>
            </w:r>
          </w:p>
        </w:tc>
      </w:tr>
      <w:tr w:rsidR="00CF33D9" w14:paraId="6808FA14" w14:textId="77777777">
        <w:trPr>
          <w:trHeight w:val="1758"/>
        </w:trPr>
        <w:tc>
          <w:tcPr>
            <w:tcW w:w="1819" w:type="dxa"/>
            <w:shd w:val="clear" w:color="auto" w:fill="auto"/>
          </w:tcPr>
          <w:p w14:paraId="6808FA06" w14:textId="77777777" w:rsidR="00CF33D9" w:rsidRDefault="00E333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Calibri" w:hAnsi="Calibri" w:cs="Calibri"/>
                <w:b/>
                <w:sz w:val="20"/>
                <w:szCs w:val="20"/>
              </w:rPr>
            </w:pPr>
            <w:r>
              <w:rPr>
                <w:rFonts w:ascii="Calibri" w:eastAsia="Calibri" w:hAnsi="Calibri" w:cs="Calibri"/>
                <w:b/>
                <w:sz w:val="20"/>
                <w:szCs w:val="20"/>
              </w:rPr>
              <w:t xml:space="preserve">Outcome </w:t>
            </w:r>
            <w:r>
              <w:rPr>
                <w:rFonts w:ascii="Calibri" w:eastAsia="Calibri" w:hAnsi="Calibri" w:cs="Calibri"/>
                <w:b/>
                <w:color w:val="000000"/>
                <w:sz w:val="20"/>
                <w:szCs w:val="20"/>
              </w:rPr>
              <w:t xml:space="preserve">3.1 </w:t>
            </w:r>
            <w:r>
              <w:rPr>
                <w:rFonts w:ascii="Calibri" w:eastAsia="Calibri" w:hAnsi="Calibri" w:cs="Calibri"/>
                <w:b/>
                <w:sz w:val="20"/>
                <w:szCs w:val="20"/>
              </w:rPr>
              <w:t>Reduced discharge of pollutants from ocean-based activities</w:t>
            </w:r>
            <w:r>
              <w:rPr>
                <w:rFonts w:ascii="Calibri" w:eastAsia="Calibri" w:hAnsi="Calibri" w:cs="Calibri"/>
                <w:b/>
                <w:color w:val="000000"/>
                <w:sz w:val="20"/>
                <w:szCs w:val="20"/>
              </w:rPr>
              <w:t xml:space="preserve"> </w:t>
            </w:r>
          </w:p>
        </w:tc>
        <w:tc>
          <w:tcPr>
            <w:tcW w:w="1960" w:type="dxa"/>
            <w:gridSpan w:val="2"/>
          </w:tcPr>
          <w:p w14:paraId="6808FA07" w14:textId="77777777" w:rsidR="00CF33D9" w:rsidRDefault="00E3332A">
            <w:pPr>
              <w:rPr>
                <w:rFonts w:ascii="Calibri" w:eastAsia="Calibri" w:hAnsi="Calibri" w:cs="Calibri"/>
                <w:sz w:val="20"/>
                <w:szCs w:val="20"/>
              </w:rPr>
            </w:pPr>
            <w:r>
              <w:rPr>
                <w:rFonts w:ascii="Calibri" w:eastAsia="Calibri" w:hAnsi="Calibri" w:cs="Calibri"/>
                <w:sz w:val="20"/>
                <w:szCs w:val="20"/>
              </w:rPr>
              <w:t xml:space="preserve">Indicator 17: </w:t>
            </w:r>
            <w:r>
              <w:rPr>
                <w:rFonts w:ascii="Calibri" w:eastAsia="Calibri" w:hAnsi="Calibri" w:cs="Calibri"/>
                <w:color w:val="000000"/>
                <w:sz w:val="20"/>
                <w:szCs w:val="20"/>
              </w:rPr>
              <w:t># of countries that have adopted legislation giving effect to relevant IMO pollution instruments and regional guidance for offshore pollution</w:t>
            </w:r>
          </w:p>
        </w:tc>
        <w:tc>
          <w:tcPr>
            <w:tcW w:w="1694" w:type="dxa"/>
          </w:tcPr>
          <w:p w14:paraId="6808FA08" w14:textId="77777777" w:rsidR="00CF33D9" w:rsidRDefault="00E3332A">
            <w:pPr>
              <w:rPr>
                <w:rFonts w:ascii="Calibri" w:eastAsia="Calibri" w:hAnsi="Calibri" w:cs="Calibri"/>
                <w:sz w:val="20"/>
                <w:szCs w:val="20"/>
              </w:rPr>
            </w:pPr>
            <w:r>
              <w:rPr>
                <w:rFonts w:ascii="Calibri" w:eastAsia="Calibri" w:hAnsi="Calibri" w:cs="Calibri"/>
                <w:sz w:val="20"/>
                <w:szCs w:val="20"/>
              </w:rPr>
              <w:t>Records of public consultation for draft documents review.</w:t>
            </w:r>
          </w:p>
          <w:p w14:paraId="6808FA09" w14:textId="77777777" w:rsidR="00CF33D9" w:rsidRDefault="00CF33D9">
            <w:pPr>
              <w:rPr>
                <w:rFonts w:ascii="Calibri" w:eastAsia="Calibri" w:hAnsi="Calibri" w:cs="Calibri"/>
                <w:sz w:val="20"/>
                <w:szCs w:val="20"/>
              </w:rPr>
            </w:pPr>
          </w:p>
          <w:p w14:paraId="6808FA0A" w14:textId="77777777" w:rsidR="00CF33D9" w:rsidRDefault="00CF33D9">
            <w:pPr>
              <w:rPr>
                <w:rFonts w:ascii="Calibri" w:eastAsia="Calibri" w:hAnsi="Calibri" w:cs="Calibri"/>
                <w:i/>
                <w:sz w:val="20"/>
                <w:szCs w:val="20"/>
                <w:highlight w:val="yellow"/>
              </w:rPr>
            </w:pPr>
          </w:p>
        </w:tc>
        <w:tc>
          <w:tcPr>
            <w:tcW w:w="1694" w:type="dxa"/>
          </w:tcPr>
          <w:p w14:paraId="6808FA0B" w14:textId="77777777" w:rsidR="00CF33D9" w:rsidRDefault="00E3332A">
            <w:pPr>
              <w:jc w:val="center"/>
              <w:rPr>
                <w:rFonts w:ascii="Calibri" w:eastAsia="Calibri" w:hAnsi="Calibri" w:cs="Calibri"/>
                <w:color w:val="000000"/>
                <w:sz w:val="20"/>
                <w:szCs w:val="20"/>
              </w:rPr>
            </w:pPr>
            <w:r>
              <w:rPr>
                <w:rFonts w:ascii="Calibri" w:eastAsia="Calibri" w:hAnsi="Calibri" w:cs="Calibri"/>
                <w:color w:val="000000"/>
                <w:sz w:val="20"/>
                <w:szCs w:val="20"/>
              </w:rPr>
              <w:t>1</w:t>
            </w:r>
          </w:p>
          <w:p w14:paraId="6808FA0C" w14:textId="77777777" w:rsidR="00CF33D9" w:rsidRDefault="00E3332A">
            <w:pPr>
              <w:rPr>
                <w:rFonts w:ascii="Calibri" w:eastAsia="Calibri" w:hAnsi="Calibri" w:cs="Calibri"/>
                <w:i/>
                <w:sz w:val="20"/>
                <w:szCs w:val="20"/>
                <w:highlight w:val="yellow"/>
              </w:rPr>
            </w:pPr>
            <w:r>
              <w:rPr>
                <w:rFonts w:ascii="Calibri" w:eastAsia="Calibri" w:hAnsi="Calibri" w:cs="Calibri"/>
                <w:sz w:val="20"/>
                <w:szCs w:val="20"/>
              </w:rPr>
              <w:t xml:space="preserve">To date, South Africa is the only country that has a comprehensive and up to date legal framework addressing IMO instruments. Namibia currently has a draft Marine Pollution Bill that requires finalisation and adoption while Angola has no </w:t>
            </w:r>
            <w:r>
              <w:rPr>
                <w:rFonts w:ascii="Calibri" w:eastAsia="Calibri" w:hAnsi="Calibri" w:cs="Calibri"/>
                <w:sz w:val="20"/>
                <w:szCs w:val="20"/>
              </w:rPr>
              <w:lastRenderedPageBreak/>
              <w:t>instruments relating to maritime pollution.</w:t>
            </w:r>
          </w:p>
        </w:tc>
        <w:tc>
          <w:tcPr>
            <w:tcW w:w="1826" w:type="dxa"/>
          </w:tcPr>
          <w:p w14:paraId="6808FA0D" w14:textId="77777777" w:rsidR="00CF33D9" w:rsidRDefault="00E3332A">
            <w:pPr>
              <w:jc w:val="center"/>
              <w:rPr>
                <w:rFonts w:ascii="Calibri" w:eastAsia="Calibri" w:hAnsi="Calibri" w:cs="Calibri"/>
                <w:i/>
                <w:sz w:val="20"/>
                <w:szCs w:val="20"/>
                <w:highlight w:val="yellow"/>
              </w:rPr>
            </w:pPr>
            <w:r>
              <w:rPr>
                <w:rFonts w:ascii="Calibri" w:eastAsia="Calibri" w:hAnsi="Calibri" w:cs="Calibri"/>
                <w:color w:val="000000"/>
                <w:sz w:val="20"/>
                <w:szCs w:val="20"/>
              </w:rPr>
              <w:lastRenderedPageBreak/>
              <w:t>2</w:t>
            </w:r>
          </w:p>
        </w:tc>
        <w:tc>
          <w:tcPr>
            <w:tcW w:w="1694" w:type="dxa"/>
          </w:tcPr>
          <w:p w14:paraId="6808FA0E" w14:textId="77777777" w:rsidR="00CF33D9" w:rsidRDefault="00E3332A">
            <w:pPr>
              <w:jc w:val="center"/>
              <w:rPr>
                <w:rFonts w:ascii="Calibri" w:eastAsia="Calibri" w:hAnsi="Calibri" w:cs="Calibri"/>
                <w:i/>
                <w:sz w:val="20"/>
                <w:szCs w:val="20"/>
                <w:highlight w:val="yellow"/>
              </w:rPr>
            </w:pPr>
            <w:r>
              <w:rPr>
                <w:rFonts w:ascii="Calibri" w:eastAsia="Calibri" w:hAnsi="Calibri" w:cs="Calibri"/>
                <w:color w:val="000000"/>
                <w:sz w:val="20"/>
                <w:szCs w:val="20"/>
              </w:rPr>
              <w:t>3</w:t>
            </w:r>
          </w:p>
        </w:tc>
        <w:tc>
          <w:tcPr>
            <w:tcW w:w="1518" w:type="dxa"/>
            <w:gridSpan w:val="2"/>
          </w:tcPr>
          <w:p w14:paraId="6808FA0F" w14:textId="77777777" w:rsidR="00CF33D9" w:rsidRDefault="00E3332A">
            <w:pPr>
              <w:rPr>
                <w:rFonts w:ascii="Calibri" w:eastAsia="Calibri" w:hAnsi="Calibri" w:cs="Calibri"/>
                <w:i/>
                <w:sz w:val="20"/>
                <w:szCs w:val="20"/>
                <w:highlight w:val="yellow"/>
              </w:rPr>
            </w:pPr>
            <w:r>
              <w:rPr>
                <w:rFonts w:ascii="Calibri" w:eastAsia="Calibri" w:hAnsi="Calibri" w:cs="Calibri"/>
                <w:sz w:val="20"/>
                <w:szCs w:val="20"/>
              </w:rPr>
              <w:t>Gazette notices of new regulations.</w:t>
            </w:r>
          </w:p>
        </w:tc>
        <w:tc>
          <w:tcPr>
            <w:tcW w:w="2190" w:type="dxa"/>
            <w:gridSpan w:val="2"/>
          </w:tcPr>
          <w:p w14:paraId="6808FA10" w14:textId="77777777" w:rsidR="00CF33D9" w:rsidRDefault="00E3332A">
            <w:pPr>
              <w:rPr>
                <w:rFonts w:ascii="Calibri" w:eastAsia="Calibri" w:hAnsi="Calibri" w:cs="Calibri"/>
                <w:sz w:val="20"/>
                <w:szCs w:val="20"/>
              </w:rPr>
            </w:pPr>
            <w:r>
              <w:rPr>
                <w:rFonts w:ascii="Calibri" w:eastAsia="Calibri" w:hAnsi="Calibri" w:cs="Calibri"/>
                <w:sz w:val="20"/>
                <w:szCs w:val="20"/>
                <w:u w:val="single"/>
              </w:rPr>
              <w:t>Risks</w:t>
            </w:r>
            <w:r>
              <w:rPr>
                <w:rFonts w:ascii="Calibri" w:eastAsia="Calibri" w:hAnsi="Calibri" w:cs="Calibri"/>
                <w:sz w:val="20"/>
                <w:szCs w:val="20"/>
              </w:rPr>
              <w:t xml:space="preserve">: </w:t>
            </w:r>
          </w:p>
          <w:p w14:paraId="6808FA11" w14:textId="77777777" w:rsidR="00CF33D9" w:rsidRDefault="00E3332A">
            <w:pPr>
              <w:numPr>
                <w:ilvl w:val="0"/>
                <w:numId w:val="44"/>
              </w:numPr>
              <w:ind w:left="159" w:hanging="159"/>
              <w:rPr>
                <w:rFonts w:ascii="Calibri" w:eastAsia="Calibri" w:hAnsi="Calibri" w:cs="Calibri"/>
                <w:color w:val="000000"/>
                <w:sz w:val="20"/>
                <w:szCs w:val="20"/>
              </w:rPr>
            </w:pPr>
            <w:r>
              <w:rPr>
                <w:rFonts w:ascii="Calibri" w:eastAsia="Calibri" w:hAnsi="Calibri" w:cs="Calibri"/>
                <w:color w:val="000000"/>
                <w:sz w:val="20"/>
                <w:szCs w:val="20"/>
              </w:rPr>
              <w:t>Competing intra-agency mandates prevent progress on the drafting of new instruments.</w:t>
            </w:r>
          </w:p>
          <w:p w14:paraId="6808FA12" w14:textId="77777777" w:rsidR="00CF33D9" w:rsidRDefault="00E3332A">
            <w:pPr>
              <w:numPr>
                <w:ilvl w:val="0"/>
                <w:numId w:val="44"/>
              </w:numPr>
              <w:ind w:left="159" w:hanging="159"/>
              <w:rPr>
                <w:rFonts w:ascii="Calibri" w:eastAsia="Calibri" w:hAnsi="Calibri" w:cs="Calibri"/>
                <w:color w:val="000000"/>
                <w:sz w:val="20"/>
                <w:szCs w:val="20"/>
              </w:rPr>
            </w:pPr>
            <w:r>
              <w:rPr>
                <w:rFonts w:ascii="Calibri" w:eastAsia="Calibri" w:hAnsi="Calibri" w:cs="Calibri"/>
                <w:color w:val="000000"/>
                <w:sz w:val="20"/>
                <w:szCs w:val="20"/>
              </w:rPr>
              <w:t>Parliament fails to adopt draft bills.</w:t>
            </w:r>
          </w:p>
          <w:p w14:paraId="6808FA13" w14:textId="77777777" w:rsidR="00CF33D9" w:rsidRDefault="00E3332A">
            <w:pPr>
              <w:rPr>
                <w:rFonts w:ascii="Calibri" w:eastAsia="Calibri" w:hAnsi="Calibri" w:cs="Calibri"/>
                <w:sz w:val="20"/>
                <w:szCs w:val="20"/>
              </w:rPr>
            </w:pPr>
            <w:r>
              <w:rPr>
                <w:rFonts w:ascii="Calibri" w:eastAsia="Calibri" w:hAnsi="Calibri" w:cs="Calibri"/>
                <w:sz w:val="20"/>
                <w:szCs w:val="20"/>
                <w:u w:val="single"/>
              </w:rPr>
              <w:t>Assumptions</w:t>
            </w:r>
            <w:r>
              <w:rPr>
                <w:rFonts w:ascii="Calibri" w:eastAsia="Calibri" w:hAnsi="Calibri" w:cs="Calibri"/>
                <w:sz w:val="20"/>
                <w:szCs w:val="20"/>
              </w:rPr>
              <w:t>: Countries show willingness to draft new regulation and to adopt them.</w:t>
            </w:r>
          </w:p>
        </w:tc>
      </w:tr>
      <w:tr w:rsidR="00CF33D9" w14:paraId="6808FA17" w14:textId="77777777">
        <w:trPr>
          <w:trHeight w:val="350"/>
        </w:trPr>
        <w:tc>
          <w:tcPr>
            <w:tcW w:w="1819" w:type="dxa"/>
            <w:shd w:val="clear" w:color="auto" w:fill="auto"/>
          </w:tcPr>
          <w:p w14:paraId="6808FA15" w14:textId="77777777" w:rsidR="00CF33D9" w:rsidRDefault="00E3332A">
            <w:pPr>
              <w:rPr>
                <w:rFonts w:ascii="Calibri" w:eastAsia="Calibri" w:hAnsi="Calibri" w:cs="Calibri"/>
                <w:b/>
                <w:sz w:val="20"/>
                <w:szCs w:val="20"/>
              </w:rPr>
            </w:pPr>
            <w:r>
              <w:rPr>
                <w:rFonts w:ascii="Calibri" w:eastAsia="Calibri" w:hAnsi="Calibri" w:cs="Calibri"/>
                <w:b/>
                <w:sz w:val="20"/>
                <w:szCs w:val="20"/>
              </w:rPr>
              <w:t>Outputs to achieve Outcome 3.1</w:t>
            </w:r>
          </w:p>
        </w:tc>
        <w:tc>
          <w:tcPr>
            <w:tcW w:w="12576" w:type="dxa"/>
            <w:gridSpan w:val="10"/>
          </w:tcPr>
          <w:p w14:paraId="6808FA16"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t>3.1.1 Policy and legislative frameworks developed/updated/strengthened</w:t>
            </w:r>
            <w:r>
              <w:rPr>
                <w:rFonts w:ascii="Calibri" w:hAnsi="Calibri" w:cs="Calibri"/>
                <w:color w:val="000000"/>
                <w:sz w:val="20"/>
                <w:szCs w:val="20"/>
              </w:rPr>
              <w:t xml:space="preserve"> </w:t>
            </w:r>
            <w:r>
              <w:rPr>
                <w:rFonts w:ascii="Calibri" w:eastAsia="Calibri" w:hAnsi="Calibri" w:cs="Calibri"/>
                <w:color w:val="000000"/>
                <w:sz w:val="20"/>
                <w:szCs w:val="20"/>
              </w:rPr>
              <w:t>and related strategies in place to address pollution prevention and control and response from shipping and extractive industries in the BCLME</w:t>
            </w:r>
          </w:p>
        </w:tc>
      </w:tr>
      <w:tr w:rsidR="00CF33D9" w14:paraId="6808FA24" w14:textId="77777777">
        <w:trPr>
          <w:trHeight w:val="584"/>
        </w:trPr>
        <w:tc>
          <w:tcPr>
            <w:tcW w:w="1819" w:type="dxa"/>
            <w:shd w:val="clear" w:color="auto" w:fill="auto"/>
          </w:tcPr>
          <w:p w14:paraId="6808FA18" w14:textId="77777777" w:rsidR="00CF33D9" w:rsidRDefault="00E3332A">
            <w:pPr>
              <w:rPr>
                <w:rFonts w:ascii="Calibri" w:eastAsia="Calibri" w:hAnsi="Calibri" w:cs="Calibri"/>
                <w:b/>
                <w:sz w:val="20"/>
                <w:szCs w:val="20"/>
              </w:rPr>
            </w:pPr>
            <w:r>
              <w:rPr>
                <w:rFonts w:ascii="Calibri" w:eastAsia="Calibri" w:hAnsi="Calibri" w:cs="Calibri"/>
                <w:b/>
                <w:sz w:val="20"/>
                <w:szCs w:val="20"/>
              </w:rPr>
              <w:t xml:space="preserve">Outcome </w:t>
            </w:r>
            <w:r>
              <w:rPr>
                <w:rFonts w:ascii="Calibri" w:eastAsia="Calibri" w:hAnsi="Calibri" w:cs="Calibri"/>
                <w:b/>
                <w:color w:val="000000"/>
                <w:sz w:val="20"/>
                <w:szCs w:val="20"/>
              </w:rPr>
              <w:t xml:space="preserve">3.2: </w:t>
            </w:r>
            <w:r>
              <w:rPr>
                <w:rFonts w:ascii="Calibri" w:eastAsia="Calibri" w:hAnsi="Calibri" w:cs="Calibri"/>
                <w:b/>
                <w:sz w:val="20"/>
                <w:szCs w:val="20"/>
              </w:rPr>
              <w:t>Reduced discharge of pollutants from land-based activities in priority coastal areas [and river basins] through Community-Level Stakeholder Engagement</w:t>
            </w:r>
          </w:p>
        </w:tc>
        <w:tc>
          <w:tcPr>
            <w:tcW w:w="1960" w:type="dxa"/>
            <w:gridSpan w:val="2"/>
          </w:tcPr>
          <w:p w14:paraId="6808FA19" w14:textId="77777777" w:rsidR="00CF33D9" w:rsidRDefault="00E3332A">
            <w:pPr>
              <w:rPr>
                <w:rFonts w:ascii="Calibri" w:eastAsia="Calibri" w:hAnsi="Calibri" w:cs="Calibri"/>
                <w:sz w:val="20"/>
                <w:szCs w:val="20"/>
              </w:rPr>
            </w:pPr>
            <w:r>
              <w:rPr>
                <w:rFonts w:ascii="Calibri" w:eastAsia="Calibri" w:hAnsi="Calibri" w:cs="Calibri"/>
                <w:sz w:val="20"/>
                <w:szCs w:val="20"/>
              </w:rPr>
              <w:t xml:space="preserve">Indicator 18: </w:t>
            </w:r>
            <w:r>
              <w:rPr>
                <w:rFonts w:ascii="Calibri" w:eastAsia="Calibri" w:hAnsi="Calibri" w:cs="Calibri"/>
                <w:color w:val="000000"/>
                <w:sz w:val="20"/>
                <w:szCs w:val="20"/>
              </w:rPr>
              <w:t># of awareness raising briefings and workshops held for stakeholders across all countries (participants disaggregated by gender)</w:t>
            </w:r>
          </w:p>
        </w:tc>
        <w:tc>
          <w:tcPr>
            <w:tcW w:w="1694" w:type="dxa"/>
          </w:tcPr>
          <w:p w14:paraId="6808FA1A" w14:textId="77777777" w:rsidR="00CF33D9" w:rsidRDefault="00E3332A">
            <w:pPr>
              <w:rPr>
                <w:rFonts w:ascii="Calibri" w:eastAsia="Calibri" w:hAnsi="Calibri" w:cs="Calibri"/>
                <w:sz w:val="20"/>
                <w:szCs w:val="20"/>
              </w:rPr>
            </w:pPr>
            <w:r>
              <w:rPr>
                <w:rFonts w:ascii="Calibri" w:eastAsia="Calibri" w:hAnsi="Calibri" w:cs="Calibri"/>
                <w:sz w:val="20"/>
                <w:szCs w:val="20"/>
              </w:rPr>
              <w:t>Detailed description of awareness raising activities to be prepared during the inception phase.</w:t>
            </w:r>
          </w:p>
        </w:tc>
        <w:tc>
          <w:tcPr>
            <w:tcW w:w="1694" w:type="dxa"/>
          </w:tcPr>
          <w:p w14:paraId="6808FA1B"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t>0</w:t>
            </w:r>
          </w:p>
          <w:p w14:paraId="6808FA1C" w14:textId="77777777" w:rsidR="00CF33D9" w:rsidRDefault="00E3332A">
            <w:pPr>
              <w:rPr>
                <w:rFonts w:ascii="Calibri" w:eastAsia="Calibri" w:hAnsi="Calibri" w:cs="Calibri"/>
                <w:color w:val="000000"/>
                <w:sz w:val="20"/>
                <w:szCs w:val="20"/>
              </w:rPr>
            </w:pPr>
            <w:r>
              <w:rPr>
                <w:rFonts w:ascii="Calibri" w:eastAsia="Calibri" w:hAnsi="Calibri" w:cs="Calibri"/>
                <w:sz w:val="20"/>
                <w:szCs w:val="20"/>
              </w:rPr>
              <w:t>Numerous awareness raising activities have been concluded under previous BCLME projects. However, this will focus on new demonstration projects and therefore engage with new communities.</w:t>
            </w:r>
          </w:p>
        </w:tc>
        <w:tc>
          <w:tcPr>
            <w:tcW w:w="1826" w:type="dxa"/>
          </w:tcPr>
          <w:p w14:paraId="6808FA1D" w14:textId="77777777" w:rsidR="00CF33D9" w:rsidRDefault="00E3332A">
            <w:pPr>
              <w:rPr>
                <w:rFonts w:ascii="Calibri" w:eastAsia="Calibri" w:hAnsi="Calibri" w:cs="Calibri"/>
                <w:sz w:val="20"/>
                <w:szCs w:val="20"/>
              </w:rPr>
            </w:pPr>
            <w:r>
              <w:rPr>
                <w:rFonts w:ascii="Calibri" w:eastAsia="Calibri" w:hAnsi="Calibri" w:cs="Calibri"/>
                <w:sz w:val="20"/>
                <w:szCs w:val="20"/>
              </w:rPr>
              <w:t>3 Awareness raising activities</w:t>
            </w:r>
          </w:p>
        </w:tc>
        <w:tc>
          <w:tcPr>
            <w:tcW w:w="1694" w:type="dxa"/>
          </w:tcPr>
          <w:p w14:paraId="6808FA1E" w14:textId="77777777" w:rsidR="00CF33D9" w:rsidRDefault="00E3332A">
            <w:pPr>
              <w:rPr>
                <w:rFonts w:ascii="Calibri" w:eastAsia="Calibri" w:hAnsi="Calibri" w:cs="Calibri"/>
                <w:sz w:val="20"/>
                <w:szCs w:val="20"/>
              </w:rPr>
            </w:pPr>
            <w:r>
              <w:rPr>
                <w:rFonts w:ascii="Calibri" w:eastAsia="Calibri" w:hAnsi="Calibri" w:cs="Calibri"/>
                <w:sz w:val="20"/>
                <w:szCs w:val="20"/>
              </w:rPr>
              <w:t>6 Awareness raising activities</w:t>
            </w:r>
          </w:p>
          <w:p w14:paraId="6808FA1F" w14:textId="77777777" w:rsidR="00CF33D9" w:rsidRDefault="00CF33D9">
            <w:pPr>
              <w:rPr>
                <w:rFonts w:ascii="Calibri" w:eastAsia="Calibri" w:hAnsi="Calibri" w:cs="Calibri"/>
                <w:sz w:val="20"/>
                <w:szCs w:val="20"/>
              </w:rPr>
            </w:pPr>
          </w:p>
          <w:p w14:paraId="6808FA20" w14:textId="77777777" w:rsidR="00CF33D9" w:rsidRDefault="00E3332A">
            <w:pPr>
              <w:rPr>
                <w:rFonts w:ascii="Calibri" w:eastAsia="Calibri" w:hAnsi="Calibri" w:cs="Calibri"/>
                <w:sz w:val="20"/>
                <w:szCs w:val="20"/>
              </w:rPr>
            </w:pPr>
            <w:r>
              <w:rPr>
                <w:rFonts w:ascii="Calibri" w:eastAsia="Calibri" w:hAnsi="Calibri" w:cs="Calibri"/>
                <w:sz w:val="20"/>
                <w:szCs w:val="20"/>
              </w:rPr>
              <w:t>6 Training and capacity building activities</w:t>
            </w:r>
          </w:p>
        </w:tc>
        <w:tc>
          <w:tcPr>
            <w:tcW w:w="1518" w:type="dxa"/>
            <w:gridSpan w:val="2"/>
          </w:tcPr>
          <w:p w14:paraId="6808FA21" w14:textId="77777777" w:rsidR="00CF33D9" w:rsidRDefault="00E3332A">
            <w:pPr>
              <w:rPr>
                <w:rFonts w:ascii="Calibri" w:eastAsia="Calibri" w:hAnsi="Calibri" w:cs="Calibri"/>
                <w:i/>
                <w:sz w:val="20"/>
                <w:szCs w:val="20"/>
                <w:highlight w:val="yellow"/>
              </w:rPr>
            </w:pPr>
            <w:r>
              <w:rPr>
                <w:rFonts w:ascii="Calibri" w:eastAsia="Calibri" w:hAnsi="Calibri" w:cs="Calibri"/>
                <w:color w:val="000000"/>
                <w:sz w:val="20"/>
                <w:szCs w:val="20"/>
              </w:rPr>
              <w:t>Minutes of training and consultations workshops/ sessions</w:t>
            </w:r>
          </w:p>
        </w:tc>
        <w:tc>
          <w:tcPr>
            <w:tcW w:w="2190" w:type="dxa"/>
            <w:gridSpan w:val="2"/>
          </w:tcPr>
          <w:p w14:paraId="6808FA22" w14:textId="77777777" w:rsidR="00CF33D9" w:rsidRDefault="00E3332A">
            <w:pPr>
              <w:rPr>
                <w:rFonts w:ascii="Calibri" w:eastAsia="Calibri" w:hAnsi="Calibri" w:cs="Calibri"/>
                <w:sz w:val="20"/>
                <w:szCs w:val="20"/>
              </w:rPr>
            </w:pPr>
            <w:r>
              <w:rPr>
                <w:rFonts w:ascii="Calibri" w:eastAsia="Calibri" w:hAnsi="Calibri" w:cs="Calibri"/>
                <w:sz w:val="20"/>
                <w:szCs w:val="20"/>
                <w:u w:val="single"/>
              </w:rPr>
              <w:t>Risks</w:t>
            </w:r>
            <w:r>
              <w:rPr>
                <w:rFonts w:ascii="Calibri" w:eastAsia="Calibri" w:hAnsi="Calibri" w:cs="Calibri"/>
                <w:sz w:val="20"/>
                <w:szCs w:val="20"/>
              </w:rPr>
              <w:t>: Lack of interest of major stakeholders</w:t>
            </w:r>
          </w:p>
          <w:p w14:paraId="6808FA23" w14:textId="77777777" w:rsidR="00CF33D9" w:rsidRDefault="00E3332A">
            <w:pPr>
              <w:rPr>
                <w:rFonts w:ascii="Calibri" w:eastAsia="Calibri" w:hAnsi="Calibri" w:cs="Calibri"/>
                <w:i/>
                <w:sz w:val="20"/>
                <w:szCs w:val="20"/>
                <w:highlight w:val="yellow"/>
              </w:rPr>
            </w:pPr>
            <w:r>
              <w:rPr>
                <w:rFonts w:ascii="Calibri" w:eastAsia="Calibri" w:hAnsi="Calibri" w:cs="Calibri"/>
                <w:sz w:val="20"/>
                <w:szCs w:val="20"/>
                <w:u w:val="single"/>
              </w:rPr>
              <w:t>Assumptions</w:t>
            </w:r>
            <w:r>
              <w:rPr>
                <w:rFonts w:ascii="Calibri" w:eastAsia="Calibri" w:hAnsi="Calibri" w:cs="Calibri"/>
                <w:sz w:val="20"/>
                <w:szCs w:val="20"/>
              </w:rPr>
              <w:t>: Updated Communications Strategy</w:t>
            </w:r>
          </w:p>
        </w:tc>
      </w:tr>
      <w:tr w:rsidR="00CF33D9" w14:paraId="6808FA28" w14:textId="77777777">
        <w:trPr>
          <w:trHeight w:val="530"/>
        </w:trPr>
        <w:tc>
          <w:tcPr>
            <w:tcW w:w="1819" w:type="dxa"/>
            <w:shd w:val="clear" w:color="auto" w:fill="auto"/>
          </w:tcPr>
          <w:p w14:paraId="6808FA25" w14:textId="77777777" w:rsidR="00CF33D9" w:rsidRDefault="00E3332A">
            <w:pPr>
              <w:rPr>
                <w:rFonts w:ascii="Calibri" w:eastAsia="Calibri" w:hAnsi="Calibri" w:cs="Calibri"/>
                <w:b/>
                <w:sz w:val="20"/>
                <w:szCs w:val="20"/>
              </w:rPr>
            </w:pPr>
            <w:r>
              <w:rPr>
                <w:rFonts w:ascii="Calibri" w:eastAsia="Calibri" w:hAnsi="Calibri" w:cs="Calibri"/>
                <w:b/>
                <w:sz w:val="20"/>
                <w:szCs w:val="20"/>
              </w:rPr>
              <w:t>Outputs to achieve Outcome 3.2</w:t>
            </w:r>
          </w:p>
        </w:tc>
        <w:tc>
          <w:tcPr>
            <w:tcW w:w="12576" w:type="dxa"/>
            <w:gridSpan w:val="10"/>
          </w:tcPr>
          <w:p w14:paraId="6808FA26" w14:textId="77777777" w:rsidR="00CF33D9" w:rsidRDefault="00E3332A">
            <w:pPr>
              <w:rPr>
                <w:rFonts w:ascii="Calibri" w:hAnsi="Calibri" w:cs="Calibri"/>
                <w:sz w:val="20"/>
                <w:szCs w:val="20"/>
              </w:rPr>
            </w:pPr>
            <w:r>
              <w:rPr>
                <w:rFonts w:ascii="Calibri" w:eastAsia="Calibri" w:hAnsi="Calibri" w:cs="Calibri"/>
                <w:sz w:val="20"/>
                <w:szCs w:val="20"/>
              </w:rPr>
              <w:t xml:space="preserve">3.2.1: Pilot level community-based </w:t>
            </w:r>
            <w:r>
              <w:rPr>
                <w:rFonts w:ascii="Calibri" w:eastAsia="Calibri" w:hAnsi="Calibri" w:cs="Calibri"/>
                <w:color w:val="000000"/>
                <w:sz w:val="20"/>
                <w:szCs w:val="20"/>
              </w:rPr>
              <w:t xml:space="preserve">EBM and integrated watershed and coastal area management (IWCAM) </w:t>
            </w:r>
            <w:r>
              <w:rPr>
                <w:rFonts w:ascii="Calibri" w:eastAsia="Calibri" w:hAnsi="Calibri" w:cs="Calibri"/>
                <w:sz w:val="20"/>
                <w:szCs w:val="20"/>
              </w:rPr>
              <w:t>approaches to pollution reduction demonstrated and addressed through demonstrations at pilot sites by mid-project and ready for replication</w:t>
            </w:r>
          </w:p>
          <w:p w14:paraId="6808FA27" w14:textId="77777777" w:rsidR="00CF33D9" w:rsidRDefault="00E3332A">
            <w:pPr>
              <w:rPr>
                <w:rFonts w:ascii="Calibri" w:eastAsia="Calibri" w:hAnsi="Calibri" w:cs="Calibri"/>
                <w:i/>
                <w:sz w:val="20"/>
                <w:szCs w:val="20"/>
                <w:highlight w:val="yellow"/>
              </w:rPr>
            </w:pPr>
            <w:r>
              <w:rPr>
                <w:rFonts w:ascii="Calibri" w:eastAsia="Calibri" w:hAnsi="Calibri" w:cs="Calibri"/>
                <w:color w:val="000000"/>
                <w:sz w:val="20"/>
                <w:szCs w:val="20"/>
              </w:rPr>
              <w:t xml:space="preserve">3.2.2 Community awareness, training and capacity building and implementation plans and best practices for pollution management undertaken (with a gender-sensitive approach) in selected pilot sites along the BCLME coast  </w:t>
            </w:r>
          </w:p>
        </w:tc>
      </w:tr>
      <w:tr w:rsidR="00CF33D9" w14:paraId="6808FA3E" w14:textId="77777777">
        <w:trPr>
          <w:trHeight w:val="530"/>
        </w:trPr>
        <w:tc>
          <w:tcPr>
            <w:tcW w:w="1819" w:type="dxa"/>
            <w:vMerge w:val="restart"/>
            <w:shd w:val="clear" w:color="auto" w:fill="auto"/>
          </w:tcPr>
          <w:p w14:paraId="6808FA29" w14:textId="77777777" w:rsidR="00CF33D9" w:rsidRDefault="00E3332A">
            <w:pPr>
              <w:rPr>
                <w:rFonts w:ascii="Calibri" w:eastAsia="Calibri" w:hAnsi="Calibri" w:cs="Calibri"/>
                <w:b/>
                <w:sz w:val="20"/>
                <w:szCs w:val="20"/>
              </w:rPr>
            </w:pPr>
            <w:r>
              <w:rPr>
                <w:rFonts w:ascii="Calibri" w:eastAsia="Calibri" w:hAnsi="Calibri" w:cs="Calibri"/>
                <w:b/>
                <w:sz w:val="20"/>
                <w:szCs w:val="20"/>
              </w:rPr>
              <w:t xml:space="preserve">Outcome 3.3: Strengthened regional cooperation and coordination, and increased institutional and technical capacity to undertake broad-scale monitoring and surveillance of marine pollution in priority transboundary and </w:t>
            </w:r>
            <w:r>
              <w:rPr>
                <w:rFonts w:ascii="Calibri" w:eastAsia="Calibri" w:hAnsi="Calibri" w:cs="Calibri"/>
                <w:b/>
                <w:sz w:val="20"/>
                <w:szCs w:val="20"/>
              </w:rPr>
              <w:lastRenderedPageBreak/>
              <w:t>coastal hotspots of the BCLME</w:t>
            </w:r>
          </w:p>
        </w:tc>
        <w:tc>
          <w:tcPr>
            <w:tcW w:w="1960" w:type="dxa"/>
            <w:gridSpan w:val="2"/>
          </w:tcPr>
          <w:p w14:paraId="6808FA2A" w14:textId="77777777" w:rsidR="00CF33D9" w:rsidRDefault="00E3332A">
            <w:pPr>
              <w:rPr>
                <w:rFonts w:ascii="Calibri" w:eastAsia="Calibri" w:hAnsi="Calibri" w:cs="Calibri"/>
                <w:sz w:val="20"/>
                <w:szCs w:val="20"/>
              </w:rPr>
            </w:pPr>
            <w:r>
              <w:rPr>
                <w:rFonts w:ascii="Calibri" w:eastAsia="Calibri" w:hAnsi="Calibri" w:cs="Calibri"/>
                <w:sz w:val="20"/>
                <w:szCs w:val="20"/>
              </w:rPr>
              <w:lastRenderedPageBreak/>
              <w:t>Indicator 19:</w:t>
            </w:r>
            <w:r>
              <w:rPr>
                <w:rFonts w:ascii="Calibri" w:eastAsia="Calibri" w:hAnsi="Calibri" w:cs="Calibri"/>
                <w:color w:val="000000"/>
                <w:sz w:val="20"/>
                <w:szCs w:val="20"/>
              </w:rPr>
              <w:t xml:space="preserve"> # of BCC pollution hotspots in each country where Phase 1 monitoring has been undertaken</w:t>
            </w:r>
          </w:p>
        </w:tc>
        <w:tc>
          <w:tcPr>
            <w:tcW w:w="1694" w:type="dxa"/>
          </w:tcPr>
          <w:p w14:paraId="6808FA2B" w14:textId="77777777" w:rsidR="00CF33D9" w:rsidRDefault="00E3332A">
            <w:pPr>
              <w:rPr>
                <w:rFonts w:ascii="Calibri" w:eastAsia="Calibri" w:hAnsi="Calibri" w:cs="Calibri"/>
                <w:sz w:val="20"/>
                <w:szCs w:val="20"/>
              </w:rPr>
            </w:pPr>
            <w:r>
              <w:rPr>
                <w:rFonts w:ascii="Calibri" w:eastAsia="Calibri" w:hAnsi="Calibri" w:cs="Calibri"/>
                <w:sz w:val="20"/>
                <w:szCs w:val="20"/>
              </w:rPr>
              <w:t>BCC pollution analysis reports.</w:t>
            </w:r>
          </w:p>
          <w:p w14:paraId="6808FA2C" w14:textId="77777777" w:rsidR="00CF33D9" w:rsidRDefault="00CF33D9">
            <w:pPr>
              <w:rPr>
                <w:rFonts w:ascii="Calibri" w:eastAsia="Calibri" w:hAnsi="Calibri" w:cs="Calibri"/>
                <w:sz w:val="20"/>
                <w:szCs w:val="20"/>
              </w:rPr>
            </w:pPr>
          </w:p>
          <w:p w14:paraId="6808FA2D" w14:textId="77777777" w:rsidR="00CF33D9" w:rsidRDefault="00CF33D9">
            <w:pPr>
              <w:rPr>
                <w:rFonts w:ascii="Calibri" w:eastAsia="Calibri" w:hAnsi="Calibri" w:cs="Calibri"/>
                <w:sz w:val="20"/>
                <w:szCs w:val="20"/>
              </w:rPr>
            </w:pPr>
          </w:p>
        </w:tc>
        <w:tc>
          <w:tcPr>
            <w:tcW w:w="1694" w:type="dxa"/>
          </w:tcPr>
          <w:p w14:paraId="6808FA2E" w14:textId="77777777" w:rsidR="00CF33D9" w:rsidRDefault="00E3332A">
            <w:pPr>
              <w:jc w:val="center"/>
              <w:rPr>
                <w:rFonts w:ascii="Calibri" w:eastAsia="Calibri" w:hAnsi="Calibri" w:cs="Calibri"/>
                <w:color w:val="000000"/>
                <w:sz w:val="20"/>
                <w:szCs w:val="20"/>
              </w:rPr>
            </w:pPr>
            <w:r>
              <w:rPr>
                <w:rFonts w:ascii="Calibri" w:eastAsia="Calibri" w:hAnsi="Calibri" w:cs="Calibri"/>
                <w:color w:val="000000"/>
                <w:sz w:val="20"/>
                <w:szCs w:val="20"/>
              </w:rPr>
              <w:t>7</w:t>
            </w:r>
          </w:p>
          <w:p w14:paraId="6808FA2F" w14:textId="77777777" w:rsidR="00CF33D9" w:rsidRDefault="00E3332A">
            <w:pPr>
              <w:rPr>
                <w:rFonts w:ascii="Calibri" w:hAnsi="Calibri" w:cs="Calibri"/>
                <w:color w:val="000000"/>
                <w:sz w:val="20"/>
                <w:szCs w:val="20"/>
              </w:rPr>
            </w:pPr>
            <w:r>
              <w:rPr>
                <w:rFonts w:ascii="Calibri" w:eastAsia="Calibri" w:hAnsi="Calibri" w:cs="Calibri"/>
                <w:color w:val="000000"/>
                <w:sz w:val="20"/>
                <w:szCs w:val="20"/>
              </w:rPr>
              <w:t>To date, Phase 1 monitoring surveys have been undertaken in the following pollution hotspots:</w:t>
            </w:r>
          </w:p>
          <w:p w14:paraId="6808FA30" w14:textId="77777777" w:rsidR="00CF33D9" w:rsidRDefault="00E3332A">
            <w:pPr>
              <w:rPr>
                <w:rFonts w:ascii="Calibri" w:hAnsi="Calibri" w:cs="Calibri"/>
                <w:color w:val="000000"/>
                <w:sz w:val="20"/>
                <w:szCs w:val="20"/>
              </w:rPr>
            </w:pPr>
            <w:r>
              <w:rPr>
                <w:rFonts w:ascii="Calibri" w:eastAsia="Calibri" w:hAnsi="Calibri" w:cs="Calibri"/>
                <w:color w:val="000000"/>
                <w:sz w:val="20"/>
                <w:szCs w:val="20"/>
                <w:u w:val="single"/>
              </w:rPr>
              <w:t>South Africa</w:t>
            </w:r>
            <w:r>
              <w:rPr>
                <w:rFonts w:ascii="Calibri" w:eastAsia="Calibri" w:hAnsi="Calibri" w:cs="Calibri"/>
                <w:color w:val="000000"/>
                <w:sz w:val="20"/>
                <w:szCs w:val="20"/>
              </w:rPr>
              <w:t>: Saldanha Bay, False Bay, St Helena Bay, Strandfontein Beach</w:t>
            </w:r>
          </w:p>
          <w:p w14:paraId="6808FA31" w14:textId="77777777" w:rsidR="00CF33D9" w:rsidRDefault="00E3332A">
            <w:pPr>
              <w:rPr>
                <w:rFonts w:ascii="Calibri" w:hAnsi="Calibri" w:cs="Calibri"/>
                <w:sz w:val="20"/>
                <w:szCs w:val="20"/>
              </w:rPr>
            </w:pPr>
            <w:r>
              <w:rPr>
                <w:rFonts w:ascii="Calibri" w:eastAsia="Calibri" w:hAnsi="Calibri" w:cs="Calibri"/>
                <w:color w:val="000000"/>
                <w:sz w:val="20"/>
                <w:szCs w:val="20"/>
                <w:u w:val="single"/>
              </w:rPr>
              <w:lastRenderedPageBreak/>
              <w:t>Namibia</w:t>
            </w:r>
            <w:r>
              <w:rPr>
                <w:rFonts w:ascii="Calibri" w:eastAsia="Calibri" w:hAnsi="Calibri" w:cs="Calibri"/>
                <w:color w:val="000000"/>
                <w:sz w:val="20"/>
                <w:szCs w:val="20"/>
              </w:rPr>
              <w:t>: Walvis Bay/Swakopmund, Luderitz/Oranjemund (Orange River mouth)</w:t>
            </w:r>
          </w:p>
        </w:tc>
        <w:tc>
          <w:tcPr>
            <w:tcW w:w="1826" w:type="dxa"/>
          </w:tcPr>
          <w:p w14:paraId="6808FA32" w14:textId="77777777" w:rsidR="00CF33D9" w:rsidRDefault="00E3332A">
            <w:pPr>
              <w:jc w:val="center"/>
              <w:rPr>
                <w:rFonts w:ascii="Calibri" w:eastAsia="Calibri" w:hAnsi="Calibri" w:cs="Calibri"/>
                <w:color w:val="000000"/>
                <w:sz w:val="20"/>
                <w:szCs w:val="20"/>
              </w:rPr>
            </w:pPr>
            <w:r>
              <w:rPr>
                <w:rFonts w:ascii="Calibri" w:eastAsia="Calibri" w:hAnsi="Calibri" w:cs="Calibri"/>
                <w:color w:val="000000"/>
                <w:sz w:val="20"/>
                <w:szCs w:val="20"/>
              </w:rPr>
              <w:lastRenderedPageBreak/>
              <w:t>12</w:t>
            </w:r>
          </w:p>
          <w:p w14:paraId="6808FA33" w14:textId="77777777" w:rsidR="00CF33D9" w:rsidRDefault="00E3332A">
            <w:pPr>
              <w:jc w:val="center"/>
              <w:rPr>
                <w:rFonts w:ascii="Calibri" w:eastAsia="Calibri" w:hAnsi="Calibri" w:cs="Calibri"/>
                <w:color w:val="000000"/>
                <w:sz w:val="20"/>
                <w:szCs w:val="20"/>
              </w:rPr>
            </w:pPr>
            <w:r>
              <w:rPr>
                <w:rFonts w:ascii="Calibri" w:eastAsia="Calibri" w:hAnsi="Calibri" w:cs="Calibri"/>
                <w:color w:val="000000"/>
                <w:sz w:val="20"/>
                <w:szCs w:val="20"/>
              </w:rPr>
              <w:t>Specific sites to be determined during the inception phase.</w:t>
            </w:r>
          </w:p>
        </w:tc>
        <w:tc>
          <w:tcPr>
            <w:tcW w:w="1802" w:type="dxa"/>
            <w:gridSpan w:val="2"/>
          </w:tcPr>
          <w:p w14:paraId="6808FA34" w14:textId="77777777" w:rsidR="00CF33D9" w:rsidRDefault="00E3332A">
            <w:pPr>
              <w:jc w:val="center"/>
              <w:rPr>
                <w:rFonts w:ascii="Calibri" w:eastAsia="Calibri" w:hAnsi="Calibri" w:cs="Calibri"/>
                <w:sz w:val="20"/>
                <w:szCs w:val="20"/>
              </w:rPr>
            </w:pPr>
            <w:r>
              <w:rPr>
                <w:rFonts w:ascii="Calibri" w:eastAsia="Calibri" w:hAnsi="Calibri" w:cs="Calibri"/>
                <w:sz w:val="20"/>
                <w:szCs w:val="20"/>
              </w:rPr>
              <w:t>18</w:t>
            </w:r>
          </w:p>
          <w:p w14:paraId="6808FA35" w14:textId="77777777" w:rsidR="00CF33D9" w:rsidRDefault="00CF33D9">
            <w:pPr>
              <w:rPr>
                <w:rFonts w:ascii="Calibri" w:eastAsia="Calibri" w:hAnsi="Calibri" w:cs="Calibri"/>
                <w:sz w:val="20"/>
                <w:szCs w:val="20"/>
              </w:rPr>
            </w:pPr>
          </w:p>
          <w:p w14:paraId="6808FA36" w14:textId="77777777" w:rsidR="00CF33D9" w:rsidRDefault="00E3332A">
            <w:pPr>
              <w:rPr>
                <w:rFonts w:ascii="Calibri" w:eastAsia="Calibri" w:hAnsi="Calibri" w:cs="Calibri"/>
                <w:sz w:val="20"/>
                <w:szCs w:val="20"/>
              </w:rPr>
            </w:pPr>
            <w:r>
              <w:rPr>
                <w:rFonts w:ascii="Calibri" w:eastAsia="Calibri" w:hAnsi="Calibri" w:cs="Calibri"/>
                <w:color w:val="000000"/>
                <w:sz w:val="20"/>
                <w:szCs w:val="20"/>
              </w:rPr>
              <w:t>Specific sites to be determined during the inception phase.</w:t>
            </w:r>
          </w:p>
        </w:tc>
        <w:tc>
          <w:tcPr>
            <w:tcW w:w="1547" w:type="dxa"/>
            <w:gridSpan w:val="2"/>
          </w:tcPr>
          <w:p w14:paraId="6808FA37" w14:textId="77777777" w:rsidR="00CF33D9" w:rsidRDefault="00E3332A">
            <w:pPr>
              <w:rPr>
                <w:rFonts w:ascii="Calibri" w:eastAsia="Calibri" w:hAnsi="Calibri" w:cs="Calibri"/>
                <w:sz w:val="20"/>
                <w:szCs w:val="20"/>
              </w:rPr>
            </w:pPr>
            <w:r>
              <w:rPr>
                <w:rFonts w:ascii="Calibri" w:eastAsia="Calibri" w:hAnsi="Calibri" w:cs="Calibri"/>
                <w:sz w:val="20"/>
                <w:szCs w:val="20"/>
              </w:rPr>
              <w:t>Monitoring survey records and reports.</w:t>
            </w:r>
          </w:p>
        </w:tc>
        <w:tc>
          <w:tcPr>
            <w:tcW w:w="2053" w:type="dxa"/>
          </w:tcPr>
          <w:p w14:paraId="6808FA38" w14:textId="77777777" w:rsidR="00CF33D9" w:rsidRDefault="00E3332A">
            <w:pPr>
              <w:rPr>
                <w:rFonts w:ascii="Calibri" w:eastAsia="Calibri" w:hAnsi="Calibri" w:cs="Calibri"/>
                <w:sz w:val="20"/>
                <w:szCs w:val="20"/>
              </w:rPr>
            </w:pPr>
            <w:r>
              <w:rPr>
                <w:rFonts w:ascii="Calibri" w:eastAsia="Calibri" w:hAnsi="Calibri" w:cs="Calibri"/>
                <w:sz w:val="20"/>
                <w:szCs w:val="20"/>
                <w:u w:val="single"/>
              </w:rPr>
              <w:t>Risks</w:t>
            </w:r>
            <w:r>
              <w:rPr>
                <w:rFonts w:ascii="Calibri" w:eastAsia="Calibri" w:hAnsi="Calibri" w:cs="Calibri"/>
                <w:sz w:val="20"/>
                <w:szCs w:val="20"/>
              </w:rPr>
              <w:t xml:space="preserve">: </w:t>
            </w:r>
          </w:p>
          <w:p w14:paraId="6808FA39" w14:textId="77777777" w:rsidR="00CF33D9" w:rsidRDefault="00E3332A">
            <w:pPr>
              <w:numPr>
                <w:ilvl w:val="0"/>
                <w:numId w:val="45"/>
              </w:numPr>
              <w:ind w:left="163" w:hanging="163"/>
              <w:rPr>
                <w:rFonts w:ascii="Calibri" w:eastAsia="Calibri" w:hAnsi="Calibri" w:cs="Calibri"/>
                <w:color w:val="000000"/>
                <w:sz w:val="20"/>
                <w:szCs w:val="20"/>
              </w:rPr>
            </w:pPr>
            <w:r>
              <w:rPr>
                <w:rFonts w:ascii="Calibri" w:eastAsia="Calibri" w:hAnsi="Calibri" w:cs="Calibri"/>
                <w:color w:val="000000"/>
                <w:sz w:val="20"/>
                <w:szCs w:val="20"/>
              </w:rPr>
              <w:t>Lack of support from technical institutions.</w:t>
            </w:r>
          </w:p>
          <w:p w14:paraId="6808FA3A" w14:textId="77777777" w:rsidR="00CF33D9" w:rsidRDefault="00E3332A">
            <w:pPr>
              <w:numPr>
                <w:ilvl w:val="0"/>
                <w:numId w:val="45"/>
              </w:numPr>
              <w:ind w:left="163" w:hanging="163"/>
              <w:rPr>
                <w:rFonts w:ascii="Calibri" w:eastAsia="Calibri" w:hAnsi="Calibri" w:cs="Calibri"/>
                <w:color w:val="000000"/>
                <w:sz w:val="20"/>
                <w:szCs w:val="20"/>
              </w:rPr>
            </w:pPr>
            <w:r>
              <w:rPr>
                <w:rFonts w:ascii="Calibri" w:eastAsia="Calibri" w:hAnsi="Calibri" w:cs="Calibri"/>
                <w:color w:val="000000"/>
                <w:sz w:val="20"/>
                <w:szCs w:val="20"/>
              </w:rPr>
              <w:t>Lack of capacity to support domestic monitoring.</w:t>
            </w:r>
          </w:p>
          <w:p w14:paraId="6808FA3B" w14:textId="77777777" w:rsidR="00CF33D9" w:rsidRDefault="00E3332A">
            <w:pPr>
              <w:rPr>
                <w:rFonts w:ascii="Calibri" w:eastAsia="Calibri" w:hAnsi="Calibri" w:cs="Calibri"/>
                <w:sz w:val="20"/>
                <w:szCs w:val="20"/>
              </w:rPr>
            </w:pPr>
            <w:r>
              <w:rPr>
                <w:rFonts w:ascii="Calibri" w:eastAsia="Calibri" w:hAnsi="Calibri" w:cs="Calibri"/>
                <w:sz w:val="20"/>
                <w:szCs w:val="20"/>
                <w:u w:val="single"/>
              </w:rPr>
              <w:t>Assumptions</w:t>
            </w:r>
            <w:r>
              <w:rPr>
                <w:rFonts w:ascii="Calibri" w:eastAsia="Calibri" w:hAnsi="Calibri" w:cs="Calibri"/>
                <w:sz w:val="20"/>
                <w:szCs w:val="20"/>
              </w:rPr>
              <w:t xml:space="preserve">: </w:t>
            </w:r>
          </w:p>
          <w:p w14:paraId="6808FA3C" w14:textId="77777777" w:rsidR="00CF33D9" w:rsidRDefault="00E3332A">
            <w:pPr>
              <w:numPr>
                <w:ilvl w:val="0"/>
                <w:numId w:val="46"/>
              </w:numPr>
              <w:ind w:left="163" w:hanging="163"/>
              <w:rPr>
                <w:rFonts w:ascii="Calibri" w:eastAsia="Calibri" w:hAnsi="Calibri" w:cs="Calibri"/>
                <w:color w:val="000000"/>
                <w:sz w:val="20"/>
                <w:szCs w:val="20"/>
              </w:rPr>
            </w:pPr>
            <w:r>
              <w:rPr>
                <w:rFonts w:ascii="Calibri" w:eastAsia="Calibri" w:hAnsi="Calibri" w:cs="Calibri"/>
                <w:color w:val="000000"/>
                <w:sz w:val="20"/>
                <w:szCs w:val="20"/>
              </w:rPr>
              <w:t>Significant co-finance and in-kind support is provided in each country.</w:t>
            </w:r>
          </w:p>
          <w:p w14:paraId="6808FA3D" w14:textId="77777777" w:rsidR="00CF33D9" w:rsidRDefault="00E3332A">
            <w:pPr>
              <w:numPr>
                <w:ilvl w:val="0"/>
                <w:numId w:val="46"/>
              </w:numPr>
              <w:ind w:left="163" w:hanging="163"/>
              <w:rPr>
                <w:rFonts w:ascii="Calibri" w:eastAsia="Calibri" w:hAnsi="Calibri" w:cs="Calibri"/>
                <w:color w:val="000000"/>
                <w:sz w:val="20"/>
                <w:szCs w:val="20"/>
              </w:rPr>
            </w:pPr>
            <w:r>
              <w:rPr>
                <w:rFonts w:ascii="Calibri" w:eastAsia="Calibri" w:hAnsi="Calibri" w:cs="Calibri"/>
                <w:color w:val="000000"/>
                <w:sz w:val="20"/>
                <w:szCs w:val="20"/>
              </w:rPr>
              <w:t xml:space="preserve">Technical institutions are fully engaged at the </w:t>
            </w:r>
            <w:r>
              <w:rPr>
                <w:rFonts w:ascii="Calibri" w:eastAsia="Calibri" w:hAnsi="Calibri" w:cs="Calibri"/>
                <w:color w:val="000000"/>
                <w:sz w:val="20"/>
                <w:szCs w:val="20"/>
              </w:rPr>
              <w:lastRenderedPageBreak/>
              <w:t>outset of the project to design appropriate monitoring campaigns.</w:t>
            </w:r>
          </w:p>
        </w:tc>
      </w:tr>
      <w:tr w:rsidR="00CF33D9" w14:paraId="6808FA4F" w14:textId="77777777">
        <w:trPr>
          <w:trHeight w:val="530"/>
        </w:trPr>
        <w:tc>
          <w:tcPr>
            <w:tcW w:w="1819" w:type="dxa"/>
            <w:vMerge/>
            <w:shd w:val="clear" w:color="auto" w:fill="auto"/>
          </w:tcPr>
          <w:p w14:paraId="6808FA3F" w14:textId="77777777" w:rsidR="00CF33D9" w:rsidRDefault="00CF33D9">
            <w:pPr>
              <w:widowControl w:val="0"/>
              <w:spacing w:line="276" w:lineRule="auto"/>
              <w:rPr>
                <w:rFonts w:ascii="Calibri" w:eastAsia="Calibri" w:hAnsi="Calibri" w:cs="Calibri"/>
                <w:color w:val="000000"/>
                <w:sz w:val="20"/>
                <w:szCs w:val="20"/>
              </w:rPr>
            </w:pPr>
          </w:p>
        </w:tc>
        <w:tc>
          <w:tcPr>
            <w:tcW w:w="1960" w:type="dxa"/>
            <w:gridSpan w:val="2"/>
          </w:tcPr>
          <w:p w14:paraId="6808FA40" w14:textId="77777777" w:rsidR="00CF33D9" w:rsidRDefault="00E3332A">
            <w:pPr>
              <w:rPr>
                <w:rFonts w:ascii="Calibri" w:eastAsia="Calibri" w:hAnsi="Calibri" w:cs="Calibri"/>
                <w:sz w:val="20"/>
                <w:szCs w:val="20"/>
              </w:rPr>
            </w:pPr>
            <w:r>
              <w:rPr>
                <w:rFonts w:ascii="Calibri" w:eastAsia="Calibri" w:hAnsi="Calibri" w:cs="Calibri"/>
                <w:sz w:val="20"/>
                <w:szCs w:val="20"/>
              </w:rPr>
              <w:t xml:space="preserve">Indicator 20: </w:t>
            </w:r>
            <w:r>
              <w:rPr>
                <w:rFonts w:ascii="Calibri" w:eastAsia="Calibri" w:hAnsi="Calibri" w:cs="Calibri"/>
                <w:color w:val="000000"/>
                <w:sz w:val="20"/>
                <w:szCs w:val="20"/>
              </w:rPr>
              <w:t># of BCC pollution hotspots in each country where Phase 2 monitoring has been undertaken</w:t>
            </w:r>
          </w:p>
        </w:tc>
        <w:tc>
          <w:tcPr>
            <w:tcW w:w="1694" w:type="dxa"/>
          </w:tcPr>
          <w:p w14:paraId="6808FA41" w14:textId="77777777" w:rsidR="00CF33D9" w:rsidRDefault="00E3332A">
            <w:pPr>
              <w:rPr>
                <w:rFonts w:ascii="Calibri" w:eastAsia="Calibri" w:hAnsi="Calibri" w:cs="Calibri"/>
                <w:sz w:val="20"/>
                <w:szCs w:val="20"/>
              </w:rPr>
            </w:pPr>
            <w:r>
              <w:rPr>
                <w:rFonts w:ascii="Calibri" w:eastAsia="Calibri" w:hAnsi="Calibri" w:cs="Calibri"/>
                <w:sz w:val="20"/>
                <w:szCs w:val="20"/>
              </w:rPr>
              <w:t>BCC pollution analysis reports.</w:t>
            </w:r>
          </w:p>
          <w:p w14:paraId="6808FA42" w14:textId="77777777" w:rsidR="00CF33D9" w:rsidRDefault="00CF33D9">
            <w:pPr>
              <w:rPr>
                <w:rFonts w:ascii="Calibri" w:eastAsia="Calibri" w:hAnsi="Calibri" w:cs="Calibri"/>
                <w:color w:val="000000"/>
                <w:sz w:val="20"/>
                <w:szCs w:val="20"/>
              </w:rPr>
            </w:pPr>
          </w:p>
        </w:tc>
        <w:tc>
          <w:tcPr>
            <w:tcW w:w="1694" w:type="dxa"/>
          </w:tcPr>
          <w:p w14:paraId="6808FA43" w14:textId="77777777" w:rsidR="00CF33D9" w:rsidRDefault="00E3332A">
            <w:pPr>
              <w:jc w:val="center"/>
              <w:rPr>
                <w:rFonts w:ascii="Calibri" w:eastAsia="Calibri" w:hAnsi="Calibri" w:cs="Calibri"/>
                <w:color w:val="000000"/>
                <w:sz w:val="20"/>
                <w:szCs w:val="20"/>
              </w:rPr>
            </w:pPr>
            <w:r>
              <w:rPr>
                <w:rFonts w:ascii="Calibri" w:eastAsia="Calibri" w:hAnsi="Calibri" w:cs="Calibri"/>
                <w:color w:val="000000"/>
                <w:sz w:val="20"/>
                <w:szCs w:val="20"/>
              </w:rPr>
              <w:t>0</w:t>
            </w:r>
          </w:p>
          <w:p w14:paraId="6808FA44" w14:textId="77777777" w:rsidR="00CF33D9" w:rsidRDefault="00E3332A">
            <w:pPr>
              <w:rPr>
                <w:rFonts w:ascii="Calibri" w:eastAsia="Calibri" w:hAnsi="Calibri" w:cs="Calibri"/>
                <w:sz w:val="20"/>
                <w:szCs w:val="20"/>
              </w:rPr>
            </w:pPr>
            <w:r>
              <w:rPr>
                <w:rFonts w:ascii="Calibri" w:eastAsia="Calibri" w:hAnsi="Calibri" w:cs="Calibri"/>
                <w:color w:val="000000"/>
                <w:sz w:val="20"/>
                <w:szCs w:val="20"/>
              </w:rPr>
              <w:t>To date no Phase 2 surveys have been undertaken in any of the three countries</w:t>
            </w:r>
          </w:p>
        </w:tc>
        <w:tc>
          <w:tcPr>
            <w:tcW w:w="1826" w:type="dxa"/>
          </w:tcPr>
          <w:p w14:paraId="6808FA45" w14:textId="77777777" w:rsidR="00CF33D9" w:rsidRDefault="00E3332A">
            <w:pPr>
              <w:jc w:val="center"/>
              <w:rPr>
                <w:rFonts w:ascii="Calibri" w:eastAsia="Calibri" w:hAnsi="Calibri" w:cs="Calibri"/>
                <w:sz w:val="20"/>
                <w:szCs w:val="20"/>
              </w:rPr>
            </w:pPr>
            <w:r>
              <w:rPr>
                <w:rFonts w:ascii="Calibri" w:eastAsia="Calibri" w:hAnsi="Calibri" w:cs="Calibri"/>
                <w:sz w:val="20"/>
                <w:szCs w:val="20"/>
              </w:rPr>
              <w:t>0</w:t>
            </w:r>
          </w:p>
          <w:p w14:paraId="6808FA46" w14:textId="77777777" w:rsidR="00CF33D9" w:rsidRDefault="00E3332A">
            <w:pPr>
              <w:rPr>
                <w:rFonts w:ascii="Calibri" w:eastAsia="Calibri" w:hAnsi="Calibri" w:cs="Calibri"/>
                <w:sz w:val="20"/>
                <w:szCs w:val="20"/>
              </w:rPr>
            </w:pPr>
            <w:r>
              <w:rPr>
                <w:rFonts w:ascii="Calibri" w:eastAsia="Calibri" w:hAnsi="Calibri" w:cs="Calibri"/>
                <w:sz w:val="20"/>
                <w:szCs w:val="20"/>
              </w:rPr>
              <w:t>Site selection will be contingent upon the outcome of the Phase 1 monitoring</w:t>
            </w:r>
          </w:p>
        </w:tc>
        <w:tc>
          <w:tcPr>
            <w:tcW w:w="1802" w:type="dxa"/>
            <w:gridSpan w:val="2"/>
          </w:tcPr>
          <w:p w14:paraId="6808FA47" w14:textId="77777777" w:rsidR="00CF33D9" w:rsidRDefault="00E3332A">
            <w:pPr>
              <w:jc w:val="center"/>
              <w:rPr>
                <w:rFonts w:ascii="Calibri" w:eastAsia="Calibri" w:hAnsi="Calibri" w:cs="Calibri"/>
                <w:sz w:val="20"/>
                <w:szCs w:val="20"/>
              </w:rPr>
            </w:pPr>
            <w:r>
              <w:rPr>
                <w:rFonts w:ascii="Calibri" w:eastAsia="Calibri" w:hAnsi="Calibri" w:cs="Calibri"/>
                <w:sz w:val="20"/>
                <w:szCs w:val="20"/>
              </w:rPr>
              <w:t>4</w:t>
            </w:r>
          </w:p>
          <w:p w14:paraId="6808FA48" w14:textId="77777777" w:rsidR="00CF33D9" w:rsidRDefault="00E3332A">
            <w:pPr>
              <w:rPr>
                <w:rFonts w:ascii="Calibri" w:eastAsia="Calibri" w:hAnsi="Calibri" w:cs="Calibri"/>
                <w:sz w:val="20"/>
                <w:szCs w:val="20"/>
              </w:rPr>
            </w:pPr>
            <w:r>
              <w:rPr>
                <w:rFonts w:ascii="Calibri" w:eastAsia="Calibri" w:hAnsi="Calibri" w:cs="Calibri"/>
                <w:sz w:val="20"/>
                <w:szCs w:val="20"/>
              </w:rPr>
              <w:t>Sites will be determined at the mid-term point once Phase 1 monitoring has been completed.</w:t>
            </w:r>
          </w:p>
        </w:tc>
        <w:tc>
          <w:tcPr>
            <w:tcW w:w="1547" w:type="dxa"/>
            <w:gridSpan w:val="2"/>
          </w:tcPr>
          <w:p w14:paraId="6808FA49" w14:textId="77777777" w:rsidR="00CF33D9" w:rsidRDefault="00E3332A">
            <w:pPr>
              <w:rPr>
                <w:rFonts w:ascii="Calibri" w:eastAsia="Calibri" w:hAnsi="Calibri" w:cs="Calibri"/>
                <w:sz w:val="20"/>
                <w:szCs w:val="20"/>
              </w:rPr>
            </w:pPr>
            <w:r>
              <w:rPr>
                <w:rFonts w:ascii="Calibri" w:eastAsia="Calibri" w:hAnsi="Calibri" w:cs="Calibri"/>
                <w:sz w:val="20"/>
                <w:szCs w:val="20"/>
              </w:rPr>
              <w:t>Monitoring survey records and reports.</w:t>
            </w:r>
          </w:p>
        </w:tc>
        <w:tc>
          <w:tcPr>
            <w:tcW w:w="2053" w:type="dxa"/>
          </w:tcPr>
          <w:p w14:paraId="6808FA4A" w14:textId="77777777" w:rsidR="00CF33D9" w:rsidRDefault="00E3332A">
            <w:pPr>
              <w:rPr>
                <w:rFonts w:ascii="Calibri" w:eastAsia="Calibri" w:hAnsi="Calibri" w:cs="Calibri"/>
                <w:sz w:val="20"/>
                <w:szCs w:val="20"/>
              </w:rPr>
            </w:pPr>
            <w:r>
              <w:rPr>
                <w:rFonts w:ascii="Calibri" w:eastAsia="Calibri" w:hAnsi="Calibri" w:cs="Calibri"/>
                <w:sz w:val="20"/>
                <w:szCs w:val="20"/>
                <w:u w:val="single"/>
              </w:rPr>
              <w:t>Risks</w:t>
            </w:r>
            <w:r>
              <w:rPr>
                <w:rFonts w:ascii="Calibri" w:eastAsia="Calibri" w:hAnsi="Calibri" w:cs="Calibri"/>
                <w:sz w:val="20"/>
                <w:szCs w:val="20"/>
              </w:rPr>
              <w:t xml:space="preserve">: </w:t>
            </w:r>
          </w:p>
          <w:p w14:paraId="6808FA4B" w14:textId="77777777" w:rsidR="00CF33D9" w:rsidRDefault="00E3332A">
            <w:pPr>
              <w:numPr>
                <w:ilvl w:val="0"/>
                <w:numId w:val="47"/>
              </w:numPr>
              <w:ind w:left="163" w:hanging="142"/>
              <w:rPr>
                <w:rFonts w:ascii="Calibri" w:eastAsia="Calibri" w:hAnsi="Calibri" w:cs="Calibri"/>
                <w:color w:val="000000"/>
                <w:sz w:val="20"/>
                <w:szCs w:val="20"/>
              </w:rPr>
            </w:pPr>
            <w:r>
              <w:rPr>
                <w:rFonts w:ascii="Calibri" w:eastAsia="Calibri" w:hAnsi="Calibri" w:cs="Calibri"/>
                <w:color w:val="000000"/>
                <w:sz w:val="20"/>
                <w:szCs w:val="20"/>
              </w:rPr>
              <w:t>Failure to complete Phase 1 monitoring results in an inability to define Phase 2 sites.</w:t>
            </w:r>
          </w:p>
          <w:p w14:paraId="6808FA4C" w14:textId="77777777" w:rsidR="00CF33D9" w:rsidRDefault="00E3332A">
            <w:pPr>
              <w:numPr>
                <w:ilvl w:val="0"/>
                <w:numId w:val="47"/>
              </w:numPr>
              <w:ind w:left="163" w:hanging="142"/>
              <w:rPr>
                <w:rFonts w:ascii="Calibri" w:eastAsia="Calibri" w:hAnsi="Calibri" w:cs="Calibri"/>
                <w:color w:val="000000"/>
                <w:sz w:val="20"/>
                <w:szCs w:val="20"/>
              </w:rPr>
            </w:pPr>
            <w:r>
              <w:rPr>
                <w:rFonts w:ascii="Calibri" w:eastAsia="Calibri" w:hAnsi="Calibri" w:cs="Calibri"/>
                <w:color w:val="000000"/>
                <w:sz w:val="20"/>
                <w:szCs w:val="20"/>
              </w:rPr>
              <w:t>Technical institutes lack the resources for additional monitoring.</w:t>
            </w:r>
          </w:p>
          <w:p w14:paraId="6808FA4D" w14:textId="77777777" w:rsidR="00CF33D9" w:rsidRDefault="00E3332A">
            <w:pPr>
              <w:rPr>
                <w:rFonts w:ascii="Calibri" w:eastAsia="Calibri" w:hAnsi="Calibri" w:cs="Calibri"/>
                <w:sz w:val="20"/>
                <w:szCs w:val="20"/>
              </w:rPr>
            </w:pPr>
            <w:r>
              <w:rPr>
                <w:rFonts w:ascii="Calibri" w:eastAsia="Calibri" w:hAnsi="Calibri" w:cs="Calibri"/>
                <w:sz w:val="20"/>
                <w:szCs w:val="20"/>
                <w:u w:val="single"/>
              </w:rPr>
              <w:t>Assumptions</w:t>
            </w:r>
            <w:r>
              <w:rPr>
                <w:rFonts w:ascii="Calibri" w:eastAsia="Calibri" w:hAnsi="Calibri" w:cs="Calibri"/>
                <w:sz w:val="20"/>
                <w:szCs w:val="20"/>
              </w:rPr>
              <w:t xml:space="preserve">: </w:t>
            </w:r>
          </w:p>
          <w:p w14:paraId="6808FA4E" w14:textId="77777777" w:rsidR="00CF33D9" w:rsidRDefault="00E3332A">
            <w:pPr>
              <w:rPr>
                <w:rFonts w:ascii="Calibri" w:eastAsia="Calibri" w:hAnsi="Calibri" w:cs="Calibri"/>
                <w:sz w:val="20"/>
                <w:szCs w:val="20"/>
              </w:rPr>
            </w:pPr>
            <w:r>
              <w:rPr>
                <w:rFonts w:ascii="Calibri" w:eastAsia="Calibri" w:hAnsi="Calibri" w:cs="Calibri"/>
                <w:sz w:val="20"/>
                <w:szCs w:val="20"/>
              </w:rPr>
              <w:t>Technical institutions are fully engaged at the outset of the project to design appropriate monitoring campaigns.</w:t>
            </w:r>
          </w:p>
        </w:tc>
      </w:tr>
      <w:tr w:rsidR="00CF33D9" w14:paraId="6808FA52" w14:textId="77777777">
        <w:trPr>
          <w:trHeight w:val="530"/>
        </w:trPr>
        <w:tc>
          <w:tcPr>
            <w:tcW w:w="1819" w:type="dxa"/>
            <w:shd w:val="clear" w:color="auto" w:fill="auto"/>
          </w:tcPr>
          <w:p w14:paraId="6808FA50" w14:textId="77777777" w:rsidR="00CF33D9" w:rsidRDefault="00E3332A">
            <w:pPr>
              <w:rPr>
                <w:rFonts w:ascii="Calibri" w:eastAsia="Calibri" w:hAnsi="Calibri" w:cs="Calibri"/>
                <w:b/>
                <w:sz w:val="20"/>
                <w:szCs w:val="20"/>
              </w:rPr>
            </w:pPr>
            <w:r>
              <w:rPr>
                <w:rFonts w:ascii="Calibri" w:eastAsia="Calibri" w:hAnsi="Calibri" w:cs="Calibri"/>
                <w:b/>
                <w:sz w:val="20"/>
                <w:szCs w:val="20"/>
              </w:rPr>
              <w:t>Outputs to achieve Outcome 3.3</w:t>
            </w:r>
          </w:p>
        </w:tc>
        <w:tc>
          <w:tcPr>
            <w:tcW w:w="12576" w:type="dxa"/>
            <w:gridSpan w:val="10"/>
          </w:tcPr>
          <w:p w14:paraId="6808FA51" w14:textId="77777777" w:rsidR="00CF33D9" w:rsidRDefault="00E3332A">
            <w:pPr>
              <w:rPr>
                <w:rFonts w:ascii="Calibri" w:hAnsi="Calibri" w:cs="Calibri"/>
                <w:sz w:val="20"/>
                <w:szCs w:val="20"/>
              </w:rPr>
            </w:pPr>
            <w:r>
              <w:rPr>
                <w:rFonts w:ascii="Calibri" w:eastAsia="Calibri" w:hAnsi="Calibri" w:cs="Calibri"/>
                <w:sz w:val="20"/>
                <w:szCs w:val="20"/>
              </w:rPr>
              <w:t>3.3.1: Cooperative agreements and long-term programs for ecosystem health monitoring and compliance between countries formalised</w:t>
            </w:r>
          </w:p>
        </w:tc>
      </w:tr>
      <w:tr w:rsidR="00CF33D9" w14:paraId="6808FA55" w14:textId="77777777">
        <w:trPr>
          <w:trHeight w:val="433"/>
        </w:trPr>
        <w:tc>
          <w:tcPr>
            <w:tcW w:w="1819" w:type="dxa"/>
            <w:shd w:val="clear" w:color="auto" w:fill="E7E6E6"/>
          </w:tcPr>
          <w:p w14:paraId="6808FA53" w14:textId="77777777" w:rsidR="00CF33D9" w:rsidRDefault="00E3332A">
            <w:pPr>
              <w:rPr>
                <w:rFonts w:ascii="Calibri" w:eastAsia="Calibri" w:hAnsi="Calibri" w:cs="Calibri"/>
                <w:b/>
                <w:sz w:val="20"/>
                <w:szCs w:val="20"/>
              </w:rPr>
            </w:pPr>
            <w:r>
              <w:rPr>
                <w:rFonts w:ascii="Calibri" w:eastAsia="Calibri" w:hAnsi="Calibri" w:cs="Calibri"/>
                <w:b/>
                <w:sz w:val="20"/>
                <w:szCs w:val="20"/>
              </w:rPr>
              <w:t>Project component 4</w:t>
            </w:r>
          </w:p>
        </w:tc>
        <w:tc>
          <w:tcPr>
            <w:tcW w:w="12576" w:type="dxa"/>
            <w:gridSpan w:val="10"/>
            <w:shd w:val="clear" w:color="auto" w:fill="E7E6E6"/>
          </w:tcPr>
          <w:p w14:paraId="6808FA54" w14:textId="77777777" w:rsidR="00CF33D9" w:rsidRDefault="00E3332A">
            <w:pPr>
              <w:rPr>
                <w:rFonts w:ascii="Calibri" w:eastAsia="Calibri" w:hAnsi="Calibri" w:cs="Calibri"/>
                <w:b/>
                <w:sz w:val="20"/>
                <w:szCs w:val="20"/>
              </w:rPr>
            </w:pPr>
            <w:r>
              <w:rPr>
                <w:rFonts w:ascii="Calibri" w:eastAsia="Calibri" w:hAnsi="Calibri" w:cs="Calibri"/>
                <w:b/>
                <w:color w:val="000000"/>
                <w:sz w:val="20"/>
                <w:szCs w:val="20"/>
              </w:rPr>
              <w:t>Promote regional and national frameworks for innovative sustainable blue/ocean economy finance to foster positive ecosystem, social and economic impacts</w:t>
            </w:r>
          </w:p>
        </w:tc>
      </w:tr>
      <w:tr w:rsidR="00CF33D9" w14:paraId="6808FA6E" w14:textId="77777777">
        <w:trPr>
          <w:trHeight w:val="440"/>
        </w:trPr>
        <w:tc>
          <w:tcPr>
            <w:tcW w:w="1819" w:type="dxa"/>
            <w:vMerge w:val="restart"/>
            <w:shd w:val="clear" w:color="auto" w:fill="auto"/>
          </w:tcPr>
          <w:p w14:paraId="6808FA56" w14:textId="77777777" w:rsidR="00CF33D9" w:rsidRDefault="00E3332A">
            <w:pPr>
              <w:rPr>
                <w:rFonts w:ascii="Calibri" w:eastAsia="Calibri" w:hAnsi="Calibri" w:cs="Calibri"/>
                <w:b/>
                <w:color w:val="000000"/>
                <w:sz w:val="20"/>
                <w:szCs w:val="20"/>
              </w:rPr>
            </w:pPr>
            <w:r>
              <w:rPr>
                <w:rFonts w:ascii="Calibri" w:eastAsia="Calibri" w:hAnsi="Calibri" w:cs="Calibri"/>
                <w:b/>
                <w:color w:val="000000"/>
                <w:sz w:val="20"/>
                <w:szCs w:val="20"/>
              </w:rPr>
              <w:t>Outcome 4.1: Policy, regulatory and institutional capacity for boosting sustainable innovative blue/ocean economy finance strengthened (within the framework of a Circular Economy)</w:t>
            </w:r>
          </w:p>
        </w:tc>
        <w:tc>
          <w:tcPr>
            <w:tcW w:w="1960" w:type="dxa"/>
            <w:gridSpan w:val="2"/>
          </w:tcPr>
          <w:p w14:paraId="6808FA57" w14:textId="77777777" w:rsidR="00CF33D9" w:rsidRDefault="00E3332A">
            <w:pPr>
              <w:rPr>
                <w:rFonts w:ascii="Calibri" w:eastAsia="Calibri" w:hAnsi="Calibri" w:cs="Calibri"/>
                <w:sz w:val="20"/>
                <w:szCs w:val="20"/>
              </w:rPr>
            </w:pPr>
            <w:r>
              <w:rPr>
                <w:rFonts w:ascii="Calibri" w:eastAsia="Calibri" w:hAnsi="Calibri" w:cs="Calibri"/>
                <w:sz w:val="20"/>
                <w:szCs w:val="20"/>
              </w:rPr>
              <w:t xml:space="preserve">Indicator 21: </w:t>
            </w:r>
            <w:r>
              <w:rPr>
                <w:rFonts w:ascii="Calibri" w:eastAsia="Calibri" w:hAnsi="Calibri" w:cs="Calibri"/>
                <w:color w:val="000000"/>
                <w:sz w:val="20"/>
                <w:szCs w:val="20"/>
              </w:rPr>
              <w:t># of policies developed and/or strengthened for sustainable blue/ocean economy finance</w:t>
            </w:r>
          </w:p>
        </w:tc>
        <w:tc>
          <w:tcPr>
            <w:tcW w:w="1694" w:type="dxa"/>
          </w:tcPr>
          <w:p w14:paraId="6808FA58" w14:textId="77777777" w:rsidR="00CF33D9" w:rsidRDefault="00E3332A">
            <w:pPr>
              <w:jc w:val="both"/>
              <w:rPr>
                <w:rFonts w:ascii="Calibri" w:eastAsia="Calibri" w:hAnsi="Calibri" w:cs="Calibri"/>
                <w:color w:val="000000"/>
                <w:sz w:val="20"/>
                <w:szCs w:val="20"/>
              </w:rPr>
            </w:pPr>
            <w:r>
              <w:rPr>
                <w:rFonts w:ascii="Calibri" w:eastAsia="Calibri" w:hAnsi="Calibri" w:cs="Calibri"/>
                <w:color w:val="000000"/>
                <w:sz w:val="20"/>
                <w:szCs w:val="20"/>
              </w:rPr>
              <w:t>BCC SAP</w:t>
            </w:r>
          </w:p>
          <w:p w14:paraId="6808FA59" w14:textId="77777777" w:rsidR="00CF33D9" w:rsidRDefault="00CF33D9">
            <w:pPr>
              <w:jc w:val="both"/>
              <w:rPr>
                <w:rFonts w:ascii="Calibri" w:eastAsia="Calibri" w:hAnsi="Calibri" w:cs="Calibri"/>
                <w:color w:val="000000"/>
                <w:sz w:val="20"/>
                <w:szCs w:val="20"/>
              </w:rPr>
            </w:pPr>
          </w:p>
          <w:p w14:paraId="6808FA5A" w14:textId="77777777" w:rsidR="00CF33D9" w:rsidRDefault="00E3332A">
            <w:pPr>
              <w:rPr>
                <w:rFonts w:ascii="Calibri" w:eastAsia="Calibri" w:hAnsi="Calibri" w:cs="Calibri"/>
                <w:sz w:val="20"/>
                <w:szCs w:val="20"/>
              </w:rPr>
            </w:pPr>
            <w:r>
              <w:rPr>
                <w:rFonts w:ascii="Calibri" w:eastAsia="Calibri" w:hAnsi="Calibri" w:cs="Calibri"/>
                <w:color w:val="000000"/>
                <w:sz w:val="20"/>
                <w:szCs w:val="20"/>
              </w:rPr>
              <w:t>National Action Plans</w:t>
            </w:r>
            <w:r>
              <w:rPr>
                <w:rFonts w:ascii="Calibri" w:eastAsia="Calibri" w:hAnsi="Calibri" w:cs="Calibri"/>
                <w:sz w:val="20"/>
                <w:szCs w:val="20"/>
              </w:rPr>
              <w:t xml:space="preserve"> </w:t>
            </w:r>
          </w:p>
        </w:tc>
        <w:tc>
          <w:tcPr>
            <w:tcW w:w="1694" w:type="dxa"/>
          </w:tcPr>
          <w:p w14:paraId="6808FA5B" w14:textId="77777777" w:rsidR="00CF33D9" w:rsidRDefault="00E3332A">
            <w:pPr>
              <w:jc w:val="center"/>
              <w:rPr>
                <w:rFonts w:ascii="Calibri" w:eastAsia="Calibri" w:hAnsi="Calibri" w:cs="Calibri"/>
                <w:sz w:val="20"/>
                <w:szCs w:val="20"/>
              </w:rPr>
            </w:pPr>
            <w:r>
              <w:rPr>
                <w:rFonts w:ascii="Calibri" w:eastAsia="Calibri" w:hAnsi="Calibri" w:cs="Calibri"/>
                <w:sz w:val="20"/>
                <w:szCs w:val="20"/>
              </w:rPr>
              <w:t>1</w:t>
            </w:r>
          </w:p>
          <w:p w14:paraId="6808FA5C" w14:textId="77777777" w:rsidR="00CF33D9" w:rsidRDefault="00E3332A">
            <w:pPr>
              <w:rPr>
                <w:rFonts w:ascii="Calibri" w:eastAsia="Calibri" w:hAnsi="Calibri" w:cs="Calibri"/>
                <w:sz w:val="20"/>
                <w:szCs w:val="20"/>
              </w:rPr>
            </w:pPr>
            <w:r>
              <w:rPr>
                <w:rFonts w:ascii="Calibri" w:eastAsia="Calibri" w:hAnsi="Calibri" w:cs="Calibri"/>
                <w:sz w:val="20"/>
                <w:szCs w:val="20"/>
              </w:rPr>
              <w:t>Ocean Phakisa, South Africa already has many aspects of sustainable and inclusive blue/ocean economy model and it is aligned with broader national socio-economic goals.</w:t>
            </w:r>
          </w:p>
          <w:p w14:paraId="6808FA5D"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lastRenderedPageBreak/>
              <w:t>Angola has an Ocean Strategy that needs to be implemented.</w:t>
            </w:r>
          </w:p>
          <w:p w14:paraId="6808FA5E" w14:textId="77777777" w:rsidR="00CF33D9" w:rsidRDefault="00E3332A">
            <w:pPr>
              <w:rPr>
                <w:rFonts w:ascii="Calibri" w:eastAsia="Calibri" w:hAnsi="Calibri" w:cs="Calibri"/>
                <w:sz w:val="20"/>
                <w:szCs w:val="20"/>
                <w:highlight w:val="yellow"/>
              </w:rPr>
            </w:pPr>
            <w:r>
              <w:rPr>
                <w:rFonts w:ascii="Calibri" w:eastAsia="Calibri" w:hAnsi="Calibri" w:cs="Calibri"/>
                <w:color w:val="000000"/>
                <w:sz w:val="20"/>
                <w:szCs w:val="20"/>
              </w:rPr>
              <w:t>Namibia has a draft Blue Economy Policy that still needs to be endorsed through Cabinet, meanwhile blue economy activities are progressing in the country.</w:t>
            </w:r>
          </w:p>
        </w:tc>
        <w:tc>
          <w:tcPr>
            <w:tcW w:w="1826" w:type="dxa"/>
          </w:tcPr>
          <w:p w14:paraId="6808FA5F" w14:textId="77777777" w:rsidR="00CF33D9" w:rsidRDefault="00E3332A">
            <w:pPr>
              <w:jc w:val="center"/>
              <w:rPr>
                <w:rFonts w:ascii="Calibri" w:eastAsia="Calibri" w:hAnsi="Calibri" w:cs="Calibri"/>
                <w:sz w:val="20"/>
                <w:szCs w:val="20"/>
              </w:rPr>
            </w:pPr>
            <w:r>
              <w:rPr>
                <w:rFonts w:ascii="Calibri" w:eastAsia="Calibri" w:hAnsi="Calibri" w:cs="Calibri"/>
                <w:sz w:val="20"/>
                <w:szCs w:val="20"/>
              </w:rPr>
              <w:lastRenderedPageBreak/>
              <w:t>3</w:t>
            </w:r>
          </w:p>
          <w:p w14:paraId="6808FA60" w14:textId="77777777" w:rsidR="00CF33D9" w:rsidRDefault="00E3332A">
            <w:pPr>
              <w:rPr>
                <w:rFonts w:ascii="Calibri" w:eastAsia="Calibri" w:hAnsi="Calibri" w:cs="Calibri"/>
                <w:sz w:val="20"/>
                <w:szCs w:val="20"/>
                <w:highlight w:val="yellow"/>
              </w:rPr>
            </w:pPr>
            <w:r>
              <w:rPr>
                <w:rFonts w:ascii="Calibri" w:eastAsia="Calibri" w:hAnsi="Calibri" w:cs="Calibri"/>
                <w:sz w:val="20"/>
                <w:szCs w:val="20"/>
              </w:rPr>
              <w:t>At least 1 designed/ developed policy and/or strengthened blue/ocean economy finance developed by each country.</w:t>
            </w:r>
          </w:p>
        </w:tc>
        <w:tc>
          <w:tcPr>
            <w:tcW w:w="1694" w:type="dxa"/>
          </w:tcPr>
          <w:p w14:paraId="6808FA61" w14:textId="77777777" w:rsidR="00CF33D9" w:rsidRDefault="00E3332A">
            <w:pPr>
              <w:jc w:val="center"/>
              <w:rPr>
                <w:rFonts w:ascii="Calibri" w:eastAsia="Calibri" w:hAnsi="Calibri" w:cs="Calibri"/>
                <w:sz w:val="20"/>
                <w:szCs w:val="20"/>
              </w:rPr>
            </w:pPr>
            <w:r>
              <w:rPr>
                <w:rFonts w:ascii="Calibri" w:eastAsia="Calibri" w:hAnsi="Calibri" w:cs="Calibri"/>
                <w:sz w:val="20"/>
                <w:szCs w:val="20"/>
              </w:rPr>
              <w:t>6</w:t>
            </w:r>
          </w:p>
          <w:p w14:paraId="6808FA62" w14:textId="77777777" w:rsidR="00CF33D9" w:rsidRDefault="00E3332A">
            <w:pPr>
              <w:rPr>
                <w:rFonts w:ascii="Calibri" w:eastAsia="Calibri" w:hAnsi="Calibri" w:cs="Calibri"/>
                <w:sz w:val="20"/>
                <w:szCs w:val="20"/>
                <w:highlight w:val="yellow"/>
              </w:rPr>
            </w:pPr>
            <w:r>
              <w:rPr>
                <w:rFonts w:ascii="Calibri" w:eastAsia="Calibri" w:hAnsi="Calibri" w:cs="Calibri"/>
                <w:sz w:val="20"/>
                <w:szCs w:val="20"/>
              </w:rPr>
              <w:t>At least 2 developed policy and/or strengthened blue/ocean economy finance adopted by each country.</w:t>
            </w:r>
          </w:p>
        </w:tc>
        <w:tc>
          <w:tcPr>
            <w:tcW w:w="1518" w:type="dxa"/>
            <w:gridSpan w:val="2"/>
          </w:tcPr>
          <w:p w14:paraId="6808FA63" w14:textId="77777777" w:rsidR="00CF33D9" w:rsidRDefault="00E3332A">
            <w:pPr>
              <w:rPr>
                <w:rFonts w:ascii="Calibri" w:eastAsia="Calibri" w:hAnsi="Calibri" w:cs="Calibri"/>
                <w:sz w:val="20"/>
                <w:szCs w:val="20"/>
              </w:rPr>
            </w:pPr>
            <w:r>
              <w:rPr>
                <w:rFonts w:ascii="Calibri" w:eastAsia="Calibri" w:hAnsi="Calibri" w:cs="Calibri"/>
                <w:sz w:val="20"/>
                <w:szCs w:val="20"/>
              </w:rPr>
              <w:t>Gazette notices of new regulations</w:t>
            </w:r>
          </w:p>
          <w:p w14:paraId="6808FA64" w14:textId="77777777" w:rsidR="00CF33D9" w:rsidRDefault="00CF33D9">
            <w:pPr>
              <w:rPr>
                <w:rFonts w:ascii="Calibri" w:eastAsia="Calibri" w:hAnsi="Calibri" w:cs="Calibri"/>
                <w:sz w:val="20"/>
                <w:szCs w:val="20"/>
              </w:rPr>
            </w:pPr>
          </w:p>
          <w:p w14:paraId="6808FA65" w14:textId="77777777" w:rsidR="00CF33D9" w:rsidRDefault="00E3332A">
            <w:pPr>
              <w:jc w:val="both"/>
              <w:rPr>
                <w:rFonts w:ascii="Calibri" w:eastAsia="Calibri" w:hAnsi="Calibri" w:cs="Calibri"/>
                <w:color w:val="000000"/>
                <w:sz w:val="20"/>
                <w:szCs w:val="20"/>
              </w:rPr>
            </w:pPr>
            <w:r>
              <w:rPr>
                <w:rFonts w:ascii="Calibri" w:eastAsia="Calibri" w:hAnsi="Calibri" w:cs="Calibri"/>
                <w:color w:val="000000"/>
                <w:sz w:val="20"/>
                <w:szCs w:val="20"/>
              </w:rPr>
              <w:t>Consultation reports</w:t>
            </w:r>
          </w:p>
          <w:p w14:paraId="6808FA66" w14:textId="77777777" w:rsidR="00CF33D9" w:rsidRDefault="00CF33D9">
            <w:pPr>
              <w:jc w:val="both"/>
              <w:rPr>
                <w:rFonts w:ascii="Calibri" w:eastAsia="Calibri" w:hAnsi="Calibri" w:cs="Calibri"/>
                <w:color w:val="000000"/>
                <w:sz w:val="20"/>
                <w:szCs w:val="20"/>
              </w:rPr>
            </w:pPr>
          </w:p>
          <w:p w14:paraId="6808FA67" w14:textId="77777777" w:rsidR="00CF33D9" w:rsidRDefault="00E3332A">
            <w:pPr>
              <w:rPr>
                <w:rFonts w:ascii="Calibri" w:eastAsia="Calibri" w:hAnsi="Calibri" w:cs="Calibri"/>
                <w:sz w:val="20"/>
                <w:szCs w:val="20"/>
                <w:highlight w:val="yellow"/>
              </w:rPr>
            </w:pPr>
            <w:r>
              <w:rPr>
                <w:rFonts w:ascii="Calibri" w:eastAsia="Calibri" w:hAnsi="Calibri" w:cs="Calibri"/>
                <w:color w:val="000000"/>
                <w:sz w:val="20"/>
                <w:szCs w:val="20"/>
              </w:rPr>
              <w:t>Attendance registers</w:t>
            </w:r>
          </w:p>
        </w:tc>
        <w:tc>
          <w:tcPr>
            <w:tcW w:w="2190" w:type="dxa"/>
            <w:gridSpan w:val="2"/>
          </w:tcPr>
          <w:p w14:paraId="6808FA68" w14:textId="77777777" w:rsidR="00CF33D9" w:rsidRDefault="00E3332A">
            <w:pPr>
              <w:ind w:left="-40"/>
              <w:rPr>
                <w:rFonts w:ascii="Calibri" w:eastAsia="Calibri" w:hAnsi="Calibri" w:cs="Calibri"/>
                <w:sz w:val="20"/>
                <w:szCs w:val="20"/>
                <w:u w:val="single"/>
              </w:rPr>
            </w:pPr>
            <w:r>
              <w:rPr>
                <w:rFonts w:ascii="Calibri" w:eastAsia="Calibri" w:hAnsi="Calibri" w:cs="Calibri"/>
                <w:sz w:val="20"/>
                <w:szCs w:val="20"/>
                <w:u w:val="single"/>
              </w:rPr>
              <w:t>Risks:</w:t>
            </w:r>
          </w:p>
          <w:p w14:paraId="6808FA69" w14:textId="77777777" w:rsidR="00CF33D9" w:rsidRDefault="00E3332A">
            <w:pPr>
              <w:numPr>
                <w:ilvl w:val="0"/>
                <w:numId w:val="40"/>
              </w:numPr>
              <w:ind w:left="127" w:hanging="167"/>
              <w:rPr>
                <w:rFonts w:ascii="Calibri" w:eastAsia="Calibri" w:hAnsi="Calibri" w:cs="Calibri"/>
                <w:color w:val="000000"/>
                <w:sz w:val="20"/>
                <w:szCs w:val="20"/>
              </w:rPr>
            </w:pPr>
            <w:r>
              <w:rPr>
                <w:rFonts w:ascii="Calibri" w:eastAsia="Calibri" w:hAnsi="Calibri" w:cs="Calibri"/>
                <w:color w:val="000000"/>
                <w:sz w:val="20"/>
                <w:szCs w:val="20"/>
              </w:rPr>
              <w:t xml:space="preserve">Lack of capacity </w:t>
            </w:r>
            <w:r>
              <w:rPr>
                <w:rFonts w:ascii="Calibri" w:eastAsia="Calibri" w:hAnsi="Calibri" w:cs="Calibri"/>
                <w:sz w:val="20"/>
                <w:szCs w:val="20"/>
              </w:rPr>
              <w:t>at the country</w:t>
            </w:r>
            <w:r>
              <w:rPr>
                <w:rFonts w:ascii="Calibri" w:eastAsia="Calibri" w:hAnsi="Calibri" w:cs="Calibri"/>
                <w:color w:val="000000"/>
                <w:sz w:val="20"/>
                <w:szCs w:val="20"/>
              </w:rPr>
              <w:t xml:space="preserve"> level to implement the policies.</w:t>
            </w:r>
          </w:p>
          <w:p w14:paraId="6808FA6A" w14:textId="77777777" w:rsidR="00CF33D9" w:rsidRDefault="00E3332A">
            <w:pPr>
              <w:numPr>
                <w:ilvl w:val="0"/>
                <w:numId w:val="40"/>
              </w:numPr>
              <w:ind w:left="127" w:hanging="167"/>
              <w:rPr>
                <w:rFonts w:ascii="Calibri" w:eastAsia="Calibri" w:hAnsi="Calibri" w:cs="Calibri"/>
                <w:color w:val="000000"/>
                <w:sz w:val="20"/>
                <w:szCs w:val="20"/>
              </w:rPr>
            </w:pPr>
            <w:r>
              <w:rPr>
                <w:rFonts w:ascii="Calibri" w:eastAsia="Calibri" w:hAnsi="Calibri" w:cs="Calibri"/>
                <w:color w:val="000000"/>
                <w:sz w:val="20"/>
                <w:szCs w:val="20"/>
              </w:rPr>
              <w:t>Limited resources to implement the policies and strengthen a blue/ocean economy finance.</w:t>
            </w:r>
          </w:p>
          <w:p w14:paraId="6808FA6B" w14:textId="77777777" w:rsidR="00CF33D9" w:rsidRDefault="00E3332A">
            <w:pPr>
              <w:ind w:left="-40"/>
              <w:rPr>
                <w:rFonts w:ascii="Calibri" w:eastAsia="Calibri" w:hAnsi="Calibri" w:cs="Calibri"/>
                <w:sz w:val="20"/>
                <w:szCs w:val="20"/>
                <w:u w:val="single"/>
              </w:rPr>
            </w:pPr>
            <w:r>
              <w:rPr>
                <w:rFonts w:ascii="Calibri" w:eastAsia="Calibri" w:hAnsi="Calibri" w:cs="Calibri"/>
                <w:sz w:val="20"/>
                <w:szCs w:val="20"/>
                <w:u w:val="single"/>
              </w:rPr>
              <w:t>Assumptions:</w:t>
            </w:r>
          </w:p>
          <w:p w14:paraId="6808FA6C" w14:textId="77777777" w:rsidR="00CF33D9" w:rsidRDefault="00E3332A">
            <w:pPr>
              <w:numPr>
                <w:ilvl w:val="0"/>
                <w:numId w:val="40"/>
              </w:numPr>
              <w:ind w:left="127" w:hanging="167"/>
              <w:rPr>
                <w:rFonts w:ascii="Calibri" w:eastAsia="Calibri" w:hAnsi="Calibri" w:cs="Calibri"/>
                <w:color w:val="000000"/>
                <w:sz w:val="20"/>
                <w:szCs w:val="20"/>
              </w:rPr>
            </w:pPr>
            <w:r>
              <w:rPr>
                <w:rFonts w:ascii="Calibri" w:eastAsia="Calibri" w:hAnsi="Calibri" w:cs="Calibri"/>
                <w:color w:val="000000"/>
                <w:sz w:val="20"/>
                <w:szCs w:val="20"/>
              </w:rPr>
              <w:t xml:space="preserve">Each country is able to monitor and track the </w:t>
            </w:r>
            <w:r>
              <w:rPr>
                <w:rFonts w:ascii="Calibri" w:eastAsia="Calibri" w:hAnsi="Calibri" w:cs="Calibri"/>
                <w:color w:val="000000"/>
                <w:sz w:val="20"/>
                <w:szCs w:val="20"/>
              </w:rPr>
              <w:lastRenderedPageBreak/>
              <w:t>standards , public incentives and disincentives for their blue/ocean economy finance.</w:t>
            </w:r>
          </w:p>
          <w:p w14:paraId="6808FA6D" w14:textId="77777777" w:rsidR="00CF33D9" w:rsidRDefault="00E3332A">
            <w:pPr>
              <w:numPr>
                <w:ilvl w:val="0"/>
                <w:numId w:val="40"/>
              </w:numPr>
              <w:ind w:left="127" w:hanging="167"/>
              <w:rPr>
                <w:rFonts w:ascii="Calibri" w:eastAsia="Calibri" w:hAnsi="Calibri" w:cs="Calibri"/>
                <w:color w:val="000000"/>
                <w:sz w:val="20"/>
                <w:szCs w:val="20"/>
              </w:rPr>
            </w:pPr>
            <w:r>
              <w:rPr>
                <w:rFonts w:ascii="Calibri" w:eastAsia="Calibri" w:hAnsi="Calibri" w:cs="Calibri"/>
                <w:color w:val="000000"/>
                <w:sz w:val="20"/>
                <w:szCs w:val="20"/>
              </w:rPr>
              <w:t xml:space="preserve">Existing country legislation supports a sustainable blue/ocean economy and </w:t>
            </w:r>
            <w:r>
              <w:rPr>
                <w:rFonts w:ascii="Calibri" w:eastAsia="Calibri" w:hAnsi="Calibri" w:cs="Calibri"/>
                <w:sz w:val="20"/>
                <w:szCs w:val="20"/>
              </w:rPr>
              <w:t>has</w:t>
            </w:r>
            <w:r>
              <w:rPr>
                <w:rFonts w:ascii="Calibri" w:eastAsia="Calibri" w:hAnsi="Calibri" w:cs="Calibri"/>
                <w:color w:val="000000"/>
                <w:sz w:val="20"/>
                <w:szCs w:val="20"/>
              </w:rPr>
              <w:t xml:space="preserve"> the means to carry the required monitoring.</w:t>
            </w:r>
          </w:p>
        </w:tc>
      </w:tr>
      <w:tr w:rsidR="00CF33D9" w14:paraId="6808FA87" w14:textId="77777777">
        <w:trPr>
          <w:trHeight w:val="440"/>
        </w:trPr>
        <w:tc>
          <w:tcPr>
            <w:tcW w:w="1819" w:type="dxa"/>
            <w:vMerge/>
            <w:shd w:val="clear" w:color="auto" w:fill="auto"/>
          </w:tcPr>
          <w:p w14:paraId="6808FA6F" w14:textId="77777777" w:rsidR="00CF33D9" w:rsidRDefault="00CF33D9">
            <w:pPr>
              <w:widowControl w:val="0"/>
              <w:spacing w:line="276" w:lineRule="auto"/>
              <w:rPr>
                <w:rFonts w:ascii="Calibri" w:eastAsia="Calibri" w:hAnsi="Calibri" w:cs="Calibri"/>
                <w:color w:val="000000"/>
                <w:sz w:val="20"/>
                <w:szCs w:val="20"/>
                <w:highlight w:val="yellow"/>
              </w:rPr>
            </w:pPr>
          </w:p>
        </w:tc>
        <w:tc>
          <w:tcPr>
            <w:tcW w:w="1960" w:type="dxa"/>
            <w:gridSpan w:val="2"/>
          </w:tcPr>
          <w:p w14:paraId="6808FA70" w14:textId="77777777" w:rsidR="00CF33D9" w:rsidRDefault="00E3332A">
            <w:pPr>
              <w:rPr>
                <w:rFonts w:ascii="Calibri" w:eastAsia="Calibri" w:hAnsi="Calibri" w:cs="Calibri"/>
                <w:sz w:val="20"/>
                <w:szCs w:val="20"/>
              </w:rPr>
            </w:pPr>
            <w:r>
              <w:rPr>
                <w:rFonts w:ascii="Calibri" w:eastAsia="Calibri" w:hAnsi="Calibri" w:cs="Calibri"/>
                <w:sz w:val="20"/>
                <w:szCs w:val="20"/>
              </w:rPr>
              <w:t xml:space="preserve">Indicator 22: </w:t>
            </w:r>
            <w:r>
              <w:rPr>
                <w:rFonts w:ascii="Calibri" w:eastAsia="Calibri" w:hAnsi="Calibri" w:cs="Calibri"/>
                <w:color w:val="000000"/>
                <w:sz w:val="20"/>
                <w:szCs w:val="20"/>
              </w:rPr>
              <w:t># of sectors and stakeholders (sex disaggregated) consulted and capacitated in implementing innovative blue economy projects</w:t>
            </w:r>
          </w:p>
        </w:tc>
        <w:tc>
          <w:tcPr>
            <w:tcW w:w="1694" w:type="dxa"/>
          </w:tcPr>
          <w:p w14:paraId="6808FA71" w14:textId="77777777" w:rsidR="00CF33D9" w:rsidRDefault="00E3332A">
            <w:pPr>
              <w:rPr>
                <w:rFonts w:ascii="Calibri" w:eastAsia="Calibri" w:hAnsi="Calibri" w:cs="Calibri"/>
                <w:sz w:val="20"/>
                <w:szCs w:val="20"/>
              </w:rPr>
            </w:pPr>
            <w:r>
              <w:rPr>
                <w:rFonts w:ascii="Calibri" w:eastAsia="Calibri" w:hAnsi="Calibri" w:cs="Calibri"/>
                <w:sz w:val="20"/>
                <w:szCs w:val="20"/>
              </w:rPr>
              <w:t xml:space="preserve">National Census reports </w:t>
            </w:r>
          </w:p>
          <w:p w14:paraId="6808FA72" w14:textId="77777777" w:rsidR="00CF33D9" w:rsidRDefault="00CF33D9">
            <w:pPr>
              <w:rPr>
                <w:rFonts w:ascii="Calibri" w:eastAsia="Calibri" w:hAnsi="Calibri" w:cs="Calibri"/>
                <w:color w:val="000000"/>
                <w:sz w:val="20"/>
                <w:szCs w:val="20"/>
              </w:rPr>
            </w:pPr>
          </w:p>
          <w:p w14:paraId="6808FA73"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t>Stakeholder Engagement database (sex disaggregated) for each pilot site</w:t>
            </w:r>
          </w:p>
          <w:p w14:paraId="6808FA74" w14:textId="77777777" w:rsidR="00CF33D9" w:rsidRDefault="00CF33D9">
            <w:pPr>
              <w:rPr>
                <w:rFonts w:ascii="Calibri" w:eastAsia="Calibri" w:hAnsi="Calibri" w:cs="Calibri"/>
                <w:color w:val="000000"/>
                <w:sz w:val="20"/>
                <w:szCs w:val="20"/>
              </w:rPr>
            </w:pPr>
          </w:p>
          <w:p w14:paraId="6808FA75"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t>Attendance registers for engagements</w:t>
            </w:r>
          </w:p>
          <w:p w14:paraId="6808FA76" w14:textId="77777777" w:rsidR="00CF33D9" w:rsidRDefault="00CF33D9">
            <w:pPr>
              <w:rPr>
                <w:rFonts w:ascii="Calibri" w:eastAsia="Calibri" w:hAnsi="Calibri" w:cs="Calibri"/>
                <w:color w:val="000000"/>
                <w:sz w:val="20"/>
                <w:szCs w:val="20"/>
              </w:rPr>
            </w:pPr>
          </w:p>
          <w:p w14:paraId="6808FA77" w14:textId="77777777" w:rsidR="00CF33D9" w:rsidRDefault="00CF33D9">
            <w:pPr>
              <w:rPr>
                <w:rFonts w:ascii="Calibri" w:eastAsia="Calibri" w:hAnsi="Calibri" w:cs="Calibri"/>
                <w:color w:val="000000"/>
                <w:sz w:val="20"/>
                <w:szCs w:val="20"/>
              </w:rPr>
            </w:pPr>
          </w:p>
          <w:p w14:paraId="6808FA78" w14:textId="77777777" w:rsidR="00CF33D9" w:rsidRDefault="00CF33D9">
            <w:pPr>
              <w:rPr>
                <w:rFonts w:ascii="Calibri" w:eastAsia="Calibri" w:hAnsi="Calibri" w:cs="Calibri"/>
                <w:i/>
                <w:sz w:val="20"/>
                <w:szCs w:val="20"/>
                <w:highlight w:val="yellow"/>
              </w:rPr>
            </w:pPr>
          </w:p>
        </w:tc>
        <w:tc>
          <w:tcPr>
            <w:tcW w:w="1694" w:type="dxa"/>
          </w:tcPr>
          <w:p w14:paraId="6808FA79"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t xml:space="preserve">Approximately 91 million people reside in the BCLME region. </w:t>
            </w:r>
          </w:p>
          <w:p w14:paraId="6808FA7A" w14:textId="77777777" w:rsidR="00CF33D9" w:rsidRDefault="00CF33D9">
            <w:pPr>
              <w:rPr>
                <w:rFonts w:ascii="Calibri" w:eastAsia="Calibri" w:hAnsi="Calibri" w:cs="Calibri"/>
                <w:color w:val="000000"/>
                <w:sz w:val="20"/>
                <w:szCs w:val="20"/>
              </w:rPr>
            </w:pPr>
          </w:p>
          <w:p w14:paraId="6808FA7B" w14:textId="77777777" w:rsidR="00CF33D9" w:rsidRDefault="00E3332A">
            <w:pPr>
              <w:rPr>
                <w:rFonts w:ascii="Calibri" w:eastAsia="Calibri" w:hAnsi="Calibri" w:cs="Calibri"/>
                <w:i/>
                <w:sz w:val="20"/>
                <w:szCs w:val="20"/>
                <w:highlight w:val="yellow"/>
              </w:rPr>
            </w:pPr>
            <w:r>
              <w:rPr>
                <w:rFonts w:ascii="Calibri" w:eastAsia="Calibri" w:hAnsi="Calibri" w:cs="Calibri"/>
                <w:color w:val="000000"/>
                <w:sz w:val="20"/>
                <w:szCs w:val="20"/>
              </w:rPr>
              <w:t>Involvement of stakeholders from varying sectors and private sectors in BCLME/BCC engagement platforms (Working Groups, Forums etc.).</w:t>
            </w:r>
          </w:p>
        </w:tc>
        <w:tc>
          <w:tcPr>
            <w:tcW w:w="1826" w:type="dxa"/>
          </w:tcPr>
          <w:p w14:paraId="6808FA7C"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t>2000 (in each country)</w:t>
            </w:r>
          </w:p>
          <w:p w14:paraId="6808FA7D" w14:textId="77777777" w:rsidR="00CF33D9" w:rsidRDefault="00CF33D9">
            <w:pPr>
              <w:rPr>
                <w:rFonts w:ascii="Calibri" w:eastAsia="Calibri" w:hAnsi="Calibri" w:cs="Calibri"/>
                <w:color w:val="000000"/>
                <w:sz w:val="20"/>
                <w:szCs w:val="20"/>
              </w:rPr>
            </w:pPr>
          </w:p>
          <w:p w14:paraId="6808FA7E" w14:textId="77777777" w:rsidR="00CF33D9" w:rsidRDefault="00CF33D9">
            <w:pPr>
              <w:rPr>
                <w:rFonts w:ascii="Calibri" w:eastAsia="Calibri" w:hAnsi="Calibri" w:cs="Calibri"/>
                <w:i/>
                <w:sz w:val="20"/>
                <w:szCs w:val="20"/>
                <w:highlight w:val="yellow"/>
              </w:rPr>
            </w:pPr>
          </w:p>
        </w:tc>
        <w:tc>
          <w:tcPr>
            <w:tcW w:w="1694" w:type="dxa"/>
          </w:tcPr>
          <w:p w14:paraId="6808FA7F"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t>4000 (in each country)</w:t>
            </w:r>
          </w:p>
          <w:p w14:paraId="6808FA80" w14:textId="77777777" w:rsidR="00CF33D9" w:rsidRDefault="00CF33D9">
            <w:pPr>
              <w:rPr>
                <w:rFonts w:ascii="Calibri" w:eastAsia="Calibri" w:hAnsi="Calibri" w:cs="Calibri"/>
                <w:i/>
                <w:sz w:val="20"/>
                <w:szCs w:val="20"/>
                <w:highlight w:val="yellow"/>
              </w:rPr>
            </w:pPr>
          </w:p>
        </w:tc>
        <w:tc>
          <w:tcPr>
            <w:tcW w:w="1518" w:type="dxa"/>
            <w:gridSpan w:val="2"/>
          </w:tcPr>
          <w:p w14:paraId="6808FA81"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t>Attendance registers for engagements</w:t>
            </w:r>
          </w:p>
          <w:p w14:paraId="6808FA82" w14:textId="77777777" w:rsidR="00CF33D9" w:rsidRDefault="00CF33D9">
            <w:pPr>
              <w:rPr>
                <w:rFonts w:ascii="Calibri" w:eastAsia="Calibri" w:hAnsi="Calibri" w:cs="Calibri"/>
                <w:color w:val="000000"/>
                <w:sz w:val="20"/>
                <w:szCs w:val="20"/>
              </w:rPr>
            </w:pPr>
          </w:p>
          <w:p w14:paraId="6808FA83"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t>Training/ workshop reports</w:t>
            </w:r>
          </w:p>
          <w:p w14:paraId="6808FA84" w14:textId="77777777" w:rsidR="00CF33D9" w:rsidRDefault="00CF33D9">
            <w:pPr>
              <w:rPr>
                <w:rFonts w:ascii="Calibri" w:eastAsia="Calibri" w:hAnsi="Calibri" w:cs="Calibri"/>
                <w:i/>
                <w:sz w:val="20"/>
                <w:szCs w:val="20"/>
              </w:rPr>
            </w:pPr>
          </w:p>
          <w:p w14:paraId="6808FA85" w14:textId="77777777" w:rsidR="00CF33D9" w:rsidRDefault="00E3332A">
            <w:pPr>
              <w:rPr>
                <w:rFonts w:ascii="Calibri" w:eastAsia="Calibri" w:hAnsi="Calibri" w:cs="Calibri"/>
                <w:i/>
                <w:sz w:val="20"/>
                <w:szCs w:val="20"/>
                <w:highlight w:val="yellow"/>
              </w:rPr>
            </w:pPr>
            <w:r>
              <w:rPr>
                <w:rFonts w:ascii="Calibri" w:eastAsia="Calibri" w:hAnsi="Calibri" w:cs="Calibri"/>
                <w:color w:val="000000"/>
                <w:sz w:val="20"/>
                <w:szCs w:val="20"/>
              </w:rPr>
              <w:t>Quarterly Progress reports</w:t>
            </w:r>
          </w:p>
        </w:tc>
        <w:tc>
          <w:tcPr>
            <w:tcW w:w="2190" w:type="dxa"/>
            <w:gridSpan w:val="2"/>
          </w:tcPr>
          <w:p w14:paraId="6808FA86" w14:textId="77777777" w:rsidR="00CF33D9" w:rsidRDefault="00E3332A">
            <w:pPr>
              <w:rPr>
                <w:rFonts w:ascii="Calibri" w:eastAsia="Calibri" w:hAnsi="Calibri" w:cs="Calibri"/>
                <w:i/>
                <w:sz w:val="20"/>
                <w:szCs w:val="20"/>
                <w:highlight w:val="yellow"/>
              </w:rPr>
            </w:pPr>
            <w:r>
              <w:rPr>
                <w:rFonts w:ascii="Calibri" w:eastAsia="Calibri" w:hAnsi="Calibri" w:cs="Calibri"/>
                <w:color w:val="000000"/>
                <w:sz w:val="20"/>
                <w:szCs w:val="20"/>
                <w:u w:val="single"/>
              </w:rPr>
              <w:t>Assumptions</w:t>
            </w:r>
            <w:r>
              <w:rPr>
                <w:rFonts w:ascii="Calibri" w:eastAsia="Calibri" w:hAnsi="Calibri" w:cs="Calibri"/>
                <w:color w:val="000000"/>
                <w:sz w:val="20"/>
                <w:szCs w:val="20"/>
              </w:rPr>
              <w:t>: Vested commitment of stakeholders from diverse sectors to participate in the project activities</w:t>
            </w:r>
          </w:p>
        </w:tc>
      </w:tr>
      <w:tr w:rsidR="00CF33D9" w14:paraId="6808FA8B" w14:textId="77777777">
        <w:trPr>
          <w:trHeight w:val="683"/>
        </w:trPr>
        <w:tc>
          <w:tcPr>
            <w:tcW w:w="1819" w:type="dxa"/>
            <w:shd w:val="clear" w:color="auto" w:fill="auto"/>
          </w:tcPr>
          <w:p w14:paraId="6808FA88" w14:textId="77777777" w:rsidR="00CF33D9" w:rsidRDefault="00E3332A">
            <w:pPr>
              <w:rPr>
                <w:rFonts w:ascii="Calibri" w:eastAsia="Calibri" w:hAnsi="Calibri" w:cs="Calibri"/>
                <w:b/>
                <w:sz w:val="20"/>
                <w:szCs w:val="20"/>
              </w:rPr>
            </w:pPr>
            <w:r>
              <w:rPr>
                <w:rFonts w:ascii="Calibri" w:eastAsia="Calibri" w:hAnsi="Calibri" w:cs="Calibri"/>
                <w:b/>
                <w:sz w:val="20"/>
                <w:szCs w:val="20"/>
              </w:rPr>
              <w:t>Outputs to achieve Outcome 4.1</w:t>
            </w:r>
          </w:p>
        </w:tc>
        <w:tc>
          <w:tcPr>
            <w:tcW w:w="12576" w:type="dxa"/>
            <w:gridSpan w:val="10"/>
          </w:tcPr>
          <w:p w14:paraId="6808FA89" w14:textId="77777777" w:rsidR="00CF33D9" w:rsidRDefault="00E3332A">
            <w:pPr>
              <w:rPr>
                <w:rFonts w:ascii="Calibri" w:hAnsi="Calibri" w:cs="Calibri"/>
                <w:color w:val="000000"/>
                <w:sz w:val="20"/>
                <w:szCs w:val="20"/>
              </w:rPr>
            </w:pPr>
            <w:r>
              <w:rPr>
                <w:rFonts w:ascii="Calibri" w:eastAsia="Calibri" w:hAnsi="Calibri" w:cs="Calibri"/>
                <w:color w:val="000000"/>
                <w:sz w:val="20"/>
                <w:szCs w:val="20"/>
              </w:rPr>
              <w:t>4.1.1 Policies and strategies for Sustainable Blue/ Ocean Economy finance developed and/or strengthened</w:t>
            </w:r>
          </w:p>
          <w:p w14:paraId="6808FA8A" w14:textId="77777777" w:rsidR="00CF33D9" w:rsidRDefault="00E3332A">
            <w:pPr>
              <w:rPr>
                <w:rFonts w:ascii="Calibri" w:eastAsia="Calibri" w:hAnsi="Calibri" w:cs="Calibri"/>
                <w:i/>
                <w:sz w:val="20"/>
                <w:szCs w:val="20"/>
                <w:highlight w:val="yellow"/>
              </w:rPr>
            </w:pPr>
            <w:r>
              <w:rPr>
                <w:rFonts w:ascii="Calibri" w:eastAsia="Calibri" w:hAnsi="Calibri" w:cs="Calibri"/>
                <w:color w:val="000000"/>
                <w:sz w:val="20"/>
                <w:szCs w:val="20"/>
              </w:rPr>
              <w:t>4.1.2: Reinforced public sector (national and regional) and private sector capacities in the design and implementation of bankable Sustainable Blue/ocean economy projects, innovative financing, principles, standards and green investments, among others,</w:t>
            </w:r>
          </w:p>
        </w:tc>
      </w:tr>
      <w:tr w:rsidR="00CF33D9" w14:paraId="6808FA96" w14:textId="77777777">
        <w:trPr>
          <w:trHeight w:val="584"/>
        </w:trPr>
        <w:tc>
          <w:tcPr>
            <w:tcW w:w="1819" w:type="dxa"/>
            <w:vMerge w:val="restart"/>
            <w:shd w:val="clear" w:color="auto" w:fill="auto"/>
          </w:tcPr>
          <w:p w14:paraId="6808FA8C" w14:textId="77777777" w:rsidR="00CF33D9" w:rsidRDefault="00E3332A">
            <w:pPr>
              <w:rPr>
                <w:rFonts w:ascii="Calibri" w:eastAsia="Calibri" w:hAnsi="Calibri" w:cs="Calibri"/>
                <w:b/>
                <w:sz w:val="20"/>
                <w:szCs w:val="20"/>
              </w:rPr>
            </w:pPr>
            <w:r>
              <w:rPr>
                <w:rFonts w:ascii="Calibri" w:eastAsia="Calibri" w:hAnsi="Calibri" w:cs="Calibri"/>
                <w:b/>
                <w:sz w:val="20"/>
                <w:szCs w:val="20"/>
              </w:rPr>
              <w:t xml:space="preserve">Outcome 4.2: </w:t>
            </w:r>
            <w:r>
              <w:rPr>
                <w:rFonts w:ascii="Calibri" w:eastAsia="Calibri" w:hAnsi="Calibri" w:cs="Calibri"/>
                <w:b/>
                <w:color w:val="000000"/>
                <w:sz w:val="20"/>
                <w:szCs w:val="20"/>
              </w:rPr>
              <w:t>Innovative sustainable blue/ocean finance at national and/or regional levels accelerated</w:t>
            </w:r>
          </w:p>
        </w:tc>
        <w:tc>
          <w:tcPr>
            <w:tcW w:w="1960" w:type="dxa"/>
            <w:gridSpan w:val="2"/>
          </w:tcPr>
          <w:p w14:paraId="6808FA8D" w14:textId="77777777" w:rsidR="00CF33D9" w:rsidRDefault="00E3332A">
            <w:pPr>
              <w:rPr>
                <w:rFonts w:ascii="Calibri" w:eastAsia="Calibri" w:hAnsi="Calibri" w:cs="Calibri"/>
                <w:sz w:val="20"/>
                <w:szCs w:val="20"/>
              </w:rPr>
            </w:pPr>
            <w:r>
              <w:rPr>
                <w:rFonts w:ascii="Calibri" w:eastAsia="Calibri" w:hAnsi="Calibri" w:cs="Calibri"/>
                <w:sz w:val="20"/>
                <w:szCs w:val="20"/>
              </w:rPr>
              <w:t xml:space="preserve">Indicator 23: </w:t>
            </w:r>
            <w:r>
              <w:rPr>
                <w:rFonts w:ascii="Calibri" w:eastAsia="Calibri" w:hAnsi="Calibri" w:cs="Calibri"/>
                <w:color w:val="000000"/>
                <w:sz w:val="20"/>
                <w:szCs w:val="20"/>
              </w:rPr>
              <w:t># of viable mechanisms /tools for blue/ocean finance developed</w:t>
            </w:r>
          </w:p>
        </w:tc>
        <w:tc>
          <w:tcPr>
            <w:tcW w:w="1694" w:type="dxa"/>
          </w:tcPr>
          <w:p w14:paraId="6808FA8E" w14:textId="77777777" w:rsidR="00CF33D9" w:rsidRDefault="00E3332A">
            <w:pPr>
              <w:rPr>
                <w:rFonts w:ascii="Calibri" w:eastAsia="Calibri" w:hAnsi="Calibri" w:cs="Calibri"/>
                <w:sz w:val="20"/>
                <w:szCs w:val="20"/>
              </w:rPr>
            </w:pPr>
            <w:r>
              <w:rPr>
                <w:rFonts w:ascii="Calibri" w:eastAsia="Calibri" w:hAnsi="Calibri" w:cs="Calibri"/>
                <w:sz w:val="20"/>
                <w:szCs w:val="20"/>
              </w:rPr>
              <w:t>Records of public consultation for selection of viable mechanisms/ tools for blue/ocean finance.</w:t>
            </w:r>
          </w:p>
        </w:tc>
        <w:tc>
          <w:tcPr>
            <w:tcW w:w="1694" w:type="dxa"/>
          </w:tcPr>
          <w:p w14:paraId="6808FA8F" w14:textId="77777777" w:rsidR="00CF33D9" w:rsidRDefault="00E3332A">
            <w:pPr>
              <w:jc w:val="center"/>
              <w:rPr>
                <w:rFonts w:ascii="Calibri" w:eastAsia="Calibri" w:hAnsi="Calibri" w:cs="Calibri"/>
                <w:i/>
                <w:sz w:val="20"/>
                <w:szCs w:val="20"/>
                <w:highlight w:val="yellow"/>
              </w:rPr>
            </w:pPr>
            <w:r>
              <w:rPr>
                <w:rFonts w:ascii="Calibri" w:eastAsia="Calibri" w:hAnsi="Calibri" w:cs="Calibri"/>
                <w:sz w:val="20"/>
                <w:szCs w:val="20"/>
              </w:rPr>
              <w:t>0</w:t>
            </w:r>
          </w:p>
        </w:tc>
        <w:tc>
          <w:tcPr>
            <w:tcW w:w="1826" w:type="dxa"/>
          </w:tcPr>
          <w:p w14:paraId="6808FA90" w14:textId="77777777" w:rsidR="00CF33D9" w:rsidRDefault="00E3332A">
            <w:pPr>
              <w:jc w:val="center"/>
              <w:rPr>
                <w:rFonts w:ascii="Calibri" w:eastAsia="Calibri" w:hAnsi="Calibri" w:cs="Calibri"/>
                <w:sz w:val="20"/>
                <w:szCs w:val="20"/>
              </w:rPr>
            </w:pPr>
            <w:r>
              <w:rPr>
                <w:rFonts w:ascii="Calibri" w:eastAsia="Calibri" w:hAnsi="Calibri" w:cs="Calibri"/>
                <w:sz w:val="20"/>
                <w:szCs w:val="20"/>
              </w:rPr>
              <w:t>3</w:t>
            </w:r>
          </w:p>
          <w:p w14:paraId="6808FA91" w14:textId="77777777" w:rsidR="00CF33D9" w:rsidRDefault="00E3332A">
            <w:pPr>
              <w:rPr>
                <w:rFonts w:ascii="Calibri" w:eastAsia="Calibri" w:hAnsi="Calibri" w:cs="Calibri"/>
                <w:i/>
                <w:sz w:val="20"/>
                <w:szCs w:val="20"/>
                <w:highlight w:val="yellow"/>
              </w:rPr>
            </w:pPr>
            <w:r>
              <w:rPr>
                <w:rFonts w:ascii="Calibri" w:eastAsia="Calibri" w:hAnsi="Calibri" w:cs="Calibri"/>
                <w:sz w:val="20"/>
                <w:szCs w:val="20"/>
              </w:rPr>
              <w:t>At least 1 designed viable mechanism/tool per country</w:t>
            </w:r>
          </w:p>
        </w:tc>
        <w:tc>
          <w:tcPr>
            <w:tcW w:w="1694" w:type="dxa"/>
          </w:tcPr>
          <w:p w14:paraId="6808FA92" w14:textId="77777777" w:rsidR="00CF33D9" w:rsidRDefault="00E3332A">
            <w:pPr>
              <w:jc w:val="center"/>
              <w:rPr>
                <w:rFonts w:ascii="Calibri" w:eastAsia="Calibri" w:hAnsi="Calibri" w:cs="Calibri"/>
                <w:sz w:val="20"/>
                <w:szCs w:val="20"/>
              </w:rPr>
            </w:pPr>
            <w:r>
              <w:rPr>
                <w:rFonts w:ascii="Calibri" w:eastAsia="Calibri" w:hAnsi="Calibri" w:cs="Calibri"/>
                <w:sz w:val="20"/>
                <w:szCs w:val="20"/>
              </w:rPr>
              <w:t>6</w:t>
            </w:r>
          </w:p>
          <w:p w14:paraId="6808FA93" w14:textId="77777777" w:rsidR="00CF33D9" w:rsidRDefault="00E3332A">
            <w:pPr>
              <w:rPr>
                <w:rFonts w:ascii="Calibri" w:eastAsia="Calibri" w:hAnsi="Calibri" w:cs="Calibri"/>
                <w:i/>
                <w:sz w:val="20"/>
                <w:szCs w:val="20"/>
                <w:highlight w:val="yellow"/>
              </w:rPr>
            </w:pPr>
            <w:r>
              <w:rPr>
                <w:rFonts w:ascii="Calibri" w:eastAsia="Calibri" w:hAnsi="Calibri" w:cs="Calibri"/>
                <w:sz w:val="20"/>
                <w:szCs w:val="20"/>
              </w:rPr>
              <w:t>At least 2 developed viable mechanisms/tools per country</w:t>
            </w:r>
          </w:p>
        </w:tc>
        <w:tc>
          <w:tcPr>
            <w:tcW w:w="1518" w:type="dxa"/>
            <w:gridSpan w:val="2"/>
          </w:tcPr>
          <w:p w14:paraId="6808FA94" w14:textId="77777777" w:rsidR="00CF33D9" w:rsidRDefault="00E3332A">
            <w:pPr>
              <w:rPr>
                <w:rFonts w:ascii="Calibri" w:eastAsia="Calibri" w:hAnsi="Calibri" w:cs="Calibri"/>
                <w:i/>
                <w:sz w:val="20"/>
                <w:szCs w:val="20"/>
                <w:highlight w:val="yellow"/>
              </w:rPr>
            </w:pPr>
            <w:r>
              <w:rPr>
                <w:rFonts w:ascii="Calibri" w:eastAsia="Calibri" w:hAnsi="Calibri" w:cs="Calibri"/>
                <w:sz w:val="20"/>
                <w:szCs w:val="20"/>
              </w:rPr>
              <w:t xml:space="preserve">Reports presenting the viable mechanisms/ tools  </w:t>
            </w:r>
            <w:r>
              <w:rPr>
                <w:rFonts w:ascii="Calibri" w:eastAsia="Calibri" w:hAnsi="Calibri" w:cs="Calibri"/>
                <w:color w:val="000000"/>
                <w:sz w:val="20"/>
                <w:szCs w:val="20"/>
              </w:rPr>
              <w:t>for blue/ocean finance</w:t>
            </w:r>
          </w:p>
        </w:tc>
        <w:tc>
          <w:tcPr>
            <w:tcW w:w="2190" w:type="dxa"/>
            <w:gridSpan w:val="2"/>
          </w:tcPr>
          <w:p w14:paraId="6808FA95" w14:textId="77777777" w:rsidR="00CF33D9" w:rsidRDefault="00E3332A">
            <w:pPr>
              <w:rPr>
                <w:rFonts w:ascii="Calibri" w:eastAsia="Calibri" w:hAnsi="Calibri" w:cs="Calibri"/>
                <w:i/>
                <w:sz w:val="20"/>
                <w:szCs w:val="20"/>
                <w:highlight w:val="yellow"/>
              </w:rPr>
            </w:pPr>
            <w:r>
              <w:rPr>
                <w:rFonts w:ascii="Calibri" w:eastAsia="Calibri" w:hAnsi="Calibri" w:cs="Calibri"/>
                <w:color w:val="000000"/>
                <w:sz w:val="20"/>
                <w:szCs w:val="20"/>
                <w:u w:val="single"/>
              </w:rPr>
              <w:t>Assumptions: P</w:t>
            </w:r>
            <w:r>
              <w:rPr>
                <w:rFonts w:ascii="Calibri" w:eastAsia="Calibri" w:hAnsi="Calibri" w:cs="Calibri"/>
                <w:color w:val="000000"/>
                <w:sz w:val="20"/>
                <w:szCs w:val="20"/>
              </w:rPr>
              <w:t>olicies developed and/or strengthened for sustainable blue/ocean economy finance</w:t>
            </w:r>
          </w:p>
        </w:tc>
      </w:tr>
      <w:tr w:rsidR="00CF33D9" w14:paraId="6808FAB4" w14:textId="77777777">
        <w:trPr>
          <w:trHeight w:val="995"/>
        </w:trPr>
        <w:tc>
          <w:tcPr>
            <w:tcW w:w="1819" w:type="dxa"/>
            <w:vMerge/>
            <w:shd w:val="clear" w:color="auto" w:fill="auto"/>
          </w:tcPr>
          <w:p w14:paraId="6808FA97" w14:textId="77777777" w:rsidR="00CF33D9" w:rsidRDefault="00CF33D9">
            <w:pPr>
              <w:widowControl w:val="0"/>
              <w:spacing w:line="276" w:lineRule="auto"/>
              <w:rPr>
                <w:rFonts w:ascii="Calibri" w:eastAsia="Calibri" w:hAnsi="Calibri" w:cs="Calibri"/>
                <w:i/>
                <w:sz w:val="20"/>
                <w:szCs w:val="20"/>
                <w:highlight w:val="yellow"/>
              </w:rPr>
            </w:pPr>
          </w:p>
        </w:tc>
        <w:tc>
          <w:tcPr>
            <w:tcW w:w="1960" w:type="dxa"/>
            <w:gridSpan w:val="2"/>
          </w:tcPr>
          <w:p w14:paraId="6808FA98" w14:textId="77777777" w:rsidR="00CF33D9" w:rsidRDefault="00E3332A">
            <w:pPr>
              <w:rPr>
                <w:rFonts w:ascii="Calibri" w:eastAsia="Calibri" w:hAnsi="Calibri" w:cs="Calibri"/>
                <w:sz w:val="20"/>
                <w:szCs w:val="20"/>
              </w:rPr>
            </w:pPr>
            <w:r>
              <w:rPr>
                <w:rFonts w:ascii="Calibri" w:eastAsia="Calibri" w:hAnsi="Calibri" w:cs="Calibri"/>
                <w:sz w:val="20"/>
                <w:szCs w:val="20"/>
              </w:rPr>
              <w:t xml:space="preserve">Indicator 24: </w:t>
            </w:r>
            <w:r>
              <w:rPr>
                <w:rFonts w:ascii="Calibri" w:eastAsia="Calibri" w:hAnsi="Calibri" w:cs="Calibri"/>
                <w:color w:val="000000"/>
                <w:sz w:val="20"/>
                <w:szCs w:val="20"/>
              </w:rPr>
              <w:t># of communities and stakeholders (sex disaggregated) involved in piloting blue carbon finance mechanisms in the BCC countries</w:t>
            </w:r>
          </w:p>
        </w:tc>
        <w:tc>
          <w:tcPr>
            <w:tcW w:w="1694" w:type="dxa"/>
          </w:tcPr>
          <w:p w14:paraId="6808FA99"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t>Population census reports for respective pilot sites in each country</w:t>
            </w:r>
          </w:p>
          <w:p w14:paraId="6808FA9A" w14:textId="77777777" w:rsidR="00CF33D9" w:rsidRDefault="00CF33D9">
            <w:pPr>
              <w:rPr>
                <w:rFonts w:ascii="Calibri" w:eastAsia="Calibri" w:hAnsi="Calibri" w:cs="Calibri"/>
                <w:color w:val="000000"/>
                <w:sz w:val="20"/>
                <w:szCs w:val="20"/>
              </w:rPr>
            </w:pPr>
          </w:p>
          <w:p w14:paraId="6808FA9B"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t>Stakeholder Engagement database (sex disaggregated)</w:t>
            </w:r>
          </w:p>
          <w:p w14:paraId="6808FA9C" w14:textId="77777777" w:rsidR="00CF33D9" w:rsidRDefault="00CF33D9">
            <w:pPr>
              <w:rPr>
                <w:rFonts w:ascii="Calibri" w:eastAsia="Calibri" w:hAnsi="Calibri" w:cs="Calibri"/>
                <w:color w:val="000000"/>
                <w:sz w:val="20"/>
                <w:szCs w:val="20"/>
              </w:rPr>
            </w:pPr>
          </w:p>
          <w:p w14:paraId="6808FA9D"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t xml:space="preserve">Attendance registers for engagements </w:t>
            </w:r>
          </w:p>
          <w:p w14:paraId="6808FA9E" w14:textId="77777777" w:rsidR="00CF33D9" w:rsidRDefault="00CF33D9">
            <w:pPr>
              <w:rPr>
                <w:rFonts w:ascii="Calibri" w:eastAsia="Calibri" w:hAnsi="Calibri" w:cs="Calibri"/>
                <w:color w:val="000000"/>
                <w:sz w:val="20"/>
                <w:szCs w:val="20"/>
              </w:rPr>
            </w:pPr>
          </w:p>
          <w:p w14:paraId="6808FA9F" w14:textId="77777777" w:rsidR="00CF33D9" w:rsidRDefault="00E3332A">
            <w:pPr>
              <w:rPr>
                <w:rFonts w:ascii="Calibri" w:eastAsia="Calibri" w:hAnsi="Calibri" w:cs="Calibri"/>
                <w:i/>
                <w:sz w:val="20"/>
                <w:szCs w:val="20"/>
                <w:highlight w:val="yellow"/>
              </w:rPr>
            </w:pPr>
            <w:r>
              <w:rPr>
                <w:rFonts w:ascii="Calibri" w:eastAsia="Calibri" w:hAnsi="Calibri" w:cs="Calibri"/>
                <w:color w:val="000000"/>
                <w:sz w:val="20"/>
                <w:szCs w:val="20"/>
              </w:rPr>
              <w:t xml:space="preserve">BCLME region is known for its diverse coastal and marine industries. Stakeholder engagement forums have been documented in previous BCLME III Project as well as sister projects at BCC. A stakeholder matrix is existing and updated as new stakeholders emerge. </w:t>
            </w:r>
          </w:p>
        </w:tc>
        <w:tc>
          <w:tcPr>
            <w:tcW w:w="1694" w:type="dxa"/>
          </w:tcPr>
          <w:p w14:paraId="6808FAA0"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t>Approximately 91 million people reside in the BCLME region.</w:t>
            </w:r>
          </w:p>
          <w:p w14:paraId="6808FAA1" w14:textId="77777777" w:rsidR="00CF33D9" w:rsidRDefault="00CF33D9">
            <w:pPr>
              <w:rPr>
                <w:rFonts w:ascii="Calibri" w:eastAsia="Calibri" w:hAnsi="Calibri" w:cs="Calibri"/>
                <w:color w:val="000000"/>
                <w:sz w:val="20"/>
                <w:szCs w:val="20"/>
              </w:rPr>
            </w:pPr>
          </w:p>
          <w:p w14:paraId="6808FAA2" w14:textId="77777777" w:rsidR="00CF33D9" w:rsidRDefault="00E3332A">
            <w:pPr>
              <w:rPr>
                <w:rFonts w:ascii="Calibri" w:eastAsia="Calibri" w:hAnsi="Calibri" w:cs="Calibri"/>
                <w:i/>
                <w:sz w:val="20"/>
                <w:szCs w:val="20"/>
                <w:highlight w:val="yellow"/>
              </w:rPr>
            </w:pPr>
            <w:r>
              <w:rPr>
                <w:rFonts w:ascii="Calibri" w:eastAsia="Calibri" w:hAnsi="Calibri" w:cs="Calibri"/>
                <w:color w:val="000000"/>
                <w:sz w:val="20"/>
                <w:szCs w:val="20"/>
              </w:rPr>
              <w:t>Documentation of current involvement of community and private sectors in BCLME/BCC engagement platforms (Working Groups, Forums etc.).</w:t>
            </w:r>
          </w:p>
        </w:tc>
        <w:tc>
          <w:tcPr>
            <w:tcW w:w="1826" w:type="dxa"/>
          </w:tcPr>
          <w:p w14:paraId="6808FAA3"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t>1500 (in each country) community members have benefited or participated in the implementation of the demonstration projects</w:t>
            </w:r>
          </w:p>
          <w:p w14:paraId="6808FAA4" w14:textId="77777777" w:rsidR="00CF33D9" w:rsidRDefault="00CF33D9">
            <w:pPr>
              <w:rPr>
                <w:rFonts w:ascii="Calibri" w:eastAsia="Calibri" w:hAnsi="Calibri" w:cs="Calibri"/>
                <w:color w:val="000000"/>
                <w:sz w:val="20"/>
                <w:szCs w:val="20"/>
              </w:rPr>
            </w:pPr>
          </w:p>
          <w:p w14:paraId="6808FAA5"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t>Stakeholder engagement platforms strengthened to include private sector, youth and community members</w:t>
            </w:r>
          </w:p>
          <w:p w14:paraId="6808FAA6" w14:textId="77777777" w:rsidR="00CF33D9" w:rsidRDefault="00CF33D9">
            <w:pPr>
              <w:rPr>
                <w:rFonts w:ascii="Calibri" w:eastAsia="Calibri" w:hAnsi="Calibri" w:cs="Calibri"/>
                <w:i/>
                <w:sz w:val="20"/>
                <w:szCs w:val="20"/>
                <w:highlight w:val="yellow"/>
              </w:rPr>
            </w:pPr>
          </w:p>
        </w:tc>
        <w:tc>
          <w:tcPr>
            <w:tcW w:w="1694" w:type="dxa"/>
          </w:tcPr>
          <w:p w14:paraId="6808FAA7"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t>3500 (in each country) community members have benefited or participated in the implementation of the demonstration projects</w:t>
            </w:r>
          </w:p>
          <w:p w14:paraId="6808FAA8" w14:textId="77777777" w:rsidR="00CF33D9" w:rsidRDefault="00CF33D9">
            <w:pPr>
              <w:rPr>
                <w:rFonts w:ascii="Calibri" w:eastAsia="Calibri" w:hAnsi="Calibri" w:cs="Calibri"/>
                <w:color w:val="000000"/>
                <w:sz w:val="20"/>
                <w:szCs w:val="20"/>
              </w:rPr>
            </w:pPr>
          </w:p>
          <w:p w14:paraId="6808FAA9"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t>Demonstration of blue carbon finance support to communities through partnerships</w:t>
            </w:r>
          </w:p>
          <w:p w14:paraId="6808FAAA" w14:textId="77777777" w:rsidR="00CF33D9" w:rsidRDefault="00CF33D9">
            <w:pPr>
              <w:rPr>
                <w:rFonts w:ascii="Calibri" w:eastAsia="Calibri" w:hAnsi="Calibri" w:cs="Calibri"/>
                <w:i/>
                <w:sz w:val="20"/>
                <w:szCs w:val="20"/>
                <w:highlight w:val="yellow"/>
              </w:rPr>
            </w:pPr>
          </w:p>
        </w:tc>
        <w:tc>
          <w:tcPr>
            <w:tcW w:w="1518" w:type="dxa"/>
            <w:gridSpan w:val="2"/>
          </w:tcPr>
          <w:p w14:paraId="6808FAAB"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t>Quarterly Progress reports</w:t>
            </w:r>
          </w:p>
          <w:p w14:paraId="6808FAAC" w14:textId="77777777" w:rsidR="00CF33D9" w:rsidRDefault="00CF33D9">
            <w:pPr>
              <w:rPr>
                <w:rFonts w:ascii="Calibri" w:eastAsia="Calibri" w:hAnsi="Calibri" w:cs="Calibri"/>
                <w:color w:val="000000"/>
                <w:sz w:val="20"/>
                <w:szCs w:val="20"/>
              </w:rPr>
            </w:pPr>
          </w:p>
          <w:p w14:paraId="6808FAAD"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t>Signed agreements for support</w:t>
            </w:r>
          </w:p>
          <w:p w14:paraId="6808FAAE" w14:textId="77777777" w:rsidR="00CF33D9" w:rsidRDefault="00CF33D9">
            <w:pPr>
              <w:rPr>
                <w:rFonts w:ascii="Calibri" w:eastAsia="Calibri" w:hAnsi="Calibri" w:cs="Calibri"/>
                <w:color w:val="000000"/>
                <w:sz w:val="20"/>
                <w:szCs w:val="20"/>
              </w:rPr>
            </w:pPr>
          </w:p>
          <w:p w14:paraId="6808FAAF"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t>Stakeholder Engagement database (sex disaggregated)</w:t>
            </w:r>
          </w:p>
          <w:p w14:paraId="6808FAB0" w14:textId="77777777" w:rsidR="00CF33D9" w:rsidRDefault="00CF33D9">
            <w:pPr>
              <w:rPr>
                <w:rFonts w:ascii="Calibri" w:eastAsia="Calibri" w:hAnsi="Calibri" w:cs="Calibri"/>
                <w:i/>
                <w:sz w:val="20"/>
                <w:szCs w:val="20"/>
                <w:highlight w:val="yellow"/>
              </w:rPr>
            </w:pPr>
          </w:p>
        </w:tc>
        <w:tc>
          <w:tcPr>
            <w:tcW w:w="2190" w:type="dxa"/>
            <w:gridSpan w:val="2"/>
          </w:tcPr>
          <w:p w14:paraId="6808FAB1"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u w:val="single"/>
              </w:rPr>
              <w:t>Assumptions</w:t>
            </w:r>
            <w:r>
              <w:rPr>
                <w:rFonts w:ascii="Calibri" w:eastAsia="Calibri" w:hAnsi="Calibri" w:cs="Calibri"/>
                <w:color w:val="000000"/>
                <w:sz w:val="20"/>
                <w:szCs w:val="20"/>
              </w:rPr>
              <w:t xml:space="preserve">: </w:t>
            </w:r>
          </w:p>
          <w:p w14:paraId="6808FAB2" w14:textId="77777777" w:rsidR="00CF33D9" w:rsidRDefault="00E3332A">
            <w:pPr>
              <w:numPr>
                <w:ilvl w:val="0"/>
                <w:numId w:val="48"/>
              </w:numPr>
              <w:ind w:left="159" w:hanging="141"/>
              <w:rPr>
                <w:rFonts w:ascii="Calibri" w:eastAsia="Calibri" w:hAnsi="Calibri" w:cs="Calibri"/>
                <w:color w:val="000000"/>
                <w:sz w:val="20"/>
                <w:szCs w:val="20"/>
              </w:rPr>
            </w:pPr>
            <w:r>
              <w:rPr>
                <w:rFonts w:ascii="Calibri" w:eastAsia="Calibri" w:hAnsi="Calibri" w:cs="Calibri"/>
                <w:color w:val="000000"/>
                <w:sz w:val="20"/>
                <w:szCs w:val="20"/>
              </w:rPr>
              <w:t>Community members in pilot sites are keen to support demonstration projects.</w:t>
            </w:r>
          </w:p>
          <w:p w14:paraId="6808FAB3" w14:textId="77777777" w:rsidR="00CF33D9" w:rsidRDefault="00E3332A">
            <w:pPr>
              <w:numPr>
                <w:ilvl w:val="0"/>
                <w:numId w:val="48"/>
              </w:numPr>
              <w:ind w:left="159" w:hanging="141"/>
              <w:rPr>
                <w:rFonts w:ascii="Calibri" w:eastAsia="Calibri" w:hAnsi="Calibri" w:cs="Calibri"/>
                <w:i/>
                <w:color w:val="000000"/>
                <w:sz w:val="20"/>
                <w:szCs w:val="20"/>
              </w:rPr>
            </w:pPr>
            <w:r>
              <w:rPr>
                <w:rFonts w:ascii="Calibri" w:eastAsia="Calibri" w:hAnsi="Calibri" w:cs="Calibri"/>
                <w:color w:val="000000"/>
                <w:sz w:val="20"/>
                <w:szCs w:val="20"/>
              </w:rPr>
              <w:t>Private sector will avail funds to support community-based pilot projects as part of their corporate social responsibility.</w:t>
            </w:r>
          </w:p>
        </w:tc>
      </w:tr>
      <w:tr w:rsidR="00CF33D9" w14:paraId="6808FAB9" w14:textId="77777777">
        <w:trPr>
          <w:trHeight w:val="350"/>
        </w:trPr>
        <w:tc>
          <w:tcPr>
            <w:tcW w:w="1819" w:type="dxa"/>
            <w:tcBorders>
              <w:bottom w:val="single" w:sz="4" w:space="0" w:color="000000"/>
            </w:tcBorders>
            <w:shd w:val="clear" w:color="auto" w:fill="auto"/>
          </w:tcPr>
          <w:p w14:paraId="6808FAB5" w14:textId="77777777" w:rsidR="00CF33D9" w:rsidRDefault="00E3332A">
            <w:pPr>
              <w:rPr>
                <w:rFonts w:ascii="Calibri" w:eastAsia="Calibri" w:hAnsi="Calibri" w:cs="Calibri"/>
                <w:b/>
                <w:sz w:val="20"/>
                <w:szCs w:val="20"/>
              </w:rPr>
            </w:pPr>
            <w:r>
              <w:rPr>
                <w:rFonts w:ascii="Calibri" w:eastAsia="Calibri" w:hAnsi="Calibri" w:cs="Calibri"/>
                <w:b/>
                <w:sz w:val="20"/>
                <w:szCs w:val="20"/>
              </w:rPr>
              <w:t>Outputs to achieve Outcome 4.2</w:t>
            </w:r>
          </w:p>
        </w:tc>
        <w:tc>
          <w:tcPr>
            <w:tcW w:w="12576" w:type="dxa"/>
            <w:gridSpan w:val="10"/>
            <w:tcBorders>
              <w:bottom w:val="single" w:sz="4" w:space="0" w:color="000000"/>
            </w:tcBorders>
          </w:tcPr>
          <w:p w14:paraId="6808FAB6" w14:textId="77777777" w:rsidR="00CF33D9" w:rsidRDefault="00E3332A">
            <w:pPr>
              <w:rPr>
                <w:rFonts w:ascii="Calibri" w:hAnsi="Calibri" w:cs="Calibri"/>
                <w:color w:val="000000"/>
                <w:sz w:val="20"/>
                <w:szCs w:val="20"/>
              </w:rPr>
            </w:pPr>
            <w:r>
              <w:rPr>
                <w:rFonts w:ascii="Calibri" w:eastAsia="Calibri" w:hAnsi="Calibri" w:cs="Calibri"/>
                <w:color w:val="000000"/>
                <w:sz w:val="20"/>
                <w:szCs w:val="20"/>
              </w:rPr>
              <w:t>4.2.1: Viable sustainable blue/ocean finance mechanisms and tools developed and piloted (including incentives to stimulate regional, national, local and private sector SBE investments, pollution reduction, circular economy etc.)</w:t>
            </w:r>
          </w:p>
          <w:p w14:paraId="6808FAB7" w14:textId="77777777" w:rsidR="00CF33D9" w:rsidRDefault="00E3332A">
            <w:pPr>
              <w:rPr>
                <w:rFonts w:ascii="Calibri" w:hAnsi="Calibri" w:cs="Calibri"/>
                <w:color w:val="000000"/>
                <w:sz w:val="20"/>
                <w:szCs w:val="20"/>
              </w:rPr>
            </w:pPr>
            <w:r>
              <w:rPr>
                <w:rFonts w:ascii="Calibri" w:eastAsia="Calibri" w:hAnsi="Calibri" w:cs="Calibri"/>
                <w:color w:val="000000"/>
                <w:sz w:val="20"/>
                <w:szCs w:val="20"/>
              </w:rPr>
              <w:t xml:space="preserve">4.2.2: Feasibility for blue carbon finance assessed and viable options developed (the project will work with NGI to expand kelp harvesting (e.g. such efforts as </w:t>
            </w:r>
            <w:hyperlink r:id="rId20">
              <w:r>
                <w:rPr>
                  <w:rFonts w:ascii="Calibri" w:hAnsi="Calibri" w:cs="Calibri"/>
                  <w:color w:val="0000FF"/>
                  <w:sz w:val="20"/>
                  <w:szCs w:val="20"/>
                  <w:u w:val="single"/>
                </w:rPr>
                <w:t>https://kelp.blue/namibia/</w:t>
              </w:r>
            </w:hyperlink>
            <w:r>
              <w:rPr>
                <w:rFonts w:ascii="Calibri" w:eastAsia="Calibri" w:hAnsi="Calibri" w:cs="Calibri"/>
                <w:color w:val="000000"/>
                <w:sz w:val="20"/>
                <w:szCs w:val="20"/>
              </w:rPr>
              <w:t>).</w:t>
            </w:r>
          </w:p>
          <w:p w14:paraId="6808FAB8" w14:textId="77777777" w:rsidR="00CF33D9" w:rsidRDefault="00E3332A">
            <w:pPr>
              <w:rPr>
                <w:rFonts w:ascii="Calibri" w:eastAsia="Calibri" w:hAnsi="Calibri" w:cs="Calibri"/>
                <w:i/>
                <w:sz w:val="20"/>
                <w:szCs w:val="20"/>
                <w:highlight w:val="yellow"/>
              </w:rPr>
            </w:pPr>
            <w:r>
              <w:rPr>
                <w:rFonts w:ascii="Calibri" w:eastAsia="Calibri" w:hAnsi="Calibri" w:cs="Calibri"/>
                <w:color w:val="000000"/>
                <w:sz w:val="20"/>
                <w:szCs w:val="20"/>
              </w:rPr>
              <w:t>4.2.3: Blue carbon finance mechanism developed and implemented</w:t>
            </w:r>
          </w:p>
        </w:tc>
      </w:tr>
      <w:tr w:rsidR="00CF33D9" w14:paraId="6808FABC" w14:textId="77777777">
        <w:trPr>
          <w:trHeight w:val="350"/>
        </w:trPr>
        <w:tc>
          <w:tcPr>
            <w:tcW w:w="1819" w:type="dxa"/>
            <w:shd w:val="clear" w:color="auto" w:fill="D0CECE"/>
          </w:tcPr>
          <w:p w14:paraId="6808FABA" w14:textId="77777777" w:rsidR="00CF33D9" w:rsidRDefault="00E3332A">
            <w:pPr>
              <w:rPr>
                <w:rFonts w:ascii="Calibri" w:eastAsia="Calibri" w:hAnsi="Calibri" w:cs="Calibri"/>
                <w:b/>
                <w:sz w:val="20"/>
                <w:szCs w:val="20"/>
              </w:rPr>
            </w:pPr>
            <w:r>
              <w:rPr>
                <w:rFonts w:ascii="Calibri" w:eastAsia="Calibri" w:hAnsi="Calibri" w:cs="Calibri"/>
                <w:b/>
                <w:sz w:val="20"/>
                <w:szCs w:val="20"/>
              </w:rPr>
              <w:t>Project component 5</w:t>
            </w:r>
          </w:p>
        </w:tc>
        <w:tc>
          <w:tcPr>
            <w:tcW w:w="12576" w:type="dxa"/>
            <w:gridSpan w:val="10"/>
            <w:shd w:val="clear" w:color="auto" w:fill="D0CECE"/>
          </w:tcPr>
          <w:p w14:paraId="6808FABB" w14:textId="77777777" w:rsidR="00CF33D9" w:rsidRDefault="00E3332A">
            <w:pPr>
              <w:rPr>
                <w:rFonts w:ascii="Calibri" w:hAnsi="Calibri" w:cs="Calibri"/>
                <w:b/>
                <w:color w:val="000000"/>
                <w:sz w:val="20"/>
                <w:szCs w:val="20"/>
              </w:rPr>
            </w:pPr>
            <w:r>
              <w:rPr>
                <w:rFonts w:ascii="Calibri" w:eastAsia="Calibri" w:hAnsi="Calibri" w:cs="Calibri"/>
                <w:b/>
                <w:color w:val="000000"/>
                <w:sz w:val="20"/>
                <w:szCs w:val="20"/>
              </w:rPr>
              <w:t>Knowledge management, awareness raising and upscaling for Sustainable Blue/Ocean Economy</w:t>
            </w:r>
          </w:p>
        </w:tc>
      </w:tr>
      <w:tr w:rsidR="00CF33D9" w14:paraId="6808FACD" w14:textId="77777777">
        <w:trPr>
          <w:trHeight w:val="350"/>
        </w:trPr>
        <w:tc>
          <w:tcPr>
            <w:tcW w:w="1819" w:type="dxa"/>
            <w:shd w:val="clear" w:color="auto" w:fill="auto"/>
          </w:tcPr>
          <w:p w14:paraId="6808FABD" w14:textId="77777777" w:rsidR="00CF33D9" w:rsidRDefault="00E3332A">
            <w:pPr>
              <w:rPr>
                <w:rFonts w:ascii="Calibri" w:eastAsia="Calibri" w:hAnsi="Calibri" w:cs="Calibri"/>
                <w:b/>
                <w:color w:val="000000"/>
                <w:sz w:val="20"/>
                <w:szCs w:val="20"/>
              </w:rPr>
            </w:pPr>
            <w:r>
              <w:rPr>
                <w:rFonts w:ascii="Calibri" w:eastAsia="Calibri" w:hAnsi="Calibri" w:cs="Calibri"/>
                <w:b/>
                <w:color w:val="000000"/>
                <w:sz w:val="20"/>
                <w:szCs w:val="20"/>
              </w:rPr>
              <w:t xml:space="preserve">Outcome 5.1: Knowledge </w:t>
            </w:r>
            <w:r>
              <w:rPr>
                <w:rFonts w:ascii="Calibri" w:eastAsia="Calibri" w:hAnsi="Calibri" w:cs="Calibri"/>
                <w:b/>
                <w:color w:val="000000"/>
                <w:sz w:val="20"/>
                <w:szCs w:val="20"/>
              </w:rPr>
              <w:lastRenderedPageBreak/>
              <w:t>management, awareness raising and communication on Sustainable Blue/Ocean Economy</w:t>
            </w:r>
            <w:r>
              <w:rPr>
                <w:rFonts w:ascii="Calibri" w:eastAsia="Calibri" w:hAnsi="Calibri" w:cs="Calibri"/>
                <w:b/>
                <w:color w:val="000000"/>
                <w:sz w:val="20"/>
                <w:szCs w:val="20"/>
                <w:lang w:val="hr-HR"/>
              </w:rPr>
              <w:t xml:space="preserve">, </w:t>
            </w:r>
            <w:r>
              <w:rPr>
                <w:rFonts w:ascii="Calibri" w:eastAsia="Calibri" w:hAnsi="Calibri" w:cs="Calibri"/>
                <w:b/>
                <w:color w:val="000000"/>
                <w:sz w:val="20"/>
                <w:szCs w:val="20"/>
              </w:rPr>
              <w:t>and Social and Environmental Safeguards in the BCLME region strengthened</w:t>
            </w:r>
          </w:p>
        </w:tc>
        <w:tc>
          <w:tcPr>
            <w:tcW w:w="1821" w:type="dxa"/>
          </w:tcPr>
          <w:p w14:paraId="6808FABE"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lastRenderedPageBreak/>
              <w:t xml:space="preserve">Indicator 25: BCLME Sustainable </w:t>
            </w:r>
            <w:r>
              <w:rPr>
                <w:rFonts w:ascii="Calibri" w:eastAsia="Calibri" w:hAnsi="Calibri" w:cs="Calibri"/>
                <w:color w:val="000000"/>
                <w:sz w:val="20"/>
                <w:szCs w:val="20"/>
              </w:rPr>
              <w:lastRenderedPageBreak/>
              <w:t>Blue Economy Observatory (SBE) established and disseminating information through web-based BCLME SBE knowledge management platform</w:t>
            </w:r>
          </w:p>
        </w:tc>
        <w:tc>
          <w:tcPr>
            <w:tcW w:w="1833" w:type="dxa"/>
            <w:gridSpan w:val="2"/>
          </w:tcPr>
          <w:p w14:paraId="6808FABF"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lastRenderedPageBreak/>
              <w:t>BCC Website</w:t>
            </w:r>
          </w:p>
          <w:p w14:paraId="6808FAC0" w14:textId="77777777" w:rsidR="00CF33D9" w:rsidRDefault="00CF33D9">
            <w:pPr>
              <w:rPr>
                <w:rFonts w:ascii="Calibri" w:eastAsia="Calibri" w:hAnsi="Calibri" w:cs="Calibri"/>
                <w:color w:val="000000"/>
                <w:sz w:val="20"/>
                <w:szCs w:val="20"/>
              </w:rPr>
            </w:pPr>
          </w:p>
          <w:p w14:paraId="6808FAC1"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lastRenderedPageBreak/>
              <w:t>Conference reports</w:t>
            </w:r>
          </w:p>
          <w:p w14:paraId="6808FAC2" w14:textId="77777777" w:rsidR="00CF33D9" w:rsidRDefault="00CF33D9">
            <w:pPr>
              <w:rPr>
                <w:rFonts w:ascii="Calibri" w:eastAsia="Calibri" w:hAnsi="Calibri" w:cs="Calibri"/>
                <w:color w:val="000000"/>
                <w:sz w:val="20"/>
                <w:szCs w:val="20"/>
              </w:rPr>
            </w:pPr>
          </w:p>
          <w:p w14:paraId="6808FAC3" w14:textId="77777777" w:rsidR="00CF33D9" w:rsidRDefault="00E3332A">
            <w:pPr>
              <w:rPr>
                <w:rFonts w:ascii="Calibri" w:hAnsi="Calibri" w:cs="Calibri"/>
                <w:color w:val="000000"/>
                <w:sz w:val="20"/>
                <w:szCs w:val="20"/>
              </w:rPr>
            </w:pPr>
            <w:r>
              <w:rPr>
                <w:rFonts w:ascii="Calibri" w:eastAsia="Calibri" w:hAnsi="Calibri" w:cs="Calibri"/>
                <w:color w:val="000000"/>
                <w:sz w:val="20"/>
                <w:szCs w:val="20"/>
              </w:rPr>
              <w:t>Collected information and data on SBE</w:t>
            </w:r>
          </w:p>
        </w:tc>
        <w:tc>
          <w:tcPr>
            <w:tcW w:w="1694" w:type="dxa"/>
          </w:tcPr>
          <w:p w14:paraId="6808FAC4"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lastRenderedPageBreak/>
              <w:t xml:space="preserve">SBE Observatory does not exist </w:t>
            </w:r>
            <w:r>
              <w:rPr>
                <w:rFonts w:ascii="Calibri" w:eastAsia="Calibri" w:hAnsi="Calibri" w:cs="Calibri"/>
                <w:color w:val="000000"/>
                <w:sz w:val="20"/>
                <w:szCs w:val="20"/>
              </w:rPr>
              <w:lastRenderedPageBreak/>
              <w:t>and data do not distinguish between SBE and ocean economy</w:t>
            </w:r>
          </w:p>
          <w:p w14:paraId="6808FAC5" w14:textId="77777777" w:rsidR="00CF33D9" w:rsidRDefault="00CF33D9">
            <w:pPr>
              <w:rPr>
                <w:rFonts w:ascii="Calibri" w:eastAsia="Calibri" w:hAnsi="Calibri" w:cs="Calibri"/>
                <w:color w:val="000000"/>
                <w:sz w:val="20"/>
                <w:szCs w:val="20"/>
              </w:rPr>
            </w:pPr>
          </w:p>
          <w:p w14:paraId="6808FAC6"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t>SBE KM platform does not exist</w:t>
            </w:r>
          </w:p>
          <w:p w14:paraId="6808FAC7" w14:textId="77777777" w:rsidR="00CF33D9" w:rsidRDefault="00CF33D9">
            <w:pPr>
              <w:rPr>
                <w:rFonts w:ascii="Calibri" w:hAnsi="Calibri" w:cs="Calibri"/>
                <w:color w:val="000000"/>
                <w:sz w:val="20"/>
                <w:szCs w:val="20"/>
              </w:rPr>
            </w:pPr>
          </w:p>
        </w:tc>
        <w:tc>
          <w:tcPr>
            <w:tcW w:w="1826" w:type="dxa"/>
          </w:tcPr>
          <w:p w14:paraId="6808FAC8" w14:textId="77777777" w:rsidR="00CF33D9" w:rsidRDefault="00E3332A">
            <w:pPr>
              <w:rPr>
                <w:rFonts w:ascii="Calibri" w:hAnsi="Calibri" w:cs="Calibri"/>
                <w:color w:val="000000"/>
                <w:sz w:val="20"/>
                <w:szCs w:val="20"/>
              </w:rPr>
            </w:pPr>
            <w:r>
              <w:rPr>
                <w:rFonts w:ascii="Calibri" w:eastAsia="Calibri" w:hAnsi="Calibri" w:cs="Calibri"/>
                <w:color w:val="000000"/>
                <w:sz w:val="20"/>
                <w:szCs w:val="20"/>
              </w:rPr>
              <w:lastRenderedPageBreak/>
              <w:t xml:space="preserve">SBE established and widely </w:t>
            </w:r>
            <w:r>
              <w:rPr>
                <w:rFonts w:ascii="Calibri" w:eastAsia="Calibri" w:hAnsi="Calibri" w:cs="Calibri"/>
                <w:color w:val="000000"/>
                <w:sz w:val="20"/>
                <w:szCs w:val="20"/>
              </w:rPr>
              <w:lastRenderedPageBreak/>
              <w:t>accessible to stakeholders through SBE KM platform</w:t>
            </w:r>
          </w:p>
        </w:tc>
        <w:tc>
          <w:tcPr>
            <w:tcW w:w="1802" w:type="dxa"/>
            <w:gridSpan w:val="2"/>
          </w:tcPr>
          <w:p w14:paraId="6808FAC9" w14:textId="77777777" w:rsidR="00CF33D9" w:rsidRDefault="00E3332A">
            <w:pPr>
              <w:rPr>
                <w:rFonts w:ascii="Calibri" w:hAnsi="Calibri" w:cs="Calibri"/>
                <w:color w:val="000000"/>
                <w:sz w:val="20"/>
                <w:szCs w:val="20"/>
              </w:rPr>
            </w:pPr>
            <w:r>
              <w:rPr>
                <w:rFonts w:ascii="Calibri" w:eastAsia="Calibri" w:hAnsi="Calibri" w:cs="Calibri"/>
                <w:color w:val="000000"/>
                <w:sz w:val="20"/>
                <w:szCs w:val="20"/>
              </w:rPr>
              <w:lastRenderedPageBreak/>
              <w:t>Annual reports on SBE published</w:t>
            </w:r>
          </w:p>
        </w:tc>
        <w:tc>
          <w:tcPr>
            <w:tcW w:w="1547" w:type="dxa"/>
            <w:gridSpan w:val="2"/>
          </w:tcPr>
          <w:p w14:paraId="6808FACA"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t xml:space="preserve">Information material </w:t>
            </w:r>
            <w:r>
              <w:rPr>
                <w:rFonts w:ascii="Calibri" w:eastAsia="Calibri" w:hAnsi="Calibri" w:cs="Calibri"/>
                <w:color w:val="000000"/>
                <w:sz w:val="20"/>
                <w:szCs w:val="20"/>
              </w:rPr>
              <w:lastRenderedPageBreak/>
              <w:t>uploaded onto SBE</w:t>
            </w:r>
          </w:p>
          <w:p w14:paraId="6808FACB" w14:textId="77777777" w:rsidR="00CF33D9" w:rsidRDefault="00E3332A">
            <w:pPr>
              <w:rPr>
                <w:rFonts w:ascii="Calibri" w:hAnsi="Calibri" w:cs="Calibri"/>
                <w:color w:val="000000"/>
                <w:sz w:val="20"/>
                <w:szCs w:val="20"/>
              </w:rPr>
            </w:pPr>
            <w:r>
              <w:rPr>
                <w:rFonts w:ascii="Calibri" w:eastAsia="Calibri" w:hAnsi="Calibri" w:cs="Calibri"/>
                <w:color w:val="000000"/>
                <w:sz w:val="20"/>
                <w:szCs w:val="20"/>
              </w:rPr>
              <w:t># of downloads of knowledge products from the SBE KM platform</w:t>
            </w:r>
          </w:p>
        </w:tc>
        <w:tc>
          <w:tcPr>
            <w:tcW w:w="2053" w:type="dxa"/>
          </w:tcPr>
          <w:p w14:paraId="6808FACC" w14:textId="77777777" w:rsidR="00CF33D9" w:rsidRDefault="00E3332A">
            <w:pPr>
              <w:rPr>
                <w:rFonts w:ascii="Calibri" w:hAnsi="Calibri" w:cs="Calibri"/>
                <w:color w:val="000000"/>
                <w:sz w:val="20"/>
                <w:szCs w:val="20"/>
              </w:rPr>
            </w:pPr>
            <w:r>
              <w:rPr>
                <w:rFonts w:ascii="Calibri" w:eastAsia="Calibri" w:hAnsi="Calibri" w:cs="Calibri"/>
                <w:color w:val="000000"/>
                <w:sz w:val="20"/>
                <w:szCs w:val="20"/>
                <w:u w:val="single"/>
              </w:rPr>
              <w:lastRenderedPageBreak/>
              <w:t>Assumptions</w:t>
            </w:r>
            <w:r>
              <w:rPr>
                <w:rFonts w:ascii="Calibri" w:eastAsia="Calibri" w:hAnsi="Calibri" w:cs="Calibri"/>
                <w:color w:val="000000"/>
                <w:sz w:val="20"/>
                <w:szCs w:val="20"/>
              </w:rPr>
              <w:t xml:space="preserve">: Stakeholders provide </w:t>
            </w:r>
            <w:r>
              <w:rPr>
                <w:rFonts w:ascii="Calibri" w:eastAsia="Calibri" w:hAnsi="Calibri" w:cs="Calibri"/>
                <w:color w:val="000000"/>
                <w:sz w:val="20"/>
                <w:szCs w:val="20"/>
              </w:rPr>
              <w:lastRenderedPageBreak/>
              <w:t>information to the SBE Observatory and allow  publication onto SBE KM platform</w:t>
            </w:r>
          </w:p>
        </w:tc>
      </w:tr>
      <w:tr w:rsidR="00CF33D9" w14:paraId="6808FAD2" w14:textId="77777777">
        <w:trPr>
          <w:trHeight w:val="350"/>
        </w:trPr>
        <w:tc>
          <w:tcPr>
            <w:tcW w:w="1819" w:type="dxa"/>
            <w:shd w:val="clear" w:color="auto" w:fill="auto"/>
          </w:tcPr>
          <w:p w14:paraId="6808FACE" w14:textId="77777777" w:rsidR="00CF33D9" w:rsidRDefault="00E3332A">
            <w:pPr>
              <w:rPr>
                <w:rFonts w:ascii="Calibri" w:eastAsia="Calibri" w:hAnsi="Calibri" w:cs="Calibri"/>
                <w:b/>
                <w:sz w:val="20"/>
                <w:szCs w:val="20"/>
              </w:rPr>
            </w:pPr>
            <w:r>
              <w:rPr>
                <w:rFonts w:ascii="Calibri" w:eastAsia="Calibri" w:hAnsi="Calibri" w:cs="Calibri"/>
                <w:b/>
                <w:sz w:val="20"/>
                <w:szCs w:val="20"/>
              </w:rPr>
              <w:lastRenderedPageBreak/>
              <w:t>Outputs to achieve Outcome 5.1</w:t>
            </w:r>
          </w:p>
        </w:tc>
        <w:tc>
          <w:tcPr>
            <w:tcW w:w="12576" w:type="dxa"/>
            <w:gridSpan w:val="10"/>
          </w:tcPr>
          <w:p w14:paraId="6808FACF" w14:textId="77777777" w:rsidR="00CF33D9" w:rsidRDefault="00E3332A">
            <w:pPr>
              <w:rPr>
                <w:rFonts w:ascii="Calibri" w:hAnsi="Calibri" w:cs="Calibri"/>
                <w:color w:val="000000"/>
                <w:sz w:val="20"/>
                <w:szCs w:val="20"/>
              </w:rPr>
            </w:pPr>
            <w:r>
              <w:rPr>
                <w:rFonts w:ascii="Calibri" w:eastAsia="Calibri" w:hAnsi="Calibri" w:cs="Calibri"/>
                <w:color w:val="000000"/>
                <w:sz w:val="20"/>
                <w:szCs w:val="20"/>
              </w:rPr>
              <w:t xml:space="preserve">5.1.1 </w:t>
            </w:r>
            <w:r>
              <w:rPr>
                <w:rFonts w:ascii="Calibri" w:hAnsi="Calibri" w:cs="Calibri"/>
                <w:color w:val="000000" w:themeColor="text1"/>
                <w:sz w:val="20"/>
                <w:szCs w:val="20"/>
              </w:rPr>
              <w:t>Strengthened capacities for knowledge management in relation to SBE, ICZM, MSP and MPA, and monitoring Knowledge Management performance</w:t>
            </w:r>
          </w:p>
          <w:p w14:paraId="6808FAD0" w14:textId="77777777" w:rsidR="00CF33D9" w:rsidRDefault="00E3332A">
            <w:pPr>
              <w:rPr>
                <w:rFonts w:ascii="Calibri" w:hAnsi="Calibri" w:cs="Calibri"/>
                <w:color w:val="000000"/>
                <w:sz w:val="20"/>
                <w:szCs w:val="20"/>
              </w:rPr>
            </w:pPr>
            <w:r>
              <w:rPr>
                <w:rFonts w:ascii="Calibri" w:eastAsia="Calibri" w:hAnsi="Calibri" w:cs="Calibri"/>
                <w:color w:val="000000"/>
                <w:sz w:val="20"/>
                <w:szCs w:val="20"/>
              </w:rPr>
              <w:t xml:space="preserve">5.1.2 </w:t>
            </w:r>
            <w:r>
              <w:rPr>
                <w:rFonts w:ascii="Calibri" w:hAnsi="Calibri" w:cs="Calibri"/>
                <w:color w:val="000000" w:themeColor="text1"/>
                <w:sz w:val="20"/>
                <w:szCs w:val="20"/>
              </w:rPr>
              <w:t>Communication and Outreach Programme for awareness raising on Sustainable Blue/ocean economy and implementation of SEP and GAP</w:t>
            </w:r>
          </w:p>
          <w:p w14:paraId="6808FAD1" w14:textId="77777777" w:rsidR="00CF33D9" w:rsidRDefault="00E3332A">
            <w:pPr>
              <w:rPr>
                <w:rFonts w:ascii="Calibri" w:hAnsi="Calibri" w:cs="Calibri"/>
                <w:color w:val="000000"/>
                <w:sz w:val="20"/>
                <w:szCs w:val="20"/>
              </w:rPr>
            </w:pPr>
            <w:r>
              <w:rPr>
                <w:rFonts w:ascii="Calibri" w:eastAsia="Calibri" w:hAnsi="Calibri" w:cs="Calibri"/>
                <w:color w:val="000000"/>
                <w:sz w:val="20"/>
                <w:szCs w:val="20"/>
              </w:rPr>
              <w:t xml:space="preserve">5.1.3 </w:t>
            </w:r>
            <w:r>
              <w:rPr>
                <w:rFonts w:ascii="Calibri" w:hAnsi="Calibri" w:cs="Calibri"/>
                <w:color w:val="000000"/>
                <w:sz w:val="20"/>
                <w:szCs w:val="20"/>
                <w:shd w:val="clear" w:color="auto" w:fill="FFFFFF"/>
              </w:rPr>
              <w:t>Environmental and Social Safeguards Management is developed and operationalized</w:t>
            </w:r>
            <w:r>
              <w:rPr>
                <w:rFonts w:ascii="Calibri" w:hAnsi="Calibri" w:cs="Calibri"/>
                <w:color w:val="000000" w:themeColor="text1"/>
                <w:sz w:val="20"/>
                <w:szCs w:val="20"/>
              </w:rPr>
              <w:t xml:space="preserve"> </w:t>
            </w:r>
          </w:p>
        </w:tc>
      </w:tr>
      <w:tr w:rsidR="00CF33D9" w14:paraId="6808FADE" w14:textId="77777777">
        <w:trPr>
          <w:trHeight w:val="350"/>
        </w:trPr>
        <w:tc>
          <w:tcPr>
            <w:tcW w:w="1819" w:type="dxa"/>
            <w:vMerge w:val="restart"/>
            <w:shd w:val="clear" w:color="auto" w:fill="auto"/>
          </w:tcPr>
          <w:p w14:paraId="6808FAD3" w14:textId="77777777" w:rsidR="00CF33D9" w:rsidRDefault="00E3332A">
            <w:pPr>
              <w:rPr>
                <w:rFonts w:ascii="Calibri" w:eastAsia="Calibri" w:hAnsi="Calibri" w:cs="Calibri"/>
                <w:b/>
                <w:sz w:val="20"/>
                <w:szCs w:val="20"/>
              </w:rPr>
            </w:pPr>
            <w:r>
              <w:rPr>
                <w:rFonts w:ascii="Calibri" w:eastAsia="Calibri" w:hAnsi="Calibri" w:cs="Calibri"/>
                <w:b/>
                <w:sz w:val="20"/>
                <w:szCs w:val="20"/>
              </w:rPr>
              <w:t xml:space="preserve">Outcome 5.2: </w:t>
            </w:r>
            <w:r>
              <w:rPr>
                <w:rFonts w:ascii="Calibri" w:eastAsia="Calibri" w:hAnsi="Calibri" w:cs="Calibri"/>
                <w:b/>
                <w:color w:val="000000"/>
                <w:sz w:val="20"/>
                <w:szCs w:val="20"/>
              </w:rPr>
              <w:t>The upscaling</w:t>
            </w:r>
            <w:r>
              <w:rPr>
                <w:rFonts w:ascii="Calibri" w:eastAsia="Calibri" w:hAnsi="Calibri" w:cs="Calibri"/>
                <w:b/>
                <w:color w:val="000000"/>
                <w:sz w:val="20"/>
                <w:szCs w:val="20"/>
                <w:highlight w:val="yellow"/>
              </w:rPr>
              <w:t xml:space="preserve"> </w:t>
            </w:r>
            <w:r>
              <w:rPr>
                <w:rFonts w:ascii="Calibri" w:eastAsia="Calibri" w:hAnsi="Calibri" w:cs="Calibri"/>
                <w:b/>
                <w:color w:val="000000"/>
                <w:sz w:val="20"/>
                <w:szCs w:val="20"/>
              </w:rPr>
              <w:t>of sustainable</w:t>
            </w:r>
            <w:r>
              <w:rPr>
                <w:rFonts w:ascii="Calibri" w:eastAsia="Calibri" w:hAnsi="Calibri" w:cs="Calibri"/>
                <w:b/>
                <w:color w:val="000000"/>
                <w:sz w:val="20"/>
                <w:szCs w:val="20"/>
                <w:highlight w:val="yellow"/>
              </w:rPr>
              <w:t xml:space="preserve"> </w:t>
            </w:r>
            <w:r>
              <w:rPr>
                <w:rFonts w:ascii="Calibri" w:eastAsia="Calibri" w:hAnsi="Calibri" w:cs="Calibri"/>
                <w:b/>
                <w:color w:val="000000"/>
                <w:sz w:val="20"/>
                <w:szCs w:val="20"/>
              </w:rPr>
              <w:t>and viable  blue/ocean economy interventions is promoted</w:t>
            </w:r>
          </w:p>
        </w:tc>
        <w:tc>
          <w:tcPr>
            <w:tcW w:w="1821" w:type="dxa"/>
          </w:tcPr>
          <w:p w14:paraId="6808FAD4"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t>Indicator 26: # of project SBE knowledge products disseminated widely including on IW:LEARN and Africa LME Caucus</w:t>
            </w:r>
          </w:p>
        </w:tc>
        <w:tc>
          <w:tcPr>
            <w:tcW w:w="1833" w:type="dxa"/>
            <w:gridSpan w:val="2"/>
          </w:tcPr>
          <w:p w14:paraId="6808FAD5"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t>SBE knowledge products</w:t>
            </w:r>
          </w:p>
        </w:tc>
        <w:tc>
          <w:tcPr>
            <w:tcW w:w="1694" w:type="dxa"/>
          </w:tcPr>
          <w:p w14:paraId="6808FAD6"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t>0 SBE knowledge products</w:t>
            </w:r>
          </w:p>
        </w:tc>
        <w:tc>
          <w:tcPr>
            <w:tcW w:w="1826" w:type="dxa"/>
          </w:tcPr>
          <w:p w14:paraId="6808FAD7"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t>9 SBE knowledge products developed and disseminated</w:t>
            </w:r>
          </w:p>
        </w:tc>
        <w:tc>
          <w:tcPr>
            <w:tcW w:w="1802" w:type="dxa"/>
            <w:gridSpan w:val="2"/>
          </w:tcPr>
          <w:p w14:paraId="6808FAD8"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t>18 SBE knowledge products developed and disseminated</w:t>
            </w:r>
          </w:p>
        </w:tc>
        <w:tc>
          <w:tcPr>
            <w:tcW w:w="1547" w:type="dxa"/>
            <w:gridSpan w:val="2"/>
          </w:tcPr>
          <w:p w14:paraId="6808FAD9"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t>Newsletters</w:t>
            </w:r>
          </w:p>
          <w:p w14:paraId="6808FADA"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t>SBE Experience notes</w:t>
            </w:r>
          </w:p>
          <w:p w14:paraId="6808FADB"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t>Technical reports</w:t>
            </w:r>
          </w:p>
          <w:p w14:paraId="6808FADC"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t>SBE Policy briefs</w:t>
            </w:r>
          </w:p>
        </w:tc>
        <w:tc>
          <w:tcPr>
            <w:tcW w:w="2053" w:type="dxa"/>
          </w:tcPr>
          <w:p w14:paraId="6808FADD"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u w:val="single"/>
              </w:rPr>
              <w:t>Assumptions</w:t>
            </w:r>
            <w:r>
              <w:rPr>
                <w:rFonts w:ascii="Calibri" w:eastAsia="Calibri" w:hAnsi="Calibri" w:cs="Calibri"/>
                <w:color w:val="000000"/>
                <w:sz w:val="20"/>
                <w:szCs w:val="20"/>
              </w:rPr>
              <w:t>: Countries are willing to provide information and participate in IW:LEARN events</w:t>
            </w:r>
          </w:p>
        </w:tc>
      </w:tr>
      <w:tr w:rsidR="00CF33D9" w14:paraId="6808FAE7" w14:textId="77777777">
        <w:trPr>
          <w:trHeight w:val="350"/>
        </w:trPr>
        <w:tc>
          <w:tcPr>
            <w:tcW w:w="1819" w:type="dxa"/>
            <w:vMerge/>
            <w:shd w:val="clear" w:color="auto" w:fill="auto"/>
          </w:tcPr>
          <w:p w14:paraId="6808FADF" w14:textId="77777777" w:rsidR="00CF33D9" w:rsidRDefault="00CF33D9">
            <w:pPr>
              <w:widowControl w:val="0"/>
              <w:spacing w:line="276" w:lineRule="auto"/>
              <w:rPr>
                <w:rFonts w:ascii="Calibri" w:eastAsia="Calibri" w:hAnsi="Calibri" w:cs="Calibri"/>
                <w:color w:val="000000"/>
                <w:sz w:val="20"/>
                <w:szCs w:val="20"/>
              </w:rPr>
            </w:pPr>
          </w:p>
        </w:tc>
        <w:tc>
          <w:tcPr>
            <w:tcW w:w="1821" w:type="dxa"/>
          </w:tcPr>
          <w:p w14:paraId="6808FAE0"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t>Indicator 27: # of BCC Annual Science to Governance Forum convened</w:t>
            </w:r>
          </w:p>
        </w:tc>
        <w:tc>
          <w:tcPr>
            <w:tcW w:w="1833" w:type="dxa"/>
            <w:gridSpan w:val="2"/>
          </w:tcPr>
          <w:p w14:paraId="6808FAE1"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t>Forum reports</w:t>
            </w:r>
          </w:p>
        </w:tc>
        <w:tc>
          <w:tcPr>
            <w:tcW w:w="1694" w:type="dxa"/>
          </w:tcPr>
          <w:p w14:paraId="6808FAE2"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t xml:space="preserve">No BCC Science to Governance forums yet convened </w:t>
            </w:r>
          </w:p>
        </w:tc>
        <w:tc>
          <w:tcPr>
            <w:tcW w:w="1826" w:type="dxa"/>
          </w:tcPr>
          <w:p w14:paraId="6808FAE3"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t>3 forums convened</w:t>
            </w:r>
          </w:p>
        </w:tc>
        <w:tc>
          <w:tcPr>
            <w:tcW w:w="1802" w:type="dxa"/>
            <w:gridSpan w:val="2"/>
          </w:tcPr>
          <w:p w14:paraId="6808FAE4"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t>6 forums convened</w:t>
            </w:r>
          </w:p>
        </w:tc>
        <w:tc>
          <w:tcPr>
            <w:tcW w:w="1547" w:type="dxa"/>
            <w:gridSpan w:val="2"/>
          </w:tcPr>
          <w:p w14:paraId="6808FAE5" w14:textId="77777777" w:rsidR="00CF33D9" w:rsidRDefault="00E3332A">
            <w:pPr>
              <w:rPr>
                <w:rFonts w:ascii="Calibri" w:eastAsia="Calibri" w:hAnsi="Calibri" w:cs="Calibri"/>
                <w:color w:val="000000"/>
                <w:sz w:val="20"/>
                <w:szCs w:val="20"/>
              </w:rPr>
            </w:pPr>
            <w:r>
              <w:rPr>
                <w:rFonts w:ascii="Calibri" w:eastAsia="Calibri" w:hAnsi="Calibri" w:cs="Calibri"/>
                <w:color w:val="000000"/>
                <w:sz w:val="20"/>
                <w:szCs w:val="20"/>
              </w:rPr>
              <w:t>Progress reports on the preparatory activities for the forum</w:t>
            </w:r>
          </w:p>
        </w:tc>
        <w:tc>
          <w:tcPr>
            <w:tcW w:w="2053" w:type="dxa"/>
          </w:tcPr>
          <w:p w14:paraId="6808FAE6" w14:textId="77777777" w:rsidR="00CF33D9" w:rsidRDefault="00E3332A">
            <w:pPr>
              <w:shd w:val="clear" w:color="auto" w:fill="FFFFFF"/>
              <w:rPr>
                <w:rFonts w:ascii="Calibri" w:eastAsia="Calibri" w:hAnsi="Calibri" w:cs="Calibri"/>
                <w:color w:val="000000"/>
                <w:sz w:val="20"/>
                <w:szCs w:val="20"/>
              </w:rPr>
            </w:pPr>
            <w:r>
              <w:rPr>
                <w:rFonts w:ascii="Calibri" w:eastAsia="Calibri" w:hAnsi="Calibri" w:cs="Calibri"/>
                <w:color w:val="000000"/>
                <w:sz w:val="20"/>
                <w:szCs w:val="20"/>
                <w:u w:val="single"/>
              </w:rPr>
              <w:t>Assumptions</w:t>
            </w:r>
            <w:r>
              <w:rPr>
                <w:rFonts w:ascii="Calibri" w:eastAsia="Calibri" w:hAnsi="Calibri" w:cs="Calibri"/>
                <w:color w:val="000000"/>
                <w:sz w:val="20"/>
                <w:szCs w:val="20"/>
              </w:rPr>
              <w:t>: Project’s implementation advanced enough for results to be presented at the forum</w:t>
            </w:r>
          </w:p>
        </w:tc>
      </w:tr>
      <w:tr w:rsidR="00CF33D9" w14:paraId="6808FAEB" w14:textId="77777777">
        <w:trPr>
          <w:trHeight w:val="350"/>
        </w:trPr>
        <w:tc>
          <w:tcPr>
            <w:tcW w:w="1819" w:type="dxa"/>
            <w:shd w:val="clear" w:color="auto" w:fill="auto"/>
          </w:tcPr>
          <w:p w14:paraId="6808FAE8" w14:textId="77777777" w:rsidR="00CF33D9" w:rsidRDefault="00E3332A">
            <w:pPr>
              <w:rPr>
                <w:rFonts w:ascii="Calibri" w:eastAsia="Calibri" w:hAnsi="Calibri" w:cs="Calibri"/>
                <w:b/>
                <w:sz w:val="20"/>
                <w:szCs w:val="20"/>
              </w:rPr>
            </w:pPr>
            <w:r>
              <w:rPr>
                <w:rFonts w:ascii="Calibri" w:eastAsia="Calibri" w:hAnsi="Calibri" w:cs="Calibri"/>
                <w:b/>
                <w:sz w:val="20"/>
                <w:szCs w:val="20"/>
              </w:rPr>
              <w:t>Outputs to achieve Outcome 5.2</w:t>
            </w:r>
          </w:p>
        </w:tc>
        <w:tc>
          <w:tcPr>
            <w:tcW w:w="12576" w:type="dxa"/>
            <w:gridSpan w:val="10"/>
          </w:tcPr>
          <w:p w14:paraId="6808FAE9" w14:textId="77777777" w:rsidR="00CF33D9" w:rsidRDefault="00E3332A">
            <w:pPr>
              <w:rPr>
                <w:rFonts w:ascii="Calibri" w:hAnsi="Calibri" w:cs="Calibri"/>
                <w:color w:val="000000"/>
                <w:sz w:val="20"/>
                <w:szCs w:val="20"/>
              </w:rPr>
            </w:pPr>
            <w:r>
              <w:rPr>
                <w:rFonts w:ascii="Calibri" w:eastAsia="Calibri" w:hAnsi="Calibri" w:cs="Calibri"/>
                <w:color w:val="000000"/>
                <w:sz w:val="20"/>
                <w:szCs w:val="20"/>
              </w:rPr>
              <w:t>5.2.1: Communications and knowledge products (information packages, tools and approaches) for upscaling developed and shared with beneficiaries via knowledge-sharing platform</w:t>
            </w:r>
          </w:p>
          <w:p w14:paraId="6808FAEA" w14:textId="77777777" w:rsidR="00CF33D9" w:rsidRDefault="00E3332A">
            <w:pPr>
              <w:rPr>
                <w:rFonts w:ascii="Calibri" w:hAnsi="Calibri" w:cs="Calibri"/>
                <w:color w:val="000000"/>
                <w:sz w:val="20"/>
                <w:szCs w:val="20"/>
              </w:rPr>
            </w:pPr>
            <w:r>
              <w:rPr>
                <w:rFonts w:ascii="Calibri" w:eastAsia="Calibri" w:hAnsi="Calibri" w:cs="Calibri"/>
                <w:color w:val="000000"/>
                <w:sz w:val="20"/>
                <w:szCs w:val="20"/>
              </w:rPr>
              <w:t>5.2.2: Sustainable blue/ocean economy practice, knowledge and lessons shared across African LMEs in partnership with IW:LEARN.</w:t>
            </w:r>
          </w:p>
        </w:tc>
      </w:tr>
    </w:tbl>
    <w:p w14:paraId="6808FAEC" w14:textId="77777777" w:rsidR="00CF33D9" w:rsidRDefault="00CF33D9">
      <w:pPr>
        <w:jc w:val="both"/>
        <w:rPr>
          <w:rFonts w:ascii="Calibri" w:eastAsia="Calibri" w:hAnsi="Calibri" w:cs="Calibri"/>
          <w:i/>
          <w:sz w:val="20"/>
          <w:szCs w:val="20"/>
        </w:rPr>
      </w:pPr>
    </w:p>
    <w:p w14:paraId="6808FAED" w14:textId="77777777" w:rsidR="00CF33D9" w:rsidRDefault="00CF33D9">
      <w:pPr>
        <w:jc w:val="both"/>
        <w:rPr>
          <w:rFonts w:ascii="Calibri" w:eastAsia="Calibri" w:hAnsi="Calibri" w:cs="Calibri"/>
          <w:i/>
          <w:sz w:val="20"/>
          <w:szCs w:val="20"/>
        </w:rPr>
      </w:pPr>
    </w:p>
    <w:p w14:paraId="6808FAEE" w14:textId="77777777" w:rsidR="00CF33D9" w:rsidRDefault="00CF33D9">
      <w:pPr>
        <w:jc w:val="both"/>
        <w:rPr>
          <w:rFonts w:ascii="Calibri" w:eastAsia="Calibri" w:hAnsi="Calibri" w:cs="Calibri"/>
          <w:i/>
          <w:sz w:val="20"/>
          <w:szCs w:val="20"/>
        </w:rPr>
      </w:pPr>
    </w:p>
    <w:p w14:paraId="6808FAEF" w14:textId="77777777" w:rsidR="00CF33D9" w:rsidRDefault="00CF33D9">
      <w:pPr>
        <w:jc w:val="both"/>
        <w:rPr>
          <w:rFonts w:ascii="Calibri" w:eastAsia="Calibri" w:hAnsi="Calibri" w:cs="Calibri"/>
          <w:i/>
          <w:sz w:val="20"/>
          <w:szCs w:val="20"/>
        </w:rPr>
      </w:pPr>
    </w:p>
    <w:p w14:paraId="6808FAF0" w14:textId="77777777" w:rsidR="00CF33D9" w:rsidRDefault="00CF33D9">
      <w:pPr>
        <w:jc w:val="both"/>
        <w:rPr>
          <w:rFonts w:ascii="Calibri" w:eastAsia="Calibri" w:hAnsi="Calibri" w:cs="Calibri"/>
          <w:i/>
          <w:sz w:val="20"/>
          <w:szCs w:val="20"/>
        </w:rPr>
      </w:pPr>
    </w:p>
    <w:p w14:paraId="6808FAF1" w14:textId="77777777" w:rsidR="00CF33D9" w:rsidRDefault="00CF33D9">
      <w:pPr>
        <w:jc w:val="both"/>
        <w:rPr>
          <w:rFonts w:ascii="Calibri" w:eastAsia="Calibri" w:hAnsi="Calibri" w:cs="Calibri"/>
          <w:i/>
          <w:sz w:val="20"/>
          <w:szCs w:val="20"/>
        </w:rPr>
      </w:pPr>
    </w:p>
    <w:p w14:paraId="6808FAF2" w14:textId="77777777" w:rsidR="00CF33D9" w:rsidRDefault="00CF33D9">
      <w:pPr>
        <w:jc w:val="both"/>
        <w:rPr>
          <w:rFonts w:ascii="Calibri" w:eastAsia="Calibri" w:hAnsi="Calibri" w:cs="Calibri"/>
          <w:i/>
          <w:sz w:val="20"/>
          <w:szCs w:val="20"/>
        </w:rPr>
      </w:pPr>
    </w:p>
    <w:p w14:paraId="6808FAF3" w14:textId="77777777" w:rsidR="00CF33D9" w:rsidRDefault="00CF33D9">
      <w:pPr>
        <w:jc w:val="both"/>
        <w:rPr>
          <w:rFonts w:ascii="Calibri" w:eastAsia="Calibri" w:hAnsi="Calibri" w:cs="Calibri"/>
          <w:i/>
          <w:sz w:val="20"/>
          <w:szCs w:val="20"/>
        </w:rPr>
      </w:pPr>
    </w:p>
    <w:p w14:paraId="6808FAF4" w14:textId="77777777" w:rsidR="00CF33D9" w:rsidRDefault="00CF33D9">
      <w:pPr>
        <w:jc w:val="both"/>
        <w:rPr>
          <w:rFonts w:ascii="Calibri" w:eastAsia="Calibri" w:hAnsi="Calibri" w:cs="Calibri"/>
          <w:i/>
          <w:sz w:val="20"/>
          <w:szCs w:val="20"/>
        </w:rPr>
      </w:pPr>
    </w:p>
    <w:p w14:paraId="6808FAF5" w14:textId="77777777" w:rsidR="00CF33D9" w:rsidRDefault="00CF33D9">
      <w:pPr>
        <w:spacing w:after="60"/>
        <w:jc w:val="both"/>
        <w:rPr>
          <w:rFonts w:ascii="Calibri" w:eastAsia="Calibri" w:hAnsi="Calibri" w:cs="Calibri"/>
          <w:sz w:val="20"/>
          <w:szCs w:val="20"/>
        </w:rPr>
      </w:pPr>
    </w:p>
    <w:p w14:paraId="6808FAF6" w14:textId="77777777" w:rsidR="00CF33D9" w:rsidRDefault="00CF33D9">
      <w:pPr>
        <w:spacing w:after="60"/>
        <w:jc w:val="both"/>
        <w:rPr>
          <w:rFonts w:ascii="Calibri" w:eastAsia="Calibri" w:hAnsi="Calibri" w:cs="Calibri"/>
          <w:sz w:val="20"/>
          <w:szCs w:val="20"/>
        </w:rPr>
        <w:sectPr w:rsidR="00CF33D9">
          <w:pgSz w:w="15840" w:h="12240" w:orient="landscape"/>
          <w:pgMar w:top="720" w:right="720" w:bottom="720" w:left="720" w:header="720" w:footer="432" w:gutter="0"/>
          <w:cols w:space="720"/>
          <w:titlePg/>
        </w:sectPr>
      </w:pPr>
    </w:p>
    <w:p w14:paraId="6808FAF7" w14:textId="77777777" w:rsidR="00CF33D9" w:rsidRDefault="00E3332A">
      <w:pPr>
        <w:pStyle w:val="Heading1"/>
        <w:rPr>
          <w:rFonts w:ascii="Calibri" w:hAnsi="Calibri" w:cs="Calibri"/>
          <w:sz w:val="20"/>
          <w:szCs w:val="20"/>
        </w:rPr>
      </w:pPr>
      <w:bookmarkStart w:id="23" w:name="_Toc169739163"/>
      <w:r>
        <w:rPr>
          <w:rFonts w:ascii="Calibri" w:hAnsi="Calibri" w:cs="Calibri"/>
          <w:sz w:val="20"/>
          <w:szCs w:val="20"/>
        </w:rPr>
        <w:lastRenderedPageBreak/>
        <w:t>VI</w:t>
      </w:r>
      <w:r>
        <w:rPr>
          <w:rFonts w:ascii="Calibri" w:hAnsi="Calibri" w:cs="Calibri"/>
          <w:sz w:val="20"/>
          <w:szCs w:val="20"/>
        </w:rPr>
        <w:tab/>
        <w:t>Monitoring and Evaluation (M&amp;E) Plan</w:t>
      </w:r>
      <w:bookmarkEnd w:id="23"/>
    </w:p>
    <w:p w14:paraId="6808FAF8" w14:textId="77777777" w:rsidR="00CF33D9" w:rsidRDefault="00CF33D9">
      <w:pPr>
        <w:jc w:val="both"/>
        <w:rPr>
          <w:rFonts w:ascii="Calibri" w:eastAsia="Calibri" w:hAnsi="Calibri" w:cs="Calibri"/>
          <w:sz w:val="20"/>
          <w:szCs w:val="20"/>
        </w:rPr>
      </w:pPr>
    </w:p>
    <w:p w14:paraId="6808FAF9" w14:textId="77777777" w:rsidR="00CF33D9" w:rsidRDefault="00E3332A">
      <w:pPr>
        <w:jc w:val="both"/>
        <w:rPr>
          <w:rFonts w:ascii="Calibri" w:eastAsia="Calibri" w:hAnsi="Calibri" w:cs="Calibri"/>
          <w:b/>
          <w:sz w:val="20"/>
          <w:szCs w:val="20"/>
        </w:rPr>
      </w:pPr>
      <w:r>
        <w:rPr>
          <w:rFonts w:ascii="Calibri" w:eastAsia="Calibri" w:hAnsi="Calibri" w:cs="Calibri"/>
          <w:sz w:val="20"/>
          <w:szCs w:val="20"/>
        </w:rPr>
        <w:t xml:space="preserve">Project-level monitoring and evaluation will be undertaken in compliance with UNDP requirements as outlined in the </w:t>
      </w:r>
      <w:hyperlink r:id="rId21">
        <w:r>
          <w:rPr>
            <w:rFonts w:ascii="Calibri" w:eastAsia="Calibri" w:hAnsi="Calibri" w:cs="Calibri"/>
            <w:sz w:val="20"/>
            <w:szCs w:val="20"/>
          </w:rPr>
          <w:t>UNDP POPP</w:t>
        </w:r>
      </w:hyperlink>
      <w:r>
        <w:rPr>
          <w:rFonts w:ascii="Calibri" w:eastAsia="Calibri" w:hAnsi="Calibri" w:cs="Calibri"/>
          <w:sz w:val="20"/>
          <w:szCs w:val="20"/>
        </w:rPr>
        <w:t xml:space="preserve"> (including </w:t>
      </w:r>
      <w:hyperlink r:id="rId22">
        <w:r>
          <w:rPr>
            <w:rFonts w:ascii="Calibri" w:eastAsia="Calibri" w:hAnsi="Calibri" w:cs="Calibri"/>
            <w:sz w:val="20"/>
            <w:szCs w:val="20"/>
          </w:rPr>
          <w:t>guidance on GEF project revisions</w:t>
        </w:r>
      </w:hyperlink>
      <w:r>
        <w:rPr>
          <w:rFonts w:ascii="Calibri" w:eastAsia="Calibri" w:hAnsi="Calibri" w:cs="Calibri"/>
          <w:sz w:val="20"/>
          <w:szCs w:val="20"/>
        </w:rPr>
        <w:t>)</w:t>
      </w:r>
      <w:r>
        <w:rPr>
          <w:rFonts w:ascii="Calibri" w:eastAsia="Calibri" w:hAnsi="Calibri" w:cs="Calibri"/>
          <w:sz w:val="20"/>
          <w:szCs w:val="20"/>
          <w:u w:val="single"/>
        </w:rPr>
        <w:t xml:space="preserve"> </w:t>
      </w:r>
      <w:r>
        <w:rPr>
          <w:rFonts w:ascii="Calibri" w:eastAsia="Calibri" w:hAnsi="Calibri" w:cs="Calibri"/>
          <w:sz w:val="20"/>
          <w:szCs w:val="20"/>
        </w:rPr>
        <w:t xml:space="preserve">and </w:t>
      </w:r>
      <w:hyperlink r:id="rId23">
        <w:r>
          <w:rPr>
            <w:rFonts w:ascii="Calibri" w:eastAsia="Calibri" w:hAnsi="Calibri" w:cs="Calibri"/>
            <w:color w:val="0000FF"/>
            <w:sz w:val="20"/>
            <w:szCs w:val="20"/>
            <w:u w:val="single"/>
          </w:rPr>
          <w:t>UNDP Evaluation Policy</w:t>
        </w:r>
      </w:hyperlink>
      <w:r>
        <w:rPr>
          <w:rFonts w:ascii="Calibri" w:eastAsia="Calibri" w:hAnsi="Calibri" w:cs="Calibri"/>
          <w:color w:val="0000FF"/>
          <w:sz w:val="20"/>
          <w:szCs w:val="20"/>
        </w:rPr>
        <w:t xml:space="preserve">. </w:t>
      </w:r>
      <w:r>
        <w:rPr>
          <w:rFonts w:ascii="Calibri" w:eastAsia="Calibri" w:hAnsi="Calibri" w:cs="Calibri"/>
          <w:b/>
          <w:sz w:val="20"/>
          <w:szCs w:val="20"/>
        </w:rPr>
        <w:t xml:space="preserve">The UNDP Country Office is responsible for ensuring full compliance with all UNDP project M&amp;E requirements including project monitoring, UNDP quality assurance requirements, quarterly risk management, and evaluation requirements. </w:t>
      </w:r>
    </w:p>
    <w:p w14:paraId="6808FAFA" w14:textId="77777777" w:rsidR="00CF33D9" w:rsidRDefault="00CF33D9">
      <w:pPr>
        <w:jc w:val="both"/>
        <w:rPr>
          <w:rFonts w:ascii="Calibri" w:eastAsia="Calibri" w:hAnsi="Calibri" w:cs="Calibri"/>
          <w:sz w:val="20"/>
          <w:szCs w:val="20"/>
        </w:rPr>
      </w:pPr>
    </w:p>
    <w:p w14:paraId="6808FAFB"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 xml:space="preserve">Additional mandatory GEF-specific M&amp;E requirements will be undertaken in accordance with the </w:t>
      </w:r>
      <w:hyperlink r:id="rId24">
        <w:r>
          <w:rPr>
            <w:rFonts w:ascii="Calibri" w:eastAsia="Calibri" w:hAnsi="Calibri" w:cs="Calibri"/>
            <w:color w:val="0000FF"/>
            <w:sz w:val="20"/>
            <w:szCs w:val="20"/>
            <w:u w:val="single"/>
          </w:rPr>
          <w:t>GEF Monitoring Policy</w:t>
        </w:r>
      </w:hyperlink>
      <w:r>
        <w:rPr>
          <w:rFonts w:ascii="Calibri" w:eastAsia="Calibri" w:hAnsi="Calibri" w:cs="Calibri"/>
          <w:sz w:val="20"/>
          <w:szCs w:val="20"/>
        </w:rPr>
        <w:t xml:space="preserve"> and the </w:t>
      </w:r>
      <w:hyperlink r:id="rId25">
        <w:r>
          <w:rPr>
            <w:rFonts w:ascii="Calibri" w:eastAsia="Calibri" w:hAnsi="Calibri" w:cs="Calibri"/>
            <w:color w:val="0000FF"/>
            <w:sz w:val="20"/>
            <w:szCs w:val="20"/>
            <w:u w:val="single"/>
          </w:rPr>
          <w:t>GEF Evaluation Policy</w:t>
        </w:r>
      </w:hyperlink>
      <w:r>
        <w:rPr>
          <w:rFonts w:ascii="Calibri" w:eastAsia="Calibri" w:hAnsi="Calibri" w:cs="Calibri"/>
          <w:sz w:val="20"/>
          <w:szCs w:val="20"/>
        </w:rPr>
        <w:t xml:space="preserve"> and other </w:t>
      </w:r>
      <w:hyperlink r:id="rId26">
        <w:r>
          <w:rPr>
            <w:rFonts w:ascii="Calibri" w:eastAsia="Calibri" w:hAnsi="Calibri" w:cs="Calibri"/>
            <w:color w:val="0000FF"/>
            <w:sz w:val="20"/>
            <w:szCs w:val="20"/>
            <w:u w:val="single"/>
          </w:rPr>
          <w:t>relevant GEF policies</w:t>
        </w:r>
      </w:hyperlink>
      <w:r>
        <w:rPr>
          <w:rFonts w:ascii="Calibri" w:eastAsia="Arial" w:hAnsi="Calibri" w:cs="Calibri"/>
          <w:sz w:val="20"/>
          <w:szCs w:val="20"/>
          <w:vertAlign w:val="superscript"/>
        </w:rPr>
        <w:footnoteReference w:id="7"/>
      </w:r>
      <w:r>
        <w:rPr>
          <w:rFonts w:ascii="Calibri" w:eastAsia="Calibri" w:hAnsi="Calibri" w:cs="Calibri"/>
          <w:sz w:val="20"/>
          <w:szCs w:val="20"/>
        </w:rPr>
        <w:t>. The M&amp;E plan and budget included below will guide the GEF-specific M&amp;E activities to be undertaken by this project.</w:t>
      </w:r>
    </w:p>
    <w:p w14:paraId="6808FAFC" w14:textId="77777777" w:rsidR="00CF33D9" w:rsidRDefault="00CF33D9">
      <w:pPr>
        <w:jc w:val="both"/>
        <w:rPr>
          <w:rFonts w:ascii="Calibri" w:eastAsia="Calibri" w:hAnsi="Calibri" w:cs="Calibri"/>
          <w:sz w:val="20"/>
          <w:szCs w:val="20"/>
        </w:rPr>
      </w:pPr>
    </w:p>
    <w:p w14:paraId="6808FAFD"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 xml:space="preserve">In addition to these mandatory UNDP and GEF M&amp;E requirements, other M&amp;E activities deemed necessary to support project-level adaptive management will be agreed – including during the Project Inception Workshop - and will be detailed in the Inception Report. </w:t>
      </w:r>
    </w:p>
    <w:p w14:paraId="6808FAFE" w14:textId="77777777" w:rsidR="00CF33D9" w:rsidRDefault="00CF33D9">
      <w:pPr>
        <w:jc w:val="both"/>
        <w:rPr>
          <w:rFonts w:ascii="Calibri" w:eastAsia="Calibri" w:hAnsi="Calibri" w:cs="Calibri"/>
          <w:sz w:val="20"/>
          <w:szCs w:val="20"/>
        </w:rPr>
      </w:pPr>
    </w:p>
    <w:p w14:paraId="6808FAFF" w14:textId="77777777" w:rsidR="00CF33D9" w:rsidRDefault="00E3332A">
      <w:pPr>
        <w:jc w:val="both"/>
        <w:rPr>
          <w:rFonts w:ascii="Calibri" w:eastAsia="Calibri" w:hAnsi="Calibri" w:cs="Calibri"/>
          <w:i/>
          <w:sz w:val="20"/>
          <w:szCs w:val="20"/>
        </w:rPr>
      </w:pPr>
      <w:r>
        <w:rPr>
          <w:rFonts w:ascii="Calibri" w:eastAsia="Calibri" w:hAnsi="Calibri" w:cs="Calibri"/>
          <w:b/>
          <w:sz w:val="20"/>
          <w:szCs w:val="20"/>
        </w:rPr>
        <w:t>Minimum project monitoring and reporting requirements as required by the GEF:</w:t>
      </w:r>
      <w:r>
        <w:rPr>
          <w:rFonts w:ascii="Calibri" w:eastAsia="Calibri" w:hAnsi="Calibri" w:cs="Calibri"/>
          <w:i/>
          <w:sz w:val="20"/>
          <w:szCs w:val="20"/>
          <w:highlight w:val="magenta"/>
        </w:rPr>
        <w:t xml:space="preserve"> </w:t>
      </w:r>
    </w:p>
    <w:p w14:paraId="6808FB00" w14:textId="77777777" w:rsidR="00CF33D9" w:rsidRDefault="00CF33D9">
      <w:pPr>
        <w:jc w:val="both"/>
        <w:rPr>
          <w:rFonts w:ascii="Calibri" w:eastAsia="Calibri" w:hAnsi="Calibri" w:cs="Calibri"/>
          <w:sz w:val="20"/>
          <w:szCs w:val="20"/>
          <w:u w:val="single"/>
        </w:rPr>
      </w:pPr>
    </w:p>
    <w:p w14:paraId="6808FB01" w14:textId="77777777" w:rsidR="00CF33D9" w:rsidRDefault="00E3332A">
      <w:pPr>
        <w:jc w:val="both"/>
        <w:rPr>
          <w:rFonts w:ascii="Calibri" w:eastAsia="Calibri" w:hAnsi="Calibri" w:cs="Calibri"/>
          <w:sz w:val="20"/>
          <w:szCs w:val="20"/>
        </w:rPr>
      </w:pPr>
      <w:r>
        <w:rPr>
          <w:rFonts w:ascii="Calibri" w:eastAsia="Calibri" w:hAnsi="Calibri" w:cs="Calibri"/>
          <w:sz w:val="20"/>
          <w:szCs w:val="20"/>
          <w:u w:val="single"/>
        </w:rPr>
        <w:t>Inception Workshop and Report</w:t>
      </w:r>
      <w:r>
        <w:rPr>
          <w:rFonts w:ascii="Calibri" w:eastAsia="Calibri" w:hAnsi="Calibri" w:cs="Calibri"/>
          <w:sz w:val="20"/>
          <w:szCs w:val="20"/>
        </w:rPr>
        <w:t xml:space="preserve">: A project inception workshop will be held within 2 months from the First disbursement date, with the aim to: </w:t>
      </w:r>
    </w:p>
    <w:p w14:paraId="6808FB02" w14:textId="77777777" w:rsidR="00CF33D9" w:rsidRDefault="00E3332A">
      <w:pPr>
        <w:numPr>
          <w:ilvl w:val="0"/>
          <w:numId w:val="49"/>
        </w:numPr>
        <w:jc w:val="both"/>
        <w:rPr>
          <w:rFonts w:ascii="Calibri" w:hAnsi="Calibri" w:cs="Calibri"/>
          <w:sz w:val="20"/>
          <w:szCs w:val="20"/>
        </w:rPr>
      </w:pPr>
      <w:r>
        <w:rPr>
          <w:rFonts w:ascii="Calibri" w:eastAsia="Calibri" w:hAnsi="Calibri" w:cs="Calibri"/>
          <w:sz w:val="20"/>
          <w:szCs w:val="20"/>
        </w:rPr>
        <w:t xml:space="preserve">Familiarize key stakeholders with the detailed project strategy and discuss any changes that may have taken place in the overall context since the project idea was initially conceptualized that may influence its strategy and implementation. </w:t>
      </w:r>
    </w:p>
    <w:p w14:paraId="6808FB03" w14:textId="77777777" w:rsidR="00CF33D9" w:rsidRDefault="00E3332A">
      <w:pPr>
        <w:numPr>
          <w:ilvl w:val="0"/>
          <w:numId w:val="49"/>
        </w:numPr>
        <w:jc w:val="both"/>
        <w:rPr>
          <w:rFonts w:ascii="Calibri" w:hAnsi="Calibri" w:cs="Calibri"/>
          <w:sz w:val="20"/>
          <w:szCs w:val="20"/>
        </w:rPr>
      </w:pPr>
      <w:r>
        <w:rPr>
          <w:rFonts w:ascii="Calibri" w:eastAsia="Calibri" w:hAnsi="Calibri" w:cs="Calibri"/>
          <w:sz w:val="20"/>
          <w:szCs w:val="20"/>
        </w:rPr>
        <w:t xml:space="preserve">Discuss the roles and responsibilities of the project team, including reporting lines, stakeholder engagement strategies and conflict resolution mechanisms. </w:t>
      </w:r>
    </w:p>
    <w:p w14:paraId="6808FB04" w14:textId="77777777" w:rsidR="00CF33D9" w:rsidRDefault="00E3332A">
      <w:pPr>
        <w:numPr>
          <w:ilvl w:val="0"/>
          <w:numId w:val="49"/>
        </w:numPr>
        <w:jc w:val="both"/>
        <w:rPr>
          <w:rFonts w:ascii="Calibri" w:hAnsi="Calibri" w:cs="Calibri"/>
          <w:sz w:val="20"/>
          <w:szCs w:val="20"/>
        </w:rPr>
      </w:pPr>
      <w:r>
        <w:rPr>
          <w:rFonts w:ascii="Calibri" w:eastAsia="Calibri" w:hAnsi="Calibri" w:cs="Calibri"/>
          <w:sz w:val="20"/>
          <w:szCs w:val="20"/>
        </w:rPr>
        <w:t xml:space="preserve">Review the results framework and monitoring plan. </w:t>
      </w:r>
    </w:p>
    <w:p w14:paraId="6808FB05" w14:textId="77777777" w:rsidR="00CF33D9" w:rsidRDefault="00E3332A">
      <w:pPr>
        <w:numPr>
          <w:ilvl w:val="0"/>
          <w:numId w:val="49"/>
        </w:numPr>
        <w:jc w:val="both"/>
        <w:rPr>
          <w:rFonts w:ascii="Calibri" w:eastAsia="Calibri" w:hAnsi="Calibri" w:cs="Calibri"/>
          <w:sz w:val="20"/>
          <w:szCs w:val="20"/>
        </w:rPr>
      </w:pPr>
      <w:r>
        <w:rPr>
          <w:rFonts w:ascii="Calibri" w:eastAsia="Calibri" w:hAnsi="Calibri" w:cs="Calibri"/>
          <w:sz w:val="20"/>
          <w:szCs w:val="20"/>
        </w:rPr>
        <w:t>Discuss reporting, monitoring and evaluation roles and responsibilities and finalize the M&amp;E budget; identify national/regional institutes to be involved in project-level M&amp;E; discuss the role of the GEF OFP and other stakeholders in project-level M&amp;E.</w:t>
      </w:r>
    </w:p>
    <w:p w14:paraId="6808FB06" w14:textId="77777777" w:rsidR="00CF33D9" w:rsidRDefault="00E3332A">
      <w:pPr>
        <w:numPr>
          <w:ilvl w:val="0"/>
          <w:numId w:val="49"/>
        </w:numPr>
        <w:jc w:val="both"/>
        <w:rPr>
          <w:rFonts w:ascii="Calibri" w:eastAsia="Calibri" w:hAnsi="Calibri" w:cs="Calibri"/>
          <w:sz w:val="20"/>
          <w:szCs w:val="20"/>
        </w:rPr>
      </w:pPr>
      <w:r>
        <w:rPr>
          <w:rFonts w:ascii="Calibri" w:eastAsia="Calibri" w:hAnsi="Calibri" w:cs="Calibri"/>
          <w:sz w:val="20"/>
          <w:szCs w:val="20"/>
        </w:rPr>
        <w:t>Update and review responsibilities for monitoring project strategies, including the risk log; SESP report, Social and Environmental Management Framework (where relevant) and other safeguard requirements; project grievance mechanisms; gender strategy; knowledge management strategy, and other relevant management strategies.</w:t>
      </w:r>
    </w:p>
    <w:p w14:paraId="6808FB07" w14:textId="77777777" w:rsidR="00CF33D9" w:rsidRDefault="00E3332A">
      <w:pPr>
        <w:numPr>
          <w:ilvl w:val="0"/>
          <w:numId w:val="49"/>
        </w:numPr>
        <w:jc w:val="both"/>
        <w:rPr>
          <w:rFonts w:ascii="Calibri" w:eastAsia="Calibri" w:hAnsi="Calibri" w:cs="Calibri"/>
          <w:sz w:val="20"/>
          <w:szCs w:val="20"/>
        </w:rPr>
      </w:pPr>
      <w:r>
        <w:rPr>
          <w:rFonts w:ascii="Calibri" w:eastAsia="Calibri" w:hAnsi="Calibri" w:cs="Calibri"/>
          <w:sz w:val="20"/>
          <w:szCs w:val="20"/>
        </w:rPr>
        <w:t xml:space="preserve">Review financial reporting procedures and budget monitoring and other mandatory requirements and agree on the arrangements for the annual audit. </w:t>
      </w:r>
    </w:p>
    <w:p w14:paraId="6808FB08" w14:textId="77777777" w:rsidR="00CF33D9" w:rsidRDefault="00E3332A">
      <w:pPr>
        <w:numPr>
          <w:ilvl w:val="0"/>
          <w:numId w:val="49"/>
        </w:numPr>
        <w:jc w:val="both"/>
        <w:rPr>
          <w:rFonts w:ascii="Calibri" w:eastAsia="Calibri" w:hAnsi="Calibri" w:cs="Calibri"/>
          <w:sz w:val="20"/>
          <w:szCs w:val="20"/>
        </w:rPr>
      </w:pPr>
      <w:r>
        <w:rPr>
          <w:rFonts w:ascii="Calibri" w:eastAsia="Calibri" w:hAnsi="Calibri" w:cs="Calibri"/>
          <w:sz w:val="20"/>
          <w:szCs w:val="20"/>
        </w:rPr>
        <w:t>Plan and schedule PSC meetings and finalize the first-year annual work plan. Finalize the TOR of the PSC.</w:t>
      </w:r>
    </w:p>
    <w:p w14:paraId="6808FB09" w14:textId="77777777" w:rsidR="00CF33D9" w:rsidRDefault="00E3332A">
      <w:pPr>
        <w:numPr>
          <w:ilvl w:val="0"/>
          <w:numId w:val="49"/>
        </w:numPr>
        <w:jc w:val="both"/>
        <w:rPr>
          <w:rFonts w:ascii="Calibri" w:eastAsia="Calibri" w:hAnsi="Calibri" w:cs="Calibri"/>
          <w:sz w:val="20"/>
          <w:szCs w:val="20"/>
        </w:rPr>
      </w:pPr>
      <w:r>
        <w:rPr>
          <w:rFonts w:ascii="Calibri" w:eastAsia="Calibri" w:hAnsi="Calibri" w:cs="Calibri"/>
          <w:sz w:val="20"/>
          <w:szCs w:val="20"/>
        </w:rPr>
        <w:t>Formally launch the Project.</w:t>
      </w:r>
    </w:p>
    <w:p w14:paraId="6808FB0A" w14:textId="77777777" w:rsidR="00CF33D9" w:rsidRDefault="00CF33D9">
      <w:pPr>
        <w:jc w:val="both"/>
        <w:rPr>
          <w:rFonts w:ascii="Calibri" w:eastAsia="Calibri" w:hAnsi="Calibri" w:cs="Calibri"/>
          <w:sz w:val="20"/>
          <w:szCs w:val="20"/>
          <w:u w:val="single"/>
        </w:rPr>
      </w:pPr>
    </w:p>
    <w:p w14:paraId="6808FB0B" w14:textId="77777777" w:rsidR="00CF33D9" w:rsidRDefault="00E3332A">
      <w:pPr>
        <w:jc w:val="both"/>
        <w:rPr>
          <w:rFonts w:ascii="Calibri" w:eastAsia="Calibri" w:hAnsi="Calibri" w:cs="Calibri"/>
          <w:i/>
          <w:sz w:val="20"/>
          <w:szCs w:val="20"/>
        </w:rPr>
      </w:pPr>
      <w:r>
        <w:rPr>
          <w:rFonts w:ascii="Calibri" w:eastAsia="Calibri" w:hAnsi="Calibri" w:cs="Calibri"/>
          <w:sz w:val="20"/>
          <w:szCs w:val="20"/>
          <w:u w:val="single"/>
        </w:rPr>
        <w:t>GEF Project Implementation Report (PIR</w:t>
      </w:r>
      <w:r>
        <w:rPr>
          <w:rFonts w:ascii="Calibri" w:eastAsia="Calibri" w:hAnsi="Calibri" w:cs="Calibri"/>
          <w:sz w:val="20"/>
          <w:szCs w:val="20"/>
        </w:rPr>
        <w:t xml:space="preserve">): </w:t>
      </w:r>
    </w:p>
    <w:p w14:paraId="6808FB0C" w14:textId="77777777" w:rsidR="00CF33D9" w:rsidRDefault="00CF33D9">
      <w:pPr>
        <w:jc w:val="both"/>
        <w:rPr>
          <w:rFonts w:ascii="Calibri" w:eastAsia="Calibri" w:hAnsi="Calibri" w:cs="Calibri"/>
          <w:sz w:val="20"/>
          <w:szCs w:val="20"/>
        </w:rPr>
      </w:pPr>
    </w:p>
    <w:p w14:paraId="6808FB0D"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 xml:space="preserve">The annual GEF PIR covering the reporting period July (previous year) to June (current year) will be completed for each year of project implementation. UNDP will undertake quality assurance of the PIR before submission to the GEF. The PIR submitted to the GEF will be shared with the PSC. UNDP will conduct a quality review of the PIR, and this quality review and feedback will be used to inform the preparation of the subsequent annual PIR. </w:t>
      </w:r>
    </w:p>
    <w:p w14:paraId="6808FB0E" w14:textId="77777777" w:rsidR="00CF33D9" w:rsidRDefault="00CF33D9">
      <w:pPr>
        <w:jc w:val="both"/>
        <w:rPr>
          <w:rFonts w:ascii="Calibri" w:eastAsia="Calibri" w:hAnsi="Calibri" w:cs="Calibri"/>
          <w:sz w:val="20"/>
          <w:szCs w:val="20"/>
          <w:u w:val="single"/>
        </w:rPr>
      </w:pPr>
    </w:p>
    <w:p w14:paraId="6808FB0F" w14:textId="77777777" w:rsidR="00CF33D9" w:rsidRDefault="00E3332A">
      <w:pPr>
        <w:jc w:val="both"/>
        <w:rPr>
          <w:rFonts w:ascii="Calibri" w:eastAsia="Calibri" w:hAnsi="Calibri" w:cs="Calibri"/>
          <w:i/>
          <w:sz w:val="20"/>
          <w:szCs w:val="20"/>
        </w:rPr>
      </w:pPr>
      <w:r>
        <w:rPr>
          <w:rFonts w:ascii="Calibri" w:eastAsia="Calibri" w:hAnsi="Calibri" w:cs="Calibri"/>
          <w:sz w:val="20"/>
          <w:szCs w:val="20"/>
          <w:u w:val="single"/>
        </w:rPr>
        <w:t>GEF Core Indicators</w:t>
      </w:r>
      <w:r>
        <w:rPr>
          <w:rFonts w:ascii="Calibri" w:eastAsia="Calibri" w:hAnsi="Calibri" w:cs="Calibri"/>
          <w:sz w:val="20"/>
          <w:szCs w:val="20"/>
        </w:rPr>
        <w:t xml:space="preserve">: </w:t>
      </w:r>
    </w:p>
    <w:p w14:paraId="6808FB10" w14:textId="77777777" w:rsidR="00CF33D9" w:rsidRDefault="00CF33D9">
      <w:pPr>
        <w:jc w:val="both"/>
        <w:rPr>
          <w:rFonts w:ascii="Calibri" w:eastAsia="Calibri" w:hAnsi="Calibri" w:cs="Calibri"/>
          <w:sz w:val="20"/>
          <w:szCs w:val="20"/>
        </w:rPr>
      </w:pPr>
    </w:p>
    <w:p w14:paraId="6808FB11"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 xml:space="preserve">The GEF Core indicators included as Annex 15 will be used to monitor global environmental benefits and will be updated for reporting to the GEF prior to MTR and TE. Note that the project team is responsible for updating the core indicators status. The updated monitoring data must be shared with MTR/TE consultants </w:t>
      </w:r>
      <w:r>
        <w:rPr>
          <w:rFonts w:ascii="Calibri" w:eastAsia="Calibri" w:hAnsi="Calibri" w:cs="Calibri"/>
          <w:sz w:val="20"/>
          <w:szCs w:val="20"/>
          <w:u w:val="single"/>
        </w:rPr>
        <w:t>prior</w:t>
      </w:r>
      <w:r>
        <w:rPr>
          <w:rFonts w:ascii="Calibri" w:eastAsia="Calibri" w:hAnsi="Calibri" w:cs="Calibri"/>
          <w:sz w:val="20"/>
          <w:szCs w:val="20"/>
        </w:rPr>
        <w:t xml:space="preserve"> to required </w:t>
      </w:r>
      <w:r>
        <w:rPr>
          <w:rFonts w:ascii="Calibri" w:eastAsia="Calibri" w:hAnsi="Calibri" w:cs="Calibri"/>
          <w:sz w:val="20"/>
          <w:szCs w:val="20"/>
        </w:rPr>
        <w:lastRenderedPageBreak/>
        <w:t xml:space="preserve">evaluation missions, so these can be used for subsequent ground truthing. The methodologies to be used in data collection have been defined by the GEF and are available on the </w:t>
      </w:r>
      <w:hyperlink r:id="rId27">
        <w:r>
          <w:rPr>
            <w:rFonts w:ascii="Calibri" w:eastAsia="Calibri" w:hAnsi="Calibri" w:cs="Calibri"/>
            <w:color w:val="0000FF"/>
            <w:sz w:val="20"/>
            <w:szCs w:val="20"/>
            <w:u w:val="single"/>
          </w:rPr>
          <w:t>GEF</w:t>
        </w:r>
      </w:hyperlink>
      <w:r>
        <w:rPr>
          <w:rFonts w:ascii="Calibri" w:eastAsia="Calibri" w:hAnsi="Calibri" w:cs="Calibri"/>
          <w:sz w:val="20"/>
          <w:szCs w:val="20"/>
        </w:rPr>
        <w:t xml:space="preserve">. </w:t>
      </w:r>
    </w:p>
    <w:p w14:paraId="6808FB12" w14:textId="77777777" w:rsidR="00CF33D9" w:rsidRDefault="00CF33D9">
      <w:pPr>
        <w:jc w:val="both"/>
        <w:rPr>
          <w:rFonts w:ascii="Calibri" w:eastAsia="Calibri" w:hAnsi="Calibri" w:cs="Calibri"/>
          <w:sz w:val="20"/>
          <w:szCs w:val="20"/>
        </w:rPr>
      </w:pPr>
    </w:p>
    <w:p w14:paraId="6808FB13" w14:textId="77777777" w:rsidR="00CF33D9" w:rsidRDefault="00E3332A">
      <w:pPr>
        <w:jc w:val="both"/>
        <w:rPr>
          <w:rFonts w:ascii="Calibri" w:eastAsia="Calibri" w:hAnsi="Calibri" w:cs="Calibri"/>
          <w:sz w:val="20"/>
          <w:szCs w:val="20"/>
        </w:rPr>
      </w:pPr>
      <w:r>
        <w:rPr>
          <w:rFonts w:ascii="Calibri" w:eastAsia="Calibri" w:hAnsi="Calibri" w:cs="Calibri"/>
          <w:sz w:val="20"/>
          <w:szCs w:val="20"/>
          <w:u w:val="single"/>
        </w:rPr>
        <w:t>Independent Mid-term Review (MTR)</w:t>
      </w:r>
    </w:p>
    <w:p w14:paraId="6808FB14" w14:textId="77777777" w:rsidR="00CF33D9" w:rsidRDefault="00CF33D9">
      <w:pPr>
        <w:jc w:val="both"/>
        <w:rPr>
          <w:rFonts w:ascii="Calibri" w:eastAsia="Calibri" w:hAnsi="Calibri" w:cs="Calibri"/>
          <w:sz w:val="20"/>
          <w:szCs w:val="20"/>
        </w:rPr>
      </w:pPr>
    </w:p>
    <w:p w14:paraId="6808FB15"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 xml:space="preserve">An independent mid-term review (MTR) will be completed by the mid-point of the project. The terms of reference, the MTR process and the final MTR report will follow the standard templates and MTR guidance for UNDP-supported GEF-financed projects available on the </w:t>
      </w:r>
      <w:hyperlink r:id="rId28" w:anchor="gef">
        <w:r>
          <w:rPr>
            <w:rFonts w:ascii="Calibri" w:eastAsia="Calibri" w:hAnsi="Calibri" w:cs="Calibri"/>
            <w:color w:val="0000FF"/>
            <w:sz w:val="20"/>
            <w:szCs w:val="20"/>
            <w:u w:val="single"/>
          </w:rPr>
          <w:t>UNDP Evaluation Resource Centre</w:t>
        </w:r>
      </w:hyperlink>
      <w:r>
        <w:rPr>
          <w:rFonts w:ascii="Calibri" w:eastAsia="Calibri" w:hAnsi="Calibri" w:cs="Calibri"/>
          <w:color w:val="0000FF"/>
          <w:sz w:val="20"/>
          <w:szCs w:val="20"/>
          <w:u w:val="single"/>
        </w:rPr>
        <w:t>.</w:t>
      </w:r>
      <w:r>
        <w:rPr>
          <w:rFonts w:ascii="Calibri" w:eastAsia="Calibri" w:hAnsi="Calibri" w:cs="Calibri"/>
          <w:sz w:val="20"/>
          <w:szCs w:val="20"/>
        </w:rPr>
        <w:t xml:space="preserve"> The MTR must be submitted to the GEF by the mid-point of the project but no later than 48 months after CEO Endorsement. To meet the submission deadline, final MTR reports must be completed and submitted to BPPS NCE team no later than 2 months in advance of the submission deadline to allow sufficient time for internal review/clearance that is required prior to submission. </w:t>
      </w:r>
    </w:p>
    <w:p w14:paraId="6808FB16" w14:textId="77777777" w:rsidR="00CF33D9" w:rsidRDefault="00CF33D9">
      <w:pPr>
        <w:jc w:val="both"/>
        <w:rPr>
          <w:rFonts w:ascii="Calibri" w:eastAsia="Calibri" w:hAnsi="Calibri" w:cs="Calibri"/>
          <w:sz w:val="20"/>
          <w:szCs w:val="20"/>
        </w:rPr>
      </w:pPr>
    </w:p>
    <w:p w14:paraId="6808FB17"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Provisions must be taken to complete and submit the MTR within the submission deadline. Therefore, the MTR process must start no later than 8 months before the expected date of submission of the MTR.</w:t>
      </w:r>
    </w:p>
    <w:p w14:paraId="6808FB18" w14:textId="77777777" w:rsidR="00CF33D9" w:rsidRDefault="00CF33D9">
      <w:pPr>
        <w:jc w:val="both"/>
        <w:rPr>
          <w:rFonts w:ascii="Calibri" w:eastAsia="Calibri" w:hAnsi="Calibri" w:cs="Calibri"/>
          <w:i/>
          <w:sz w:val="20"/>
          <w:szCs w:val="20"/>
          <w:highlight w:val="yellow"/>
        </w:rPr>
      </w:pPr>
    </w:p>
    <w:p w14:paraId="6808FB19" w14:textId="77777777" w:rsidR="00CF33D9" w:rsidRDefault="00E3332A">
      <w:pPr>
        <w:spacing w:after="60"/>
        <w:jc w:val="both"/>
        <w:rPr>
          <w:rFonts w:ascii="Calibri" w:eastAsia="Calibri" w:hAnsi="Calibri" w:cs="Calibri"/>
          <w:sz w:val="20"/>
          <w:szCs w:val="20"/>
        </w:rPr>
      </w:pPr>
      <w:r>
        <w:rPr>
          <w:rFonts w:ascii="Calibri" w:eastAsia="Calibri" w:hAnsi="Calibri" w:cs="Calibri"/>
          <w:sz w:val="20"/>
          <w:szCs w:val="20"/>
        </w:rPr>
        <w:t xml:space="preserve">The MTR will be ”independent, impartial and rigorous”. The evaluator(s) that UNDP will hire to undertake the assignment will be independent from organizations that were involved in designing, executing or advising on the project to be reviewed. Equally, the evaluators should not be in a position where there may be the possibility of future contracts regarding the project under review. </w:t>
      </w:r>
    </w:p>
    <w:p w14:paraId="6808FB1A" w14:textId="77777777" w:rsidR="00CF33D9" w:rsidRDefault="00CF33D9">
      <w:pPr>
        <w:spacing w:after="60"/>
        <w:jc w:val="both"/>
        <w:rPr>
          <w:rFonts w:ascii="Calibri" w:eastAsia="Calibri" w:hAnsi="Calibri" w:cs="Calibri"/>
          <w:sz w:val="20"/>
          <w:szCs w:val="20"/>
        </w:rPr>
      </w:pPr>
    </w:p>
    <w:p w14:paraId="6808FB1B"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The GEF Operational Focal Point and other stakeholders will be actively involved and consulted during the MTR process. Additional quality assurance support is available from BPPS/NCE.</w:t>
      </w:r>
    </w:p>
    <w:p w14:paraId="6808FB1C" w14:textId="77777777" w:rsidR="00CF33D9" w:rsidRDefault="00CF33D9">
      <w:pPr>
        <w:jc w:val="both"/>
        <w:rPr>
          <w:rFonts w:ascii="Calibri" w:eastAsia="Calibri" w:hAnsi="Calibri" w:cs="Calibri"/>
          <w:sz w:val="20"/>
          <w:szCs w:val="20"/>
        </w:rPr>
      </w:pPr>
    </w:p>
    <w:p w14:paraId="6808FB1D" w14:textId="77777777" w:rsidR="00CF33D9" w:rsidRDefault="00E3332A">
      <w:pPr>
        <w:jc w:val="both"/>
        <w:rPr>
          <w:rFonts w:ascii="Calibri" w:eastAsia="Calibri" w:hAnsi="Calibri" w:cs="Calibri"/>
          <w:i/>
          <w:color w:val="FF0000"/>
          <w:sz w:val="20"/>
          <w:szCs w:val="20"/>
        </w:rPr>
      </w:pPr>
      <w:r>
        <w:rPr>
          <w:rFonts w:ascii="Calibri" w:eastAsia="Calibri" w:hAnsi="Calibri" w:cs="Calibri"/>
          <w:sz w:val="20"/>
          <w:szCs w:val="20"/>
        </w:rPr>
        <w:t>The final MTR report will be publicly available in English and will be posted on the UNDP ERC by the MTR submission date included on cover page of this project document. A management response to MTR recommendations will be posted in the ERC within six weeks of the MTR report’s submission to the GEF.</w:t>
      </w:r>
    </w:p>
    <w:p w14:paraId="6808FB1E" w14:textId="77777777" w:rsidR="00CF33D9" w:rsidRDefault="00CF33D9">
      <w:pPr>
        <w:spacing w:after="60"/>
        <w:jc w:val="both"/>
        <w:rPr>
          <w:rFonts w:ascii="Calibri" w:eastAsia="Calibri" w:hAnsi="Calibri" w:cs="Calibri"/>
          <w:sz w:val="20"/>
          <w:szCs w:val="20"/>
          <w:u w:val="single"/>
        </w:rPr>
      </w:pPr>
    </w:p>
    <w:p w14:paraId="6808FB1F" w14:textId="77777777" w:rsidR="00CF33D9" w:rsidRDefault="00E3332A">
      <w:pPr>
        <w:jc w:val="both"/>
        <w:rPr>
          <w:rFonts w:ascii="Calibri" w:eastAsia="Calibri" w:hAnsi="Calibri" w:cs="Calibri"/>
          <w:i/>
          <w:sz w:val="20"/>
          <w:szCs w:val="20"/>
        </w:rPr>
      </w:pPr>
      <w:r>
        <w:rPr>
          <w:rFonts w:ascii="Calibri" w:eastAsia="Calibri" w:hAnsi="Calibri" w:cs="Calibri"/>
          <w:sz w:val="20"/>
          <w:szCs w:val="20"/>
          <w:u w:val="single"/>
        </w:rPr>
        <w:t>Terminal Evaluation (TE)</w:t>
      </w:r>
      <w:r>
        <w:rPr>
          <w:rFonts w:ascii="Calibri" w:eastAsia="Calibri" w:hAnsi="Calibri" w:cs="Calibri"/>
          <w:sz w:val="20"/>
          <w:szCs w:val="20"/>
        </w:rPr>
        <w:t xml:space="preserve">: </w:t>
      </w:r>
    </w:p>
    <w:p w14:paraId="6808FB20" w14:textId="77777777" w:rsidR="00CF33D9" w:rsidRDefault="00CF33D9">
      <w:pPr>
        <w:jc w:val="both"/>
        <w:rPr>
          <w:rFonts w:ascii="Calibri" w:eastAsia="Calibri" w:hAnsi="Calibri" w:cs="Calibri"/>
          <w:sz w:val="20"/>
          <w:szCs w:val="20"/>
        </w:rPr>
      </w:pPr>
    </w:p>
    <w:p w14:paraId="6808FB21"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 xml:space="preserve">An independent terminal evaluation (TE) will take place upon completion of all major project outputs and activities. The terms of reference, the evaluation process and the final TE report will follow the standard templates and TE guidance for UNDP-supported GEF-financed projects available on the </w:t>
      </w:r>
      <w:hyperlink r:id="rId29" w:anchor="gef">
        <w:r>
          <w:rPr>
            <w:rFonts w:ascii="Calibri" w:eastAsia="Calibri" w:hAnsi="Calibri" w:cs="Calibri"/>
            <w:color w:val="0000FF"/>
            <w:sz w:val="20"/>
            <w:szCs w:val="20"/>
            <w:u w:val="single"/>
          </w:rPr>
          <w:t>UNDP Evaluation Resource Centre</w:t>
        </w:r>
      </w:hyperlink>
      <w:r>
        <w:rPr>
          <w:rFonts w:ascii="Calibri" w:eastAsia="Calibri" w:hAnsi="Calibri" w:cs="Calibri"/>
          <w:color w:val="0000FF"/>
          <w:sz w:val="20"/>
          <w:szCs w:val="20"/>
          <w:u w:val="single"/>
        </w:rPr>
        <w:t>.</w:t>
      </w:r>
      <w:r>
        <w:rPr>
          <w:rFonts w:ascii="Calibri" w:eastAsia="Calibri" w:hAnsi="Calibri" w:cs="Calibri"/>
          <w:sz w:val="20"/>
          <w:szCs w:val="20"/>
        </w:rPr>
        <w:t xml:space="preserve"> TE must be submitted to the GEF no later than 6 months after the Completion Date. This is a hard deadline that, if not met, can only be extended through a formal extension request. To meet the submission deadline, final TE reports must be completed and submitted to BPPS NCE team no later than 2 months in advance of the deadline to allow sufficient time for internal review/clearance that is required prior to submission. </w:t>
      </w:r>
    </w:p>
    <w:p w14:paraId="6808FB22" w14:textId="77777777" w:rsidR="00CF33D9" w:rsidRDefault="00CF33D9">
      <w:pPr>
        <w:jc w:val="both"/>
        <w:rPr>
          <w:rFonts w:ascii="Calibri" w:eastAsia="Calibri" w:hAnsi="Calibri" w:cs="Calibri"/>
          <w:sz w:val="20"/>
          <w:szCs w:val="20"/>
        </w:rPr>
      </w:pPr>
    </w:p>
    <w:p w14:paraId="6808FB23"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 xml:space="preserve">Provisions must be taken to complete and submit the TE within the submission deadline. Therefore, TE must start no later than 8 months before the expected date of submission of the TE (or 11 months prior to the estimated operational closure date). </w:t>
      </w:r>
    </w:p>
    <w:p w14:paraId="6808FB24" w14:textId="77777777" w:rsidR="00CF33D9" w:rsidRDefault="00CF33D9">
      <w:pPr>
        <w:jc w:val="both"/>
        <w:rPr>
          <w:rFonts w:ascii="Calibri" w:eastAsia="Calibri" w:hAnsi="Calibri" w:cs="Calibri"/>
          <w:sz w:val="20"/>
          <w:szCs w:val="20"/>
        </w:rPr>
      </w:pPr>
    </w:p>
    <w:p w14:paraId="6808FB25" w14:textId="77777777" w:rsidR="00CF33D9" w:rsidRDefault="00E3332A">
      <w:pPr>
        <w:spacing w:after="60"/>
        <w:jc w:val="both"/>
        <w:rPr>
          <w:rFonts w:ascii="Calibri" w:eastAsia="Calibri" w:hAnsi="Calibri" w:cs="Calibri"/>
          <w:sz w:val="20"/>
          <w:szCs w:val="20"/>
        </w:rPr>
      </w:pPr>
      <w:r>
        <w:rPr>
          <w:rFonts w:ascii="Calibri" w:eastAsia="Calibri" w:hAnsi="Calibri" w:cs="Calibri"/>
          <w:sz w:val="20"/>
          <w:szCs w:val="20"/>
        </w:rPr>
        <w:t xml:space="preserve">The evaluation will be ”independent, impartial and rigorous”. The evaluator(s) that UNDP will hire to undertake the assignment will be independent from organizations that were involved in designing, executing or advising on the project to be evaluated. Equally, the evaluators should not be in a position where there may be the possibility of future contracts regarding the project being evaluated. </w:t>
      </w:r>
    </w:p>
    <w:p w14:paraId="6808FB26" w14:textId="77777777" w:rsidR="00CF33D9" w:rsidRDefault="00CF33D9">
      <w:pPr>
        <w:jc w:val="both"/>
        <w:rPr>
          <w:rFonts w:ascii="Calibri" w:eastAsia="Calibri" w:hAnsi="Calibri" w:cs="Calibri"/>
          <w:sz w:val="20"/>
          <w:szCs w:val="20"/>
        </w:rPr>
      </w:pPr>
    </w:p>
    <w:p w14:paraId="6808FB27"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 xml:space="preserve">The GEF Operational Focal Point and other stakeholders will be actively involved and consulted during the terminal evaluation process. Additional quality assurance support is available from BPPS NCE. </w:t>
      </w:r>
    </w:p>
    <w:p w14:paraId="6808FB28" w14:textId="77777777" w:rsidR="00CF33D9" w:rsidRDefault="00CF33D9">
      <w:pPr>
        <w:jc w:val="both"/>
        <w:rPr>
          <w:rFonts w:ascii="Calibri" w:eastAsia="Calibri" w:hAnsi="Calibri" w:cs="Calibri"/>
          <w:sz w:val="20"/>
          <w:szCs w:val="20"/>
        </w:rPr>
      </w:pPr>
    </w:p>
    <w:p w14:paraId="6808FB29" w14:textId="77777777" w:rsidR="00CF33D9" w:rsidRDefault="00E3332A">
      <w:pPr>
        <w:jc w:val="both"/>
        <w:rPr>
          <w:rFonts w:ascii="Calibri" w:eastAsia="Calibri" w:hAnsi="Calibri" w:cs="Calibri"/>
          <w:sz w:val="20"/>
          <w:szCs w:val="20"/>
        </w:rPr>
      </w:pPr>
      <w:r>
        <w:rPr>
          <w:rFonts w:ascii="Calibri" w:eastAsia="Calibri" w:hAnsi="Calibri" w:cs="Calibri"/>
          <w:sz w:val="20"/>
          <w:szCs w:val="20"/>
        </w:rPr>
        <w:lastRenderedPageBreak/>
        <w:t>The final TE report will be publicly available in English and posted on the UNDPHY ERC by the TE submission date included on cover page of this project document. A management response to the TE recommendations will be posted to the ERC within six weeks of the TE report submission to the GEF.</w:t>
      </w:r>
    </w:p>
    <w:p w14:paraId="6808FB2A" w14:textId="77777777" w:rsidR="00CF33D9" w:rsidRDefault="00CF33D9">
      <w:pPr>
        <w:jc w:val="both"/>
        <w:rPr>
          <w:rFonts w:ascii="Calibri" w:eastAsia="Calibri" w:hAnsi="Calibri" w:cs="Calibri"/>
          <w:sz w:val="20"/>
          <w:szCs w:val="20"/>
        </w:rPr>
      </w:pPr>
    </w:p>
    <w:p w14:paraId="6808FB2B"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 xml:space="preserve">Per the GEF Terminal Evaluation requirements, for cancelled full-sized projects, Terminal Evaluations are required if the GEF grant expenditure exceeds more than US$ 2 million. </w:t>
      </w:r>
    </w:p>
    <w:p w14:paraId="6808FB2C" w14:textId="77777777" w:rsidR="00CF33D9" w:rsidRDefault="00CF33D9">
      <w:pPr>
        <w:jc w:val="both"/>
        <w:rPr>
          <w:rFonts w:ascii="Calibri" w:eastAsia="Calibri" w:hAnsi="Calibri" w:cs="Calibri"/>
          <w:sz w:val="20"/>
          <w:szCs w:val="20"/>
          <w:u w:val="single"/>
        </w:rPr>
      </w:pPr>
    </w:p>
    <w:p w14:paraId="6808FB2D" w14:textId="77777777" w:rsidR="00CF33D9" w:rsidRDefault="00E3332A">
      <w:pPr>
        <w:jc w:val="both"/>
        <w:rPr>
          <w:rFonts w:ascii="Calibri" w:eastAsia="Calibri" w:hAnsi="Calibri" w:cs="Calibri"/>
          <w:sz w:val="20"/>
          <w:szCs w:val="20"/>
        </w:rPr>
      </w:pPr>
      <w:r>
        <w:rPr>
          <w:rFonts w:ascii="Calibri" w:eastAsia="Calibri" w:hAnsi="Calibri" w:cs="Calibri"/>
          <w:sz w:val="20"/>
          <w:szCs w:val="20"/>
          <w:u w:val="single"/>
        </w:rPr>
        <w:t>Final Report</w:t>
      </w:r>
      <w:r>
        <w:rPr>
          <w:rFonts w:ascii="Calibri" w:eastAsia="Calibri" w:hAnsi="Calibri" w:cs="Calibri"/>
          <w:sz w:val="20"/>
          <w:szCs w:val="20"/>
        </w:rPr>
        <w:t xml:space="preserve">: </w:t>
      </w:r>
    </w:p>
    <w:p w14:paraId="6808FB2E" w14:textId="77777777" w:rsidR="00CF33D9" w:rsidRDefault="00CF33D9">
      <w:pPr>
        <w:jc w:val="both"/>
        <w:rPr>
          <w:rFonts w:ascii="Calibri" w:eastAsia="Calibri" w:hAnsi="Calibri" w:cs="Calibri"/>
          <w:i/>
          <w:sz w:val="20"/>
          <w:szCs w:val="20"/>
        </w:rPr>
      </w:pPr>
    </w:p>
    <w:p w14:paraId="6808FB2F"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 xml:space="preserve">The project’s final GEF PIR along with the terminal evaluation (TE) report and corresponding management response will serve as the final project report package. The final project report package shall be discussed with the PSC during an end-of-project review meeting to discuss lesson learned and opportunities for scaling up. </w:t>
      </w:r>
    </w:p>
    <w:p w14:paraId="6808FB30" w14:textId="77777777" w:rsidR="00CF33D9" w:rsidRDefault="00CF33D9">
      <w:pPr>
        <w:jc w:val="both"/>
        <w:rPr>
          <w:rFonts w:ascii="Calibri" w:eastAsia="Calibri" w:hAnsi="Calibri" w:cs="Calibri"/>
          <w:sz w:val="20"/>
          <w:szCs w:val="20"/>
        </w:rPr>
      </w:pPr>
    </w:p>
    <w:p w14:paraId="6808FB31" w14:textId="77777777" w:rsidR="00CF33D9" w:rsidRDefault="00CF33D9">
      <w:pPr>
        <w:jc w:val="both"/>
        <w:rPr>
          <w:rFonts w:ascii="Calibri" w:eastAsia="Calibri" w:hAnsi="Calibri" w:cs="Calibri"/>
          <w:sz w:val="20"/>
          <w:szCs w:val="20"/>
          <w:u w:val="single"/>
        </w:rPr>
      </w:pPr>
    </w:p>
    <w:p w14:paraId="6808FB32" w14:textId="77777777" w:rsidR="00CF33D9" w:rsidRDefault="00CF33D9">
      <w:pPr>
        <w:jc w:val="both"/>
        <w:rPr>
          <w:rFonts w:ascii="Calibri" w:eastAsia="Calibri" w:hAnsi="Calibri" w:cs="Calibri"/>
          <w:sz w:val="20"/>
          <w:szCs w:val="20"/>
        </w:rPr>
      </w:pPr>
    </w:p>
    <w:p w14:paraId="6808FB33" w14:textId="77777777" w:rsidR="00CF33D9" w:rsidRDefault="00E3332A">
      <w:pPr>
        <w:spacing w:after="60"/>
        <w:jc w:val="both"/>
        <w:rPr>
          <w:rFonts w:ascii="Calibri" w:eastAsia="Calibri" w:hAnsi="Calibri" w:cs="Calibri"/>
          <w:sz w:val="20"/>
          <w:szCs w:val="20"/>
        </w:rPr>
        <w:sectPr w:rsidR="00CF33D9">
          <w:headerReference w:type="default" r:id="rId30"/>
          <w:footerReference w:type="default" r:id="rId31"/>
          <w:pgSz w:w="12240" w:h="15840"/>
          <w:pgMar w:top="1440" w:right="1440" w:bottom="1440" w:left="1440" w:header="720" w:footer="432" w:gutter="0"/>
          <w:cols w:space="720"/>
          <w:titlePg/>
        </w:sectPr>
      </w:pPr>
      <w:r>
        <w:rPr>
          <w:rFonts w:ascii="Calibri" w:eastAsia="Calibri" w:hAnsi="Calibri" w:cs="Calibri"/>
          <w:sz w:val="20"/>
          <w:szCs w:val="20"/>
        </w:rPr>
        <w:br/>
      </w:r>
    </w:p>
    <w:p w14:paraId="6808FB34" w14:textId="77777777" w:rsidR="00CF33D9" w:rsidRDefault="00E3332A">
      <w:pPr>
        <w:jc w:val="both"/>
        <w:rPr>
          <w:rFonts w:ascii="Calibri" w:eastAsia="Calibri" w:hAnsi="Calibri" w:cs="Calibri"/>
          <w:b/>
          <w:sz w:val="20"/>
          <w:szCs w:val="20"/>
        </w:rPr>
      </w:pPr>
      <w:bookmarkStart w:id="24" w:name="_heading=h.lnxbz9" w:colFirst="0" w:colLast="0"/>
      <w:bookmarkEnd w:id="24"/>
      <w:r>
        <w:rPr>
          <w:rFonts w:ascii="Calibri" w:eastAsia="Calibri" w:hAnsi="Calibri" w:cs="Calibri"/>
          <w:sz w:val="20"/>
          <w:szCs w:val="20"/>
        </w:rPr>
        <w:lastRenderedPageBreak/>
        <w:t>In accordance with UNDP’s programming policies and procedures, the project will be monitored through the following monitoring and evaluation plans</w:t>
      </w:r>
      <w:r>
        <w:rPr>
          <w:rFonts w:ascii="Calibri" w:eastAsia="Calibri" w:hAnsi="Calibri" w:cs="Calibri"/>
          <w:b/>
          <w:sz w:val="20"/>
          <w:szCs w:val="20"/>
        </w:rPr>
        <w:t>.</w:t>
      </w:r>
    </w:p>
    <w:p w14:paraId="6808FB35" w14:textId="77777777" w:rsidR="00CF33D9" w:rsidRDefault="00E3332A">
      <w:pPr>
        <w:jc w:val="both"/>
        <w:rPr>
          <w:rFonts w:ascii="Calibri" w:eastAsia="Calibri" w:hAnsi="Calibri" w:cs="Calibri"/>
          <w:b/>
          <w:sz w:val="20"/>
          <w:szCs w:val="20"/>
        </w:rPr>
      </w:pPr>
      <w:r>
        <w:rPr>
          <w:rFonts w:ascii="Calibri" w:eastAsia="Calibri" w:hAnsi="Calibri" w:cs="Calibri"/>
          <w:b/>
          <w:sz w:val="20"/>
          <w:szCs w:val="20"/>
        </w:rPr>
        <w:br/>
        <w:t xml:space="preserve">Monitoring Plan: </w:t>
      </w:r>
      <w:r>
        <w:rPr>
          <w:rFonts w:ascii="Calibri" w:eastAsia="Calibri" w:hAnsi="Calibri" w:cs="Calibri"/>
          <w:sz w:val="20"/>
          <w:szCs w:val="20"/>
        </w:rPr>
        <w:t>The project results, corresponding indicators and mid-term and end-of-project targets in the project results framework will be monitored by the Project Management Unit annually, and will be reported in the GEF PIR every year, and will be evaluated periodically during project implementation. If baseline data for some of the results indicators is not yet available, it will be collected during the first year of project implementation. Project risks, as outlined in the risk register, will be monitored quarterly.</w:t>
      </w:r>
    </w:p>
    <w:p w14:paraId="6808FB36" w14:textId="77777777" w:rsidR="00CF33D9" w:rsidRDefault="00CF33D9">
      <w:pPr>
        <w:jc w:val="both"/>
        <w:rPr>
          <w:rFonts w:ascii="Calibri" w:eastAsia="Calibri" w:hAnsi="Calibri" w:cs="Calibri"/>
          <w:sz w:val="20"/>
          <w:szCs w:val="20"/>
        </w:rPr>
      </w:pPr>
    </w:p>
    <w:tbl>
      <w:tblPr>
        <w:tblStyle w:val="Style261"/>
        <w:tblW w:w="1331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1701"/>
        <w:gridCol w:w="1559"/>
        <w:gridCol w:w="1417"/>
        <w:gridCol w:w="2268"/>
        <w:gridCol w:w="1843"/>
        <w:gridCol w:w="1547"/>
        <w:gridCol w:w="1990"/>
      </w:tblGrid>
      <w:tr w:rsidR="00CF33D9" w14:paraId="6808FB38" w14:textId="77777777">
        <w:trPr>
          <w:trHeight w:val="20"/>
          <w:tblHeader/>
        </w:trPr>
        <w:tc>
          <w:tcPr>
            <w:tcW w:w="13318" w:type="dxa"/>
            <w:gridSpan w:val="8"/>
            <w:shd w:val="clear" w:color="auto" w:fill="D9D9D9"/>
            <w:vAlign w:val="center"/>
          </w:tcPr>
          <w:p w14:paraId="6808FB37" w14:textId="77777777" w:rsidR="00CF33D9" w:rsidRDefault="00E3332A">
            <w:pPr>
              <w:spacing w:after="60"/>
              <w:jc w:val="both"/>
              <w:rPr>
                <w:rFonts w:eastAsia="Calibri"/>
                <w:b/>
                <w:sz w:val="20"/>
                <w:szCs w:val="20"/>
              </w:rPr>
            </w:pPr>
            <w:r>
              <w:rPr>
                <w:rFonts w:eastAsia="Calibri"/>
                <w:b/>
                <w:sz w:val="20"/>
                <w:szCs w:val="20"/>
              </w:rPr>
              <w:t>Monitoring Activity</w:t>
            </w:r>
          </w:p>
        </w:tc>
      </w:tr>
      <w:tr w:rsidR="00CF33D9" w14:paraId="6808FB45" w14:textId="77777777">
        <w:trPr>
          <w:trHeight w:val="20"/>
          <w:tblHeader/>
        </w:trPr>
        <w:tc>
          <w:tcPr>
            <w:tcW w:w="993" w:type="dxa"/>
            <w:shd w:val="clear" w:color="auto" w:fill="D9D9D9"/>
            <w:vAlign w:val="center"/>
          </w:tcPr>
          <w:p w14:paraId="6808FB39" w14:textId="77777777" w:rsidR="00CF33D9" w:rsidRDefault="00CF33D9">
            <w:pPr>
              <w:spacing w:after="60"/>
              <w:rPr>
                <w:rFonts w:eastAsia="Calibri"/>
                <w:b/>
                <w:sz w:val="20"/>
                <w:szCs w:val="20"/>
              </w:rPr>
            </w:pPr>
          </w:p>
        </w:tc>
        <w:tc>
          <w:tcPr>
            <w:tcW w:w="1701" w:type="dxa"/>
            <w:shd w:val="clear" w:color="auto" w:fill="D9D9D9"/>
            <w:vAlign w:val="center"/>
          </w:tcPr>
          <w:p w14:paraId="6808FB3A" w14:textId="77777777" w:rsidR="00CF33D9" w:rsidRDefault="00E3332A">
            <w:pPr>
              <w:spacing w:after="60"/>
              <w:jc w:val="center"/>
              <w:rPr>
                <w:rFonts w:eastAsia="Calibri"/>
                <w:b/>
                <w:sz w:val="20"/>
                <w:szCs w:val="20"/>
              </w:rPr>
            </w:pPr>
            <w:r>
              <w:rPr>
                <w:rFonts w:eastAsia="Calibri"/>
                <w:b/>
                <w:sz w:val="20"/>
                <w:szCs w:val="20"/>
              </w:rPr>
              <w:t>Results Monitoring</w:t>
            </w:r>
          </w:p>
        </w:tc>
        <w:tc>
          <w:tcPr>
            <w:tcW w:w="1559" w:type="dxa"/>
            <w:shd w:val="clear" w:color="auto" w:fill="D9D9D9"/>
            <w:vAlign w:val="center"/>
          </w:tcPr>
          <w:p w14:paraId="6808FB3B" w14:textId="77777777" w:rsidR="00CF33D9" w:rsidRDefault="00E3332A">
            <w:pPr>
              <w:spacing w:after="60"/>
              <w:jc w:val="center"/>
              <w:rPr>
                <w:rFonts w:eastAsia="Calibri"/>
                <w:b/>
                <w:sz w:val="20"/>
                <w:szCs w:val="20"/>
              </w:rPr>
            </w:pPr>
            <w:r>
              <w:rPr>
                <w:rFonts w:eastAsia="Calibri"/>
                <w:b/>
                <w:sz w:val="20"/>
                <w:szCs w:val="20"/>
              </w:rPr>
              <w:t>Indicators</w:t>
            </w:r>
          </w:p>
        </w:tc>
        <w:tc>
          <w:tcPr>
            <w:tcW w:w="1417" w:type="dxa"/>
            <w:shd w:val="clear" w:color="auto" w:fill="D9D9D9"/>
            <w:vAlign w:val="center"/>
          </w:tcPr>
          <w:p w14:paraId="6808FB3C" w14:textId="77777777" w:rsidR="00CF33D9" w:rsidRDefault="00CF33D9">
            <w:pPr>
              <w:spacing w:after="60"/>
              <w:jc w:val="center"/>
              <w:rPr>
                <w:rFonts w:eastAsia="Calibri"/>
                <w:b/>
                <w:sz w:val="20"/>
                <w:szCs w:val="20"/>
              </w:rPr>
            </w:pPr>
          </w:p>
          <w:p w14:paraId="6808FB3D" w14:textId="77777777" w:rsidR="00CF33D9" w:rsidRDefault="00E3332A">
            <w:pPr>
              <w:spacing w:after="60"/>
              <w:jc w:val="center"/>
              <w:rPr>
                <w:rFonts w:eastAsia="Calibri"/>
                <w:b/>
                <w:sz w:val="20"/>
                <w:szCs w:val="20"/>
              </w:rPr>
            </w:pPr>
            <w:r>
              <w:rPr>
                <w:rFonts w:eastAsia="Calibri"/>
                <w:b/>
                <w:sz w:val="20"/>
                <w:szCs w:val="20"/>
              </w:rPr>
              <w:t>Targets</w:t>
            </w:r>
          </w:p>
        </w:tc>
        <w:tc>
          <w:tcPr>
            <w:tcW w:w="2268" w:type="dxa"/>
            <w:shd w:val="clear" w:color="auto" w:fill="D9D9D9"/>
            <w:vAlign w:val="center"/>
          </w:tcPr>
          <w:p w14:paraId="6808FB3E" w14:textId="77777777" w:rsidR="00CF33D9" w:rsidRDefault="00CF33D9">
            <w:pPr>
              <w:spacing w:after="60"/>
              <w:jc w:val="center"/>
              <w:rPr>
                <w:rFonts w:eastAsia="Calibri"/>
                <w:b/>
                <w:sz w:val="20"/>
                <w:szCs w:val="20"/>
              </w:rPr>
            </w:pPr>
          </w:p>
          <w:p w14:paraId="6808FB3F" w14:textId="77777777" w:rsidR="00CF33D9" w:rsidRDefault="00E3332A">
            <w:pPr>
              <w:spacing w:after="60"/>
              <w:jc w:val="center"/>
              <w:rPr>
                <w:rFonts w:eastAsia="Calibri"/>
                <w:b/>
                <w:sz w:val="20"/>
                <w:szCs w:val="20"/>
              </w:rPr>
            </w:pPr>
            <w:r>
              <w:rPr>
                <w:rFonts w:eastAsia="Calibri"/>
                <w:b/>
                <w:sz w:val="20"/>
                <w:szCs w:val="20"/>
              </w:rPr>
              <w:t>Description of indicators and targets</w:t>
            </w:r>
          </w:p>
          <w:p w14:paraId="6808FB40" w14:textId="77777777" w:rsidR="00CF33D9" w:rsidRDefault="00CF33D9">
            <w:pPr>
              <w:spacing w:after="60"/>
              <w:jc w:val="center"/>
              <w:rPr>
                <w:rFonts w:eastAsia="Calibri"/>
                <w:b/>
                <w:sz w:val="20"/>
                <w:szCs w:val="20"/>
              </w:rPr>
            </w:pPr>
          </w:p>
        </w:tc>
        <w:tc>
          <w:tcPr>
            <w:tcW w:w="1843" w:type="dxa"/>
            <w:shd w:val="clear" w:color="auto" w:fill="D9D9D9"/>
            <w:vAlign w:val="center"/>
          </w:tcPr>
          <w:p w14:paraId="6808FB41" w14:textId="77777777" w:rsidR="00CF33D9" w:rsidRDefault="00E3332A">
            <w:pPr>
              <w:spacing w:after="60"/>
              <w:jc w:val="center"/>
              <w:rPr>
                <w:rFonts w:eastAsia="Calibri"/>
                <w:b/>
                <w:sz w:val="20"/>
                <w:szCs w:val="20"/>
              </w:rPr>
            </w:pPr>
            <w:r>
              <w:rPr>
                <w:rFonts w:eastAsia="Calibri"/>
                <w:b/>
                <w:sz w:val="20"/>
                <w:szCs w:val="20"/>
              </w:rPr>
              <w:t>Frequency</w:t>
            </w:r>
          </w:p>
          <w:p w14:paraId="6808FB42" w14:textId="77777777" w:rsidR="00CF33D9" w:rsidRDefault="00CF33D9">
            <w:pPr>
              <w:spacing w:after="60"/>
              <w:jc w:val="center"/>
              <w:rPr>
                <w:rFonts w:eastAsia="Calibri"/>
                <w:b/>
                <w:sz w:val="20"/>
                <w:szCs w:val="20"/>
              </w:rPr>
            </w:pPr>
          </w:p>
        </w:tc>
        <w:tc>
          <w:tcPr>
            <w:tcW w:w="1547" w:type="dxa"/>
            <w:shd w:val="clear" w:color="auto" w:fill="D9D9D9"/>
            <w:vAlign w:val="center"/>
          </w:tcPr>
          <w:p w14:paraId="6808FB43" w14:textId="77777777" w:rsidR="00CF33D9" w:rsidRDefault="00E3332A">
            <w:pPr>
              <w:spacing w:after="60"/>
              <w:jc w:val="center"/>
              <w:rPr>
                <w:rFonts w:eastAsia="Calibri"/>
                <w:b/>
                <w:sz w:val="20"/>
                <w:szCs w:val="20"/>
              </w:rPr>
            </w:pPr>
            <w:r>
              <w:rPr>
                <w:rFonts w:eastAsia="Calibri"/>
                <w:b/>
                <w:sz w:val="20"/>
                <w:szCs w:val="20"/>
              </w:rPr>
              <w:t>Responsible for data collection</w:t>
            </w:r>
          </w:p>
        </w:tc>
        <w:tc>
          <w:tcPr>
            <w:tcW w:w="1990" w:type="dxa"/>
            <w:shd w:val="clear" w:color="auto" w:fill="D9D9D9"/>
            <w:vAlign w:val="center"/>
          </w:tcPr>
          <w:p w14:paraId="6808FB44" w14:textId="77777777" w:rsidR="00CF33D9" w:rsidRDefault="00E3332A">
            <w:pPr>
              <w:spacing w:after="60"/>
              <w:jc w:val="center"/>
              <w:rPr>
                <w:rFonts w:eastAsia="Calibri"/>
                <w:b/>
                <w:sz w:val="20"/>
                <w:szCs w:val="20"/>
              </w:rPr>
            </w:pPr>
            <w:r>
              <w:rPr>
                <w:rFonts w:eastAsia="Calibri"/>
                <w:b/>
                <w:sz w:val="20"/>
                <w:szCs w:val="20"/>
              </w:rPr>
              <w:t>Means of verification</w:t>
            </w:r>
          </w:p>
        </w:tc>
      </w:tr>
      <w:tr w:rsidR="00CF33D9" w14:paraId="6808FB5F" w14:textId="77777777">
        <w:trPr>
          <w:trHeight w:val="255"/>
        </w:trPr>
        <w:tc>
          <w:tcPr>
            <w:tcW w:w="993" w:type="dxa"/>
            <w:vMerge w:val="restart"/>
          </w:tcPr>
          <w:p w14:paraId="6808FB46" w14:textId="77777777" w:rsidR="00CF33D9" w:rsidRDefault="00E3332A">
            <w:pPr>
              <w:spacing w:after="60"/>
              <w:rPr>
                <w:rFonts w:eastAsia="Calibri"/>
                <w:b/>
                <w:sz w:val="20"/>
                <w:szCs w:val="20"/>
              </w:rPr>
            </w:pPr>
            <w:r>
              <w:rPr>
                <w:rFonts w:eastAsia="Calibri"/>
                <w:b/>
                <w:sz w:val="20"/>
                <w:szCs w:val="20"/>
              </w:rPr>
              <w:t>Track results progress</w:t>
            </w:r>
          </w:p>
        </w:tc>
        <w:tc>
          <w:tcPr>
            <w:tcW w:w="1701" w:type="dxa"/>
            <w:vMerge w:val="restart"/>
            <w:shd w:val="clear" w:color="auto" w:fill="auto"/>
          </w:tcPr>
          <w:p w14:paraId="6808FB47" w14:textId="77777777" w:rsidR="00CF33D9" w:rsidRDefault="00E3332A">
            <w:pPr>
              <w:spacing w:after="60"/>
              <w:rPr>
                <w:rFonts w:eastAsia="Calibri"/>
                <w:b/>
                <w:sz w:val="20"/>
                <w:szCs w:val="20"/>
              </w:rPr>
            </w:pPr>
            <w:r>
              <w:rPr>
                <w:rFonts w:eastAsia="Calibri"/>
                <w:b/>
                <w:sz w:val="20"/>
                <w:szCs w:val="20"/>
              </w:rPr>
              <w:t>Project objective from the results framework</w:t>
            </w:r>
          </w:p>
          <w:p w14:paraId="6808FB48" w14:textId="77777777" w:rsidR="00CF33D9" w:rsidRDefault="00E3332A">
            <w:pPr>
              <w:spacing w:after="60"/>
              <w:rPr>
                <w:rFonts w:eastAsia="Calibri"/>
                <w:bCs/>
                <w:sz w:val="20"/>
                <w:szCs w:val="20"/>
              </w:rPr>
            </w:pPr>
            <w:r>
              <w:rPr>
                <w:rFonts w:eastAsia="Calibri"/>
                <w:bCs/>
                <w:color w:val="000000"/>
                <w:sz w:val="20"/>
                <w:szCs w:val="20"/>
              </w:rPr>
              <w:t>Mainstreaming the development of climate-resilient sustainable blue/ocean economies in the implementation of the Strategic Action Programme of the Benguela Current Large Marine Ecosystem</w:t>
            </w:r>
          </w:p>
        </w:tc>
        <w:tc>
          <w:tcPr>
            <w:tcW w:w="1559" w:type="dxa"/>
            <w:shd w:val="clear" w:color="auto" w:fill="auto"/>
          </w:tcPr>
          <w:p w14:paraId="6808FB49" w14:textId="77777777" w:rsidR="00CF33D9" w:rsidRDefault="00E3332A">
            <w:pPr>
              <w:spacing w:after="60"/>
              <w:jc w:val="both"/>
              <w:rPr>
                <w:rFonts w:eastAsia="Calibri"/>
                <w:b/>
                <w:i/>
                <w:sz w:val="20"/>
                <w:szCs w:val="20"/>
              </w:rPr>
            </w:pPr>
            <w:r>
              <w:rPr>
                <w:rFonts w:eastAsia="Calibri"/>
                <w:b/>
                <w:i/>
                <w:sz w:val="20"/>
                <w:szCs w:val="20"/>
              </w:rPr>
              <w:t xml:space="preserve">Indicator 1 </w:t>
            </w:r>
          </w:p>
          <w:p w14:paraId="6808FB4A" w14:textId="77777777" w:rsidR="00CF33D9" w:rsidRDefault="00E3332A">
            <w:pPr>
              <w:spacing w:after="60"/>
              <w:rPr>
                <w:rFonts w:eastAsia="Calibri"/>
                <w:i/>
                <w:sz w:val="20"/>
                <w:szCs w:val="20"/>
              </w:rPr>
            </w:pPr>
            <w:r>
              <w:rPr>
                <w:rFonts w:eastAsia="Calibri"/>
                <w:sz w:val="20"/>
                <w:szCs w:val="20"/>
              </w:rPr>
              <w:t>(GEF Core Indicator #11) Direct project beneficiaries disaggregated by gender (individual people)</w:t>
            </w:r>
          </w:p>
        </w:tc>
        <w:tc>
          <w:tcPr>
            <w:tcW w:w="1417" w:type="dxa"/>
          </w:tcPr>
          <w:p w14:paraId="6808FB4B" w14:textId="77777777" w:rsidR="00CF33D9" w:rsidRDefault="00E3332A">
            <w:pPr>
              <w:spacing w:after="60"/>
              <w:rPr>
                <w:rFonts w:eastAsia="Calibri"/>
                <w:iCs/>
                <w:sz w:val="20"/>
                <w:szCs w:val="20"/>
                <w:u w:val="single"/>
              </w:rPr>
            </w:pPr>
            <w:r>
              <w:rPr>
                <w:rFonts w:eastAsia="Calibri"/>
                <w:iCs/>
                <w:sz w:val="20"/>
                <w:szCs w:val="20"/>
                <w:u w:val="single"/>
              </w:rPr>
              <w:t>Mid-Term:</w:t>
            </w:r>
          </w:p>
          <w:p w14:paraId="6808FB4C" w14:textId="77777777" w:rsidR="00CF33D9" w:rsidRDefault="00E3332A">
            <w:pPr>
              <w:spacing w:after="60"/>
              <w:rPr>
                <w:rFonts w:eastAsia="Calibri"/>
                <w:sz w:val="20"/>
                <w:szCs w:val="20"/>
              </w:rPr>
            </w:pPr>
            <w:r>
              <w:rPr>
                <w:rFonts w:eastAsia="Calibri"/>
                <w:sz w:val="20"/>
                <w:szCs w:val="20"/>
              </w:rPr>
              <w:t>2500 in each country, of which 25% are women</w:t>
            </w:r>
          </w:p>
          <w:p w14:paraId="6808FB4D" w14:textId="77777777" w:rsidR="00CF33D9" w:rsidRDefault="00E3332A">
            <w:pPr>
              <w:spacing w:after="60"/>
              <w:rPr>
                <w:rFonts w:eastAsia="Calibri"/>
                <w:sz w:val="20"/>
                <w:szCs w:val="20"/>
              </w:rPr>
            </w:pPr>
            <w:r>
              <w:rPr>
                <w:rFonts w:eastAsia="Calibri"/>
                <w:sz w:val="20"/>
                <w:szCs w:val="20"/>
                <w:u w:val="single"/>
              </w:rPr>
              <w:t>End-of-Project</w:t>
            </w:r>
            <w:r>
              <w:rPr>
                <w:rFonts w:eastAsia="Calibri"/>
                <w:sz w:val="20"/>
                <w:szCs w:val="20"/>
              </w:rPr>
              <w:t>:</w:t>
            </w:r>
          </w:p>
          <w:p w14:paraId="6808FB4E" w14:textId="77777777" w:rsidR="00CF33D9" w:rsidRDefault="00E3332A">
            <w:pPr>
              <w:spacing w:after="60"/>
              <w:rPr>
                <w:rFonts w:eastAsia="Calibri"/>
                <w:sz w:val="20"/>
                <w:szCs w:val="20"/>
                <w:u w:val="single"/>
              </w:rPr>
            </w:pPr>
            <w:r>
              <w:rPr>
                <w:rFonts w:eastAsia="Calibri"/>
                <w:sz w:val="20"/>
                <w:szCs w:val="20"/>
              </w:rPr>
              <w:t>5,000 in each country, of which 50% are women</w:t>
            </w:r>
          </w:p>
        </w:tc>
        <w:tc>
          <w:tcPr>
            <w:tcW w:w="2268" w:type="dxa"/>
          </w:tcPr>
          <w:p w14:paraId="6808FB4F" w14:textId="77777777" w:rsidR="00CF33D9" w:rsidRDefault="00E333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contextualSpacing/>
              <w:rPr>
                <w:rFonts w:eastAsia="Calibri"/>
                <w:color w:val="000000"/>
                <w:sz w:val="20"/>
                <w:szCs w:val="20"/>
              </w:rPr>
            </w:pPr>
            <w:r>
              <w:rPr>
                <w:rFonts w:eastAsia="Calibri"/>
                <w:color w:val="000000"/>
                <w:sz w:val="20"/>
                <w:szCs w:val="20"/>
              </w:rPr>
              <w:t>Direct beneficiaries are defined as individual people who measurably benefit from the existence of the project, or who use the specific resources that the project maintains or enhances. Direct beneficiaries must be aware that they are receiving this project support.</w:t>
            </w:r>
          </w:p>
          <w:p w14:paraId="6808FB50" w14:textId="77777777" w:rsidR="00CF33D9" w:rsidRDefault="00E333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libri"/>
                <w:iCs/>
                <w:sz w:val="20"/>
                <w:szCs w:val="20"/>
              </w:rPr>
            </w:pPr>
            <w:r>
              <w:rPr>
                <w:rFonts w:eastAsia="Calibri"/>
                <w:color w:val="000000"/>
                <w:sz w:val="20"/>
                <w:szCs w:val="20"/>
              </w:rPr>
              <w:t>40% of target beneficiaries are in fisheries, aquaculture, mariculture sector, 30% in eco-tourism and conservation and 30% in other sectors.</w:t>
            </w:r>
          </w:p>
        </w:tc>
        <w:tc>
          <w:tcPr>
            <w:tcW w:w="1843" w:type="dxa"/>
            <w:shd w:val="clear" w:color="auto" w:fill="auto"/>
          </w:tcPr>
          <w:p w14:paraId="6808FB51" w14:textId="77777777" w:rsidR="00CF33D9" w:rsidRDefault="00E3332A">
            <w:pPr>
              <w:spacing w:after="60"/>
              <w:rPr>
                <w:rFonts w:eastAsia="Calibri"/>
                <w:sz w:val="20"/>
                <w:szCs w:val="20"/>
              </w:rPr>
            </w:pPr>
            <w:r>
              <w:rPr>
                <w:rFonts w:eastAsia="Calibri"/>
                <w:sz w:val="20"/>
                <w:szCs w:val="20"/>
              </w:rPr>
              <w:t>Annually (reported in Development Objective (DO) progress section of the GEF PIR), mid-term, closure</w:t>
            </w:r>
          </w:p>
          <w:p w14:paraId="6808FB52" w14:textId="77777777" w:rsidR="00CF33D9" w:rsidRDefault="00CF33D9">
            <w:pPr>
              <w:spacing w:after="60"/>
              <w:rPr>
                <w:rFonts w:eastAsia="Calibri"/>
                <w:sz w:val="20"/>
                <w:szCs w:val="20"/>
                <w:highlight w:val="yellow"/>
              </w:rPr>
            </w:pPr>
          </w:p>
          <w:p w14:paraId="6808FB53" w14:textId="77777777" w:rsidR="00CF33D9" w:rsidRDefault="00CF33D9">
            <w:pPr>
              <w:spacing w:after="60"/>
              <w:rPr>
                <w:rFonts w:eastAsia="Calibri"/>
                <w:sz w:val="20"/>
                <w:szCs w:val="20"/>
                <w:highlight w:val="yellow"/>
              </w:rPr>
            </w:pPr>
          </w:p>
        </w:tc>
        <w:tc>
          <w:tcPr>
            <w:tcW w:w="1547" w:type="dxa"/>
            <w:shd w:val="clear" w:color="auto" w:fill="auto"/>
          </w:tcPr>
          <w:p w14:paraId="6808FB54" w14:textId="77777777" w:rsidR="00CF33D9" w:rsidRDefault="00E3332A">
            <w:pPr>
              <w:spacing w:after="0"/>
              <w:contextualSpacing/>
              <w:rPr>
                <w:rFonts w:eastAsia="Calibri"/>
                <w:iCs/>
                <w:sz w:val="20"/>
                <w:szCs w:val="20"/>
              </w:rPr>
            </w:pPr>
            <w:r>
              <w:rPr>
                <w:rFonts w:eastAsia="Calibri"/>
                <w:iCs/>
                <w:sz w:val="20"/>
                <w:szCs w:val="20"/>
              </w:rPr>
              <w:t xml:space="preserve">M&amp;E and KM </w:t>
            </w:r>
          </w:p>
          <w:p w14:paraId="6808FB55" w14:textId="77777777" w:rsidR="00CF33D9" w:rsidRDefault="00E3332A">
            <w:pPr>
              <w:spacing w:after="0"/>
              <w:contextualSpacing/>
              <w:rPr>
                <w:rFonts w:eastAsia="Calibri"/>
                <w:iCs/>
                <w:sz w:val="20"/>
                <w:szCs w:val="20"/>
              </w:rPr>
            </w:pPr>
            <w:r>
              <w:rPr>
                <w:rFonts w:eastAsia="Calibri"/>
                <w:iCs/>
                <w:sz w:val="20"/>
                <w:szCs w:val="20"/>
              </w:rPr>
              <w:t>Gender expert</w:t>
            </w:r>
          </w:p>
          <w:p w14:paraId="6808FB56" w14:textId="77777777" w:rsidR="00CF33D9" w:rsidRDefault="00CF33D9">
            <w:pPr>
              <w:spacing w:after="0"/>
              <w:contextualSpacing/>
              <w:rPr>
                <w:rFonts w:eastAsia="Calibri"/>
                <w:i/>
                <w:sz w:val="20"/>
                <w:szCs w:val="20"/>
              </w:rPr>
            </w:pPr>
          </w:p>
        </w:tc>
        <w:tc>
          <w:tcPr>
            <w:tcW w:w="1990" w:type="dxa"/>
            <w:shd w:val="clear" w:color="auto" w:fill="auto"/>
          </w:tcPr>
          <w:p w14:paraId="6808FB57" w14:textId="77777777" w:rsidR="00CF33D9" w:rsidRDefault="00E333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contextualSpacing/>
              <w:rPr>
                <w:rFonts w:eastAsia="Calibri"/>
                <w:color w:val="000000"/>
                <w:sz w:val="20"/>
                <w:szCs w:val="20"/>
              </w:rPr>
            </w:pPr>
            <w:r>
              <w:rPr>
                <w:rFonts w:eastAsia="Calibri"/>
                <w:color w:val="000000"/>
                <w:sz w:val="20"/>
                <w:szCs w:val="20"/>
              </w:rPr>
              <w:t>Surveys / interviews</w:t>
            </w:r>
          </w:p>
          <w:p w14:paraId="6808FB58" w14:textId="77777777" w:rsidR="00CF33D9" w:rsidRDefault="00E333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contextualSpacing/>
              <w:rPr>
                <w:rFonts w:eastAsia="Calibri"/>
                <w:color w:val="000000"/>
                <w:sz w:val="20"/>
                <w:szCs w:val="20"/>
              </w:rPr>
            </w:pPr>
            <w:r>
              <w:rPr>
                <w:rFonts w:eastAsia="Calibri"/>
                <w:color w:val="000000"/>
                <w:sz w:val="20"/>
                <w:szCs w:val="20"/>
              </w:rPr>
              <w:t>with producers and</w:t>
            </w:r>
          </w:p>
          <w:p w14:paraId="6808FB59" w14:textId="77777777" w:rsidR="00CF33D9" w:rsidRDefault="00E333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contextualSpacing/>
              <w:rPr>
                <w:rFonts w:eastAsia="Calibri"/>
                <w:color w:val="000000"/>
                <w:sz w:val="20"/>
                <w:szCs w:val="20"/>
              </w:rPr>
            </w:pPr>
            <w:r>
              <w:rPr>
                <w:rFonts w:eastAsia="Calibri"/>
                <w:color w:val="000000"/>
                <w:sz w:val="20"/>
                <w:szCs w:val="20"/>
              </w:rPr>
              <w:t>other stakeholders</w:t>
            </w:r>
          </w:p>
          <w:p w14:paraId="6808FB5A" w14:textId="77777777" w:rsidR="00CF33D9" w:rsidRDefault="00E333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contextualSpacing/>
              <w:rPr>
                <w:rFonts w:eastAsia="Calibri"/>
                <w:color w:val="000000"/>
                <w:sz w:val="20"/>
                <w:szCs w:val="20"/>
              </w:rPr>
            </w:pPr>
            <w:r>
              <w:rPr>
                <w:rFonts w:eastAsia="Calibri"/>
                <w:color w:val="000000"/>
                <w:sz w:val="20"/>
                <w:szCs w:val="20"/>
              </w:rPr>
              <w:t>(unstructured and /</w:t>
            </w:r>
          </w:p>
          <w:p w14:paraId="6808FB5B" w14:textId="77777777" w:rsidR="00CF33D9" w:rsidRDefault="00E333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contextualSpacing/>
              <w:rPr>
                <w:rFonts w:eastAsia="Calibri"/>
                <w:color w:val="000000"/>
                <w:sz w:val="20"/>
                <w:szCs w:val="20"/>
              </w:rPr>
            </w:pPr>
            <w:r>
              <w:rPr>
                <w:rFonts w:eastAsia="Calibri"/>
                <w:color w:val="000000"/>
                <w:sz w:val="20"/>
                <w:szCs w:val="20"/>
              </w:rPr>
              <w:t>or semi-structured)</w:t>
            </w:r>
          </w:p>
          <w:p w14:paraId="6808FB5C" w14:textId="77777777" w:rsidR="00CF33D9" w:rsidRDefault="00CF33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contextualSpacing/>
              <w:rPr>
                <w:rFonts w:eastAsia="Calibri"/>
                <w:color w:val="000000"/>
                <w:sz w:val="20"/>
                <w:szCs w:val="20"/>
              </w:rPr>
            </w:pPr>
          </w:p>
          <w:p w14:paraId="6808FB5D" w14:textId="77777777" w:rsidR="00CF33D9" w:rsidRDefault="00E333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contextualSpacing/>
              <w:rPr>
                <w:rFonts w:eastAsia="Calibri"/>
                <w:color w:val="000000"/>
                <w:sz w:val="20"/>
                <w:szCs w:val="20"/>
              </w:rPr>
            </w:pPr>
            <w:r>
              <w:rPr>
                <w:rFonts w:eastAsia="Calibri"/>
                <w:color w:val="000000"/>
                <w:sz w:val="20"/>
                <w:szCs w:val="20"/>
              </w:rPr>
              <w:t>Updated gender</w:t>
            </w:r>
          </w:p>
          <w:p w14:paraId="6808FB5E" w14:textId="77777777" w:rsidR="00CF33D9" w:rsidRDefault="00E3332A">
            <w:pPr>
              <w:spacing w:after="60"/>
              <w:rPr>
                <w:rFonts w:eastAsia="Calibri"/>
                <w:i/>
                <w:sz w:val="20"/>
                <w:szCs w:val="20"/>
                <w:highlight w:val="yellow"/>
              </w:rPr>
            </w:pPr>
            <w:r>
              <w:rPr>
                <w:rFonts w:eastAsia="Calibri"/>
                <w:color w:val="000000"/>
                <w:sz w:val="20"/>
                <w:szCs w:val="20"/>
              </w:rPr>
              <w:t>action plan</w:t>
            </w:r>
          </w:p>
        </w:tc>
      </w:tr>
      <w:tr w:rsidR="00CF33D9" w14:paraId="6808FB6D" w14:textId="77777777">
        <w:trPr>
          <w:trHeight w:val="20"/>
        </w:trPr>
        <w:tc>
          <w:tcPr>
            <w:tcW w:w="993" w:type="dxa"/>
            <w:vMerge/>
          </w:tcPr>
          <w:p w14:paraId="6808FB60" w14:textId="77777777" w:rsidR="00CF33D9" w:rsidRDefault="00CF33D9">
            <w:pPr>
              <w:widowControl w:val="0"/>
              <w:spacing w:after="0" w:line="276" w:lineRule="auto"/>
              <w:rPr>
                <w:rFonts w:eastAsia="Calibri"/>
                <w:i/>
                <w:sz w:val="20"/>
                <w:szCs w:val="20"/>
                <w:highlight w:val="yellow"/>
              </w:rPr>
            </w:pPr>
          </w:p>
        </w:tc>
        <w:tc>
          <w:tcPr>
            <w:tcW w:w="1701" w:type="dxa"/>
            <w:vMerge/>
            <w:shd w:val="clear" w:color="auto" w:fill="auto"/>
          </w:tcPr>
          <w:p w14:paraId="6808FB61" w14:textId="77777777" w:rsidR="00CF33D9" w:rsidRDefault="00CF33D9">
            <w:pPr>
              <w:widowControl w:val="0"/>
              <w:spacing w:after="0" w:line="276" w:lineRule="auto"/>
              <w:rPr>
                <w:rFonts w:eastAsia="Calibri"/>
                <w:i/>
                <w:sz w:val="20"/>
                <w:szCs w:val="20"/>
                <w:highlight w:val="yellow"/>
              </w:rPr>
            </w:pPr>
          </w:p>
        </w:tc>
        <w:tc>
          <w:tcPr>
            <w:tcW w:w="1559" w:type="dxa"/>
            <w:shd w:val="clear" w:color="auto" w:fill="auto"/>
          </w:tcPr>
          <w:p w14:paraId="6808FB62" w14:textId="77777777" w:rsidR="00CF33D9" w:rsidRDefault="00E3332A">
            <w:pPr>
              <w:spacing w:after="60"/>
              <w:jc w:val="both"/>
              <w:rPr>
                <w:rFonts w:eastAsia="Calibri"/>
                <w:b/>
                <w:i/>
                <w:sz w:val="20"/>
                <w:szCs w:val="20"/>
              </w:rPr>
            </w:pPr>
            <w:r>
              <w:rPr>
                <w:rFonts w:eastAsia="Calibri"/>
                <w:b/>
                <w:i/>
                <w:sz w:val="20"/>
                <w:szCs w:val="20"/>
              </w:rPr>
              <w:t xml:space="preserve">Indicator 2 </w:t>
            </w:r>
          </w:p>
          <w:p w14:paraId="6808FB63" w14:textId="77777777" w:rsidR="00CF33D9" w:rsidRDefault="00E3332A">
            <w:pPr>
              <w:spacing w:after="60"/>
              <w:rPr>
                <w:rFonts w:eastAsia="Calibri"/>
                <w:bCs/>
                <w:iCs/>
                <w:sz w:val="20"/>
                <w:szCs w:val="20"/>
              </w:rPr>
            </w:pPr>
            <w:r>
              <w:rPr>
                <w:rFonts w:eastAsia="Calibri"/>
                <w:sz w:val="20"/>
                <w:szCs w:val="20"/>
              </w:rPr>
              <w:t xml:space="preserve">(GEF Core Indicator #2) </w:t>
            </w:r>
            <w:r>
              <w:rPr>
                <w:rFonts w:eastAsia="Calibri"/>
                <w:color w:val="000000"/>
                <w:sz w:val="20"/>
                <w:szCs w:val="20"/>
              </w:rPr>
              <w:t xml:space="preserve">Marine </w:t>
            </w:r>
            <w:r>
              <w:rPr>
                <w:rFonts w:eastAsia="Calibri"/>
                <w:color w:val="000000"/>
                <w:sz w:val="20"/>
                <w:szCs w:val="20"/>
              </w:rPr>
              <w:lastRenderedPageBreak/>
              <w:t>protected areas under improved management effectiveness (Hectares)</w:t>
            </w:r>
          </w:p>
        </w:tc>
        <w:tc>
          <w:tcPr>
            <w:tcW w:w="1417" w:type="dxa"/>
          </w:tcPr>
          <w:p w14:paraId="6808FB64" w14:textId="77777777" w:rsidR="00CF33D9" w:rsidRDefault="00E3332A">
            <w:pPr>
              <w:spacing w:after="60"/>
              <w:jc w:val="both"/>
              <w:rPr>
                <w:rFonts w:eastAsia="Calibri"/>
                <w:iCs/>
                <w:sz w:val="20"/>
                <w:szCs w:val="20"/>
              </w:rPr>
            </w:pPr>
            <w:r>
              <w:rPr>
                <w:rFonts w:eastAsia="Calibri"/>
                <w:iCs/>
                <w:sz w:val="20"/>
                <w:szCs w:val="20"/>
                <w:u w:val="single"/>
              </w:rPr>
              <w:lastRenderedPageBreak/>
              <w:t>Mid-term</w:t>
            </w:r>
            <w:r>
              <w:rPr>
                <w:rFonts w:eastAsia="Calibri"/>
                <w:iCs/>
                <w:sz w:val="20"/>
                <w:szCs w:val="20"/>
              </w:rPr>
              <w:t>: 949,700 Ha</w:t>
            </w:r>
          </w:p>
          <w:p w14:paraId="6808FB65" w14:textId="77777777" w:rsidR="00CF33D9" w:rsidRDefault="00E3332A">
            <w:pPr>
              <w:spacing w:after="60"/>
              <w:jc w:val="both"/>
              <w:rPr>
                <w:rFonts w:eastAsia="Calibri"/>
                <w:iCs/>
                <w:sz w:val="20"/>
                <w:szCs w:val="20"/>
              </w:rPr>
            </w:pPr>
            <w:r>
              <w:rPr>
                <w:rFonts w:eastAsia="Calibri"/>
                <w:iCs/>
                <w:sz w:val="20"/>
                <w:szCs w:val="20"/>
                <w:u w:val="single"/>
              </w:rPr>
              <w:lastRenderedPageBreak/>
              <w:t>End-of-Project</w:t>
            </w:r>
            <w:r>
              <w:rPr>
                <w:rFonts w:eastAsia="Calibri"/>
                <w:iCs/>
                <w:sz w:val="20"/>
                <w:szCs w:val="20"/>
              </w:rPr>
              <w:t>: 3,165,840 Ha</w:t>
            </w:r>
          </w:p>
        </w:tc>
        <w:tc>
          <w:tcPr>
            <w:tcW w:w="2268" w:type="dxa"/>
          </w:tcPr>
          <w:p w14:paraId="6808FB66" w14:textId="77777777" w:rsidR="00CF33D9" w:rsidRDefault="00E333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contextualSpacing/>
              <w:rPr>
                <w:rFonts w:eastAsia="Calibri"/>
                <w:color w:val="000000"/>
                <w:sz w:val="20"/>
                <w:szCs w:val="20"/>
              </w:rPr>
            </w:pPr>
            <w:r>
              <w:rPr>
                <w:rFonts w:eastAsia="Calibri"/>
                <w:color w:val="000000"/>
                <w:sz w:val="20"/>
                <w:szCs w:val="20"/>
              </w:rPr>
              <w:lastRenderedPageBreak/>
              <w:t xml:space="preserve">Area of existing MPAs that the project will support to improve its </w:t>
            </w:r>
            <w:r>
              <w:rPr>
                <w:rFonts w:eastAsia="Calibri"/>
                <w:color w:val="000000"/>
                <w:sz w:val="20"/>
                <w:szCs w:val="20"/>
              </w:rPr>
              <w:lastRenderedPageBreak/>
              <w:t>management effectiveness.</w:t>
            </w:r>
          </w:p>
          <w:p w14:paraId="6808FB67" w14:textId="77777777" w:rsidR="00CF33D9" w:rsidRDefault="00E333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eastAsia="Calibri"/>
                <w:i/>
                <w:sz w:val="20"/>
                <w:szCs w:val="20"/>
              </w:rPr>
            </w:pPr>
            <w:r>
              <w:rPr>
                <w:rFonts w:eastAsia="Calibri"/>
                <w:color w:val="18191B"/>
                <w:sz w:val="20"/>
                <w:szCs w:val="20"/>
              </w:rPr>
              <w:t>The area protected through MPAs</w:t>
            </w:r>
            <w:r>
              <w:rPr>
                <w:rFonts w:eastAsia="Calibri"/>
                <w:color w:val="000000"/>
                <w:sz w:val="20"/>
                <w:szCs w:val="20"/>
              </w:rPr>
              <w:t xml:space="preserve"> </w:t>
            </w:r>
            <w:r>
              <w:rPr>
                <w:rFonts w:eastAsia="Calibri"/>
                <w:color w:val="18191B"/>
                <w:sz w:val="20"/>
                <w:szCs w:val="20"/>
              </w:rPr>
              <w:t xml:space="preserve">in BCLME extends over </w:t>
            </w:r>
            <w:r>
              <w:rPr>
                <w:rFonts w:eastAsia="Calibri"/>
                <w:color w:val="050A1E"/>
                <w:sz w:val="20"/>
                <w:szCs w:val="20"/>
              </w:rPr>
              <w:t>2,400,000 ha</w:t>
            </w:r>
            <w:r>
              <w:rPr>
                <w:rFonts w:eastAsia="Calibri"/>
                <w:color w:val="000000"/>
                <w:sz w:val="20"/>
                <w:szCs w:val="20"/>
              </w:rPr>
              <w:t xml:space="preserve">. The project will support improved management effectiveness of at least 3 MPAs with an area of about 1,919,810 ha in total. </w:t>
            </w:r>
          </w:p>
        </w:tc>
        <w:tc>
          <w:tcPr>
            <w:tcW w:w="1843" w:type="dxa"/>
            <w:shd w:val="clear" w:color="auto" w:fill="auto"/>
          </w:tcPr>
          <w:p w14:paraId="6808FB68" w14:textId="77777777" w:rsidR="00CF33D9" w:rsidRDefault="00E333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contextualSpacing/>
              <w:rPr>
                <w:rFonts w:eastAsia="Calibri"/>
                <w:sz w:val="20"/>
                <w:szCs w:val="20"/>
              </w:rPr>
            </w:pPr>
            <w:r>
              <w:rPr>
                <w:rFonts w:eastAsia="Calibri"/>
                <w:color w:val="000000"/>
                <w:sz w:val="20"/>
                <w:szCs w:val="20"/>
              </w:rPr>
              <w:lastRenderedPageBreak/>
              <w:t>Midpoint and end of-the project</w:t>
            </w:r>
          </w:p>
        </w:tc>
        <w:tc>
          <w:tcPr>
            <w:tcW w:w="1547" w:type="dxa"/>
            <w:shd w:val="clear" w:color="auto" w:fill="auto"/>
          </w:tcPr>
          <w:p w14:paraId="6808FB69" w14:textId="77777777" w:rsidR="00CF33D9" w:rsidRDefault="00E3332A">
            <w:pPr>
              <w:spacing w:after="0"/>
              <w:contextualSpacing/>
              <w:rPr>
                <w:rFonts w:eastAsia="Calibri"/>
                <w:iCs/>
                <w:sz w:val="20"/>
                <w:szCs w:val="20"/>
              </w:rPr>
            </w:pPr>
            <w:r>
              <w:rPr>
                <w:rFonts w:eastAsia="Calibri"/>
                <w:iCs/>
                <w:sz w:val="20"/>
                <w:szCs w:val="20"/>
              </w:rPr>
              <w:t xml:space="preserve">M&amp;E and KM </w:t>
            </w:r>
          </w:p>
          <w:p w14:paraId="6808FB6A" w14:textId="77777777" w:rsidR="00CF33D9" w:rsidRDefault="00E3332A">
            <w:pPr>
              <w:spacing w:after="0"/>
              <w:contextualSpacing/>
              <w:rPr>
                <w:rFonts w:eastAsia="Calibri"/>
                <w:iCs/>
                <w:sz w:val="20"/>
                <w:szCs w:val="20"/>
              </w:rPr>
            </w:pPr>
            <w:r>
              <w:rPr>
                <w:rFonts w:eastAsia="Calibri"/>
                <w:iCs/>
                <w:sz w:val="20"/>
                <w:szCs w:val="20"/>
              </w:rPr>
              <w:t>MPA expert</w:t>
            </w:r>
          </w:p>
          <w:p w14:paraId="6808FB6B" w14:textId="77777777" w:rsidR="00CF33D9" w:rsidRDefault="00CF33D9">
            <w:pPr>
              <w:spacing w:after="60"/>
              <w:jc w:val="both"/>
              <w:rPr>
                <w:rFonts w:eastAsia="Calibri"/>
                <w:iCs/>
                <w:sz w:val="20"/>
                <w:szCs w:val="20"/>
              </w:rPr>
            </w:pPr>
          </w:p>
        </w:tc>
        <w:tc>
          <w:tcPr>
            <w:tcW w:w="1990" w:type="dxa"/>
            <w:shd w:val="clear" w:color="auto" w:fill="auto"/>
          </w:tcPr>
          <w:p w14:paraId="6808FB6C" w14:textId="77777777" w:rsidR="00CF33D9" w:rsidRDefault="00E3332A">
            <w:pPr>
              <w:spacing w:after="60"/>
              <w:rPr>
                <w:rFonts w:eastAsia="Calibri"/>
                <w:i/>
                <w:sz w:val="20"/>
                <w:szCs w:val="20"/>
              </w:rPr>
            </w:pPr>
            <w:r>
              <w:rPr>
                <w:rFonts w:eastAsia="Calibri"/>
                <w:sz w:val="20"/>
                <w:szCs w:val="20"/>
              </w:rPr>
              <w:t xml:space="preserve">Reports on the implementation of MPSs and coastal areas, as well as </w:t>
            </w:r>
            <w:r>
              <w:rPr>
                <w:rFonts w:eastAsia="Calibri"/>
                <w:sz w:val="20"/>
                <w:szCs w:val="20"/>
              </w:rPr>
              <w:lastRenderedPageBreak/>
              <w:t>IUCN protected area categories (Categories I-VI)</w:t>
            </w:r>
          </w:p>
        </w:tc>
      </w:tr>
      <w:tr w:rsidR="00CF33D9" w14:paraId="6808FB7D" w14:textId="77777777">
        <w:trPr>
          <w:trHeight w:val="2080"/>
        </w:trPr>
        <w:tc>
          <w:tcPr>
            <w:tcW w:w="993" w:type="dxa"/>
            <w:vMerge/>
          </w:tcPr>
          <w:p w14:paraId="6808FB6E" w14:textId="77777777" w:rsidR="00CF33D9" w:rsidRDefault="00CF33D9">
            <w:pPr>
              <w:widowControl w:val="0"/>
              <w:spacing w:after="0" w:line="276" w:lineRule="auto"/>
              <w:rPr>
                <w:rFonts w:eastAsia="Calibri"/>
                <w:i/>
                <w:sz w:val="20"/>
                <w:szCs w:val="20"/>
              </w:rPr>
            </w:pPr>
          </w:p>
        </w:tc>
        <w:tc>
          <w:tcPr>
            <w:tcW w:w="1701" w:type="dxa"/>
            <w:vMerge/>
            <w:shd w:val="clear" w:color="auto" w:fill="auto"/>
          </w:tcPr>
          <w:p w14:paraId="6808FB6F" w14:textId="77777777" w:rsidR="00CF33D9" w:rsidRDefault="00CF33D9">
            <w:pPr>
              <w:widowControl w:val="0"/>
              <w:spacing w:after="0" w:line="276" w:lineRule="auto"/>
              <w:rPr>
                <w:rFonts w:eastAsia="Calibri"/>
                <w:i/>
                <w:sz w:val="20"/>
                <w:szCs w:val="20"/>
              </w:rPr>
            </w:pPr>
          </w:p>
        </w:tc>
        <w:tc>
          <w:tcPr>
            <w:tcW w:w="1559" w:type="dxa"/>
            <w:shd w:val="clear" w:color="auto" w:fill="auto"/>
          </w:tcPr>
          <w:p w14:paraId="6808FB70" w14:textId="77777777" w:rsidR="00CF33D9" w:rsidRDefault="00E3332A">
            <w:pPr>
              <w:spacing w:after="60"/>
              <w:jc w:val="both"/>
              <w:rPr>
                <w:rFonts w:eastAsia="Calibri"/>
                <w:b/>
                <w:i/>
                <w:sz w:val="20"/>
                <w:szCs w:val="20"/>
              </w:rPr>
            </w:pPr>
            <w:r>
              <w:rPr>
                <w:rFonts w:eastAsia="Calibri"/>
                <w:b/>
                <w:i/>
                <w:sz w:val="20"/>
                <w:szCs w:val="20"/>
              </w:rPr>
              <w:t>Indicator 3</w:t>
            </w:r>
          </w:p>
          <w:p w14:paraId="6808FB71" w14:textId="77777777" w:rsidR="00CF33D9" w:rsidRDefault="00E3332A">
            <w:pPr>
              <w:spacing w:after="60"/>
              <w:rPr>
                <w:rFonts w:eastAsia="Calibri"/>
                <w:b/>
                <w:i/>
                <w:sz w:val="20"/>
                <w:szCs w:val="20"/>
              </w:rPr>
            </w:pPr>
            <w:r>
              <w:rPr>
                <w:rFonts w:eastAsia="Calibri"/>
                <w:sz w:val="20"/>
                <w:szCs w:val="20"/>
              </w:rPr>
              <w:t xml:space="preserve">(GEF Core Indicator #5) </w:t>
            </w:r>
            <w:r>
              <w:rPr>
                <w:rFonts w:eastAsia="Calibri"/>
                <w:color w:val="000000"/>
                <w:sz w:val="20"/>
                <w:szCs w:val="20"/>
              </w:rPr>
              <w:t>Area of marine habitat under improved practices (excluding protected areas) (Hectares)</w:t>
            </w:r>
          </w:p>
        </w:tc>
        <w:tc>
          <w:tcPr>
            <w:tcW w:w="1417" w:type="dxa"/>
          </w:tcPr>
          <w:p w14:paraId="6808FB72" w14:textId="77777777" w:rsidR="00CF33D9" w:rsidRDefault="00E3332A">
            <w:pPr>
              <w:spacing w:after="60"/>
              <w:jc w:val="both"/>
              <w:rPr>
                <w:rFonts w:eastAsia="Calibri"/>
                <w:iCs/>
                <w:sz w:val="20"/>
                <w:szCs w:val="20"/>
              </w:rPr>
            </w:pPr>
            <w:r>
              <w:rPr>
                <w:rFonts w:eastAsia="Calibri"/>
                <w:iCs/>
                <w:sz w:val="20"/>
                <w:szCs w:val="20"/>
                <w:u w:val="single"/>
              </w:rPr>
              <w:t>Mid-term</w:t>
            </w:r>
            <w:r>
              <w:rPr>
                <w:rFonts w:eastAsia="Calibri"/>
                <w:iCs/>
                <w:sz w:val="20"/>
                <w:szCs w:val="20"/>
              </w:rPr>
              <w:t>: 1,000,000 Ha</w:t>
            </w:r>
          </w:p>
          <w:p w14:paraId="6808FB73" w14:textId="77777777" w:rsidR="00CF33D9" w:rsidRDefault="00E3332A">
            <w:pPr>
              <w:spacing w:after="60"/>
              <w:jc w:val="both"/>
              <w:rPr>
                <w:rFonts w:eastAsia="Calibri"/>
                <w:i/>
                <w:sz w:val="20"/>
                <w:szCs w:val="20"/>
              </w:rPr>
            </w:pPr>
            <w:r>
              <w:rPr>
                <w:rFonts w:eastAsia="Calibri"/>
                <w:iCs/>
                <w:sz w:val="20"/>
                <w:szCs w:val="20"/>
                <w:u w:val="single"/>
              </w:rPr>
              <w:t>End-of-Project</w:t>
            </w:r>
            <w:r>
              <w:rPr>
                <w:rFonts w:eastAsia="Calibri"/>
                <w:iCs/>
                <w:sz w:val="20"/>
                <w:szCs w:val="20"/>
              </w:rPr>
              <w:t>: 2,374,055 Ha</w:t>
            </w:r>
          </w:p>
        </w:tc>
        <w:tc>
          <w:tcPr>
            <w:tcW w:w="2268" w:type="dxa"/>
          </w:tcPr>
          <w:p w14:paraId="6808FB74" w14:textId="77777777" w:rsidR="00CF33D9" w:rsidRDefault="00E333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libri"/>
                <w:i/>
                <w:sz w:val="20"/>
                <w:szCs w:val="20"/>
              </w:rPr>
            </w:pPr>
            <w:r>
              <w:rPr>
                <w:rFonts w:eastAsia="Calibri"/>
                <w:color w:val="000000"/>
                <w:sz w:val="20"/>
                <w:szCs w:val="20"/>
              </w:rPr>
              <w:t>Implementation of all project components will contribute to improved practices in marine habitat</w:t>
            </w:r>
            <w:r>
              <w:rPr>
                <w:rFonts w:eastAsia="Calibri"/>
                <w:b/>
                <w:bCs/>
                <w:color w:val="000000"/>
                <w:sz w:val="20"/>
                <w:szCs w:val="20"/>
              </w:rPr>
              <w:t xml:space="preserve"> </w:t>
            </w:r>
            <w:r>
              <w:rPr>
                <w:rFonts w:eastAsia="Calibri"/>
                <w:color w:val="000000"/>
                <w:sz w:val="20"/>
                <w:szCs w:val="20"/>
              </w:rPr>
              <w:t xml:space="preserve">(excluding protected areas) from reduced pollution to better management practices. </w:t>
            </w:r>
            <w:r>
              <w:rPr>
                <w:rFonts w:eastAsia="Calibri"/>
                <w:color w:val="222222"/>
                <w:sz w:val="20"/>
                <w:szCs w:val="20"/>
              </w:rPr>
              <w:t>The spatial extent of the EBSAs in the BCLME is 28,700,000 ha. The total size of these three EBSAs is 4,748,110 ha and the project will focus on half of them that is 2,374,055 ha.</w:t>
            </w:r>
          </w:p>
        </w:tc>
        <w:tc>
          <w:tcPr>
            <w:tcW w:w="1843" w:type="dxa"/>
            <w:shd w:val="clear" w:color="auto" w:fill="auto"/>
          </w:tcPr>
          <w:p w14:paraId="6808FB75" w14:textId="77777777" w:rsidR="00CF33D9" w:rsidRDefault="00E333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contextualSpacing/>
              <w:rPr>
                <w:rFonts w:eastAsia="Calibri"/>
                <w:sz w:val="20"/>
                <w:szCs w:val="20"/>
              </w:rPr>
            </w:pPr>
            <w:r>
              <w:rPr>
                <w:rFonts w:eastAsia="Calibri"/>
                <w:color w:val="000000"/>
                <w:sz w:val="20"/>
                <w:szCs w:val="20"/>
              </w:rPr>
              <w:t>Midpoint and end of  the project</w:t>
            </w:r>
          </w:p>
        </w:tc>
        <w:tc>
          <w:tcPr>
            <w:tcW w:w="1547" w:type="dxa"/>
            <w:shd w:val="clear" w:color="auto" w:fill="auto"/>
          </w:tcPr>
          <w:p w14:paraId="6808FB76" w14:textId="77777777" w:rsidR="00CF33D9" w:rsidRDefault="00E3332A">
            <w:pPr>
              <w:spacing w:after="0"/>
              <w:contextualSpacing/>
              <w:rPr>
                <w:rFonts w:eastAsia="Calibri"/>
                <w:iCs/>
                <w:sz w:val="20"/>
                <w:szCs w:val="20"/>
              </w:rPr>
            </w:pPr>
            <w:r>
              <w:rPr>
                <w:rFonts w:eastAsia="Calibri"/>
                <w:iCs/>
                <w:sz w:val="20"/>
                <w:szCs w:val="20"/>
              </w:rPr>
              <w:t xml:space="preserve">M&amp;E and KM </w:t>
            </w:r>
          </w:p>
          <w:p w14:paraId="6808FB77" w14:textId="77777777" w:rsidR="00CF33D9" w:rsidRDefault="00CF33D9">
            <w:pPr>
              <w:spacing w:after="0"/>
              <w:contextualSpacing/>
              <w:rPr>
                <w:rFonts w:eastAsia="Calibri"/>
                <w:iCs/>
                <w:sz w:val="20"/>
                <w:szCs w:val="20"/>
              </w:rPr>
            </w:pPr>
          </w:p>
          <w:p w14:paraId="6808FB78" w14:textId="77777777" w:rsidR="00CF33D9" w:rsidRDefault="00E3332A">
            <w:pPr>
              <w:spacing w:after="0"/>
              <w:contextualSpacing/>
              <w:rPr>
                <w:rFonts w:eastAsia="Calibri"/>
                <w:iCs/>
                <w:sz w:val="20"/>
                <w:szCs w:val="20"/>
              </w:rPr>
            </w:pPr>
            <w:r>
              <w:rPr>
                <w:rFonts w:eastAsia="Calibri"/>
                <w:iCs/>
                <w:sz w:val="20"/>
                <w:szCs w:val="20"/>
              </w:rPr>
              <w:t>MPA expert</w:t>
            </w:r>
          </w:p>
          <w:p w14:paraId="6808FB79" w14:textId="77777777" w:rsidR="00CF33D9" w:rsidRDefault="00CF33D9">
            <w:pPr>
              <w:spacing w:after="60"/>
              <w:jc w:val="both"/>
              <w:rPr>
                <w:rFonts w:eastAsia="Calibri"/>
                <w:i/>
                <w:sz w:val="20"/>
                <w:szCs w:val="20"/>
              </w:rPr>
            </w:pPr>
          </w:p>
        </w:tc>
        <w:tc>
          <w:tcPr>
            <w:tcW w:w="1990" w:type="dxa"/>
            <w:shd w:val="clear" w:color="auto" w:fill="auto"/>
          </w:tcPr>
          <w:p w14:paraId="6808FB7A" w14:textId="77777777" w:rsidR="00CF33D9" w:rsidRDefault="00E3332A">
            <w:pPr>
              <w:numPr>
                <w:ilvl w:val="0"/>
                <w:numId w:val="35"/>
              </w:numPr>
              <w:spacing w:after="0"/>
              <w:ind w:left="119" w:hanging="142"/>
              <w:contextualSpacing/>
              <w:rPr>
                <w:rFonts w:eastAsia="Calibri"/>
                <w:color w:val="000000"/>
                <w:sz w:val="20"/>
                <w:szCs w:val="20"/>
              </w:rPr>
            </w:pPr>
            <w:r>
              <w:rPr>
                <w:rFonts w:eastAsia="Calibri"/>
                <w:color w:val="000000"/>
                <w:sz w:val="20"/>
                <w:szCs w:val="20"/>
              </w:rPr>
              <w:t>Reports on the number of fisheries that meet national and international third-party certification.</w:t>
            </w:r>
          </w:p>
          <w:p w14:paraId="6808FB7B" w14:textId="77777777" w:rsidR="00CF33D9" w:rsidRDefault="00E3332A">
            <w:pPr>
              <w:numPr>
                <w:ilvl w:val="0"/>
                <w:numId w:val="36"/>
              </w:numPr>
              <w:spacing w:after="0"/>
              <w:ind w:left="119" w:hanging="142"/>
              <w:contextualSpacing/>
              <w:rPr>
                <w:rFonts w:eastAsia="Calibri"/>
                <w:color w:val="000000"/>
                <w:sz w:val="20"/>
                <w:szCs w:val="20"/>
              </w:rPr>
            </w:pPr>
            <w:r>
              <w:rPr>
                <w:rFonts w:eastAsia="Calibri"/>
                <w:color w:val="000000"/>
                <w:sz w:val="20"/>
                <w:szCs w:val="20"/>
              </w:rPr>
              <w:t>Reports on LME with reduced pollution and hypoxia.</w:t>
            </w:r>
          </w:p>
          <w:p w14:paraId="6808FB7C" w14:textId="77777777" w:rsidR="00CF33D9" w:rsidRDefault="00E3332A">
            <w:pPr>
              <w:numPr>
                <w:ilvl w:val="0"/>
                <w:numId w:val="35"/>
              </w:numPr>
              <w:ind w:left="117" w:hanging="142"/>
              <w:rPr>
                <w:rFonts w:eastAsia="Calibri"/>
                <w:color w:val="000000"/>
                <w:sz w:val="20"/>
                <w:szCs w:val="20"/>
              </w:rPr>
            </w:pPr>
            <w:r>
              <w:rPr>
                <w:rFonts w:eastAsia="Calibri"/>
                <w:color w:val="000000"/>
                <w:sz w:val="20"/>
                <w:szCs w:val="20"/>
              </w:rPr>
              <w:t>Reports on marine litter avoided</w:t>
            </w:r>
          </w:p>
        </w:tc>
      </w:tr>
      <w:tr w:rsidR="00CF33D9" w14:paraId="6808FB8A" w14:textId="77777777">
        <w:trPr>
          <w:trHeight w:val="20"/>
        </w:trPr>
        <w:tc>
          <w:tcPr>
            <w:tcW w:w="993" w:type="dxa"/>
            <w:vMerge/>
          </w:tcPr>
          <w:p w14:paraId="6808FB7E" w14:textId="77777777" w:rsidR="00CF33D9" w:rsidRDefault="00CF33D9">
            <w:pPr>
              <w:widowControl w:val="0"/>
              <w:spacing w:after="0" w:line="276" w:lineRule="auto"/>
              <w:rPr>
                <w:rFonts w:eastAsia="Calibri"/>
                <w:i/>
                <w:sz w:val="20"/>
                <w:szCs w:val="20"/>
              </w:rPr>
            </w:pPr>
          </w:p>
        </w:tc>
        <w:tc>
          <w:tcPr>
            <w:tcW w:w="1701" w:type="dxa"/>
            <w:vMerge/>
            <w:shd w:val="clear" w:color="auto" w:fill="auto"/>
          </w:tcPr>
          <w:p w14:paraId="6808FB7F" w14:textId="77777777" w:rsidR="00CF33D9" w:rsidRDefault="00CF33D9">
            <w:pPr>
              <w:widowControl w:val="0"/>
              <w:spacing w:after="0" w:line="276" w:lineRule="auto"/>
              <w:rPr>
                <w:rFonts w:eastAsia="Calibri"/>
                <w:i/>
                <w:sz w:val="20"/>
                <w:szCs w:val="20"/>
              </w:rPr>
            </w:pPr>
          </w:p>
        </w:tc>
        <w:tc>
          <w:tcPr>
            <w:tcW w:w="1559" w:type="dxa"/>
            <w:shd w:val="clear" w:color="auto" w:fill="auto"/>
          </w:tcPr>
          <w:p w14:paraId="6808FB80" w14:textId="77777777" w:rsidR="00CF33D9" w:rsidRDefault="00E3332A">
            <w:pPr>
              <w:spacing w:after="60"/>
              <w:jc w:val="both"/>
              <w:rPr>
                <w:rFonts w:eastAsia="Calibri"/>
                <w:b/>
                <w:i/>
                <w:sz w:val="20"/>
                <w:szCs w:val="20"/>
              </w:rPr>
            </w:pPr>
            <w:r>
              <w:rPr>
                <w:rFonts w:eastAsia="Calibri"/>
                <w:b/>
                <w:i/>
                <w:sz w:val="20"/>
                <w:szCs w:val="20"/>
              </w:rPr>
              <w:t>Indicator 4</w:t>
            </w:r>
          </w:p>
          <w:p w14:paraId="6808FB81" w14:textId="77777777" w:rsidR="00CF33D9" w:rsidRDefault="00E3332A">
            <w:pPr>
              <w:spacing w:after="60"/>
              <w:rPr>
                <w:rFonts w:eastAsia="Calibri"/>
                <w:b/>
                <w:i/>
                <w:sz w:val="20"/>
                <w:szCs w:val="20"/>
              </w:rPr>
            </w:pPr>
            <w:r>
              <w:rPr>
                <w:rFonts w:eastAsia="Calibri"/>
                <w:sz w:val="20"/>
                <w:szCs w:val="20"/>
              </w:rPr>
              <w:t xml:space="preserve">(GEF Core Indicator #7)  </w:t>
            </w:r>
            <w:r>
              <w:rPr>
                <w:rFonts w:eastAsia="Calibri"/>
                <w:color w:val="000000"/>
                <w:sz w:val="20"/>
                <w:szCs w:val="20"/>
              </w:rPr>
              <w:t>Number of shared water ecosystems (fresh or marine) under new or improved cooperative management</w:t>
            </w:r>
          </w:p>
        </w:tc>
        <w:tc>
          <w:tcPr>
            <w:tcW w:w="1417" w:type="dxa"/>
          </w:tcPr>
          <w:p w14:paraId="6808FB82" w14:textId="77777777" w:rsidR="00CF33D9" w:rsidRDefault="00E3332A">
            <w:pPr>
              <w:spacing w:after="60"/>
              <w:jc w:val="both"/>
              <w:rPr>
                <w:rFonts w:eastAsia="Calibri"/>
                <w:iCs/>
                <w:sz w:val="20"/>
                <w:szCs w:val="20"/>
              </w:rPr>
            </w:pPr>
            <w:r>
              <w:rPr>
                <w:rFonts w:eastAsia="Calibri"/>
                <w:iCs/>
                <w:sz w:val="20"/>
                <w:szCs w:val="20"/>
                <w:u w:val="single"/>
              </w:rPr>
              <w:t>Mid-term</w:t>
            </w:r>
            <w:r>
              <w:rPr>
                <w:rFonts w:eastAsia="Calibri"/>
                <w:iCs/>
                <w:sz w:val="20"/>
                <w:szCs w:val="20"/>
              </w:rPr>
              <w:t xml:space="preserve">: </w:t>
            </w:r>
          </w:p>
          <w:p w14:paraId="6808FB83" w14:textId="77777777" w:rsidR="00CF33D9" w:rsidRDefault="00E3332A">
            <w:pPr>
              <w:spacing w:after="60"/>
              <w:jc w:val="both"/>
              <w:rPr>
                <w:rFonts w:eastAsia="Calibri"/>
                <w:iCs/>
                <w:sz w:val="20"/>
                <w:szCs w:val="20"/>
              </w:rPr>
            </w:pPr>
            <w:r>
              <w:rPr>
                <w:rFonts w:eastAsia="Calibri"/>
                <w:iCs/>
                <w:sz w:val="20"/>
                <w:szCs w:val="20"/>
              </w:rPr>
              <w:t>1</w:t>
            </w:r>
          </w:p>
          <w:p w14:paraId="6808FB84" w14:textId="77777777" w:rsidR="00CF33D9" w:rsidRDefault="00E3332A">
            <w:pPr>
              <w:spacing w:after="60"/>
              <w:jc w:val="both"/>
              <w:rPr>
                <w:rFonts w:eastAsia="Calibri"/>
                <w:i/>
                <w:sz w:val="20"/>
                <w:szCs w:val="20"/>
              </w:rPr>
            </w:pPr>
            <w:r>
              <w:rPr>
                <w:rFonts w:eastAsia="Calibri"/>
                <w:iCs/>
                <w:sz w:val="20"/>
                <w:szCs w:val="20"/>
                <w:u w:val="single"/>
              </w:rPr>
              <w:t>End-of-Project</w:t>
            </w:r>
            <w:r>
              <w:rPr>
                <w:rFonts w:eastAsia="Calibri"/>
                <w:iCs/>
                <w:sz w:val="20"/>
                <w:szCs w:val="20"/>
              </w:rPr>
              <w:t>: 1</w:t>
            </w:r>
          </w:p>
        </w:tc>
        <w:tc>
          <w:tcPr>
            <w:tcW w:w="2268" w:type="dxa"/>
          </w:tcPr>
          <w:p w14:paraId="6808FB85" w14:textId="77777777" w:rsidR="00CF33D9" w:rsidRDefault="00E333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libri"/>
                <w:color w:val="000000"/>
                <w:sz w:val="20"/>
                <w:szCs w:val="20"/>
              </w:rPr>
            </w:pPr>
            <w:r>
              <w:rPr>
                <w:rFonts w:eastAsia="Calibri"/>
                <w:color w:val="000000"/>
                <w:sz w:val="20"/>
                <w:szCs w:val="20"/>
              </w:rPr>
              <w:t>The project will contribute to improved cooperative management of one shared water ecosystem, the Benguela Current Marine Ecosystem.</w:t>
            </w:r>
          </w:p>
        </w:tc>
        <w:tc>
          <w:tcPr>
            <w:tcW w:w="1843" w:type="dxa"/>
            <w:shd w:val="clear" w:color="auto" w:fill="auto"/>
          </w:tcPr>
          <w:p w14:paraId="6808FB86" w14:textId="77777777" w:rsidR="00CF33D9" w:rsidRDefault="00E333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contextualSpacing/>
              <w:rPr>
                <w:rFonts w:eastAsia="Calibri"/>
                <w:sz w:val="20"/>
                <w:szCs w:val="20"/>
              </w:rPr>
            </w:pPr>
            <w:r>
              <w:rPr>
                <w:rFonts w:eastAsia="Calibri"/>
                <w:color w:val="000000"/>
                <w:sz w:val="20"/>
                <w:szCs w:val="20"/>
              </w:rPr>
              <w:t>Midpoint and end of the project</w:t>
            </w:r>
          </w:p>
        </w:tc>
        <w:tc>
          <w:tcPr>
            <w:tcW w:w="1547" w:type="dxa"/>
            <w:shd w:val="clear" w:color="auto" w:fill="auto"/>
          </w:tcPr>
          <w:p w14:paraId="6808FB87" w14:textId="77777777" w:rsidR="00CF33D9" w:rsidRDefault="00E3332A">
            <w:pPr>
              <w:spacing w:after="0"/>
              <w:contextualSpacing/>
              <w:rPr>
                <w:rFonts w:eastAsia="Calibri"/>
                <w:iCs/>
                <w:sz w:val="20"/>
                <w:szCs w:val="20"/>
              </w:rPr>
            </w:pPr>
            <w:r>
              <w:rPr>
                <w:rFonts w:eastAsia="Calibri"/>
                <w:iCs/>
                <w:sz w:val="20"/>
                <w:szCs w:val="20"/>
              </w:rPr>
              <w:t xml:space="preserve">M&amp;E and KM </w:t>
            </w:r>
          </w:p>
          <w:p w14:paraId="6808FB88" w14:textId="77777777" w:rsidR="00CF33D9" w:rsidRDefault="00CF33D9">
            <w:pPr>
              <w:spacing w:after="60"/>
              <w:jc w:val="both"/>
              <w:rPr>
                <w:rFonts w:eastAsia="Calibri"/>
                <w:i/>
                <w:sz w:val="20"/>
                <w:szCs w:val="20"/>
              </w:rPr>
            </w:pPr>
          </w:p>
        </w:tc>
        <w:tc>
          <w:tcPr>
            <w:tcW w:w="1990" w:type="dxa"/>
            <w:shd w:val="clear" w:color="auto" w:fill="auto"/>
          </w:tcPr>
          <w:p w14:paraId="6808FB89" w14:textId="77777777" w:rsidR="00CF33D9" w:rsidRDefault="00E3332A">
            <w:pPr>
              <w:spacing w:after="60"/>
              <w:rPr>
                <w:rFonts w:eastAsia="Calibri"/>
                <w:i/>
                <w:sz w:val="20"/>
                <w:szCs w:val="20"/>
              </w:rPr>
            </w:pPr>
            <w:r>
              <w:rPr>
                <w:rFonts w:eastAsia="Calibri"/>
                <w:color w:val="000000"/>
                <w:sz w:val="20"/>
                <w:szCs w:val="20"/>
              </w:rPr>
              <w:t>Mid-term and terminal Evaluation Reports; quarterly reports; website and public awareness resources; publications; Marine Spatial Plans;  MPA management plans</w:t>
            </w:r>
          </w:p>
        </w:tc>
      </w:tr>
      <w:tr w:rsidR="00CF33D9" w14:paraId="6808FB9C" w14:textId="77777777">
        <w:trPr>
          <w:trHeight w:val="20"/>
        </w:trPr>
        <w:tc>
          <w:tcPr>
            <w:tcW w:w="993" w:type="dxa"/>
            <w:vMerge/>
          </w:tcPr>
          <w:p w14:paraId="6808FB8B" w14:textId="77777777" w:rsidR="00CF33D9" w:rsidRDefault="00CF33D9">
            <w:pPr>
              <w:widowControl w:val="0"/>
              <w:spacing w:line="276" w:lineRule="auto"/>
              <w:rPr>
                <w:rFonts w:eastAsia="Calibri"/>
                <w:i/>
                <w:sz w:val="20"/>
                <w:szCs w:val="20"/>
              </w:rPr>
            </w:pPr>
          </w:p>
        </w:tc>
        <w:tc>
          <w:tcPr>
            <w:tcW w:w="1701" w:type="dxa"/>
            <w:vMerge/>
            <w:shd w:val="clear" w:color="auto" w:fill="auto"/>
          </w:tcPr>
          <w:p w14:paraId="6808FB8C" w14:textId="77777777" w:rsidR="00CF33D9" w:rsidRDefault="00CF33D9">
            <w:pPr>
              <w:widowControl w:val="0"/>
              <w:spacing w:line="276" w:lineRule="auto"/>
              <w:rPr>
                <w:rFonts w:eastAsia="Calibri"/>
                <w:i/>
                <w:sz w:val="20"/>
                <w:szCs w:val="20"/>
              </w:rPr>
            </w:pPr>
          </w:p>
        </w:tc>
        <w:tc>
          <w:tcPr>
            <w:tcW w:w="1559" w:type="dxa"/>
            <w:shd w:val="clear" w:color="auto" w:fill="auto"/>
          </w:tcPr>
          <w:p w14:paraId="6808FB8D" w14:textId="77777777" w:rsidR="00CF33D9" w:rsidRDefault="00E3332A">
            <w:pPr>
              <w:spacing w:after="60"/>
              <w:jc w:val="both"/>
              <w:rPr>
                <w:rFonts w:eastAsia="Calibri"/>
                <w:b/>
                <w:i/>
                <w:sz w:val="20"/>
                <w:szCs w:val="20"/>
              </w:rPr>
            </w:pPr>
            <w:r>
              <w:rPr>
                <w:rFonts w:eastAsia="Calibri"/>
                <w:b/>
                <w:i/>
                <w:sz w:val="20"/>
                <w:szCs w:val="20"/>
              </w:rPr>
              <w:t>Indicator 5</w:t>
            </w:r>
          </w:p>
          <w:p w14:paraId="6808FB8E" w14:textId="77777777" w:rsidR="00CF33D9" w:rsidRDefault="00E333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libri"/>
                <w:bCs/>
                <w:color w:val="000000"/>
                <w:sz w:val="20"/>
                <w:szCs w:val="20"/>
              </w:rPr>
            </w:pPr>
            <w:r>
              <w:rPr>
                <w:rFonts w:eastAsia="Calibri"/>
                <w:bCs/>
                <w:iCs/>
                <w:sz w:val="20"/>
                <w:szCs w:val="20"/>
              </w:rPr>
              <w:t xml:space="preserve">(GEF Core Indicator #8) </w:t>
            </w:r>
            <w:r>
              <w:rPr>
                <w:rFonts w:eastAsia="Calibri"/>
                <w:bCs/>
                <w:color w:val="000000"/>
                <w:sz w:val="20"/>
                <w:szCs w:val="20"/>
              </w:rPr>
              <w:t>Globally over-exploited marine fisheries moved to more</w:t>
            </w:r>
          </w:p>
          <w:p w14:paraId="6808FB8F" w14:textId="77777777" w:rsidR="00CF33D9" w:rsidRDefault="00E3332A">
            <w:pPr>
              <w:spacing w:after="60"/>
              <w:rPr>
                <w:rFonts w:eastAsia="Calibri"/>
                <w:bCs/>
                <w:iCs/>
                <w:sz w:val="20"/>
                <w:szCs w:val="20"/>
              </w:rPr>
            </w:pPr>
            <w:r>
              <w:rPr>
                <w:rFonts w:eastAsia="Calibri"/>
                <w:bCs/>
                <w:color w:val="000000"/>
                <w:sz w:val="20"/>
                <w:szCs w:val="20"/>
              </w:rPr>
              <w:t>sustainable levels (metric tons)</w:t>
            </w:r>
          </w:p>
        </w:tc>
        <w:tc>
          <w:tcPr>
            <w:tcW w:w="1417" w:type="dxa"/>
          </w:tcPr>
          <w:p w14:paraId="6808FB90" w14:textId="77777777" w:rsidR="00CF33D9" w:rsidRDefault="00E3332A">
            <w:pPr>
              <w:spacing w:after="60"/>
              <w:jc w:val="both"/>
              <w:rPr>
                <w:rFonts w:eastAsia="Calibri"/>
                <w:iCs/>
                <w:sz w:val="20"/>
                <w:szCs w:val="20"/>
                <w:u w:val="single"/>
              </w:rPr>
            </w:pPr>
            <w:r>
              <w:rPr>
                <w:rFonts w:eastAsia="Calibri"/>
                <w:iCs/>
                <w:sz w:val="20"/>
                <w:szCs w:val="20"/>
                <w:u w:val="single"/>
              </w:rPr>
              <w:t>Mid-Term:</w:t>
            </w:r>
          </w:p>
          <w:p w14:paraId="6808FB91" w14:textId="77777777" w:rsidR="00CF33D9" w:rsidRDefault="00E3332A">
            <w:pPr>
              <w:spacing w:after="60"/>
              <w:jc w:val="both"/>
              <w:rPr>
                <w:rFonts w:eastAsia="Calibri"/>
                <w:iCs/>
                <w:sz w:val="20"/>
                <w:szCs w:val="20"/>
              </w:rPr>
            </w:pPr>
            <w:r>
              <w:rPr>
                <w:rFonts w:eastAsia="Calibri"/>
                <w:iCs/>
                <w:sz w:val="20"/>
                <w:szCs w:val="20"/>
              </w:rPr>
              <w:t>25,000</w:t>
            </w:r>
          </w:p>
          <w:p w14:paraId="6808FB92" w14:textId="77777777" w:rsidR="00CF33D9" w:rsidRDefault="00E3332A">
            <w:pPr>
              <w:spacing w:after="60"/>
              <w:jc w:val="both"/>
              <w:rPr>
                <w:rFonts w:eastAsia="Calibri"/>
                <w:iCs/>
                <w:sz w:val="20"/>
                <w:szCs w:val="20"/>
              </w:rPr>
            </w:pPr>
            <w:r>
              <w:rPr>
                <w:rFonts w:eastAsia="Calibri"/>
                <w:iCs/>
                <w:sz w:val="20"/>
                <w:szCs w:val="20"/>
                <w:u w:val="single"/>
              </w:rPr>
              <w:t>End-of-Project</w:t>
            </w:r>
            <w:r>
              <w:rPr>
                <w:rFonts w:eastAsia="Calibri"/>
                <w:iCs/>
                <w:sz w:val="20"/>
                <w:szCs w:val="20"/>
              </w:rPr>
              <w:t>:</w:t>
            </w:r>
          </w:p>
          <w:p w14:paraId="6808FB93" w14:textId="77777777" w:rsidR="00CF33D9" w:rsidRDefault="00E3332A">
            <w:pPr>
              <w:spacing w:after="60"/>
              <w:jc w:val="both"/>
              <w:rPr>
                <w:rFonts w:eastAsia="Calibri"/>
                <w:iCs/>
                <w:sz w:val="20"/>
                <w:szCs w:val="20"/>
              </w:rPr>
            </w:pPr>
            <w:r>
              <w:rPr>
                <w:rFonts w:eastAsia="Calibri"/>
                <w:iCs/>
                <w:sz w:val="20"/>
                <w:szCs w:val="20"/>
              </w:rPr>
              <w:t>50,000</w:t>
            </w:r>
          </w:p>
          <w:p w14:paraId="6808FB94" w14:textId="77777777" w:rsidR="00CF33D9" w:rsidRDefault="00CF33D9">
            <w:pPr>
              <w:spacing w:after="60"/>
              <w:jc w:val="both"/>
              <w:rPr>
                <w:rFonts w:eastAsia="Calibri"/>
                <w:iCs/>
                <w:sz w:val="20"/>
                <w:szCs w:val="20"/>
              </w:rPr>
            </w:pPr>
          </w:p>
        </w:tc>
        <w:tc>
          <w:tcPr>
            <w:tcW w:w="2268" w:type="dxa"/>
          </w:tcPr>
          <w:p w14:paraId="6808FB95" w14:textId="77777777" w:rsidR="00CF33D9" w:rsidRDefault="00E333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libri"/>
                <w:color w:val="000000"/>
                <w:sz w:val="20"/>
                <w:szCs w:val="20"/>
              </w:rPr>
            </w:pPr>
            <w:r>
              <w:rPr>
                <w:rFonts w:eastAsia="Calibri"/>
                <w:color w:val="000000"/>
                <w:sz w:val="20"/>
                <w:szCs w:val="20"/>
              </w:rPr>
              <w:t>Related interventions are planned under Component 2 of the project. The project will contribute to increasing sustainability of fish stocks and reducing IUU fishing.</w:t>
            </w:r>
          </w:p>
        </w:tc>
        <w:tc>
          <w:tcPr>
            <w:tcW w:w="1843" w:type="dxa"/>
            <w:shd w:val="clear" w:color="auto" w:fill="auto"/>
          </w:tcPr>
          <w:p w14:paraId="6808FB96" w14:textId="77777777" w:rsidR="00CF33D9" w:rsidRDefault="00E333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eastAsia="Calibri"/>
                <w:color w:val="000000"/>
                <w:sz w:val="20"/>
                <w:szCs w:val="20"/>
              </w:rPr>
            </w:pPr>
            <w:r>
              <w:rPr>
                <w:rFonts w:eastAsia="Calibri"/>
                <w:color w:val="000000"/>
                <w:sz w:val="20"/>
                <w:szCs w:val="20"/>
              </w:rPr>
              <w:t>Midpoint and end of the project</w:t>
            </w:r>
          </w:p>
        </w:tc>
        <w:tc>
          <w:tcPr>
            <w:tcW w:w="1547" w:type="dxa"/>
            <w:shd w:val="clear" w:color="auto" w:fill="auto"/>
          </w:tcPr>
          <w:p w14:paraId="6808FB97" w14:textId="77777777" w:rsidR="00CF33D9" w:rsidRDefault="00E3332A">
            <w:pPr>
              <w:contextualSpacing/>
              <w:rPr>
                <w:rFonts w:eastAsia="Calibri"/>
                <w:iCs/>
                <w:sz w:val="20"/>
                <w:szCs w:val="20"/>
              </w:rPr>
            </w:pPr>
            <w:r>
              <w:rPr>
                <w:rFonts w:eastAsia="Calibri"/>
                <w:iCs/>
                <w:sz w:val="20"/>
                <w:szCs w:val="20"/>
              </w:rPr>
              <w:t>M&amp;E</w:t>
            </w:r>
          </w:p>
          <w:p w14:paraId="6808FB98" w14:textId="77777777" w:rsidR="00CF33D9" w:rsidRDefault="00CF33D9">
            <w:pPr>
              <w:contextualSpacing/>
              <w:rPr>
                <w:rFonts w:eastAsia="Calibri"/>
                <w:iCs/>
                <w:sz w:val="20"/>
                <w:szCs w:val="20"/>
              </w:rPr>
            </w:pPr>
          </w:p>
          <w:p w14:paraId="6808FB99" w14:textId="77777777" w:rsidR="00CF33D9" w:rsidRDefault="00E3332A">
            <w:pPr>
              <w:contextualSpacing/>
              <w:rPr>
                <w:rFonts w:eastAsia="Calibri"/>
                <w:iCs/>
                <w:sz w:val="20"/>
                <w:szCs w:val="20"/>
              </w:rPr>
            </w:pPr>
            <w:r>
              <w:rPr>
                <w:rFonts w:eastAsia="Calibri"/>
                <w:iCs/>
                <w:sz w:val="20"/>
                <w:szCs w:val="20"/>
              </w:rPr>
              <w:t>Fisheries expert</w:t>
            </w:r>
          </w:p>
        </w:tc>
        <w:tc>
          <w:tcPr>
            <w:tcW w:w="1990" w:type="dxa"/>
            <w:shd w:val="clear" w:color="auto" w:fill="auto"/>
          </w:tcPr>
          <w:p w14:paraId="6808FB9A" w14:textId="77777777" w:rsidR="00CF33D9" w:rsidRDefault="00E3332A">
            <w:pPr>
              <w:rPr>
                <w:rFonts w:eastAsia="Calibri"/>
                <w:color w:val="1E2328"/>
                <w:sz w:val="20"/>
                <w:szCs w:val="20"/>
              </w:rPr>
            </w:pPr>
            <w:r>
              <w:rPr>
                <w:rFonts w:eastAsia="Calibri"/>
                <w:color w:val="1E2328"/>
                <w:sz w:val="20"/>
                <w:szCs w:val="20"/>
              </w:rPr>
              <w:t>Species catch data validated against official reports and audited statements</w:t>
            </w:r>
          </w:p>
          <w:p w14:paraId="6808FB9B" w14:textId="77777777" w:rsidR="00CF33D9" w:rsidRDefault="00E3332A">
            <w:pPr>
              <w:spacing w:after="60"/>
              <w:rPr>
                <w:rFonts w:eastAsia="Calibri"/>
                <w:color w:val="000000"/>
                <w:sz w:val="20"/>
                <w:szCs w:val="20"/>
              </w:rPr>
            </w:pPr>
            <w:r>
              <w:rPr>
                <w:rFonts w:eastAsia="Calibri"/>
                <w:color w:val="000000"/>
                <w:sz w:val="20"/>
                <w:szCs w:val="20"/>
              </w:rPr>
              <w:t>Mid-term and Terminal Evaluation Reports; quarterly reports</w:t>
            </w:r>
          </w:p>
        </w:tc>
      </w:tr>
      <w:tr w:rsidR="00CF33D9" w14:paraId="6808FBAC" w14:textId="77777777">
        <w:trPr>
          <w:trHeight w:val="1499"/>
        </w:trPr>
        <w:tc>
          <w:tcPr>
            <w:tcW w:w="993" w:type="dxa"/>
            <w:vMerge/>
          </w:tcPr>
          <w:p w14:paraId="6808FB9D" w14:textId="77777777" w:rsidR="00CF33D9" w:rsidRDefault="00CF33D9">
            <w:pPr>
              <w:widowControl w:val="0"/>
              <w:spacing w:after="0" w:line="276" w:lineRule="auto"/>
              <w:rPr>
                <w:rFonts w:eastAsia="Calibri"/>
                <w:i/>
                <w:sz w:val="20"/>
                <w:szCs w:val="20"/>
              </w:rPr>
            </w:pPr>
          </w:p>
        </w:tc>
        <w:tc>
          <w:tcPr>
            <w:tcW w:w="1701" w:type="dxa"/>
            <w:vMerge w:val="restart"/>
            <w:shd w:val="clear" w:color="auto" w:fill="auto"/>
          </w:tcPr>
          <w:p w14:paraId="6808FB9E" w14:textId="77777777" w:rsidR="00CF33D9" w:rsidRDefault="00E3332A">
            <w:pPr>
              <w:spacing w:after="60"/>
              <w:rPr>
                <w:rFonts w:eastAsia="Calibri"/>
                <w:b/>
                <w:sz w:val="20"/>
                <w:szCs w:val="20"/>
              </w:rPr>
            </w:pPr>
            <w:r>
              <w:rPr>
                <w:rFonts w:eastAsia="Calibri"/>
                <w:b/>
                <w:sz w:val="20"/>
                <w:szCs w:val="20"/>
              </w:rPr>
              <w:t xml:space="preserve">Project Outcome </w:t>
            </w:r>
            <w:r>
              <w:rPr>
                <w:rFonts w:eastAsia="Calibri"/>
                <w:b/>
                <w:color w:val="000000"/>
                <w:sz w:val="20"/>
                <w:szCs w:val="20"/>
              </w:rPr>
              <w:t xml:space="preserve">1.1: </w:t>
            </w:r>
            <w:r>
              <w:rPr>
                <w:rFonts w:eastAsia="Calibri"/>
                <w:bCs/>
                <w:color w:val="000000"/>
                <w:sz w:val="20"/>
                <w:szCs w:val="20"/>
              </w:rPr>
              <w:t xml:space="preserve">Policy, regulatory and institutional framework for the sustainable management of </w:t>
            </w:r>
            <w:r>
              <w:rPr>
                <w:rFonts w:eastAsia="Calibri"/>
                <w:bCs/>
                <w:color w:val="000000"/>
                <w:sz w:val="20"/>
                <w:szCs w:val="20"/>
              </w:rPr>
              <w:lastRenderedPageBreak/>
              <w:t>the BCLME strengthened</w:t>
            </w:r>
          </w:p>
        </w:tc>
        <w:tc>
          <w:tcPr>
            <w:tcW w:w="1559" w:type="dxa"/>
            <w:shd w:val="clear" w:color="auto" w:fill="auto"/>
          </w:tcPr>
          <w:p w14:paraId="6808FB9F" w14:textId="77777777" w:rsidR="00CF33D9" w:rsidRDefault="00E3332A">
            <w:pPr>
              <w:spacing w:after="60"/>
              <w:jc w:val="both"/>
              <w:rPr>
                <w:rFonts w:eastAsia="Calibri"/>
                <w:b/>
                <w:i/>
                <w:sz w:val="20"/>
                <w:szCs w:val="20"/>
              </w:rPr>
            </w:pPr>
            <w:r>
              <w:rPr>
                <w:rFonts w:eastAsia="Calibri"/>
                <w:b/>
                <w:i/>
                <w:sz w:val="20"/>
                <w:szCs w:val="20"/>
              </w:rPr>
              <w:lastRenderedPageBreak/>
              <w:t>Indicator 6</w:t>
            </w:r>
          </w:p>
          <w:p w14:paraId="6808FBA0" w14:textId="77777777" w:rsidR="00CF33D9" w:rsidRDefault="00E3332A">
            <w:pPr>
              <w:spacing w:after="60"/>
              <w:rPr>
                <w:rFonts w:eastAsia="Calibri"/>
                <w:sz w:val="20"/>
                <w:szCs w:val="20"/>
              </w:rPr>
            </w:pPr>
            <w:r>
              <w:rPr>
                <w:rFonts w:eastAsia="Calibri"/>
                <w:color w:val="000000"/>
                <w:sz w:val="20"/>
                <w:szCs w:val="20"/>
              </w:rPr>
              <w:t># of management plans enhanced for the selected MPAs</w:t>
            </w:r>
          </w:p>
        </w:tc>
        <w:tc>
          <w:tcPr>
            <w:tcW w:w="1417" w:type="dxa"/>
          </w:tcPr>
          <w:p w14:paraId="6808FBA1" w14:textId="77777777" w:rsidR="00CF33D9" w:rsidRDefault="00E3332A">
            <w:pPr>
              <w:spacing w:after="60"/>
              <w:jc w:val="both"/>
              <w:rPr>
                <w:rFonts w:eastAsia="Calibri"/>
                <w:iCs/>
                <w:sz w:val="20"/>
                <w:szCs w:val="20"/>
              </w:rPr>
            </w:pPr>
            <w:r>
              <w:rPr>
                <w:rFonts w:eastAsia="Calibri"/>
                <w:iCs/>
                <w:sz w:val="20"/>
                <w:szCs w:val="20"/>
                <w:u w:val="single"/>
              </w:rPr>
              <w:t>Mid-term</w:t>
            </w:r>
            <w:r>
              <w:rPr>
                <w:rFonts w:eastAsia="Calibri"/>
                <w:iCs/>
                <w:sz w:val="20"/>
                <w:szCs w:val="20"/>
              </w:rPr>
              <w:t xml:space="preserve">: </w:t>
            </w:r>
          </w:p>
          <w:p w14:paraId="6808FBA2" w14:textId="77777777" w:rsidR="00CF33D9" w:rsidRDefault="00E3332A">
            <w:pPr>
              <w:spacing w:after="60"/>
              <w:rPr>
                <w:rFonts w:eastAsia="Calibri"/>
                <w:iCs/>
                <w:sz w:val="20"/>
                <w:szCs w:val="20"/>
              </w:rPr>
            </w:pPr>
            <w:r>
              <w:rPr>
                <w:rFonts w:eastAsia="Calibri"/>
                <w:iCs/>
                <w:sz w:val="20"/>
                <w:szCs w:val="20"/>
              </w:rPr>
              <w:t>At least 1 per selected MPA</w:t>
            </w:r>
          </w:p>
          <w:p w14:paraId="6808FBA3" w14:textId="77777777" w:rsidR="00CF33D9" w:rsidRDefault="00E3332A">
            <w:pPr>
              <w:spacing w:after="60"/>
              <w:rPr>
                <w:rFonts w:eastAsia="Calibri"/>
                <w:i/>
                <w:sz w:val="20"/>
                <w:szCs w:val="20"/>
              </w:rPr>
            </w:pPr>
            <w:r>
              <w:rPr>
                <w:rFonts w:eastAsia="Calibri"/>
                <w:iCs/>
                <w:sz w:val="20"/>
                <w:szCs w:val="20"/>
                <w:u w:val="single"/>
              </w:rPr>
              <w:t>End-of-Project</w:t>
            </w:r>
            <w:r>
              <w:rPr>
                <w:rFonts w:eastAsia="Calibri"/>
                <w:iCs/>
                <w:sz w:val="20"/>
                <w:szCs w:val="20"/>
              </w:rPr>
              <w:t xml:space="preserve">: At </w:t>
            </w:r>
            <w:r>
              <w:rPr>
                <w:rFonts w:eastAsia="Calibri"/>
                <w:iCs/>
                <w:sz w:val="20"/>
                <w:szCs w:val="20"/>
              </w:rPr>
              <w:lastRenderedPageBreak/>
              <w:t>least 2 per selected MPA</w:t>
            </w:r>
          </w:p>
        </w:tc>
        <w:tc>
          <w:tcPr>
            <w:tcW w:w="2268" w:type="dxa"/>
          </w:tcPr>
          <w:p w14:paraId="6808FBA4" w14:textId="77777777" w:rsidR="00CF33D9" w:rsidRDefault="00E3332A">
            <w:pPr>
              <w:spacing w:after="60"/>
              <w:rPr>
                <w:rFonts w:eastAsia="Calibri"/>
                <w:iCs/>
                <w:sz w:val="20"/>
                <w:szCs w:val="20"/>
              </w:rPr>
            </w:pPr>
            <w:r>
              <w:rPr>
                <w:rFonts w:eastAsia="Calibri"/>
                <w:iCs/>
                <w:sz w:val="20"/>
                <w:szCs w:val="20"/>
              </w:rPr>
              <w:lastRenderedPageBreak/>
              <w:t>Legal document that regulates activities in the MPA, which should be governed by the principles of SBE</w:t>
            </w:r>
          </w:p>
        </w:tc>
        <w:tc>
          <w:tcPr>
            <w:tcW w:w="1843" w:type="dxa"/>
            <w:shd w:val="clear" w:color="auto" w:fill="auto"/>
          </w:tcPr>
          <w:p w14:paraId="6808FBA5" w14:textId="77777777" w:rsidR="00CF33D9" w:rsidRDefault="00E333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contextualSpacing/>
              <w:rPr>
                <w:rFonts w:eastAsia="Calibri"/>
                <w:sz w:val="20"/>
                <w:szCs w:val="20"/>
              </w:rPr>
            </w:pPr>
            <w:r>
              <w:rPr>
                <w:rFonts w:eastAsia="Calibri"/>
                <w:color w:val="000000"/>
                <w:sz w:val="20"/>
                <w:szCs w:val="20"/>
              </w:rPr>
              <w:t>Midpoint and end of the project</w:t>
            </w:r>
          </w:p>
        </w:tc>
        <w:tc>
          <w:tcPr>
            <w:tcW w:w="1547" w:type="dxa"/>
            <w:shd w:val="clear" w:color="auto" w:fill="auto"/>
          </w:tcPr>
          <w:p w14:paraId="6808FBA6" w14:textId="77777777" w:rsidR="00CF33D9" w:rsidRDefault="00E3332A">
            <w:pPr>
              <w:spacing w:after="0"/>
              <w:contextualSpacing/>
              <w:rPr>
                <w:rFonts w:eastAsia="Calibri"/>
                <w:iCs/>
                <w:sz w:val="20"/>
                <w:szCs w:val="20"/>
              </w:rPr>
            </w:pPr>
            <w:r>
              <w:rPr>
                <w:rFonts w:eastAsia="Calibri"/>
                <w:iCs/>
                <w:sz w:val="20"/>
                <w:szCs w:val="20"/>
              </w:rPr>
              <w:t xml:space="preserve">M&amp;E and KM </w:t>
            </w:r>
          </w:p>
          <w:p w14:paraId="6808FBA7" w14:textId="77777777" w:rsidR="00CF33D9" w:rsidRDefault="00CF33D9">
            <w:pPr>
              <w:spacing w:after="0"/>
              <w:contextualSpacing/>
              <w:rPr>
                <w:rFonts w:eastAsia="Calibri"/>
                <w:iCs/>
                <w:sz w:val="20"/>
                <w:szCs w:val="20"/>
              </w:rPr>
            </w:pPr>
          </w:p>
          <w:p w14:paraId="6808FBA8" w14:textId="77777777" w:rsidR="00CF33D9" w:rsidRDefault="00E3332A">
            <w:pPr>
              <w:spacing w:after="0"/>
              <w:contextualSpacing/>
              <w:rPr>
                <w:rFonts w:eastAsia="Calibri"/>
                <w:iCs/>
                <w:sz w:val="20"/>
                <w:szCs w:val="20"/>
              </w:rPr>
            </w:pPr>
            <w:r>
              <w:rPr>
                <w:rFonts w:eastAsia="Calibri"/>
                <w:iCs/>
                <w:sz w:val="20"/>
                <w:szCs w:val="20"/>
              </w:rPr>
              <w:t>MPA expert</w:t>
            </w:r>
          </w:p>
          <w:p w14:paraId="6808FBA9" w14:textId="77777777" w:rsidR="00CF33D9" w:rsidRDefault="00CF33D9">
            <w:pPr>
              <w:spacing w:after="60"/>
              <w:jc w:val="both"/>
              <w:rPr>
                <w:rFonts w:eastAsia="Calibri"/>
                <w:sz w:val="20"/>
                <w:szCs w:val="20"/>
              </w:rPr>
            </w:pPr>
          </w:p>
        </w:tc>
        <w:tc>
          <w:tcPr>
            <w:tcW w:w="1990" w:type="dxa"/>
            <w:shd w:val="clear" w:color="auto" w:fill="auto"/>
          </w:tcPr>
          <w:p w14:paraId="6808FBAA" w14:textId="77777777" w:rsidR="00CF33D9" w:rsidRDefault="00E3332A">
            <w:pPr>
              <w:numPr>
                <w:ilvl w:val="0"/>
                <w:numId w:val="37"/>
              </w:numPr>
              <w:spacing w:after="0"/>
              <w:ind w:left="117" w:hanging="100"/>
              <w:rPr>
                <w:rFonts w:eastAsia="Calibri"/>
                <w:color w:val="000000"/>
                <w:sz w:val="20"/>
                <w:szCs w:val="20"/>
              </w:rPr>
            </w:pPr>
            <w:r>
              <w:rPr>
                <w:rFonts w:eastAsia="Calibri"/>
                <w:color w:val="000000"/>
                <w:sz w:val="20"/>
                <w:szCs w:val="20"/>
              </w:rPr>
              <w:t>Records of discussions on MPAs management plans</w:t>
            </w:r>
          </w:p>
          <w:p w14:paraId="6808FBAB" w14:textId="77777777" w:rsidR="00CF33D9" w:rsidRDefault="00E3332A">
            <w:pPr>
              <w:numPr>
                <w:ilvl w:val="0"/>
                <w:numId w:val="37"/>
              </w:numPr>
              <w:spacing w:after="0"/>
              <w:ind w:left="117" w:hanging="100"/>
              <w:rPr>
                <w:rFonts w:eastAsia="Calibri"/>
                <w:color w:val="000000"/>
                <w:sz w:val="20"/>
                <w:szCs w:val="20"/>
              </w:rPr>
            </w:pPr>
            <w:r>
              <w:rPr>
                <w:rFonts w:eastAsia="Calibri"/>
                <w:color w:val="000000"/>
                <w:sz w:val="20"/>
                <w:szCs w:val="20"/>
              </w:rPr>
              <w:t xml:space="preserve">Governmental publication of adopted and </w:t>
            </w:r>
            <w:r>
              <w:rPr>
                <w:rFonts w:eastAsia="Calibri"/>
                <w:color w:val="000000"/>
                <w:sz w:val="20"/>
                <w:szCs w:val="20"/>
              </w:rPr>
              <w:lastRenderedPageBreak/>
              <w:t>disseminated management plans</w:t>
            </w:r>
          </w:p>
        </w:tc>
      </w:tr>
      <w:tr w:rsidR="00CF33D9" w14:paraId="6808FBB9" w14:textId="77777777">
        <w:trPr>
          <w:trHeight w:val="20"/>
        </w:trPr>
        <w:tc>
          <w:tcPr>
            <w:tcW w:w="993" w:type="dxa"/>
            <w:vMerge/>
          </w:tcPr>
          <w:p w14:paraId="6808FBAD" w14:textId="77777777" w:rsidR="00CF33D9" w:rsidRDefault="00CF33D9">
            <w:pPr>
              <w:widowControl w:val="0"/>
              <w:spacing w:after="0" w:line="276" w:lineRule="auto"/>
              <w:rPr>
                <w:rFonts w:eastAsia="Calibri"/>
                <w:sz w:val="20"/>
                <w:szCs w:val="20"/>
              </w:rPr>
            </w:pPr>
          </w:p>
        </w:tc>
        <w:tc>
          <w:tcPr>
            <w:tcW w:w="1701" w:type="dxa"/>
            <w:vMerge/>
            <w:shd w:val="clear" w:color="auto" w:fill="auto"/>
          </w:tcPr>
          <w:p w14:paraId="6808FBAE" w14:textId="77777777" w:rsidR="00CF33D9" w:rsidRDefault="00CF33D9">
            <w:pPr>
              <w:widowControl w:val="0"/>
              <w:spacing w:after="0" w:line="276" w:lineRule="auto"/>
              <w:rPr>
                <w:rFonts w:eastAsia="Calibri"/>
                <w:sz w:val="20"/>
                <w:szCs w:val="20"/>
              </w:rPr>
            </w:pPr>
          </w:p>
        </w:tc>
        <w:tc>
          <w:tcPr>
            <w:tcW w:w="1559" w:type="dxa"/>
            <w:shd w:val="clear" w:color="auto" w:fill="auto"/>
          </w:tcPr>
          <w:p w14:paraId="6808FBAF" w14:textId="77777777" w:rsidR="00CF33D9" w:rsidRDefault="00E3332A">
            <w:pPr>
              <w:spacing w:after="60"/>
              <w:jc w:val="both"/>
              <w:rPr>
                <w:rFonts w:eastAsia="Calibri"/>
                <w:b/>
                <w:i/>
                <w:sz w:val="20"/>
                <w:szCs w:val="20"/>
              </w:rPr>
            </w:pPr>
            <w:r>
              <w:rPr>
                <w:rFonts w:eastAsia="Calibri"/>
                <w:b/>
                <w:i/>
                <w:sz w:val="20"/>
                <w:szCs w:val="20"/>
              </w:rPr>
              <w:t>Indicator 7</w:t>
            </w:r>
          </w:p>
          <w:p w14:paraId="6808FBB0" w14:textId="77777777" w:rsidR="00CF33D9" w:rsidRDefault="00E3332A">
            <w:pPr>
              <w:spacing w:after="60"/>
              <w:rPr>
                <w:rFonts w:eastAsia="Calibri"/>
                <w:sz w:val="20"/>
                <w:szCs w:val="20"/>
              </w:rPr>
            </w:pPr>
            <w:r>
              <w:rPr>
                <w:rFonts w:eastAsia="Calibri"/>
                <w:color w:val="000000"/>
                <w:sz w:val="20"/>
                <w:szCs w:val="20"/>
              </w:rPr>
              <w:t>% of women that participated in the development processes of MPA management plans</w:t>
            </w:r>
          </w:p>
        </w:tc>
        <w:tc>
          <w:tcPr>
            <w:tcW w:w="1417" w:type="dxa"/>
          </w:tcPr>
          <w:p w14:paraId="6808FBB1" w14:textId="77777777" w:rsidR="00CF33D9" w:rsidRDefault="00E3332A">
            <w:pPr>
              <w:spacing w:after="60"/>
              <w:jc w:val="both"/>
              <w:rPr>
                <w:rFonts w:eastAsia="Calibri"/>
                <w:iCs/>
                <w:sz w:val="20"/>
                <w:szCs w:val="20"/>
              </w:rPr>
            </w:pPr>
            <w:r>
              <w:rPr>
                <w:rFonts w:eastAsia="Calibri"/>
                <w:iCs/>
                <w:sz w:val="20"/>
                <w:szCs w:val="20"/>
                <w:u w:val="single"/>
              </w:rPr>
              <w:t>Mid-term</w:t>
            </w:r>
            <w:r>
              <w:rPr>
                <w:rFonts w:eastAsia="Calibri"/>
                <w:iCs/>
                <w:sz w:val="20"/>
                <w:szCs w:val="20"/>
              </w:rPr>
              <w:t xml:space="preserve">: </w:t>
            </w:r>
          </w:p>
          <w:p w14:paraId="6808FBB2" w14:textId="77777777" w:rsidR="00CF33D9" w:rsidRDefault="00E3332A">
            <w:pPr>
              <w:spacing w:after="60"/>
              <w:rPr>
                <w:rFonts w:eastAsia="Calibri"/>
                <w:iCs/>
                <w:sz w:val="20"/>
                <w:szCs w:val="20"/>
              </w:rPr>
            </w:pPr>
            <w:r>
              <w:rPr>
                <w:rFonts w:eastAsia="Calibri"/>
                <w:iCs/>
                <w:sz w:val="20"/>
                <w:szCs w:val="20"/>
              </w:rPr>
              <w:t>25</w:t>
            </w:r>
          </w:p>
          <w:p w14:paraId="6808FBB3" w14:textId="77777777" w:rsidR="00CF33D9" w:rsidRDefault="00E3332A">
            <w:pPr>
              <w:spacing w:after="60"/>
              <w:jc w:val="both"/>
              <w:rPr>
                <w:rFonts w:eastAsia="Calibri"/>
                <w:i/>
                <w:sz w:val="20"/>
                <w:szCs w:val="20"/>
              </w:rPr>
            </w:pPr>
            <w:r>
              <w:rPr>
                <w:rFonts w:eastAsia="Calibri"/>
                <w:iCs/>
                <w:sz w:val="20"/>
                <w:szCs w:val="20"/>
                <w:u w:val="single"/>
              </w:rPr>
              <w:t>End-of-Project</w:t>
            </w:r>
            <w:r>
              <w:rPr>
                <w:rFonts w:eastAsia="Calibri"/>
                <w:iCs/>
                <w:sz w:val="20"/>
                <w:szCs w:val="20"/>
              </w:rPr>
              <w:t>: 40</w:t>
            </w:r>
          </w:p>
        </w:tc>
        <w:tc>
          <w:tcPr>
            <w:tcW w:w="2268" w:type="dxa"/>
          </w:tcPr>
          <w:p w14:paraId="6808FBB4" w14:textId="77777777" w:rsidR="00CF33D9" w:rsidRDefault="00E3332A">
            <w:pPr>
              <w:spacing w:after="60"/>
              <w:jc w:val="both"/>
              <w:rPr>
                <w:rFonts w:eastAsia="Calibri"/>
                <w:iCs/>
                <w:sz w:val="20"/>
                <w:szCs w:val="20"/>
              </w:rPr>
            </w:pPr>
            <w:r>
              <w:rPr>
                <w:rFonts w:eastAsia="Calibri"/>
                <w:iCs/>
                <w:sz w:val="20"/>
                <w:szCs w:val="20"/>
              </w:rPr>
              <w:t xml:space="preserve">The indicator shows that women are gaining bigger role in decision-making processes. </w:t>
            </w:r>
          </w:p>
        </w:tc>
        <w:tc>
          <w:tcPr>
            <w:tcW w:w="1843" w:type="dxa"/>
            <w:shd w:val="clear" w:color="auto" w:fill="auto"/>
          </w:tcPr>
          <w:p w14:paraId="6808FBB5" w14:textId="77777777" w:rsidR="00CF33D9" w:rsidRDefault="00E3332A">
            <w:pPr>
              <w:spacing w:after="60"/>
              <w:rPr>
                <w:rFonts w:eastAsia="Calibri"/>
                <w:sz w:val="20"/>
                <w:szCs w:val="20"/>
              </w:rPr>
            </w:pPr>
            <w:r>
              <w:rPr>
                <w:rFonts w:eastAsia="Calibri"/>
                <w:sz w:val="20"/>
                <w:szCs w:val="20"/>
              </w:rPr>
              <w:t>Annually (reported in Development Objective (DO) progress section of the GEF PIR), mid-term, closure</w:t>
            </w:r>
          </w:p>
        </w:tc>
        <w:tc>
          <w:tcPr>
            <w:tcW w:w="1547" w:type="dxa"/>
            <w:shd w:val="clear" w:color="auto" w:fill="auto"/>
          </w:tcPr>
          <w:p w14:paraId="6808FBB6" w14:textId="77777777" w:rsidR="00CF33D9" w:rsidRDefault="00E3332A">
            <w:pPr>
              <w:spacing w:after="60"/>
              <w:jc w:val="both"/>
              <w:rPr>
                <w:rFonts w:eastAsia="Calibri"/>
                <w:sz w:val="20"/>
                <w:szCs w:val="20"/>
              </w:rPr>
            </w:pPr>
            <w:r>
              <w:rPr>
                <w:rFonts w:eastAsia="Calibri"/>
                <w:sz w:val="20"/>
                <w:szCs w:val="20"/>
              </w:rPr>
              <w:t>M&amp;E Expert</w:t>
            </w:r>
          </w:p>
          <w:p w14:paraId="6808FBB7" w14:textId="77777777" w:rsidR="00CF33D9" w:rsidRDefault="00E3332A">
            <w:pPr>
              <w:spacing w:after="60"/>
              <w:jc w:val="both"/>
              <w:rPr>
                <w:rFonts w:eastAsia="Calibri"/>
                <w:sz w:val="20"/>
                <w:szCs w:val="20"/>
              </w:rPr>
            </w:pPr>
            <w:r>
              <w:rPr>
                <w:rFonts w:eastAsia="Calibri"/>
                <w:sz w:val="20"/>
                <w:szCs w:val="20"/>
              </w:rPr>
              <w:t>Gender Expert</w:t>
            </w:r>
          </w:p>
        </w:tc>
        <w:tc>
          <w:tcPr>
            <w:tcW w:w="1990" w:type="dxa"/>
            <w:shd w:val="clear" w:color="auto" w:fill="auto"/>
          </w:tcPr>
          <w:p w14:paraId="6808FBB8" w14:textId="77777777" w:rsidR="00CF33D9" w:rsidRDefault="00E3332A">
            <w:pPr>
              <w:spacing w:after="60"/>
              <w:rPr>
                <w:rFonts w:eastAsia="Calibri"/>
                <w:sz w:val="20"/>
                <w:szCs w:val="20"/>
              </w:rPr>
            </w:pPr>
            <w:r>
              <w:rPr>
                <w:rFonts w:eastAsia="Calibri"/>
                <w:color w:val="000000"/>
                <w:sz w:val="20"/>
                <w:szCs w:val="20"/>
              </w:rPr>
              <w:t>Meetings minutes of management plan development consultations</w:t>
            </w:r>
          </w:p>
        </w:tc>
      </w:tr>
      <w:tr w:rsidR="00CF33D9" w14:paraId="6808FBC9" w14:textId="77777777">
        <w:trPr>
          <w:trHeight w:val="20"/>
        </w:trPr>
        <w:tc>
          <w:tcPr>
            <w:tcW w:w="993" w:type="dxa"/>
            <w:vMerge/>
          </w:tcPr>
          <w:p w14:paraId="6808FBBA" w14:textId="77777777" w:rsidR="00CF33D9" w:rsidRDefault="00CF33D9">
            <w:pPr>
              <w:widowControl w:val="0"/>
              <w:spacing w:line="276" w:lineRule="auto"/>
              <w:rPr>
                <w:rFonts w:eastAsia="Calibri"/>
                <w:sz w:val="20"/>
                <w:szCs w:val="20"/>
              </w:rPr>
            </w:pPr>
          </w:p>
        </w:tc>
        <w:tc>
          <w:tcPr>
            <w:tcW w:w="1701" w:type="dxa"/>
            <w:vMerge/>
            <w:shd w:val="clear" w:color="auto" w:fill="auto"/>
          </w:tcPr>
          <w:p w14:paraId="6808FBBB" w14:textId="77777777" w:rsidR="00CF33D9" w:rsidRDefault="00CF33D9">
            <w:pPr>
              <w:widowControl w:val="0"/>
              <w:spacing w:line="276" w:lineRule="auto"/>
              <w:rPr>
                <w:rFonts w:eastAsia="Calibri"/>
                <w:sz w:val="20"/>
                <w:szCs w:val="20"/>
              </w:rPr>
            </w:pPr>
          </w:p>
        </w:tc>
        <w:tc>
          <w:tcPr>
            <w:tcW w:w="1559" w:type="dxa"/>
            <w:shd w:val="clear" w:color="auto" w:fill="auto"/>
          </w:tcPr>
          <w:p w14:paraId="6808FBBC" w14:textId="77777777" w:rsidR="00CF33D9" w:rsidRDefault="00E3332A">
            <w:pPr>
              <w:spacing w:after="60"/>
              <w:jc w:val="both"/>
              <w:rPr>
                <w:rFonts w:eastAsia="Calibri"/>
                <w:b/>
                <w:i/>
                <w:sz w:val="20"/>
                <w:szCs w:val="20"/>
              </w:rPr>
            </w:pPr>
            <w:r>
              <w:rPr>
                <w:rFonts w:eastAsia="Calibri"/>
                <w:b/>
                <w:i/>
                <w:sz w:val="20"/>
                <w:szCs w:val="20"/>
              </w:rPr>
              <w:t>Indicator 8</w:t>
            </w:r>
          </w:p>
          <w:p w14:paraId="6808FBBD" w14:textId="77777777" w:rsidR="00CF33D9" w:rsidRDefault="00E3332A">
            <w:pPr>
              <w:spacing w:after="60"/>
              <w:rPr>
                <w:rFonts w:eastAsia="Calibri"/>
                <w:b/>
                <w:i/>
                <w:sz w:val="20"/>
                <w:szCs w:val="20"/>
              </w:rPr>
            </w:pPr>
            <w:r>
              <w:rPr>
                <w:rFonts w:eastAsia="Calibri"/>
                <w:sz w:val="20"/>
                <w:szCs w:val="20"/>
              </w:rPr>
              <w:t># of participatory ecosystem-based marine spatial plans prepared for areas not yet covered by MSP</w:t>
            </w:r>
          </w:p>
        </w:tc>
        <w:tc>
          <w:tcPr>
            <w:tcW w:w="1417" w:type="dxa"/>
          </w:tcPr>
          <w:p w14:paraId="6808FBBE" w14:textId="77777777" w:rsidR="00CF33D9" w:rsidRDefault="00E3332A">
            <w:pPr>
              <w:spacing w:after="60"/>
              <w:jc w:val="both"/>
              <w:rPr>
                <w:rFonts w:eastAsia="Calibri"/>
                <w:iCs/>
                <w:sz w:val="20"/>
                <w:szCs w:val="20"/>
              </w:rPr>
            </w:pPr>
            <w:r>
              <w:rPr>
                <w:rFonts w:eastAsia="Calibri"/>
                <w:iCs/>
                <w:sz w:val="20"/>
                <w:szCs w:val="20"/>
                <w:u w:val="single"/>
              </w:rPr>
              <w:t>Mid-term</w:t>
            </w:r>
            <w:r>
              <w:rPr>
                <w:rFonts w:eastAsia="Calibri"/>
                <w:iCs/>
                <w:sz w:val="20"/>
                <w:szCs w:val="20"/>
              </w:rPr>
              <w:t xml:space="preserve">: </w:t>
            </w:r>
          </w:p>
          <w:p w14:paraId="6808FBBF" w14:textId="77777777" w:rsidR="00CF33D9" w:rsidRDefault="00E3332A">
            <w:pPr>
              <w:spacing w:after="60"/>
              <w:rPr>
                <w:rFonts w:eastAsia="Calibri"/>
                <w:iCs/>
                <w:sz w:val="20"/>
                <w:szCs w:val="20"/>
              </w:rPr>
            </w:pPr>
            <w:r>
              <w:rPr>
                <w:rFonts w:eastAsia="Calibri"/>
                <w:iCs/>
                <w:sz w:val="20"/>
                <w:szCs w:val="20"/>
              </w:rPr>
              <w:t>0</w:t>
            </w:r>
          </w:p>
          <w:p w14:paraId="6808FBC0" w14:textId="77777777" w:rsidR="00CF33D9" w:rsidRDefault="00E3332A">
            <w:pPr>
              <w:spacing w:after="60"/>
              <w:jc w:val="both"/>
              <w:rPr>
                <w:rFonts w:eastAsia="Calibri"/>
                <w:i/>
                <w:sz w:val="20"/>
                <w:szCs w:val="20"/>
              </w:rPr>
            </w:pPr>
            <w:r>
              <w:rPr>
                <w:rFonts w:eastAsia="Calibri"/>
                <w:iCs/>
                <w:sz w:val="20"/>
                <w:szCs w:val="20"/>
                <w:u w:val="single"/>
              </w:rPr>
              <w:t>End-of-Project</w:t>
            </w:r>
            <w:r>
              <w:rPr>
                <w:rFonts w:eastAsia="Calibri"/>
                <w:iCs/>
                <w:sz w:val="20"/>
                <w:szCs w:val="20"/>
              </w:rPr>
              <w:t>: 2</w:t>
            </w:r>
          </w:p>
        </w:tc>
        <w:tc>
          <w:tcPr>
            <w:tcW w:w="2268" w:type="dxa"/>
          </w:tcPr>
          <w:p w14:paraId="6808FBC1" w14:textId="77777777" w:rsidR="00CF33D9" w:rsidRDefault="00E3332A">
            <w:pPr>
              <w:spacing w:after="60"/>
              <w:rPr>
                <w:rFonts w:eastAsia="Calibri"/>
                <w:iCs/>
                <w:sz w:val="20"/>
                <w:szCs w:val="20"/>
              </w:rPr>
            </w:pPr>
            <w:r>
              <w:rPr>
                <w:rFonts w:eastAsia="Calibri"/>
                <w:iCs/>
                <w:sz w:val="20"/>
                <w:szCs w:val="20"/>
              </w:rPr>
              <w:t>Transboundary marine spatial plans are critically important instrument for SBE. The plans will be developed for two areas where demo projects will be implemented.</w:t>
            </w:r>
          </w:p>
        </w:tc>
        <w:tc>
          <w:tcPr>
            <w:tcW w:w="1843" w:type="dxa"/>
            <w:shd w:val="clear" w:color="auto" w:fill="auto"/>
          </w:tcPr>
          <w:p w14:paraId="6808FBC2" w14:textId="77777777" w:rsidR="00CF33D9" w:rsidRDefault="00E3332A">
            <w:pPr>
              <w:spacing w:after="60"/>
              <w:rPr>
                <w:rFonts w:eastAsia="Calibri"/>
                <w:sz w:val="20"/>
                <w:szCs w:val="20"/>
              </w:rPr>
            </w:pPr>
            <w:r>
              <w:rPr>
                <w:rFonts w:eastAsia="Calibri"/>
                <w:sz w:val="20"/>
                <w:szCs w:val="20"/>
              </w:rPr>
              <w:t>Annually (reported in Development Objective (DO) progress section of the GEF PIR), mid-term, closure</w:t>
            </w:r>
          </w:p>
        </w:tc>
        <w:tc>
          <w:tcPr>
            <w:tcW w:w="1547" w:type="dxa"/>
            <w:shd w:val="clear" w:color="auto" w:fill="auto"/>
          </w:tcPr>
          <w:p w14:paraId="6808FBC3" w14:textId="77777777" w:rsidR="00CF33D9" w:rsidRDefault="00E3332A">
            <w:pPr>
              <w:spacing w:after="0"/>
              <w:contextualSpacing/>
              <w:rPr>
                <w:rFonts w:eastAsia="Calibri"/>
                <w:iCs/>
                <w:sz w:val="20"/>
                <w:szCs w:val="20"/>
              </w:rPr>
            </w:pPr>
            <w:r>
              <w:rPr>
                <w:rFonts w:eastAsia="Calibri"/>
                <w:iCs/>
                <w:sz w:val="20"/>
                <w:szCs w:val="20"/>
              </w:rPr>
              <w:t>M&amp;E and KM expert</w:t>
            </w:r>
          </w:p>
          <w:p w14:paraId="6808FBC4" w14:textId="77777777" w:rsidR="00CF33D9" w:rsidRDefault="00CF33D9">
            <w:pPr>
              <w:spacing w:after="0"/>
              <w:contextualSpacing/>
              <w:rPr>
                <w:rFonts w:eastAsia="Calibri"/>
                <w:iCs/>
                <w:sz w:val="20"/>
                <w:szCs w:val="20"/>
              </w:rPr>
            </w:pPr>
          </w:p>
          <w:p w14:paraId="6808FBC5" w14:textId="77777777" w:rsidR="00CF33D9" w:rsidRDefault="00E3332A">
            <w:pPr>
              <w:spacing w:after="0"/>
              <w:contextualSpacing/>
              <w:rPr>
                <w:rFonts w:eastAsia="Calibri"/>
                <w:iCs/>
                <w:sz w:val="20"/>
                <w:szCs w:val="20"/>
              </w:rPr>
            </w:pPr>
            <w:r>
              <w:rPr>
                <w:rFonts w:eastAsia="Calibri"/>
                <w:iCs/>
                <w:sz w:val="20"/>
                <w:szCs w:val="20"/>
              </w:rPr>
              <w:t>MSP expert</w:t>
            </w:r>
          </w:p>
          <w:p w14:paraId="6808FBC6" w14:textId="77777777" w:rsidR="00CF33D9" w:rsidRDefault="00CF33D9">
            <w:pPr>
              <w:spacing w:after="60"/>
              <w:jc w:val="both"/>
              <w:rPr>
                <w:rFonts w:eastAsia="Calibri"/>
                <w:sz w:val="20"/>
                <w:szCs w:val="20"/>
              </w:rPr>
            </w:pPr>
          </w:p>
        </w:tc>
        <w:tc>
          <w:tcPr>
            <w:tcW w:w="1990" w:type="dxa"/>
            <w:shd w:val="clear" w:color="auto" w:fill="auto"/>
          </w:tcPr>
          <w:p w14:paraId="6808FBC7" w14:textId="77777777" w:rsidR="00CF33D9" w:rsidRDefault="00E3332A">
            <w:pPr>
              <w:pStyle w:val="ListParagraph"/>
              <w:numPr>
                <w:ilvl w:val="0"/>
                <w:numId w:val="50"/>
              </w:numPr>
              <w:spacing w:after="0"/>
              <w:ind w:left="183" w:hanging="183"/>
              <w:contextualSpacing/>
              <w:rPr>
                <w:rFonts w:eastAsia="Calibri"/>
                <w:sz w:val="20"/>
                <w:szCs w:val="20"/>
              </w:rPr>
            </w:pPr>
            <w:r>
              <w:rPr>
                <w:rFonts w:eastAsia="Calibri"/>
                <w:sz w:val="20"/>
                <w:szCs w:val="20"/>
              </w:rPr>
              <w:t>Records of public consultation meetings.</w:t>
            </w:r>
          </w:p>
          <w:p w14:paraId="6808FBC8" w14:textId="77777777" w:rsidR="00CF33D9" w:rsidRDefault="00E3332A">
            <w:pPr>
              <w:pStyle w:val="ListParagraph"/>
              <w:numPr>
                <w:ilvl w:val="0"/>
                <w:numId w:val="50"/>
              </w:numPr>
              <w:spacing w:after="0"/>
              <w:ind w:left="183" w:hanging="183"/>
              <w:contextualSpacing/>
              <w:rPr>
                <w:rFonts w:eastAsia="Calibri"/>
                <w:sz w:val="20"/>
                <w:szCs w:val="20"/>
              </w:rPr>
            </w:pPr>
            <w:r>
              <w:rPr>
                <w:rFonts w:eastAsia="Calibri"/>
                <w:sz w:val="20"/>
                <w:szCs w:val="20"/>
              </w:rPr>
              <w:t>Progress reports on the implementation of the marine spatial plans</w:t>
            </w:r>
          </w:p>
        </w:tc>
      </w:tr>
      <w:tr w:rsidR="00CF33D9" w14:paraId="6808FBD9" w14:textId="77777777">
        <w:trPr>
          <w:trHeight w:val="20"/>
        </w:trPr>
        <w:tc>
          <w:tcPr>
            <w:tcW w:w="993" w:type="dxa"/>
            <w:vMerge/>
          </w:tcPr>
          <w:p w14:paraId="6808FBCA" w14:textId="77777777" w:rsidR="00CF33D9" w:rsidRDefault="00CF33D9">
            <w:pPr>
              <w:widowControl w:val="0"/>
              <w:spacing w:after="0" w:line="276" w:lineRule="auto"/>
              <w:rPr>
                <w:rFonts w:eastAsia="Calibri"/>
                <w:sz w:val="20"/>
                <w:szCs w:val="20"/>
              </w:rPr>
            </w:pPr>
          </w:p>
        </w:tc>
        <w:tc>
          <w:tcPr>
            <w:tcW w:w="1701" w:type="dxa"/>
            <w:vMerge w:val="restart"/>
            <w:shd w:val="clear" w:color="auto" w:fill="auto"/>
          </w:tcPr>
          <w:p w14:paraId="6808FBCB" w14:textId="77777777" w:rsidR="00CF33D9" w:rsidRDefault="00E3332A">
            <w:pPr>
              <w:spacing w:after="60"/>
              <w:rPr>
                <w:rFonts w:eastAsia="Calibri"/>
                <w:b/>
                <w:sz w:val="20"/>
                <w:szCs w:val="20"/>
              </w:rPr>
            </w:pPr>
            <w:r>
              <w:rPr>
                <w:rFonts w:eastAsia="Calibri"/>
                <w:b/>
                <w:sz w:val="20"/>
                <w:szCs w:val="20"/>
              </w:rPr>
              <w:t xml:space="preserve">Project Outcome </w:t>
            </w:r>
            <w:r>
              <w:rPr>
                <w:rFonts w:eastAsia="Calibri"/>
                <w:b/>
                <w:color w:val="000000"/>
                <w:sz w:val="20"/>
                <w:szCs w:val="20"/>
              </w:rPr>
              <w:t xml:space="preserve">1.2 : </w:t>
            </w:r>
            <w:r>
              <w:rPr>
                <w:rFonts w:eastAsia="Calibri"/>
                <w:bCs/>
                <w:color w:val="000000"/>
                <w:sz w:val="20"/>
                <w:szCs w:val="20"/>
              </w:rPr>
              <w:t xml:space="preserve">Climate resilient nature-based solutions </w:t>
            </w:r>
            <w:r>
              <w:rPr>
                <w:rFonts w:eastAsia="Calibri"/>
                <w:bCs/>
                <w:color w:val="000000"/>
                <w:sz w:val="20"/>
                <w:szCs w:val="20"/>
              </w:rPr>
              <w:lastRenderedPageBreak/>
              <w:t>for restoration (and prevention of degradation) of MPAs and coastal ecosystems implemented through Special Management Areas/Locally Managed Marine Areas approach</w:t>
            </w:r>
          </w:p>
        </w:tc>
        <w:tc>
          <w:tcPr>
            <w:tcW w:w="1559" w:type="dxa"/>
            <w:shd w:val="clear" w:color="auto" w:fill="auto"/>
          </w:tcPr>
          <w:p w14:paraId="6808FBCC" w14:textId="77777777" w:rsidR="00CF33D9" w:rsidRDefault="00E3332A">
            <w:pPr>
              <w:spacing w:after="60"/>
              <w:jc w:val="both"/>
              <w:rPr>
                <w:rFonts w:eastAsia="Calibri"/>
                <w:b/>
                <w:i/>
                <w:sz w:val="20"/>
                <w:szCs w:val="20"/>
              </w:rPr>
            </w:pPr>
            <w:r>
              <w:rPr>
                <w:rFonts w:eastAsia="Calibri"/>
                <w:b/>
                <w:i/>
                <w:sz w:val="20"/>
                <w:szCs w:val="20"/>
              </w:rPr>
              <w:lastRenderedPageBreak/>
              <w:t xml:space="preserve">Indicator 9 </w:t>
            </w:r>
          </w:p>
          <w:p w14:paraId="6808FBCD" w14:textId="77777777" w:rsidR="00CF33D9" w:rsidRDefault="00E3332A">
            <w:pPr>
              <w:spacing w:after="60"/>
              <w:rPr>
                <w:rFonts w:eastAsia="Calibri"/>
                <w:sz w:val="20"/>
                <w:szCs w:val="20"/>
              </w:rPr>
            </w:pPr>
            <w:r>
              <w:rPr>
                <w:rFonts w:eastAsia="Calibri"/>
                <w:color w:val="000000"/>
                <w:sz w:val="20"/>
                <w:szCs w:val="20"/>
              </w:rPr>
              <w:t xml:space="preserve"># of sustainable community-based tourism </w:t>
            </w:r>
            <w:r>
              <w:rPr>
                <w:rFonts w:eastAsia="Calibri"/>
                <w:color w:val="000000"/>
                <w:sz w:val="20"/>
                <w:szCs w:val="20"/>
              </w:rPr>
              <w:lastRenderedPageBreak/>
              <w:t>areas achieved third-party certifications</w:t>
            </w:r>
          </w:p>
        </w:tc>
        <w:tc>
          <w:tcPr>
            <w:tcW w:w="1417" w:type="dxa"/>
          </w:tcPr>
          <w:p w14:paraId="6808FBCE" w14:textId="77777777" w:rsidR="00CF33D9" w:rsidRDefault="00E3332A">
            <w:pPr>
              <w:spacing w:after="60"/>
              <w:jc w:val="both"/>
              <w:rPr>
                <w:rFonts w:eastAsia="Calibri"/>
                <w:iCs/>
                <w:sz w:val="20"/>
                <w:szCs w:val="20"/>
              </w:rPr>
            </w:pPr>
            <w:r>
              <w:rPr>
                <w:rFonts w:eastAsia="Calibri"/>
                <w:iCs/>
                <w:sz w:val="20"/>
                <w:szCs w:val="20"/>
                <w:u w:val="single"/>
              </w:rPr>
              <w:lastRenderedPageBreak/>
              <w:t>Mid-term</w:t>
            </w:r>
            <w:r>
              <w:rPr>
                <w:rFonts w:eastAsia="Calibri"/>
                <w:iCs/>
                <w:sz w:val="20"/>
                <w:szCs w:val="20"/>
              </w:rPr>
              <w:t xml:space="preserve">: </w:t>
            </w:r>
          </w:p>
          <w:p w14:paraId="6808FBCF" w14:textId="77777777" w:rsidR="00CF33D9" w:rsidRDefault="00E3332A">
            <w:pPr>
              <w:spacing w:after="60"/>
              <w:rPr>
                <w:rFonts w:eastAsia="Calibri"/>
                <w:sz w:val="20"/>
                <w:szCs w:val="20"/>
              </w:rPr>
            </w:pPr>
            <w:r>
              <w:rPr>
                <w:rFonts w:eastAsia="Calibri"/>
                <w:sz w:val="20"/>
                <w:szCs w:val="20"/>
              </w:rPr>
              <w:t xml:space="preserve">At least 1 community-based tourism </w:t>
            </w:r>
            <w:r>
              <w:rPr>
                <w:rFonts w:eastAsia="Calibri"/>
                <w:sz w:val="20"/>
                <w:szCs w:val="20"/>
              </w:rPr>
              <w:lastRenderedPageBreak/>
              <w:t>area by selected MPA achieves certification</w:t>
            </w:r>
          </w:p>
          <w:p w14:paraId="6808FBD0" w14:textId="77777777" w:rsidR="00CF33D9" w:rsidRDefault="00E3332A">
            <w:pPr>
              <w:spacing w:after="60"/>
              <w:rPr>
                <w:rFonts w:eastAsia="Calibri"/>
                <w:iCs/>
                <w:sz w:val="20"/>
                <w:szCs w:val="20"/>
              </w:rPr>
            </w:pPr>
            <w:r>
              <w:rPr>
                <w:rFonts w:eastAsia="Calibri"/>
                <w:iCs/>
                <w:sz w:val="20"/>
                <w:szCs w:val="20"/>
                <w:u w:val="single"/>
              </w:rPr>
              <w:t>End-of-Project</w:t>
            </w:r>
            <w:r>
              <w:rPr>
                <w:rFonts w:eastAsia="Calibri"/>
                <w:iCs/>
                <w:sz w:val="20"/>
                <w:szCs w:val="20"/>
              </w:rPr>
              <w:t xml:space="preserve">: </w:t>
            </w:r>
          </w:p>
          <w:p w14:paraId="6808FBD1" w14:textId="77777777" w:rsidR="00CF33D9" w:rsidRDefault="00E3332A">
            <w:pPr>
              <w:spacing w:after="60"/>
              <w:rPr>
                <w:rFonts w:eastAsia="Calibri"/>
                <w:i/>
                <w:sz w:val="20"/>
                <w:szCs w:val="20"/>
              </w:rPr>
            </w:pPr>
            <w:r>
              <w:rPr>
                <w:rFonts w:eastAsia="Calibri"/>
                <w:sz w:val="20"/>
                <w:szCs w:val="20"/>
              </w:rPr>
              <w:t>At least 2 third-party certifications for selected sustainable community-based tourism</w:t>
            </w:r>
          </w:p>
        </w:tc>
        <w:tc>
          <w:tcPr>
            <w:tcW w:w="2268" w:type="dxa"/>
          </w:tcPr>
          <w:p w14:paraId="6808FBD2" w14:textId="77777777" w:rsidR="00CF33D9" w:rsidRDefault="00E3332A">
            <w:pPr>
              <w:spacing w:after="60"/>
              <w:rPr>
                <w:rFonts w:eastAsia="Calibri"/>
                <w:iCs/>
                <w:sz w:val="20"/>
                <w:szCs w:val="20"/>
              </w:rPr>
            </w:pPr>
            <w:r>
              <w:rPr>
                <w:rFonts w:eastAsia="Calibri"/>
                <w:color w:val="000000"/>
                <w:sz w:val="20"/>
                <w:szCs w:val="20"/>
              </w:rPr>
              <w:lastRenderedPageBreak/>
              <w:t xml:space="preserve">Community-based eco-tourism plans will be prepared, with a view to awarding certifications </w:t>
            </w:r>
            <w:r>
              <w:rPr>
                <w:rFonts w:eastAsia="Calibri"/>
                <w:color w:val="000000"/>
                <w:sz w:val="20"/>
                <w:szCs w:val="20"/>
              </w:rPr>
              <w:lastRenderedPageBreak/>
              <w:t>that will increase opportunities for local population in the context of SBE. One pilot project will be implemented, while a certification process will be carried out in two areas.</w:t>
            </w:r>
          </w:p>
        </w:tc>
        <w:tc>
          <w:tcPr>
            <w:tcW w:w="1843" w:type="dxa"/>
            <w:shd w:val="clear" w:color="auto" w:fill="auto"/>
          </w:tcPr>
          <w:p w14:paraId="6808FBD3" w14:textId="77777777" w:rsidR="00CF33D9" w:rsidRDefault="00E3332A">
            <w:pPr>
              <w:spacing w:after="60"/>
              <w:rPr>
                <w:rFonts w:eastAsia="Calibri"/>
                <w:sz w:val="20"/>
                <w:szCs w:val="20"/>
              </w:rPr>
            </w:pPr>
            <w:r>
              <w:rPr>
                <w:rFonts w:eastAsia="Calibri"/>
                <w:sz w:val="20"/>
                <w:szCs w:val="20"/>
              </w:rPr>
              <w:lastRenderedPageBreak/>
              <w:t xml:space="preserve">Annually (reported in Development Objective (DO) progress section of </w:t>
            </w:r>
            <w:r>
              <w:rPr>
                <w:rFonts w:eastAsia="Calibri"/>
                <w:sz w:val="20"/>
                <w:szCs w:val="20"/>
              </w:rPr>
              <w:lastRenderedPageBreak/>
              <w:t>the GEF PIR), mid-term, closure</w:t>
            </w:r>
          </w:p>
        </w:tc>
        <w:tc>
          <w:tcPr>
            <w:tcW w:w="1547" w:type="dxa"/>
            <w:shd w:val="clear" w:color="auto" w:fill="auto"/>
          </w:tcPr>
          <w:p w14:paraId="6808FBD4" w14:textId="77777777" w:rsidR="00CF33D9" w:rsidRDefault="00E3332A">
            <w:pPr>
              <w:spacing w:after="0"/>
              <w:contextualSpacing/>
              <w:rPr>
                <w:rFonts w:eastAsia="Calibri"/>
                <w:iCs/>
                <w:sz w:val="20"/>
                <w:szCs w:val="20"/>
              </w:rPr>
            </w:pPr>
            <w:r>
              <w:rPr>
                <w:rFonts w:eastAsia="Calibri"/>
                <w:iCs/>
                <w:sz w:val="20"/>
                <w:szCs w:val="20"/>
              </w:rPr>
              <w:lastRenderedPageBreak/>
              <w:t>M&amp;E and KM Expert</w:t>
            </w:r>
          </w:p>
          <w:p w14:paraId="6808FBD5" w14:textId="77777777" w:rsidR="00CF33D9" w:rsidRDefault="00CF33D9">
            <w:pPr>
              <w:spacing w:after="0"/>
              <w:contextualSpacing/>
              <w:rPr>
                <w:rFonts w:eastAsia="Calibri"/>
                <w:iCs/>
                <w:sz w:val="20"/>
                <w:szCs w:val="20"/>
              </w:rPr>
            </w:pPr>
          </w:p>
          <w:p w14:paraId="6808FBD6" w14:textId="77777777" w:rsidR="00CF33D9" w:rsidRDefault="00E3332A">
            <w:pPr>
              <w:spacing w:after="0"/>
              <w:contextualSpacing/>
              <w:rPr>
                <w:rFonts w:eastAsia="Calibri"/>
                <w:iCs/>
                <w:sz w:val="20"/>
                <w:szCs w:val="20"/>
              </w:rPr>
            </w:pPr>
            <w:r>
              <w:rPr>
                <w:rFonts w:eastAsia="Calibri"/>
                <w:iCs/>
                <w:sz w:val="20"/>
                <w:szCs w:val="20"/>
              </w:rPr>
              <w:t>Tourism expert</w:t>
            </w:r>
          </w:p>
          <w:p w14:paraId="6808FBD7" w14:textId="77777777" w:rsidR="00CF33D9" w:rsidRDefault="00CF33D9">
            <w:pPr>
              <w:spacing w:after="60"/>
              <w:jc w:val="both"/>
              <w:rPr>
                <w:rFonts w:eastAsia="Calibri"/>
                <w:sz w:val="20"/>
                <w:szCs w:val="20"/>
              </w:rPr>
            </w:pPr>
          </w:p>
        </w:tc>
        <w:tc>
          <w:tcPr>
            <w:tcW w:w="1990" w:type="dxa"/>
            <w:shd w:val="clear" w:color="auto" w:fill="auto"/>
          </w:tcPr>
          <w:p w14:paraId="6808FBD8" w14:textId="77777777" w:rsidR="00CF33D9" w:rsidRDefault="00E3332A">
            <w:pPr>
              <w:spacing w:after="60"/>
              <w:rPr>
                <w:rFonts w:eastAsia="Calibri"/>
                <w:sz w:val="20"/>
                <w:szCs w:val="20"/>
              </w:rPr>
            </w:pPr>
            <w:r>
              <w:rPr>
                <w:rFonts w:eastAsia="Calibri"/>
                <w:sz w:val="20"/>
                <w:szCs w:val="20"/>
              </w:rPr>
              <w:lastRenderedPageBreak/>
              <w:t>Records of register third-party certification organisations</w:t>
            </w:r>
          </w:p>
        </w:tc>
      </w:tr>
      <w:tr w:rsidR="00CF33D9" w14:paraId="6808FBEA" w14:textId="77777777">
        <w:trPr>
          <w:trHeight w:val="20"/>
        </w:trPr>
        <w:tc>
          <w:tcPr>
            <w:tcW w:w="993" w:type="dxa"/>
            <w:vMerge/>
          </w:tcPr>
          <w:p w14:paraId="6808FBDA" w14:textId="77777777" w:rsidR="00CF33D9" w:rsidRDefault="00CF33D9">
            <w:pPr>
              <w:widowControl w:val="0"/>
              <w:spacing w:after="0" w:line="276" w:lineRule="auto"/>
              <w:rPr>
                <w:rFonts w:eastAsia="Calibri"/>
                <w:sz w:val="20"/>
                <w:szCs w:val="20"/>
              </w:rPr>
            </w:pPr>
          </w:p>
        </w:tc>
        <w:tc>
          <w:tcPr>
            <w:tcW w:w="1701" w:type="dxa"/>
            <w:vMerge/>
            <w:shd w:val="clear" w:color="auto" w:fill="auto"/>
          </w:tcPr>
          <w:p w14:paraId="6808FBDB" w14:textId="77777777" w:rsidR="00CF33D9" w:rsidRDefault="00CF33D9">
            <w:pPr>
              <w:widowControl w:val="0"/>
              <w:spacing w:after="0" w:line="276" w:lineRule="auto"/>
              <w:rPr>
                <w:rFonts w:eastAsia="Calibri"/>
                <w:sz w:val="20"/>
                <w:szCs w:val="20"/>
              </w:rPr>
            </w:pPr>
          </w:p>
        </w:tc>
        <w:tc>
          <w:tcPr>
            <w:tcW w:w="1559" w:type="dxa"/>
            <w:shd w:val="clear" w:color="auto" w:fill="auto"/>
          </w:tcPr>
          <w:p w14:paraId="6808FBDC" w14:textId="77777777" w:rsidR="00CF33D9" w:rsidRDefault="00E3332A">
            <w:pPr>
              <w:spacing w:after="60"/>
              <w:jc w:val="both"/>
              <w:rPr>
                <w:rFonts w:eastAsia="Calibri"/>
                <w:b/>
                <w:i/>
                <w:sz w:val="20"/>
                <w:szCs w:val="20"/>
              </w:rPr>
            </w:pPr>
            <w:r>
              <w:rPr>
                <w:rFonts w:eastAsia="Calibri"/>
                <w:b/>
                <w:i/>
                <w:sz w:val="20"/>
                <w:szCs w:val="20"/>
              </w:rPr>
              <w:t>Indicator 10</w:t>
            </w:r>
          </w:p>
          <w:p w14:paraId="6808FBDD" w14:textId="77777777" w:rsidR="00CF33D9" w:rsidRDefault="00E3332A">
            <w:pPr>
              <w:spacing w:after="60"/>
              <w:rPr>
                <w:rFonts w:eastAsia="Calibri"/>
                <w:b/>
                <w:i/>
                <w:sz w:val="20"/>
                <w:szCs w:val="20"/>
              </w:rPr>
            </w:pPr>
            <w:r>
              <w:rPr>
                <w:rFonts w:eastAsia="Calibri"/>
                <w:color w:val="000000"/>
                <w:sz w:val="20"/>
                <w:szCs w:val="20"/>
              </w:rPr>
              <w:t># of restoration interventions in community-based climate resilient ecosystems</w:t>
            </w:r>
          </w:p>
        </w:tc>
        <w:tc>
          <w:tcPr>
            <w:tcW w:w="1417" w:type="dxa"/>
          </w:tcPr>
          <w:p w14:paraId="6808FBDE" w14:textId="77777777" w:rsidR="00CF33D9" w:rsidRDefault="00E3332A">
            <w:pPr>
              <w:spacing w:after="60"/>
              <w:rPr>
                <w:rFonts w:eastAsia="Calibri"/>
                <w:iCs/>
                <w:sz w:val="20"/>
                <w:szCs w:val="20"/>
              </w:rPr>
            </w:pPr>
            <w:r>
              <w:rPr>
                <w:rFonts w:eastAsia="Calibri"/>
                <w:iCs/>
                <w:sz w:val="20"/>
                <w:szCs w:val="20"/>
                <w:u w:val="single"/>
              </w:rPr>
              <w:t>Mid-term</w:t>
            </w:r>
            <w:r>
              <w:rPr>
                <w:rFonts w:eastAsia="Calibri"/>
                <w:iCs/>
                <w:sz w:val="20"/>
                <w:szCs w:val="20"/>
              </w:rPr>
              <w:t xml:space="preserve">: </w:t>
            </w:r>
          </w:p>
          <w:p w14:paraId="6808FBDF" w14:textId="77777777" w:rsidR="00CF33D9" w:rsidRDefault="00E3332A">
            <w:pPr>
              <w:spacing w:after="60"/>
              <w:rPr>
                <w:rFonts w:eastAsia="Calibri"/>
                <w:sz w:val="20"/>
                <w:szCs w:val="20"/>
              </w:rPr>
            </w:pPr>
            <w:r>
              <w:rPr>
                <w:rFonts w:eastAsia="Calibri"/>
                <w:sz w:val="20"/>
                <w:szCs w:val="20"/>
              </w:rPr>
              <w:t xml:space="preserve">At least 1 design of restoration intervention in each selected MPA and Coastal ecosystem </w:t>
            </w:r>
          </w:p>
          <w:p w14:paraId="6808FBE0" w14:textId="77777777" w:rsidR="00CF33D9" w:rsidRDefault="00E3332A">
            <w:pPr>
              <w:spacing w:after="60"/>
              <w:rPr>
                <w:rFonts w:eastAsia="Calibri"/>
                <w:i/>
                <w:sz w:val="20"/>
                <w:szCs w:val="20"/>
              </w:rPr>
            </w:pPr>
            <w:r>
              <w:rPr>
                <w:rFonts w:eastAsia="Calibri"/>
                <w:iCs/>
                <w:sz w:val="20"/>
                <w:szCs w:val="20"/>
                <w:u w:val="single"/>
              </w:rPr>
              <w:t>End-of-Project</w:t>
            </w:r>
            <w:r>
              <w:rPr>
                <w:rFonts w:eastAsia="Calibri"/>
                <w:iCs/>
                <w:sz w:val="20"/>
                <w:szCs w:val="20"/>
              </w:rPr>
              <w:t xml:space="preserve">: </w:t>
            </w:r>
            <w:r>
              <w:rPr>
                <w:rFonts w:eastAsia="Calibri"/>
                <w:sz w:val="20"/>
                <w:szCs w:val="20"/>
              </w:rPr>
              <w:t xml:space="preserve">At least 2 restoration interventions per selected MPA and </w:t>
            </w:r>
            <w:r>
              <w:rPr>
                <w:rFonts w:eastAsia="Calibri"/>
                <w:sz w:val="20"/>
                <w:szCs w:val="20"/>
              </w:rPr>
              <w:lastRenderedPageBreak/>
              <w:t xml:space="preserve">Coastal ecosystems </w:t>
            </w:r>
          </w:p>
        </w:tc>
        <w:tc>
          <w:tcPr>
            <w:tcW w:w="2268" w:type="dxa"/>
          </w:tcPr>
          <w:p w14:paraId="6808FBE1" w14:textId="77777777" w:rsidR="00CF33D9" w:rsidRDefault="00E3332A">
            <w:pPr>
              <w:spacing w:after="60"/>
              <w:rPr>
                <w:rFonts w:eastAsia="Calibri"/>
                <w:i/>
                <w:sz w:val="20"/>
                <w:szCs w:val="20"/>
              </w:rPr>
            </w:pPr>
            <w:r>
              <w:rPr>
                <w:rFonts w:eastAsia="Calibri"/>
                <w:color w:val="000000"/>
                <w:sz w:val="20"/>
                <w:szCs w:val="20"/>
              </w:rPr>
              <w:lastRenderedPageBreak/>
              <w:t xml:space="preserve">The project aims to improve the health and resilience of marine and coastal ecosystems in the BCLME region by combining scientific analysis, community participation and diligent monitoring to safeguard the ecological health of MPAs and coastal ecosystems. Two pilot projects will be implemented, one in Namibia, and one transboundary between Namibia and South </w:t>
            </w:r>
            <w:r>
              <w:rPr>
                <w:rFonts w:eastAsia="Calibri"/>
                <w:color w:val="000000"/>
                <w:sz w:val="20"/>
                <w:szCs w:val="20"/>
              </w:rPr>
              <w:lastRenderedPageBreak/>
              <w:t>Africa, both including restoration activities.</w:t>
            </w:r>
          </w:p>
        </w:tc>
        <w:tc>
          <w:tcPr>
            <w:tcW w:w="1843" w:type="dxa"/>
            <w:shd w:val="clear" w:color="auto" w:fill="auto"/>
          </w:tcPr>
          <w:p w14:paraId="6808FBE2" w14:textId="77777777" w:rsidR="00CF33D9" w:rsidRDefault="00E3332A">
            <w:pPr>
              <w:spacing w:after="60"/>
              <w:rPr>
                <w:rFonts w:eastAsia="Calibri"/>
                <w:i/>
                <w:sz w:val="20"/>
                <w:szCs w:val="20"/>
              </w:rPr>
            </w:pPr>
            <w:r>
              <w:rPr>
                <w:rFonts w:eastAsia="Calibri"/>
                <w:sz w:val="20"/>
                <w:szCs w:val="20"/>
              </w:rPr>
              <w:lastRenderedPageBreak/>
              <w:t>Annually (reported in Development Objective (DO) progress section of the GEF PIR), mid-term, closure</w:t>
            </w:r>
          </w:p>
        </w:tc>
        <w:tc>
          <w:tcPr>
            <w:tcW w:w="1547" w:type="dxa"/>
            <w:shd w:val="clear" w:color="auto" w:fill="auto"/>
          </w:tcPr>
          <w:p w14:paraId="6808FBE3" w14:textId="77777777" w:rsidR="00CF33D9" w:rsidRDefault="00E3332A">
            <w:pPr>
              <w:spacing w:after="0"/>
              <w:contextualSpacing/>
              <w:rPr>
                <w:rFonts w:eastAsia="Calibri"/>
                <w:iCs/>
                <w:sz w:val="20"/>
                <w:szCs w:val="20"/>
              </w:rPr>
            </w:pPr>
            <w:r>
              <w:rPr>
                <w:rFonts w:eastAsia="Calibri"/>
                <w:iCs/>
                <w:sz w:val="20"/>
                <w:szCs w:val="20"/>
              </w:rPr>
              <w:t>M&amp;E and KM Expert</w:t>
            </w:r>
          </w:p>
          <w:p w14:paraId="6808FBE4" w14:textId="77777777" w:rsidR="00CF33D9" w:rsidRDefault="00CF33D9">
            <w:pPr>
              <w:spacing w:after="0"/>
              <w:contextualSpacing/>
              <w:rPr>
                <w:rFonts w:eastAsia="Calibri"/>
                <w:iCs/>
                <w:sz w:val="20"/>
                <w:szCs w:val="20"/>
              </w:rPr>
            </w:pPr>
          </w:p>
          <w:p w14:paraId="6808FBE5" w14:textId="77777777" w:rsidR="00CF33D9" w:rsidRDefault="00E3332A">
            <w:pPr>
              <w:spacing w:after="0"/>
              <w:contextualSpacing/>
              <w:rPr>
                <w:rFonts w:eastAsia="Calibri"/>
                <w:iCs/>
                <w:sz w:val="20"/>
                <w:szCs w:val="20"/>
              </w:rPr>
            </w:pPr>
            <w:r>
              <w:rPr>
                <w:rFonts w:eastAsia="Calibri"/>
                <w:iCs/>
                <w:sz w:val="20"/>
                <w:szCs w:val="20"/>
              </w:rPr>
              <w:t>MPA expert</w:t>
            </w:r>
          </w:p>
          <w:p w14:paraId="6808FBE6" w14:textId="77777777" w:rsidR="00CF33D9" w:rsidRDefault="00CF33D9">
            <w:pPr>
              <w:spacing w:after="60"/>
              <w:jc w:val="both"/>
              <w:rPr>
                <w:rFonts w:eastAsia="Calibri"/>
                <w:i/>
                <w:sz w:val="20"/>
                <w:szCs w:val="20"/>
              </w:rPr>
            </w:pPr>
          </w:p>
        </w:tc>
        <w:tc>
          <w:tcPr>
            <w:tcW w:w="1990" w:type="dxa"/>
            <w:shd w:val="clear" w:color="auto" w:fill="auto"/>
          </w:tcPr>
          <w:p w14:paraId="6808FBE7" w14:textId="77777777" w:rsidR="00CF33D9" w:rsidRDefault="00E3332A">
            <w:pPr>
              <w:numPr>
                <w:ilvl w:val="0"/>
                <w:numId w:val="41"/>
              </w:numPr>
              <w:ind w:left="108" w:hanging="142"/>
              <w:rPr>
                <w:rFonts w:eastAsia="Calibri"/>
                <w:color w:val="000000"/>
                <w:sz w:val="20"/>
                <w:szCs w:val="20"/>
              </w:rPr>
            </w:pPr>
            <w:r>
              <w:rPr>
                <w:rFonts w:eastAsia="Calibri"/>
                <w:color w:val="000000"/>
                <w:sz w:val="20"/>
                <w:szCs w:val="20"/>
              </w:rPr>
              <w:t>Records of public consultation meetings.</w:t>
            </w:r>
          </w:p>
          <w:p w14:paraId="6808FBE8" w14:textId="77777777" w:rsidR="00CF33D9" w:rsidRDefault="00E3332A">
            <w:pPr>
              <w:numPr>
                <w:ilvl w:val="0"/>
                <w:numId w:val="41"/>
              </w:numPr>
              <w:ind w:left="108" w:hanging="142"/>
              <w:rPr>
                <w:rFonts w:eastAsia="Calibri"/>
                <w:color w:val="000000"/>
                <w:sz w:val="20"/>
                <w:szCs w:val="20"/>
              </w:rPr>
            </w:pPr>
            <w:r>
              <w:rPr>
                <w:rFonts w:eastAsia="Calibri"/>
                <w:color w:val="000000"/>
                <w:sz w:val="20"/>
                <w:szCs w:val="20"/>
              </w:rPr>
              <w:t>Progress reports on the implementation of the restoration interventions</w:t>
            </w:r>
          </w:p>
          <w:p w14:paraId="6808FBE9" w14:textId="77777777" w:rsidR="00CF33D9" w:rsidRDefault="00CF33D9">
            <w:pPr>
              <w:contextualSpacing/>
              <w:rPr>
                <w:rFonts w:eastAsia="Calibri"/>
                <w:i/>
                <w:sz w:val="20"/>
                <w:szCs w:val="20"/>
              </w:rPr>
            </w:pPr>
          </w:p>
        </w:tc>
      </w:tr>
      <w:tr w:rsidR="00CF33D9" w14:paraId="6808FBFC" w14:textId="77777777">
        <w:trPr>
          <w:trHeight w:val="20"/>
        </w:trPr>
        <w:tc>
          <w:tcPr>
            <w:tcW w:w="993" w:type="dxa"/>
            <w:vMerge/>
          </w:tcPr>
          <w:p w14:paraId="6808FBEB" w14:textId="77777777" w:rsidR="00CF33D9" w:rsidRDefault="00CF33D9">
            <w:pPr>
              <w:widowControl w:val="0"/>
              <w:spacing w:after="0" w:line="276" w:lineRule="auto"/>
              <w:rPr>
                <w:rFonts w:eastAsia="Calibri"/>
                <w:i/>
                <w:sz w:val="20"/>
                <w:szCs w:val="20"/>
              </w:rPr>
            </w:pPr>
          </w:p>
        </w:tc>
        <w:tc>
          <w:tcPr>
            <w:tcW w:w="1701" w:type="dxa"/>
            <w:shd w:val="clear" w:color="auto" w:fill="auto"/>
          </w:tcPr>
          <w:p w14:paraId="6808FBEC" w14:textId="77777777" w:rsidR="00CF33D9" w:rsidRDefault="00E3332A">
            <w:pPr>
              <w:spacing w:after="60"/>
              <w:rPr>
                <w:rFonts w:eastAsia="Calibri"/>
                <w:b/>
                <w:sz w:val="20"/>
                <w:szCs w:val="20"/>
              </w:rPr>
            </w:pPr>
            <w:r>
              <w:rPr>
                <w:rFonts w:eastAsia="Calibri"/>
                <w:b/>
                <w:sz w:val="20"/>
                <w:szCs w:val="20"/>
              </w:rPr>
              <w:t xml:space="preserve">Project Outcome </w:t>
            </w:r>
            <w:r>
              <w:rPr>
                <w:rFonts w:eastAsia="Calibri"/>
                <w:b/>
                <w:color w:val="000000"/>
                <w:sz w:val="20"/>
                <w:szCs w:val="20"/>
              </w:rPr>
              <w:t xml:space="preserve">1.3: </w:t>
            </w:r>
            <w:r>
              <w:rPr>
                <w:rFonts w:eastAsia="Calibri"/>
                <w:bCs/>
                <w:color w:val="000000"/>
                <w:sz w:val="20"/>
                <w:szCs w:val="20"/>
              </w:rPr>
              <w:t>Improved biodiversity monitoring (using eDNA-based methods) to inform actions for improved management of MPAs and coastal ecosystems</w:t>
            </w:r>
          </w:p>
        </w:tc>
        <w:tc>
          <w:tcPr>
            <w:tcW w:w="1559" w:type="dxa"/>
            <w:shd w:val="clear" w:color="auto" w:fill="auto"/>
          </w:tcPr>
          <w:p w14:paraId="6808FBED" w14:textId="77777777" w:rsidR="00CF33D9" w:rsidRDefault="00E3332A">
            <w:pPr>
              <w:spacing w:after="60"/>
              <w:jc w:val="both"/>
              <w:rPr>
                <w:rFonts w:eastAsia="Calibri"/>
                <w:b/>
                <w:i/>
                <w:sz w:val="20"/>
                <w:szCs w:val="20"/>
              </w:rPr>
            </w:pPr>
            <w:r>
              <w:rPr>
                <w:rFonts w:eastAsia="Calibri"/>
                <w:b/>
                <w:i/>
                <w:sz w:val="20"/>
                <w:szCs w:val="20"/>
              </w:rPr>
              <w:t>Indicator 11</w:t>
            </w:r>
          </w:p>
          <w:p w14:paraId="6808FBEE" w14:textId="77777777" w:rsidR="00CF33D9" w:rsidRDefault="00E3332A">
            <w:pPr>
              <w:spacing w:after="60"/>
              <w:rPr>
                <w:rFonts w:eastAsia="Calibri"/>
                <w:b/>
                <w:i/>
                <w:sz w:val="20"/>
                <w:szCs w:val="20"/>
              </w:rPr>
            </w:pPr>
            <w:r>
              <w:rPr>
                <w:rFonts w:eastAsia="Calibri"/>
                <w:color w:val="000000"/>
                <w:sz w:val="20"/>
                <w:szCs w:val="20"/>
              </w:rPr>
              <w:t># of biodiversity monitoring analyses carried out in selected MPAs and coastal ecosystems</w:t>
            </w:r>
          </w:p>
          <w:p w14:paraId="6808FBEF" w14:textId="77777777" w:rsidR="00CF33D9" w:rsidRDefault="00CF33D9">
            <w:pPr>
              <w:spacing w:after="60"/>
              <w:jc w:val="both"/>
              <w:rPr>
                <w:rFonts w:eastAsia="Calibri"/>
                <w:sz w:val="20"/>
                <w:szCs w:val="20"/>
              </w:rPr>
            </w:pPr>
          </w:p>
        </w:tc>
        <w:tc>
          <w:tcPr>
            <w:tcW w:w="1417" w:type="dxa"/>
          </w:tcPr>
          <w:p w14:paraId="6808FBF0" w14:textId="77777777" w:rsidR="00CF33D9" w:rsidRDefault="00E3332A">
            <w:pPr>
              <w:spacing w:after="60"/>
              <w:rPr>
                <w:rFonts w:eastAsia="Calibri"/>
                <w:iCs/>
                <w:sz w:val="20"/>
                <w:szCs w:val="20"/>
              </w:rPr>
            </w:pPr>
            <w:r>
              <w:rPr>
                <w:rFonts w:eastAsia="Calibri"/>
                <w:iCs/>
                <w:sz w:val="20"/>
                <w:szCs w:val="20"/>
                <w:u w:val="single"/>
              </w:rPr>
              <w:t>Mid-term</w:t>
            </w:r>
            <w:r>
              <w:rPr>
                <w:rFonts w:eastAsia="Calibri"/>
                <w:iCs/>
                <w:sz w:val="20"/>
                <w:szCs w:val="20"/>
              </w:rPr>
              <w:t xml:space="preserve">: </w:t>
            </w:r>
          </w:p>
          <w:p w14:paraId="6808FBF1" w14:textId="77777777" w:rsidR="00CF33D9" w:rsidRDefault="00E3332A">
            <w:pPr>
              <w:spacing w:after="0"/>
              <w:contextualSpacing/>
              <w:rPr>
                <w:rFonts w:eastAsia="Calibri"/>
                <w:iCs/>
                <w:sz w:val="20"/>
                <w:szCs w:val="20"/>
                <w:u w:val="single"/>
              </w:rPr>
            </w:pPr>
            <w:r>
              <w:rPr>
                <w:rFonts w:eastAsia="Calibri"/>
                <w:color w:val="000000"/>
                <w:sz w:val="20"/>
                <w:szCs w:val="20"/>
              </w:rPr>
              <w:t>3 designs of biodiversity monitoring using eDNA based methods</w:t>
            </w:r>
          </w:p>
          <w:p w14:paraId="6808FBF2" w14:textId="77777777" w:rsidR="00CF33D9" w:rsidRDefault="00CF33D9">
            <w:pPr>
              <w:spacing w:after="60"/>
              <w:rPr>
                <w:rFonts w:eastAsia="Calibri"/>
                <w:iCs/>
                <w:sz w:val="20"/>
                <w:szCs w:val="20"/>
                <w:u w:val="single"/>
              </w:rPr>
            </w:pPr>
          </w:p>
          <w:p w14:paraId="6808FBF3" w14:textId="77777777" w:rsidR="00CF33D9" w:rsidRDefault="00E3332A">
            <w:pPr>
              <w:spacing w:after="60"/>
              <w:rPr>
                <w:rFonts w:eastAsia="Calibri"/>
                <w:iCs/>
                <w:sz w:val="20"/>
                <w:szCs w:val="20"/>
              </w:rPr>
            </w:pPr>
            <w:r>
              <w:rPr>
                <w:rFonts w:eastAsia="Calibri"/>
                <w:iCs/>
                <w:sz w:val="20"/>
                <w:szCs w:val="20"/>
                <w:u w:val="single"/>
              </w:rPr>
              <w:t>End-of-Project</w:t>
            </w:r>
            <w:r>
              <w:rPr>
                <w:rFonts w:eastAsia="Calibri"/>
                <w:iCs/>
                <w:sz w:val="20"/>
                <w:szCs w:val="20"/>
              </w:rPr>
              <w:t xml:space="preserve">: </w:t>
            </w:r>
          </w:p>
          <w:p w14:paraId="6808FBF4" w14:textId="77777777" w:rsidR="00CF33D9" w:rsidRDefault="00E3332A">
            <w:pPr>
              <w:spacing w:after="60"/>
              <w:rPr>
                <w:rFonts w:eastAsia="Calibri"/>
                <w:i/>
                <w:sz w:val="20"/>
                <w:szCs w:val="20"/>
              </w:rPr>
            </w:pPr>
            <w:r>
              <w:rPr>
                <w:rFonts w:eastAsia="Calibri"/>
                <w:color w:val="000000"/>
                <w:sz w:val="20"/>
                <w:szCs w:val="20"/>
              </w:rPr>
              <w:t>6 biodiversity monitoring analyses across selected MPAs and coastal ecosystems</w:t>
            </w:r>
          </w:p>
        </w:tc>
        <w:tc>
          <w:tcPr>
            <w:tcW w:w="2268" w:type="dxa"/>
          </w:tcPr>
          <w:p w14:paraId="6808FBF5" w14:textId="77777777" w:rsidR="00CF33D9" w:rsidRDefault="00E3332A">
            <w:pPr>
              <w:spacing w:after="60"/>
              <w:rPr>
                <w:rFonts w:eastAsia="Calibri"/>
                <w:sz w:val="20"/>
                <w:szCs w:val="20"/>
              </w:rPr>
            </w:pPr>
            <w:r>
              <w:rPr>
                <w:rFonts w:eastAsia="Calibri"/>
                <w:color w:val="000000"/>
                <w:sz w:val="20"/>
                <w:szCs w:val="20"/>
              </w:rPr>
              <w:t>Collection of environmental DNA samples from water, sediment, and other substrates. These samples serve as genetic snapshots, revealing the hidden biodiversity. Existing monitoring programs will be enhanced, integrating eDNA data seamlessly. Effective biodiversity monitoring needs collaboration.</w:t>
            </w:r>
          </w:p>
        </w:tc>
        <w:tc>
          <w:tcPr>
            <w:tcW w:w="1843" w:type="dxa"/>
            <w:shd w:val="clear" w:color="auto" w:fill="auto"/>
          </w:tcPr>
          <w:p w14:paraId="6808FBF6" w14:textId="77777777" w:rsidR="00CF33D9" w:rsidRDefault="00E3332A">
            <w:pPr>
              <w:spacing w:after="60"/>
              <w:rPr>
                <w:rFonts w:eastAsia="Calibri"/>
                <w:sz w:val="20"/>
                <w:szCs w:val="20"/>
              </w:rPr>
            </w:pPr>
            <w:r>
              <w:rPr>
                <w:rFonts w:eastAsia="Calibri"/>
                <w:color w:val="000000"/>
                <w:sz w:val="20"/>
                <w:szCs w:val="20"/>
              </w:rPr>
              <w:t>Midpoint and end of the project</w:t>
            </w:r>
          </w:p>
        </w:tc>
        <w:tc>
          <w:tcPr>
            <w:tcW w:w="1547" w:type="dxa"/>
            <w:shd w:val="clear" w:color="auto" w:fill="auto"/>
          </w:tcPr>
          <w:p w14:paraId="6808FBF7" w14:textId="77777777" w:rsidR="00CF33D9" w:rsidRDefault="00E3332A">
            <w:pPr>
              <w:spacing w:after="0"/>
              <w:contextualSpacing/>
              <w:rPr>
                <w:rFonts w:eastAsia="Calibri"/>
                <w:iCs/>
                <w:sz w:val="20"/>
                <w:szCs w:val="20"/>
              </w:rPr>
            </w:pPr>
            <w:r>
              <w:rPr>
                <w:rFonts w:eastAsia="Calibri"/>
                <w:iCs/>
                <w:sz w:val="20"/>
                <w:szCs w:val="20"/>
              </w:rPr>
              <w:t>M&amp;E and KM Expert</w:t>
            </w:r>
          </w:p>
          <w:p w14:paraId="6808FBF8" w14:textId="77777777" w:rsidR="00CF33D9" w:rsidRDefault="00CF33D9">
            <w:pPr>
              <w:spacing w:after="0"/>
              <w:contextualSpacing/>
              <w:rPr>
                <w:rFonts w:eastAsia="Calibri"/>
                <w:iCs/>
                <w:sz w:val="20"/>
                <w:szCs w:val="20"/>
              </w:rPr>
            </w:pPr>
          </w:p>
          <w:p w14:paraId="6808FBF9" w14:textId="77777777" w:rsidR="00CF33D9" w:rsidRDefault="00E3332A">
            <w:pPr>
              <w:spacing w:after="0"/>
              <w:contextualSpacing/>
              <w:rPr>
                <w:rFonts w:eastAsia="Calibri"/>
                <w:iCs/>
                <w:sz w:val="20"/>
                <w:szCs w:val="20"/>
              </w:rPr>
            </w:pPr>
            <w:r>
              <w:rPr>
                <w:rFonts w:eastAsia="Calibri"/>
                <w:iCs/>
                <w:sz w:val="20"/>
                <w:szCs w:val="20"/>
              </w:rPr>
              <w:t>Biodiversity expert</w:t>
            </w:r>
          </w:p>
          <w:p w14:paraId="6808FBFA" w14:textId="77777777" w:rsidR="00CF33D9" w:rsidRDefault="00CF33D9">
            <w:pPr>
              <w:spacing w:after="60"/>
              <w:jc w:val="both"/>
              <w:rPr>
                <w:rFonts w:eastAsia="Calibri"/>
                <w:sz w:val="20"/>
                <w:szCs w:val="20"/>
              </w:rPr>
            </w:pPr>
          </w:p>
        </w:tc>
        <w:tc>
          <w:tcPr>
            <w:tcW w:w="1990" w:type="dxa"/>
            <w:shd w:val="clear" w:color="auto" w:fill="auto"/>
          </w:tcPr>
          <w:p w14:paraId="6808FBFB" w14:textId="77777777" w:rsidR="00CF33D9" w:rsidRDefault="00E3332A">
            <w:pPr>
              <w:spacing w:after="60"/>
              <w:rPr>
                <w:rFonts w:eastAsia="Calibri"/>
                <w:sz w:val="20"/>
                <w:szCs w:val="20"/>
              </w:rPr>
            </w:pPr>
            <w:r>
              <w:rPr>
                <w:rFonts w:eastAsia="Calibri"/>
                <w:color w:val="000000"/>
                <w:sz w:val="20"/>
                <w:szCs w:val="20"/>
              </w:rPr>
              <w:t>Legislation gazetted by parliament</w:t>
            </w:r>
          </w:p>
        </w:tc>
      </w:tr>
      <w:tr w:rsidR="00CF33D9" w14:paraId="6808FC0A" w14:textId="77777777">
        <w:trPr>
          <w:trHeight w:val="20"/>
        </w:trPr>
        <w:tc>
          <w:tcPr>
            <w:tcW w:w="993" w:type="dxa"/>
            <w:vMerge/>
          </w:tcPr>
          <w:p w14:paraId="6808FBFD" w14:textId="77777777" w:rsidR="00CF33D9" w:rsidRDefault="00CF33D9">
            <w:pPr>
              <w:widowControl w:val="0"/>
              <w:spacing w:after="0" w:line="276" w:lineRule="auto"/>
              <w:rPr>
                <w:rFonts w:eastAsia="Calibri"/>
                <w:i/>
                <w:sz w:val="20"/>
                <w:szCs w:val="20"/>
              </w:rPr>
            </w:pPr>
          </w:p>
        </w:tc>
        <w:tc>
          <w:tcPr>
            <w:tcW w:w="1701" w:type="dxa"/>
            <w:shd w:val="clear" w:color="auto" w:fill="auto"/>
          </w:tcPr>
          <w:p w14:paraId="6808FBFE" w14:textId="77777777" w:rsidR="00CF33D9" w:rsidRDefault="00E3332A">
            <w:pPr>
              <w:spacing w:after="60"/>
              <w:rPr>
                <w:rFonts w:eastAsia="Calibri"/>
                <w:b/>
                <w:sz w:val="20"/>
                <w:szCs w:val="20"/>
              </w:rPr>
            </w:pPr>
            <w:r>
              <w:rPr>
                <w:rFonts w:eastAsia="Calibri"/>
                <w:b/>
                <w:sz w:val="20"/>
                <w:szCs w:val="20"/>
              </w:rPr>
              <w:t xml:space="preserve">Project Outcome </w:t>
            </w:r>
            <w:r>
              <w:rPr>
                <w:rFonts w:eastAsia="Calibri"/>
                <w:b/>
                <w:color w:val="000000"/>
                <w:sz w:val="20"/>
                <w:szCs w:val="20"/>
              </w:rPr>
              <w:t xml:space="preserve">1.4: </w:t>
            </w:r>
            <w:r>
              <w:rPr>
                <w:rFonts w:eastAsia="Calibri"/>
                <w:bCs/>
                <w:color w:val="000000"/>
                <w:sz w:val="20"/>
                <w:szCs w:val="20"/>
              </w:rPr>
              <w:t xml:space="preserve">Minimise impacts of exploration and extraction of non-living marine resources (NLMR) on critical marine and coastal </w:t>
            </w:r>
            <w:r>
              <w:rPr>
                <w:rFonts w:eastAsia="Calibri"/>
                <w:bCs/>
                <w:color w:val="000000"/>
                <w:sz w:val="20"/>
                <w:szCs w:val="20"/>
              </w:rPr>
              <w:lastRenderedPageBreak/>
              <w:t>ecosystems through regulation and industry action</w:t>
            </w:r>
          </w:p>
        </w:tc>
        <w:tc>
          <w:tcPr>
            <w:tcW w:w="1559" w:type="dxa"/>
            <w:shd w:val="clear" w:color="auto" w:fill="auto"/>
          </w:tcPr>
          <w:p w14:paraId="6808FBFF" w14:textId="77777777" w:rsidR="00CF33D9" w:rsidRDefault="00E3332A">
            <w:pPr>
              <w:spacing w:after="60"/>
              <w:jc w:val="both"/>
              <w:rPr>
                <w:rFonts w:eastAsia="Calibri"/>
                <w:b/>
                <w:i/>
                <w:sz w:val="20"/>
                <w:szCs w:val="20"/>
              </w:rPr>
            </w:pPr>
            <w:r>
              <w:rPr>
                <w:rFonts w:eastAsia="Calibri"/>
                <w:b/>
                <w:i/>
                <w:sz w:val="20"/>
                <w:szCs w:val="20"/>
              </w:rPr>
              <w:lastRenderedPageBreak/>
              <w:t xml:space="preserve">Indicator 12 </w:t>
            </w:r>
          </w:p>
          <w:p w14:paraId="6808FC00" w14:textId="77777777" w:rsidR="00CF33D9" w:rsidRDefault="00E3332A">
            <w:pPr>
              <w:spacing w:after="60"/>
              <w:rPr>
                <w:rFonts w:eastAsia="Calibri"/>
                <w:sz w:val="20"/>
                <w:szCs w:val="20"/>
              </w:rPr>
            </w:pPr>
            <w:r>
              <w:rPr>
                <w:rFonts w:eastAsia="Calibri"/>
                <w:color w:val="000000"/>
                <w:sz w:val="20"/>
                <w:szCs w:val="20"/>
              </w:rPr>
              <w:t xml:space="preserve"># of countries that have included relevant environmental performance standards into </w:t>
            </w:r>
            <w:r>
              <w:rPr>
                <w:rFonts w:eastAsia="Calibri"/>
                <w:color w:val="000000"/>
                <w:sz w:val="20"/>
                <w:szCs w:val="20"/>
              </w:rPr>
              <w:lastRenderedPageBreak/>
              <w:t>national legislation</w:t>
            </w:r>
          </w:p>
        </w:tc>
        <w:tc>
          <w:tcPr>
            <w:tcW w:w="1417" w:type="dxa"/>
          </w:tcPr>
          <w:p w14:paraId="6808FC01" w14:textId="77777777" w:rsidR="00CF33D9" w:rsidRDefault="00E3332A">
            <w:pPr>
              <w:spacing w:after="60"/>
              <w:jc w:val="both"/>
              <w:rPr>
                <w:rFonts w:eastAsia="Calibri"/>
                <w:iCs/>
                <w:sz w:val="20"/>
                <w:szCs w:val="20"/>
              </w:rPr>
            </w:pPr>
            <w:r>
              <w:rPr>
                <w:rFonts w:eastAsia="Calibri"/>
                <w:iCs/>
                <w:sz w:val="20"/>
                <w:szCs w:val="20"/>
                <w:u w:val="single"/>
              </w:rPr>
              <w:lastRenderedPageBreak/>
              <w:t>Mid-term</w:t>
            </w:r>
            <w:r>
              <w:rPr>
                <w:rFonts w:eastAsia="Calibri"/>
                <w:iCs/>
                <w:sz w:val="20"/>
                <w:szCs w:val="20"/>
              </w:rPr>
              <w:t xml:space="preserve">: </w:t>
            </w:r>
          </w:p>
          <w:p w14:paraId="6808FC02" w14:textId="77777777" w:rsidR="00CF33D9" w:rsidRDefault="00E3332A">
            <w:pPr>
              <w:spacing w:after="60"/>
              <w:rPr>
                <w:rFonts w:eastAsia="Calibri"/>
                <w:iCs/>
                <w:sz w:val="20"/>
                <w:szCs w:val="20"/>
              </w:rPr>
            </w:pPr>
            <w:r>
              <w:rPr>
                <w:rFonts w:eastAsia="Calibri"/>
                <w:iCs/>
                <w:sz w:val="20"/>
                <w:szCs w:val="20"/>
              </w:rPr>
              <w:t>1</w:t>
            </w:r>
          </w:p>
          <w:p w14:paraId="6808FC03" w14:textId="77777777" w:rsidR="00CF33D9" w:rsidRDefault="00E3332A">
            <w:pPr>
              <w:spacing w:after="60"/>
              <w:jc w:val="both"/>
              <w:rPr>
                <w:rFonts w:eastAsia="Calibri"/>
                <w:i/>
                <w:sz w:val="20"/>
                <w:szCs w:val="20"/>
              </w:rPr>
            </w:pPr>
            <w:r>
              <w:rPr>
                <w:rFonts w:eastAsia="Calibri"/>
                <w:iCs/>
                <w:sz w:val="20"/>
                <w:szCs w:val="20"/>
                <w:u w:val="single"/>
              </w:rPr>
              <w:t>End-of-Project</w:t>
            </w:r>
            <w:r>
              <w:rPr>
                <w:rFonts w:eastAsia="Calibri"/>
                <w:iCs/>
                <w:sz w:val="20"/>
                <w:szCs w:val="20"/>
              </w:rPr>
              <w:t>: 3</w:t>
            </w:r>
          </w:p>
        </w:tc>
        <w:tc>
          <w:tcPr>
            <w:tcW w:w="2268" w:type="dxa"/>
          </w:tcPr>
          <w:p w14:paraId="6808FC04" w14:textId="77777777" w:rsidR="00CF33D9" w:rsidRDefault="00E3332A">
            <w:pPr>
              <w:spacing w:after="60"/>
              <w:rPr>
                <w:rFonts w:eastAsia="Calibri"/>
                <w:sz w:val="20"/>
                <w:szCs w:val="20"/>
              </w:rPr>
            </w:pPr>
            <w:r>
              <w:rPr>
                <w:rFonts w:eastAsia="Calibri"/>
                <w:color w:val="000000"/>
                <w:sz w:val="20"/>
                <w:szCs w:val="20"/>
              </w:rPr>
              <w:t>Legal and institutional arrangements will be reviewed and updated for each of the participating countries.</w:t>
            </w:r>
          </w:p>
        </w:tc>
        <w:tc>
          <w:tcPr>
            <w:tcW w:w="1843" w:type="dxa"/>
            <w:shd w:val="clear" w:color="auto" w:fill="auto"/>
          </w:tcPr>
          <w:p w14:paraId="6808FC05" w14:textId="77777777" w:rsidR="00CF33D9" w:rsidRDefault="00E3332A">
            <w:pPr>
              <w:spacing w:after="60"/>
              <w:rPr>
                <w:rFonts w:eastAsia="Calibri"/>
                <w:sz w:val="20"/>
                <w:szCs w:val="20"/>
              </w:rPr>
            </w:pPr>
            <w:r>
              <w:rPr>
                <w:rFonts w:eastAsia="Calibri"/>
                <w:color w:val="000000"/>
                <w:sz w:val="20"/>
                <w:szCs w:val="20"/>
              </w:rPr>
              <w:t>Midpoint and end of the project</w:t>
            </w:r>
          </w:p>
        </w:tc>
        <w:tc>
          <w:tcPr>
            <w:tcW w:w="1547" w:type="dxa"/>
            <w:shd w:val="clear" w:color="auto" w:fill="auto"/>
          </w:tcPr>
          <w:p w14:paraId="6808FC06" w14:textId="77777777" w:rsidR="00CF33D9" w:rsidRDefault="00E3332A">
            <w:pPr>
              <w:spacing w:after="0"/>
              <w:contextualSpacing/>
              <w:rPr>
                <w:rFonts w:eastAsia="Calibri"/>
                <w:iCs/>
                <w:sz w:val="20"/>
                <w:szCs w:val="20"/>
              </w:rPr>
            </w:pPr>
            <w:r>
              <w:rPr>
                <w:rFonts w:eastAsia="Calibri"/>
                <w:iCs/>
                <w:sz w:val="20"/>
                <w:szCs w:val="20"/>
              </w:rPr>
              <w:t>M&amp;E and KM Expert</w:t>
            </w:r>
          </w:p>
          <w:p w14:paraId="6808FC07" w14:textId="77777777" w:rsidR="00CF33D9" w:rsidRDefault="00CF33D9">
            <w:pPr>
              <w:spacing w:after="0"/>
              <w:contextualSpacing/>
              <w:rPr>
                <w:rFonts w:eastAsia="Calibri"/>
                <w:iCs/>
                <w:sz w:val="20"/>
                <w:szCs w:val="20"/>
              </w:rPr>
            </w:pPr>
          </w:p>
          <w:p w14:paraId="6808FC08" w14:textId="77777777" w:rsidR="00CF33D9" w:rsidRDefault="00CF33D9">
            <w:pPr>
              <w:contextualSpacing/>
              <w:rPr>
                <w:rFonts w:eastAsia="Calibri"/>
                <w:sz w:val="20"/>
                <w:szCs w:val="20"/>
              </w:rPr>
            </w:pPr>
          </w:p>
        </w:tc>
        <w:tc>
          <w:tcPr>
            <w:tcW w:w="1990" w:type="dxa"/>
            <w:shd w:val="clear" w:color="auto" w:fill="auto"/>
          </w:tcPr>
          <w:p w14:paraId="6808FC09" w14:textId="77777777" w:rsidR="00CF33D9" w:rsidRDefault="00E3332A">
            <w:pPr>
              <w:spacing w:after="60"/>
              <w:rPr>
                <w:rFonts w:eastAsia="Calibri"/>
                <w:sz w:val="20"/>
                <w:szCs w:val="20"/>
              </w:rPr>
            </w:pPr>
            <w:r>
              <w:rPr>
                <w:rFonts w:eastAsia="Calibri"/>
                <w:color w:val="000000"/>
                <w:sz w:val="20"/>
                <w:szCs w:val="20"/>
              </w:rPr>
              <w:t>Legislation gazetted by parliament</w:t>
            </w:r>
          </w:p>
        </w:tc>
      </w:tr>
      <w:tr w:rsidR="00CF33D9" w14:paraId="6808FC18" w14:textId="77777777">
        <w:trPr>
          <w:trHeight w:val="20"/>
        </w:trPr>
        <w:tc>
          <w:tcPr>
            <w:tcW w:w="993" w:type="dxa"/>
            <w:vMerge/>
          </w:tcPr>
          <w:p w14:paraId="6808FC0B" w14:textId="77777777" w:rsidR="00CF33D9" w:rsidRDefault="00CF33D9">
            <w:pPr>
              <w:widowControl w:val="0"/>
              <w:spacing w:after="0" w:line="276" w:lineRule="auto"/>
              <w:rPr>
                <w:rFonts w:eastAsia="Calibri"/>
                <w:i/>
                <w:sz w:val="20"/>
                <w:szCs w:val="20"/>
              </w:rPr>
            </w:pPr>
          </w:p>
        </w:tc>
        <w:tc>
          <w:tcPr>
            <w:tcW w:w="1701" w:type="dxa"/>
            <w:vMerge w:val="restart"/>
            <w:shd w:val="clear" w:color="auto" w:fill="auto"/>
          </w:tcPr>
          <w:p w14:paraId="6808FC0C" w14:textId="77777777" w:rsidR="00CF33D9" w:rsidRDefault="00E3332A">
            <w:pPr>
              <w:spacing w:after="60"/>
              <w:rPr>
                <w:rFonts w:eastAsia="Calibri"/>
                <w:b/>
                <w:sz w:val="20"/>
                <w:szCs w:val="20"/>
              </w:rPr>
            </w:pPr>
            <w:r>
              <w:rPr>
                <w:rFonts w:eastAsia="Calibri"/>
                <w:b/>
                <w:sz w:val="20"/>
                <w:szCs w:val="20"/>
              </w:rPr>
              <w:t xml:space="preserve">Project Outcome </w:t>
            </w:r>
            <w:r>
              <w:rPr>
                <w:rFonts w:eastAsia="Calibri"/>
                <w:b/>
                <w:color w:val="000000"/>
                <w:sz w:val="20"/>
                <w:szCs w:val="20"/>
              </w:rPr>
              <w:t xml:space="preserve">2.1: </w:t>
            </w:r>
            <w:r>
              <w:rPr>
                <w:rFonts w:eastAsia="Calibri"/>
                <w:bCs/>
                <w:color w:val="000000"/>
                <w:sz w:val="20"/>
                <w:szCs w:val="20"/>
              </w:rPr>
              <w:t>Climate resilient and sustainably managed fisheries and seafood</w:t>
            </w:r>
          </w:p>
        </w:tc>
        <w:tc>
          <w:tcPr>
            <w:tcW w:w="1559" w:type="dxa"/>
            <w:shd w:val="clear" w:color="auto" w:fill="auto"/>
          </w:tcPr>
          <w:p w14:paraId="6808FC0D" w14:textId="77777777" w:rsidR="00CF33D9" w:rsidRDefault="00E3332A">
            <w:pPr>
              <w:spacing w:after="60"/>
              <w:jc w:val="both"/>
              <w:rPr>
                <w:rFonts w:eastAsia="Calibri"/>
                <w:b/>
                <w:i/>
                <w:sz w:val="20"/>
                <w:szCs w:val="20"/>
              </w:rPr>
            </w:pPr>
            <w:r>
              <w:rPr>
                <w:rFonts w:eastAsia="Calibri"/>
                <w:b/>
                <w:i/>
                <w:sz w:val="20"/>
                <w:szCs w:val="20"/>
              </w:rPr>
              <w:t xml:space="preserve">Indicator 13 </w:t>
            </w:r>
          </w:p>
          <w:p w14:paraId="6808FC0E" w14:textId="77777777" w:rsidR="00CF33D9" w:rsidRDefault="00E3332A">
            <w:pPr>
              <w:spacing w:after="60"/>
              <w:rPr>
                <w:rFonts w:eastAsia="Calibri"/>
                <w:b/>
                <w:i/>
                <w:sz w:val="20"/>
                <w:szCs w:val="20"/>
              </w:rPr>
            </w:pPr>
            <w:r>
              <w:rPr>
                <w:rFonts w:eastAsia="Calibri"/>
                <w:color w:val="000000"/>
                <w:sz w:val="20"/>
                <w:szCs w:val="20"/>
              </w:rPr>
              <w:t># of bilateral agreements for joint sustainable and climate resilient of transboundary fish stocks implemented</w:t>
            </w:r>
          </w:p>
        </w:tc>
        <w:tc>
          <w:tcPr>
            <w:tcW w:w="1417" w:type="dxa"/>
          </w:tcPr>
          <w:p w14:paraId="6808FC0F" w14:textId="77777777" w:rsidR="00CF33D9" w:rsidRDefault="00E3332A">
            <w:pPr>
              <w:spacing w:after="60"/>
              <w:jc w:val="both"/>
              <w:rPr>
                <w:rFonts w:eastAsia="Calibri"/>
                <w:iCs/>
                <w:sz w:val="20"/>
                <w:szCs w:val="20"/>
              </w:rPr>
            </w:pPr>
            <w:r>
              <w:rPr>
                <w:rFonts w:eastAsia="Calibri"/>
                <w:iCs/>
                <w:sz w:val="20"/>
                <w:szCs w:val="20"/>
                <w:u w:val="single"/>
              </w:rPr>
              <w:t>Mid-term</w:t>
            </w:r>
            <w:r>
              <w:rPr>
                <w:rFonts w:eastAsia="Calibri"/>
                <w:iCs/>
                <w:sz w:val="20"/>
                <w:szCs w:val="20"/>
              </w:rPr>
              <w:t xml:space="preserve">: </w:t>
            </w:r>
          </w:p>
          <w:p w14:paraId="6808FC10" w14:textId="77777777" w:rsidR="00CF33D9" w:rsidRDefault="00E3332A">
            <w:pPr>
              <w:spacing w:after="60"/>
              <w:rPr>
                <w:rFonts w:eastAsia="Calibri"/>
                <w:iCs/>
                <w:sz w:val="20"/>
                <w:szCs w:val="20"/>
              </w:rPr>
            </w:pPr>
            <w:r>
              <w:rPr>
                <w:rFonts w:eastAsia="Calibri"/>
                <w:iCs/>
                <w:sz w:val="20"/>
                <w:szCs w:val="20"/>
              </w:rPr>
              <w:t>3</w:t>
            </w:r>
          </w:p>
          <w:p w14:paraId="6808FC11" w14:textId="77777777" w:rsidR="00CF33D9" w:rsidRDefault="00E3332A">
            <w:pPr>
              <w:spacing w:after="60"/>
              <w:jc w:val="both"/>
              <w:rPr>
                <w:rFonts w:eastAsia="Calibri"/>
                <w:i/>
                <w:sz w:val="20"/>
                <w:szCs w:val="20"/>
              </w:rPr>
            </w:pPr>
            <w:r>
              <w:rPr>
                <w:rFonts w:eastAsia="Calibri"/>
                <w:iCs/>
                <w:sz w:val="20"/>
                <w:szCs w:val="20"/>
                <w:u w:val="single"/>
              </w:rPr>
              <w:t>End-of-Project</w:t>
            </w:r>
            <w:r>
              <w:rPr>
                <w:rFonts w:eastAsia="Calibri"/>
                <w:iCs/>
                <w:sz w:val="20"/>
                <w:szCs w:val="20"/>
              </w:rPr>
              <w:t>: 6</w:t>
            </w:r>
          </w:p>
        </w:tc>
        <w:tc>
          <w:tcPr>
            <w:tcW w:w="2268" w:type="dxa"/>
          </w:tcPr>
          <w:p w14:paraId="6808FC12" w14:textId="77777777" w:rsidR="00CF33D9" w:rsidRDefault="00E3332A">
            <w:pPr>
              <w:pStyle w:val="NormalWeb"/>
              <w:spacing w:before="0" w:beforeAutospacing="0" w:after="0" w:afterAutospacing="0"/>
              <w:jc w:val="left"/>
              <w:rPr>
                <w:i/>
                <w:sz w:val="20"/>
                <w:szCs w:val="20"/>
              </w:rPr>
            </w:pPr>
            <w:r>
              <w:rPr>
                <w:color w:val="000000"/>
                <w:sz w:val="20"/>
                <w:szCs w:val="20"/>
              </w:rPr>
              <w:t xml:space="preserve">Bilateral agreements aim to enhance sustainable fisheries. Activities indicated include  identification of the agencies/ local authorities and key stakeholders that would work on facilitating the implementation and incorporation of the bilateral agreements, capacity building and knowledge sharing </w:t>
            </w:r>
          </w:p>
        </w:tc>
        <w:tc>
          <w:tcPr>
            <w:tcW w:w="1843" w:type="dxa"/>
            <w:shd w:val="clear" w:color="auto" w:fill="auto"/>
          </w:tcPr>
          <w:p w14:paraId="6808FC13" w14:textId="77777777" w:rsidR="00CF33D9" w:rsidRDefault="00E3332A">
            <w:pPr>
              <w:spacing w:after="60"/>
              <w:rPr>
                <w:rFonts w:eastAsia="Calibri"/>
                <w:sz w:val="20"/>
                <w:szCs w:val="20"/>
              </w:rPr>
            </w:pPr>
            <w:r>
              <w:rPr>
                <w:rFonts w:eastAsia="Calibri"/>
                <w:color w:val="000000"/>
                <w:sz w:val="20"/>
                <w:szCs w:val="20"/>
              </w:rPr>
              <w:t>Midpoint and end of the project</w:t>
            </w:r>
          </w:p>
        </w:tc>
        <w:tc>
          <w:tcPr>
            <w:tcW w:w="1547" w:type="dxa"/>
            <w:shd w:val="clear" w:color="auto" w:fill="auto"/>
          </w:tcPr>
          <w:p w14:paraId="6808FC14" w14:textId="77777777" w:rsidR="00CF33D9" w:rsidRDefault="00E3332A">
            <w:pPr>
              <w:spacing w:after="0"/>
              <w:contextualSpacing/>
              <w:rPr>
                <w:rFonts w:eastAsia="Calibri"/>
                <w:iCs/>
                <w:sz w:val="20"/>
                <w:szCs w:val="20"/>
              </w:rPr>
            </w:pPr>
            <w:r>
              <w:rPr>
                <w:rFonts w:eastAsia="Calibri"/>
                <w:iCs/>
                <w:sz w:val="20"/>
                <w:szCs w:val="20"/>
              </w:rPr>
              <w:t>M&amp;E and KM Expert</w:t>
            </w:r>
          </w:p>
          <w:p w14:paraId="6808FC15" w14:textId="77777777" w:rsidR="00CF33D9" w:rsidRDefault="00CF33D9">
            <w:pPr>
              <w:spacing w:after="0"/>
              <w:contextualSpacing/>
              <w:rPr>
                <w:rFonts w:eastAsia="Calibri"/>
                <w:iCs/>
                <w:sz w:val="20"/>
                <w:szCs w:val="20"/>
              </w:rPr>
            </w:pPr>
          </w:p>
          <w:p w14:paraId="6808FC16" w14:textId="77777777" w:rsidR="00CF33D9" w:rsidRDefault="00CF33D9">
            <w:pPr>
              <w:contextualSpacing/>
              <w:rPr>
                <w:rFonts w:eastAsia="Calibri"/>
                <w:sz w:val="20"/>
                <w:szCs w:val="20"/>
              </w:rPr>
            </w:pPr>
          </w:p>
        </w:tc>
        <w:tc>
          <w:tcPr>
            <w:tcW w:w="1990" w:type="dxa"/>
            <w:shd w:val="clear" w:color="auto" w:fill="auto"/>
          </w:tcPr>
          <w:p w14:paraId="6808FC17" w14:textId="77777777" w:rsidR="00CF33D9" w:rsidRDefault="00E3332A">
            <w:pPr>
              <w:spacing w:after="60"/>
              <w:rPr>
                <w:rFonts w:eastAsia="Calibri"/>
                <w:sz w:val="20"/>
                <w:szCs w:val="20"/>
              </w:rPr>
            </w:pPr>
            <w:r>
              <w:rPr>
                <w:rFonts w:eastAsia="Calibri"/>
                <w:color w:val="000000"/>
                <w:sz w:val="20"/>
                <w:szCs w:val="20"/>
              </w:rPr>
              <w:t>Legislation gazetted by parliament</w:t>
            </w:r>
          </w:p>
        </w:tc>
      </w:tr>
      <w:tr w:rsidR="00CF33D9" w14:paraId="6808FC28" w14:textId="77777777">
        <w:trPr>
          <w:trHeight w:val="20"/>
        </w:trPr>
        <w:tc>
          <w:tcPr>
            <w:tcW w:w="993" w:type="dxa"/>
            <w:vMerge/>
          </w:tcPr>
          <w:p w14:paraId="6808FC19" w14:textId="77777777" w:rsidR="00CF33D9" w:rsidRDefault="00CF33D9">
            <w:pPr>
              <w:widowControl w:val="0"/>
              <w:spacing w:after="0" w:line="276" w:lineRule="auto"/>
              <w:rPr>
                <w:rFonts w:eastAsia="Calibri"/>
                <w:i/>
                <w:sz w:val="20"/>
                <w:szCs w:val="20"/>
              </w:rPr>
            </w:pPr>
          </w:p>
        </w:tc>
        <w:tc>
          <w:tcPr>
            <w:tcW w:w="1701" w:type="dxa"/>
            <w:vMerge/>
            <w:shd w:val="clear" w:color="auto" w:fill="auto"/>
            <w:vAlign w:val="center"/>
          </w:tcPr>
          <w:p w14:paraId="6808FC1A" w14:textId="77777777" w:rsidR="00CF33D9" w:rsidRDefault="00CF33D9">
            <w:pPr>
              <w:widowControl w:val="0"/>
              <w:spacing w:after="0" w:line="276" w:lineRule="auto"/>
              <w:rPr>
                <w:rFonts w:eastAsia="Calibri"/>
                <w:i/>
                <w:sz w:val="20"/>
                <w:szCs w:val="20"/>
              </w:rPr>
            </w:pPr>
          </w:p>
        </w:tc>
        <w:tc>
          <w:tcPr>
            <w:tcW w:w="1559" w:type="dxa"/>
            <w:shd w:val="clear" w:color="auto" w:fill="auto"/>
          </w:tcPr>
          <w:p w14:paraId="6808FC1B" w14:textId="77777777" w:rsidR="00CF33D9" w:rsidRDefault="00E3332A">
            <w:pPr>
              <w:spacing w:after="60"/>
              <w:jc w:val="both"/>
              <w:rPr>
                <w:rFonts w:eastAsia="Calibri"/>
                <w:b/>
                <w:i/>
                <w:sz w:val="20"/>
                <w:szCs w:val="20"/>
              </w:rPr>
            </w:pPr>
            <w:r>
              <w:rPr>
                <w:rFonts w:eastAsia="Calibri"/>
                <w:b/>
                <w:i/>
                <w:sz w:val="20"/>
                <w:szCs w:val="20"/>
              </w:rPr>
              <w:t>Indicator 14</w:t>
            </w:r>
          </w:p>
          <w:p w14:paraId="6808FC1C" w14:textId="77777777" w:rsidR="00CF33D9" w:rsidRDefault="00E3332A">
            <w:pPr>
              <w:spacing w:after="60"/>
              <w:rPr>
                <w:rFonts w:eastAsia="Calibri"/>
                <w:b/>
                <w:i/>
                <w:sz w:val="20"/>
                <w:szCs w:val="20"/>
              </w:rPr>
            </w:pPr>
            <w:r>
              <w:rPr>
                <w:rFonts w:eastAsia="Calibri"/>
                <w:color w:val="000000"/>
                <w:sz w:val="20"/>
                <w:szCs w:val="20"/>
              </w:rPr>
              <w:t># of sustainable and climate resilient mariculture opportunities developed</w:t>
            </w:r>
          </w:p>
        </w:tc>
        <w:tc>
          <w:tcPr>
            <w:tcW w:w="1417" w:type="dxa"/>
          </w:tcPr>
          <w:p w14:paraId="6808FC1D" w14:textId="77777777" w:rsidR="00CF33D9" w:rsidRDefault="00E3332A">
            <w:pPr>
              <w:spacing w:after="60"/>
              <w:jc w:val="both"/>
              <w:rPr>
                <w:rFonts w:eastAsia="Calibri"/>
                <w:iCs/>
                <w:sz w:val="20"/>
                <w:szCs w:val="20"/>
              </w:rPr>
            </w:pPr>
            <w:r>
              <w:rPr>
                <w:rFonts w:eastAsia="Calibri"/>
                <w:iCs/>
                <w:sz w:val="20"/>
                <w:szCs w:val="20"/>
                <w:u w:val="single"/>
              </w:rPr>
              <w:t>Mid-term</w:t>
            </w:r>
            <w:r>
              <w:rPr>
                <w:rFonts w:eastAsia="Calibri"/>
                <w:iCs/>
                <w:sz w:val="20"/>
                <w:szCs w:val="20"/>
              </w:rPr>
              <w:t xml:space="preserve">: </w:t>
            </w:r>
          </w:p>
          <w:p w14:paraId="6808FC1E" w14:textId="77777777" w:rsidR="00CF33D9" w:rsidRDefault="00E3332A">
            <w:pPr>
              <w:spacing w:after="60"/>
              <w:rPr>
                <w:rFonts w:eastAsia="Calibri"/>
                <w:iCs/>
                <w:sz w:val="20"/>
                <w:szCs w:val="20"/>
              </w:rPr>
            </w:pPr>
            <w:r>
              <w:rPr>
                <w:rFonts w:eastAsia="Calibri"/>
                <w:iCs/>
                <w:sz w:val="20"/>
                <w:szCs w:val="20"/>
              </w:rPr>
              <w:t>0</w:t>
            </w:r>
          </w:p>
          <w:p w14:paraId="6808FC1F" w14:textId="77777777" w:rsidR="00CF33D9" w:rsidRDefault="00E3332A">
            <w:pPr>
              <w:spacing w:after="60"/>
              <w:jc w:val="both"/>
              <w:rPr>
                <w:rFonts w:eastAsia="Calibri"/>
                <w:i/>
                <w:sz w:val="20"/>
                <w:szCs w:val="20"/>
              </w:rPr>
            </w:pPr>
            <w:r>
              <w:rPr>
                <w:rFonts w:eastAsia="Calibri"/>
                <w:iCs/>
                <w:sz w:val="20"/>
                <w:szCs w:val="20"/>
                <w:u w:val="single"/>
              </w:rPr>
              <w:t>End-of-Project</w:t>
            </w:r>
            <w:r>
              <w:rPr>
                <w:rFonts w:eastAsia="Calibri"/>
                <w:iCs/>
                <w:sz w:val="20"/>
                <w:szCs w:val="20"/>
              </w:rPr>
              <w:t>: 1</w:t>
            </w:r>
          </w:p>
        </w:tc>
        <w:tc>
          <w:tcPr>
            <w:tcW w:w="2268" w:type="dxa"/>
          </w:tcPr>
          <w:p w14:paraId="6808FC20" w14:textId="77777777" w:rsidR="00CF33D9" w:rsidRDefault="00E3332A">
            <w:pPr>
              <w:pStyle w:val="NormalWeb"/>
              <w:spacing w:before="0" w:beforeAutospacing="0" w:after="0" w:afterAutospacing="0"/>
              <w:jc w:val="left"/>
              <w:textAlignment w:val="baseline"/>
              <w:rPr>
                <w:i/>
                <w:sz w:val="20"/>
                <w:szCs w:val="20"/>
              </w:rPr>
            </w:pPr>
            <w:r>
              <w:rPr>
                <w:color w:val="000000"/>
                <w:sz w:val="20"/>
                <w:szCs w:val="20"/>
              </w:rPr>
              <w:t xml:space="preserve">The demo project focused on development of mariculture will include restoration of coastal ecosystem for mariculture, implement sustainable production of fish and algae identify sustainable tourism opportunities, and provide the local community employment </w:t>
            </w:r>
            <w:r>
              <w:rPr>
                <w:color w:val="000000"/>
                <w:sz w:val="20"/>
                <w:szCs w:val="20"/>
              </w:rPr>
              <w:lastRenderedPageBreak/>
              <w:t>opportunities through the mariculture and value chain activities, comprising 70% of women and youth.</w:t>
            </w:r>
          </w:p>
        </w:tc>
        <w:tc>
          <w:tcPr>
            <w:tcW w:w="1843" w:type="dxa"/>
            <w:shd w:val="clear" w:color="auto" w:fill="auto"/>
          </w:tcPr>
          <w:p w14:paraId="6808FC21" w14:textId="77777777" w:rsidR="00CF33D9" w:rsidRDefault="00E3332A">
            <w:pPr>
              <w:spacing w:after="60"/>
              <w:rPr>
                <w:rFonts w:eastAsia="Calibri"/>
                <w:sz w:val="20"/>
                <w:szCs w:val="20"/>
              </w:rPr>
            </w:pPr>
            <w:r>
              <w:rPr>
                <w:rFonts w:eastAsia="Calibri"/>
                <w:color w:val="000000"/>
                <w:sz w:val="20"/>
                <w:szCs w:val="20"/>
              </w:rPr>
              <w:lastRenderedPageBreak/>
              <w:t>Midpoint and end of the project</w:t>
            </w:r>
          </w:p>
        </w:tc>
        <w:tc>
          <w:tcPr>
            <w:tcW w:w="1547" w:type="dxa"/>
            <w:shd w:val="clear" w:color="auto" w:fill="auto"/>
          </w:tcPr>
          <w:p w14:paraId="6808FC22" w14:textId="77777777" w:rsidR="00CF33D9" w:rsidRDefault="00E3332A">
            <w:pPr>
              <w:spacing w:after="0"/>
              <w:contextualSpacing/>
              <w:rPr>
                <w:rFonts w:eastAsia="Calibri"/>
                <w:iCs/>
                <w:sz w:val="20"/>
                <w:szCs w:val="20"/>
              </w:rPr>
            </w:pPr>
            <w:r>
              <w:rPr>
                <w:rFonts w:eastAsia="Calibri"/>
                <w:iCs/>
                <w:sz w:val="20"/>
                <w:szCs w:val="20"/>
              </w:rPr>
              <w:t>M&amp;E and KM Expert</w:t>
            </w:r>
          </w:p>
          <w:p w14:paraId="6808FC23" w14:textId="77777777" w:rsidR="00CF33D9" w:rsidRDefault="00CF33D9">
            <w:pPr>
              <w:spacing w:after="0"/>
              <w:contextualSpacing/>
              <w:rPr>
                <w:rFonts w:eastAsia="Calibri"/>
                <w:iCs/>
                <w:sz w:val="20"/>
                <w:szCs w:val="20"/>
              </w:rPr>
            </w:pPr>
          </w:p>
          <w:p w14:paraId="6808FC24" w14:textId="77777777" w:rsidR="00CF33D9" w:rsidRDefault="00E3332A">
            <w:pPr>
              <w:spacing w:after="0"/>
              <w:contextualSpacing/>
              <w:rPr>
                <w:rFonts w:eastAsia="Calibri"/>
                <w:iCs/>
                <w:sz w:val="20"/>
                <w:szCs w:val="20"/>
              </w:rPr>
            </w:pPr>
            <w:r>
              <w:rPr>
                <w:rFonts w:eastAsia="Calibri"/>
                <w:iCs/>
                <w:sz w:val="20"/>
                <w:szCs w:val="20"/>
              </w:rPr>
              <w:t>Fishery expert</w:t>
            </w:r>
          </w:p>
          <w:p w14:paraId="6808FC25" w14:textId="77777777" w:rsidR="00CF33D9" w:rsidRDefault="00CF33D9">
            <w:pPr>
              <w:spacing w:after="0"/>
              <w:contextualSpacing/>
              <w:rPr>
                <w:rFonts w:eastAsia="Calibri"/>
                <w:iCs/>
                <w:sz w:val="20"/>
                <w:szCs w:val="20"/>
              </w:rPr>
            </w:pPr>
          </w:p>
          <w:p w14:paraId="6808FC26" w14:textId="77777777" w:rsidR="00CF33D9" w:rsidRDefault="00CF33D9">
            <w:pPr>
              <w:contextualSpacing/>
              <w:rPr>
                <w:rFonts w:eastAsia="Calibri"/>
                <w:sz w:val="20"/>
                <w:szCs w:val="20"/>
              </w:rPr>
            </w:pPr>
          </w:p>
        </w:tc>
        <w:tc>
          <w:tcPr>
            <w:tcW w:w="1990" w:type="dxa"/>
            <w:shd w:val="clear" w:color="auto" w:fill="auto"/>
          </w:tcPr>
          <w:p w14:paraId="6808FC27" w14:textId="77777777" w:rsidR="00CF33D9" w:rsidRDefault="00E3332A">
            <w:pPr>
              <w:spacing w:after="60"/>
              <w:rPr>
                <w:rFonts w:eastAsia="Calibri"/>
                <w:i/>
                <w:sz w:val="20"/>
                <w:szCs w:val="20"/>
              </w:rPr>
            </w:pPr>
            <w:r>
              <w:rPr>
                <w:rFonts w:eastAsia="Calibri"/>
                <w:sz w:val="20"/>
                <w:szCs w:val="20"/>
              </w:rPr>
              <w:t>Reports and dissemination on the successful mariculture industry in each MPA.</w:t>
            </w:r>
          </w:p>
        </w:tc>
      </w:tr>
      <w:tr w:rsidR="00CF33D9" w14:paraId="6808FC3B" w14:textId="77777777">
        <w:trPr>
          <w:trHeight w:val="1835"/>
        </w:trPr>
        <w:tc>
          <w:tcPr>
            <w:tcW w:w="993" w:type="dxa"/>
            <w:vMerge/>
          </w:tcPr>
          <w:p w14:paraId="6808FC29" w14:textId="77777777" w:rsidR="00CF33D9" w:rsidRDefault="00CF33D9">
            <w:pPr>
              <w:widowControl w:val="0"/>
              <w:spacing w:after="0" w:line="276" w:lineRule="auto"/>
              <w:rPr>
                <w:rFonts w:eastAsia="Calibri"/>
                <w:i/>
                <w:sz w:val="20"/>
                <w:szCs w:val="20"/>
              </w:rPr>
            </w:pPr>
          </w:p>
        </w:tc>
        <w:tc>
          <w:tcPr>
            <w:tcW w:w="1701" w:type="dxa"/>
            <w:vMerge w:val="restart"/>
            <w:shd w:val="clear" w:color="auto" w:fill="auto"/>
          </w:tcPr>
          <w:p w14:paraId="6808FC2A" w14:textId="77777777" w:rsidR="00CF33D9" w:rsidRDefault="00E3332A">
            <w:pPr>
              <w:spacing w:after="60"/>
              <w:rPr>
                <w:rFonts w:eastAsia="Calibri"/>
                <w:b/>
                <w:sz w:val="20"/>
                <w:szCs w:val="20"/>
              </w:rPr>
            </w:pPr>
            <w:r>
              <w:rPr>
                <w:rFonts w:eastAsia="Calibri"/>
                <w:b/>
                <w:sz w:val="20"/>
                <w:szCs w:val="20"/>
              </w:rPr>
              <w:t xml:space="preserve">Project Outcome 2.2: </w:t>
            </w:r>
            <w:r>
              <w:rPr>
                <w:rFonts w:eastAsia="Calibri"/>
                <w:bCs/>
                <w:color w:val="000000"/>
                <w:sz w:val="20"/>
                <w:szCs w:val="20"/>
              </w:rPr>
              <w:t>Market growth and diversification for BCLME sustainable and climate resilient marine commodities in domestic and international markets and improved socio-economic conditions of fishing communities</w:t>
            </w:r>
          </w:p>
        </w:tc>
        <w:tc>
          <w:tcPr>
            <w:tcW w:w="1559" w:type="dxa"/>
            <w:shd w:val="clear" w:color="auto" w:fill="auto"/>
          </w:tcPr>
          <w:p w14:paraId="6808FC2B" w14:textId="77777777" w:rsidR="00CF33D9" w:rsidRDefault="00E3332A">
            <w:pPr>
              <w:spacing w:after="60"/>
              <w:jc w:val="both"/>
              <w:rPr>
                <w:rFonts w:eastAsia="Calibri"/>
                <w:b/>
                <w:i/>
                <w:sz w:val="20"/>
                <w:szCs w:val="20"/>
              </w:rPr>
            </w:pPr>
            <w:r>
              <w:rPr>
                <w:rFonts w:eastAsia="Calibri"/>
                <w:b/>
                <w:i/>
                <w:sz w:val="20"/>
                <w:szCs w:val="20"/>
              </w:rPr>
              <w:t>Indicator 15</w:t>
            </w:r>
          </w:p>
          <w:p w14:paraId="6808FC2C" w14:textId="77777777" w:rsidR="00CF33D9" w:rsidRDefault="00E3332A">
            <w:pPr>
              <w:spacing w:after="60"/>
              <w:rPr>
                <w:rFonts w:eastAsia="Calibri"/>
                <w:b/>
                <w:i/>
                <w:sz w:val="20"/>
                <w:szCs w:val="20"/>
              </w:rPr>
            </w:pPr>
            <w:r>
              <w:rPr>
                <w:rFonts w:eastAsia="Calibri"/>
                <w:color w:val="000000"/>
                <w:sz w:val="20"/>
                <w:szCs w:val="20"/>
              </w:rPr>
              <w:t># of fish and seafood products identified for value addition and potential for market diversification and value chains</w:t>
            </w:r>
          </w:p>
        </w:tc>
        <w:tc>
          <w:tcPr>
            <w:tcW w:w="1417" w:type="dxa"/>
          </w:tcPr>
          <w:p w14:paraId="6808FC2D" w14:textId="77777777" w:rsidR="00CF33D9" w:rsidRDefault="00E3332A">
            <w:pPr>
              <w:spacing w:after="60"/>
              <w:rPr>
                <w:rFonts w:eastAsia="Calibri"/>
                <w:iCs/>
                <w:sz w:val="20"/>
                <w:szCs w:val="20"/>
              </w:rPr>
            </w:pPr>
            <w:r>
              <w:rPr>
                <w:rFonts w:eastAsia="Calibri"/>
                <w:iCs/>
                <w:sz w:val="20"/>
                <w:szCs w:val="20"/>
                <w:u w:val="single"/>
              </w:rPr>
              <w:t>Mid-term</w:t>
            </w:r>
            <w:r>
              <w:rPr>
                <w:rFonts w:eastAsia="Calibri"/>
                <w:iCs/>
                <w:sz w:val="20"/>
                <w:szCs w:val="20"/>
              </w:rPr>
              <w:t xml:space="preserve">: </w:t>
            </w:r>
          </w:p>
          <w:p w14:paraId="6808FC2E" w14:textId="77777777" w:rsidR="00CF33D9" w:rsidRDefault="00E3332A">
            <w:pPr>
              <w:spacing w:after="60"/>
              <w:rPr>
                <w:rFonts w:eastAsia="Calibri"/>
                <w:iCs/>
                <w:sz w:val="20"/>
                <w:szCs w:val="20"/>
                <w:u w:val="single"/>
              </w:rPr>
            </w:pPr>
            <w:r>
              <w:rPr>
                <w:rFonts w:eastAsia="Calibri"/>
                <w:sz w:val="20"/>
                <w:szCs w:val="20"/>
              </w:rPr>
              <w:t>At least 1 identified fish /seafood product implemented by each target country</w:t>
            </w:r>
            <w:r>
              <w:rPr>
                <w:rFonts w:eastAsia="Calibri"/>
                <w:iCs/>
                <w:sz w:val="20"/>
                <w:szCs w:val="20"/>
                <w:u w:val="single"/>
              </w:rPr>
              <w:t xml:space="preserve"> </w:t>
            </w:r>
          </w:p>
          <w:p w14:paraId="6808FC2F" w14:textId="77777777" w:rsidR="00CF33D9" w:rsidRDefault="00E3332A">
            <w:pPr>
              <w:spacing w:after="60"/>
              <w:rPr>
                <w:rFonts w:eastAsia="Calibri"/>
                <w:i/>
                <w:sz w:val="20"/>
                <w:szCs w:val="20"/>
              </w:rPr>
            </w:pPr>
            <w:r>
              <w:rPr>
                <w:rFonts w:eastAsia="Calibri"/>
                <w:iCs/>
                <w:sz w:val="20"/>
                <w:szCs w:val="20"/>
                <w:u w:val="single"/>
              </w:rPr>
              <w:t>End-of-Project</w:t>
            </w:r>
            <w:r>
              <w:rPr>
                <w:rFonts w:eastAsia="Calibri"/>
                <w:iCs/>
                <w:sz w:val="20"/>
                <w:szCs w:val="20"/>
              </w:rPr>
              <w:t xml:space="preserve">: </w:t>
            </w:r>
            <w:r>
              <w:rPr>
                <w:rFonts w:eastAsia="Calibri"/>
                <w:sz w:val="20"/>
                <w:szCs w:val="20"/>
              </w:rPr>
              <w:t>At least 2 identified fish /seafood products supported and adopted by each selected MPA</w:t>
            </w:r>
          </w:p>
        </w:tc>
        <w:tc>
          <w:tcPr>
            <w:tcW w:w="2268" w:type="dxa"/>
          </w:tcPr>
          <w:p w14:paraId="6808FC30" w14:textId="77777777" w:rsidR="00CF33D9" w:rsidRDefault="00E3332A">
            <w:pPr>
              <w:spacing w:after="60"/>
              <w:rPr>
                <w:rFonts w:eastAsia="Calibri"/>
                <w:i/>
                <w:sz w:val="20"/>
                <w:szCs w:val="20"/>
              </w:rPr>
            </w:pPr>
            <w:r>
              <w:rPr>
                <w:rFonts w:eastAsia="Calibri"/>
                <w:color w:val="000000"/>
                <w:sz w:val="20"/>
                <w:szCs w:val="20"/>
              </w:rPr>
              <w:t xml:space="preserve">Market analysis of the fish seafood and mariculture market segment, including the third-party certification programmes for producers and suppliers and with existing competitors will identify products for value addition. </w:t>
            </w:r>
          </w:p>
        </w:tc>
        <w:tc>
          <w:tcPr>
            <w:tcW w:w="1843" w:type="dxa"/>
            <w:shd w:val="clear" w:color="auto" w:fill="auto"/>
          </w:tcPr>
          <w:p w14:paraId="6808FC31" w14:textId="77777777" w:rsidR="00CF33D9" w:rsidRDefault="00E3332A">
            <w:pPr>
              <w:spacing w:after="60"/>
              <w:rPr>
                <w:rFonts w:eastAsia="Calibri"/>
                <w:sz w:val="20"/>
                <w:szCs w:val="20"/>
              </w:rPr>
            </w:pPr>
            <w:r>
              <w:rPr>
                <w:rFonts w:eastAsia="Calibri"/>
                <w:color w:val="000000"/>
                <w:sz w:val="20"/>
                <w:szCs w:val="20"/>
              </w:rPr>
              <w:t>Midpoint and end of the project</w:t>
            </w:r>
          </w:p>
        </w:tc>
        <w:tc>
          <w:tcPr>
            <w:tcW w:w="1547" w:type="dxa"/>
            <w:shd w:val="clear" w:color="auto" w:fill="auto"/>
          </w:tcPr>
          <w:p w14:paraId="6808FC32" w14:textId="77777777" w:rsidR="00CF33D9" w:rsidRDefault="00E3332A">
            <w:pPr>
              <w:spacing w:after="0"/>
              <w:contextualSpacing/>
              <w:rPr>
                <w:rFonts w:eastAsia="Calibri"/>
                <w:iCs/>
                <w:sz w:val="20"/>
                <w:szCs w:val="20"/>
              </w:rPr>
            </w:pPr>
            <w:r>
              <w:rPr>
                <w:rFonts w:eastAsia="Calibri"/>
                <w:iCs/>
                <w:sz w:val="20"/>
                <w:szCs w:val="20"/>
              </w:rPr>
              <w:t>M&amp;E and KM Expert</w:t>
            </w:r>
          </w:p>
          <w:p w14:paraId="6808FC33" w14:textId="77777777" w:rsidR="00CF33D9" w:rsidRDefault="00CF33D9">
            <w:pPr>
              <w:spacing w:after="0"/>
              <w:contextualSpacing/>
              <w:rPr>
                <w:rFonts w:eastAsia="Calibri"/>
                <w:iCs/>
                <w:sz w:val="20"/>
                <w:szCs w:val="20"/>
              </w:rPr>
            </w:pPr>
          </w:p>
          <w:p w14:paraId="6808FC34" w14:textId="77777777" w:rsidR="00CF33D9" w:rsidRDefault="00E3332A">
            <w:pPr>
              <w:spacing w:after="0"/>
              <w:contextualSpacing/>
              <w:rPr>
                <w:rFonts w:eastAsia="Calibri"/>
                <w:iCs/>
                <w:sz w:val="20"/>
                <w:szCs w:val="20"/>
              </w:rPr>
            </w:pPr>
            <w:r>
              <w:rPr>
                <w:rFonts w:eastAsia="Calibri"/>
                <w:iCs/>
                <w:sz w:val="20"/>
                <w:szCs w:val="20"/>
              </w:rPr>
              <w:t>Fishery expert</w:t>
            </w:r>
          </w:p>
          <w:p w14:paraId="6808FC35" w14:textId="77777777" w:rsidR="00CF33D9" w:rsidRDefault="00CF33D9">
            <w:pPr>
              <w:spacing w:after="0"/>
              <w:contextualSpacing/>
              <w:rPr>
                <w:rFonts w:eastAsia="Calibri"/>
                <w:iCs/>
                <w:sz w:val="20"/>
                <w:szCs w:val="20"/>
              </w:rPr>
            </w:pPr>
          </w:p>
          <w:p w14:paraId="6808FC36" w14:textId="77777777" w:rsidR="00CF33D9" w:rsidRDefault="00CF33D9">
            <w:pPr>
              <w:spacing w:after="0"/>
              <w:contextualSpacing/>
              <w:rPr>
                <w:rFonts w:eastAsia="Calibri"/>
                <w:iCs/>
                <w:sz w:val="20"/>
                <w:szCs w:val="20"/>
              </w:rPr>
            </w:pPr>
          </w:p>
          <w:p w14:paraId="6808FC37" w14:textId="77777777" w:rsidR="00CF33D9" w:rsidRDefault="00CF33D9">
            <w:pPr>
              <w:contextualSpacing/>
              <w:rPr>
                <w:rFonts w:eastAsia="Calibri"/>
                <w:sz w:val="20"/>
                <w:szCs w:val="20"/>
              </w:rPr>
            </w:pPr>
          </w:p>
        </w:tc>
        <w:tc>
          <w:tcPr>
            <w:tcW w:w="1990" w:type="dxa"/>
            <w:shd w:val="clear" w:color="auto" w:fill="auto"/>
          </w:tcPr>
          <w:p w14:paraId="6808FC38" w14:textId="77777777" w:rsidR="00CF33D9" w:rsidRDefault="00E3332A">
            <w:pPr>
              <w:pStyle w:val="ListParagraph"/>
              <w:numPr>
                <w:ilvl w:val="0"/>
                <w:numId w:val="51"/>
              </w:numPr>
              <w:ind w:left="187" w:hanging="187"/>
              <w:contextualSpacing/>
              <w:rPr>
                <w:rFonts w:eastAsia="Calibri"/>
                <w:iCs/>
                <w:sz w:val="20"/>
                <w:szCs w:val="20"/>
              </w:rPr>
            </w:pPr>
            <w:r>
              <w:rPr>
                <w:rFonts w:eastAsia="Calibri"/>
                <w:sz w:val="20"/>
                <w:szCs w:val="20"/>
              </w:rPr>
              <w:t>Minutes of relevant  stakeholders reporting adoption of identified fish and seafood products.</w:t>
            </w:r>
            <w:r>
              <w:rPr>
                <w:rFonts w:eastAsia="Calibri"/>
                <w:iCs/>
                <w:sz w:val="20"/>
                <w:szCs w:val="20"/>
              </w:rPr>
              <w:t xml:space="preserve"> </w:t>
            </w:r>
          </w:p>
          <w:p w14:paraId="6808FC39" w14:textId="77777777" w:rsidR="00CF33D9" w:rsidRDefault="00E3332A">
            <w:pPr>
              <w:pStyle w:val="ListParagraph"/>
              <w:numPr>
                <w:ilvl w:val="0"/>
                <w:numId w:val="51"/>
              </w:numPr>
              <w:ind w:left="187" w:hanging="187"/>
              <w:contextualSpacing/>
              <w:rPr>
                <w:rFonts w:eastAsia="Calibri"/>
                <w:iCs/>
                <w:sz w:val="20"/>
                <w:szCs w:val="20"/>
              </w:rPr>
            </w:pPr>
            <w:r>
              <w:rPr>
                <w:rFonts w:eastAsia="Calibri"/>
                <w:iCs/>
                <w:sz w:val="20"/>
                <w:szCs w:val="20"/>
              </w:rPr>
              <w:t>Fishery consultants’ reports</w:t>
            </w:r>
          </w:p>
          <w:p w14:paraId="6808FC3A" w14:textId="77777777" w:rsidR="00CF33D9" w:rsidRDefault="00CF33D9">
            <w:pPr>
              <w:spacing w:after="60"/>
              <w:rPr>
                <w:rFonts w:eastAsia="Calibri"/>
                <w:i/>
                <w:sz w:val="20"/>
                <w:szCs w:val="20"/>
              </w:rPr>
            </w:pPr>
          </w:p>
        </w:tc>
      </w:tr>
      <w:tr w:rsidR="00CF33D9" w14:paraId="6808FC4A" w14:textId="77777777">
        <w:trPr>
          <w:trHeight w:val="20"/>
        </w:trPr>
        <w:tc>
          <w:tcPr>
            <w:tcW w:w="993" w:type="dxa"/>
            <w:vMerge/>
          </w:tcPr>
          <w:p w14:paraId="6808FC3C" w14:textId="77777777" w:rsidR="00CF33D9" w:rsidRDefault="00CF33D9">
            <w:pPr>
              <w:widowControl w:val="0"/>
              <w:spacing w:after="0" w:line="276" w:lineRule="auto"/>
              <w:rPr>
                <w:rFonts w:eastAsia="Calibri"/>
                <w:i/>
                <w:sz w:val="20"/>
                <w:szCs w:val="20"/>
              </w:rPr>
            </w:pPr>
          </w:p>
        </w:tc>
        <w:tc>
          <w:tcPr>
            <w:tcW w:w="1701" w:type="dxa"/>
            <w:vMerge/>
            <w:shd w:val="clear" w:color="auto" w:fill="auto"/>
            <w:vAlign w:val="center"/>
          </w:tcPr>
          <w:p w14:paraId="6808FC3D" w14:textId="77777777" w:rsidR="00CF33D9" w:rsidRDefault="00CF33D9">
            <w:pPr>
              <w:widowControl w:val="0"/>
              <w:spacing w:after="0" w:line="276" w:lineRule="auto"/>
              <w:rPr>
                <w:rFonts w:eastAsia="Calibri"/>
                <w:i/>
                <w:sz w:val="20"/>
                <w:szCs w:val="20"/>
              </w:rPr>
            </w:pPr>
          </w:p>
        </w:tc>
        <w:tc>
          <w:tcPr>
            <w:tcW w:w="1559" w:type="dxa"/>
            <w:shd w:val="clear" w:color="auto" w:fill="auto"/>
          </w:tcPr>
          <w:p w14:paraId="6808FC3E" w14:textId="77777777" w:rsidR="00CF33D9" w:rsidRDefault="00E3332A">
            <w:pPr>
              <w:spacing w:after="60"/>
              <w:jc w:val="both"/>
              <w:rPr>
                <w:rFonts w:eastAsia="Calibri"/>
                <w:b/>
                <w:i/>
                <w:sz w:val="20"/>
                <w:szCs w:val="20"/>
              </w:rPr>
            </w:pPr>
            <w:r>
              <w:rPr>
                <w:rFonts w:eastAsia="Calibri"/>
                <w:b/>
                <w:i/>
                <w:sz w:val="20"/>
                <w:szCs w:val="20"/>
              </w:rPr>
              <w:t>Indicator 16</w:t>
            </w:r>
          </w:p>
          <w:p w14:paraId="6808FC3F" w14:textId="77777777" w:rsidR="00CF33D9" w:rsidRDefault="00E3332A">
            <w:pPr>
              <w:spacing w:after="60"/>
              <w:rPr>
                <w:rFonts w:eastAsia="Calibri"/>
                <w:b/>
                <w:i/>
                <w:sz w:val="20"/>
                <w:szCs w:val="20"/>
              </w:rPr>
            </w:pPr>
            <w:r>
              <w:rPr>
                <w:rFonts w:eastAsia="Calibri"/>
                <w:color w:val="000000"/>
                <w:sz w:val="20"/>
                <w:szCs w:val="20"/>
              </w:rPr>
              <w:t xml:space="preserve">% of women that have been supported to improve their business enterprises or </w:t>
            </w:r>
            <w:r>
              <w:rPr>
                <w:rFonts w:eastAsia="Calibri"/>
                <w:color w:val="000000"/>
                <w:sz w:val="20"/>
                <w:szCs w:val="20"/>
              </w:rPr>
              <w:lastRenderedPageBreak/>
              <w:t>involved in the value chains to contribute the circular economy</w:t>
            </w:r>
          </w:p>
        </w:tc>
        <w:tc>
          <w:tcPr>
            <w:tcW w:w="1417" w:type="dxa"/>
          </w:tcPr>
          <w:p w14:paraId="6808FC40" w14:textId="77777777" w:rsidR="00CF33D9" w:rsidRDefault="00E3332A">
            <w:pPr>
              <w:spacing w:after="60"/>
              <w:jc w:val="both"/>
              <w:rPr>
                <w:rFonts w:eastAsia="Calibri"/>
                <w:iCs/>
                <w:sz w:val="20"/>
                <w:szCs w:val="20"/>
              </w:rPr>
            </w:pPr>
            <w:r>
              <w:rPr>
                <w:rFonts w:eastAsia="Calibri"/>
                <w:iCs/>
                <w:sz w:val="20"/>
                <w:szCs w:val="20"/>
                <w:u w:val="single"/>
              </w:rPr>
              <w:lastRenderedPageBreak/>
              <w:t>Mid-term</w:t>
            </w:r>
            <w:r>
              <w:rPr>
                <w:rFonts w:eastAsia="Calibri"/>
                <w:iCs/>
                <w:sz w:val="20"/>
                <w:szCs w:val="20"/>
              </w:rPr>
              <w:t xml:space="preserve">: </w:t>
            </w:r>
          </w:p>
          <w:p w14:paraId="6808FC41" w14:textId="77777777" w:rsidR="00CF33D9" w:rsidRDefault="00E3332A">
            <w:pPr>
              <w:spacing w:after="60"/>
              <w:rPr>
                <w:rFonts w:eastAsia="Calibri"/>
                <w:iCs/>
                <w:sz w:val="20"/>
                <w:szCs w:val="20"/>
              </w:rPr>
            </w:pPr>
            <w:r>
              <w:rPr>
                <w:rFonts w:eastAsia="Calibri"/>
                <w:iCs/>
                <w:sz w:val="20"/>
                <w:szCs w:val="20"/>
              </w:rPr>
              <w:t>10</w:t>
            </w:r>
          </w:p>
          <w:p w14:paraId="6808FC42" w14:textId="77777777" w:rsidR="00CF33D9" w:rsidRDefault="00E3332A">
            <w:pPr>
              <w:spacing w:after="60"/>
              <w:jc w:val="both"/>
              <w:rPr>
                <w:rFonts w:eastAsia="Calibri"/>
                <w:i/>
                <w:sz w:val="20"/>
                <w:szCs w:val="20"/>
              </w:rPr>
            </w:pPr>
            <w:r>
              <w:rPr>
                <w:rFonts w:eastAsia="Calibri"/>
                <w:iCs/>
                <w:sz w:val="20"/>
                <w:szCs w:val="20"/>
                <w:u w:val="single"/>
              </w:rPr>
              <w:t>End-of-Project</w:t>
            </w:r>
            <w:r>
              <w:rPr>
                <w:rFonts w:eastAsia="Calibri"/>
                <w:iCs/>
                <w:sz w:val="20"/>
                <w:szCs w:val="20"/>
              </w:rPr>
              <w:t>: 30</w:t>
            </w:r>
          </w:p>
        </w:tc>
        <w:tc>
          <w:tcPr>
            <w:tcW w:w="2268" w:type="dxa"/>
          </w:tcPr>
          <w:p w14:paraId="6808FC43" w14:textId="77777777" w:rsidR="00CF33D9" w:rsidRDefault="00E3332A">
            <w:pPr>
              <w:spacing w:after="60"/>
              <w:rPr>
                <w:rFonts w:eastAsia="Calibri"/>
                <w:i/>
                <w:sz w:val="20"/>
                <w:szCs w:val="20"/>
              </w:rPr>
            </w:pPr>
            <w:r>
              <w:rPr>
                <w:rFonts w:eastAsia="Calibri"/>
                <w:iCs/>
                <w:sz w:val="20"/>
                <w:szCs w:val="20"/>
              </w:rPr>
              <w:t>The indicator will show that women are becoming key segment in SBE.</w:t>
            </w:r>
          </w:p>
        </w:tc>
        <w:tc>
          <w:tcPr>
            <w:tcW w:w="1843" w:type="dxa"/>
            <w:shd w:val="clear" w:color="auto" w:fill="auto"/>
          </w:tcPr>
          <w:p w14:paraId="6808FC44" w14:textId="77777777" w:rsidR="00CF33D9" w:rsidRDefault="00E3332A">
            <w:pPr>
              <w:spacing w:after="60"/>
              <w:rPr>
                <w:rFonts w:eastAsia="Calibri"/>
                <w:i/>
                <w:sz w:val="20"/>
                <w:szCs w:val="20"/>
              </w:rPr>
            </w:pPr>
            <w:r>
              <w:rPr>
                <w:rFonts w:eastAsia="Calibri"/>
                <w:sz w:val="20"/>
                <w:szCs w:val="20"/>
              </w:rPr>
              <w:t>Annually (reported in Development Objective (DO) progress section of the GEF PIR), mid-term, closure</w:t>
            </w:r>
          </w:p>
        </w:tc>
        <w:tc>
          <w:tcPr>
            <w:tcW w:w="1547" w:type="dxa"/>
            <w:shd w:val="clear" w:color="auto" w:fill="auto"/>
          </w:tcPr>
          <w:p w14:paraId="6808FC45" w14:textId="77777777" w:rsidR="00CF33D9" w:rsidRDefault="00E3332A">
            <w:pPr>
              <w:spacing w:after="0"/>
              <w:contextualSpacing/>
              <w:rPr>
                <w:rFonts w:eastAsia="Calibri"/>
                <w:iCs/>
                <w:sz w:val="20"/>
                <w:szCs w:val="20"/>
              </w:rPr>
            </w:pPr>
            <w:r>
              <w:rPr>
                <w:rFonts w:eastAsia="Calibri"/>
                <w:iCs/>
                <w:sz w:val="20"/>
                <w:szCs w:val="20"/>
              </w:rPr>
              <w:t>M&amp;E and KM Expert</w:t>
            </w:r>
          </w:p>
          <w:p w14:paraId="6808FC46" w14:textId="77777777" w:rsidR="00CF33D9" w:rsidRDefault="00CF33D9">
            <w:pPr>
              <w:spacing w:after="0"/>
              <w:contextualSpacing/>
              <w:rPr>
                <w:rFonts w:eastAsia="Calibri"/>
                <w:iCs/>
                <w:sz w:val="20"/>
                <w:szCs w:val="20"/>
              </w:rPr>
            </w:pPr>
          </w:p>
          <w:p w14:paraId="6808FC47" w14:textId="77777777" w:rsidR="00CF33D9" w:rsidRDefault="00E3332A">
            <w:pPr>
              <w:spacing w:after="0"/>
              <w:contextualSpacing/>
              <w:rPr>
                <w:rFonts w:eastAsia="Calibri"/>
                <w:iCs/>
                <w:sz w:val="20"/>
                <w:szCs w:val="20"/>
              </w:rPr>
            </w:pPr>
            <w:r>
              <w:rPr>
                <w:rFonts w:eastAsia="Calibri"/>
                <w:iCs/>
                <w:sz w:val="20"/>
                <w:szCs w:val="20"/>
              </w:rPr>
              <w:t>Gender expert</w:t>
            </w:r>
          </w:p>
          <w:p w14:paraId="6808FC48" w14:textId="77777777" w:rsidR="00CF33D9" w:rsidRDefault="00CF33D9">
            <w:pPr>
              <w:spacing w:after="60"/>
              <w:jc w:val="both"/>
              <w:rPr>
                <w:rFonts w:eastAsia="Calibri"/>
                <w:i/>
                <w:sz w:val="20"/>
                <w:szCs w:val="20"/>
              </w:rPr>
            </w:pPr>
          </w:p>
        </w:tc>
        <w:tc>
          <w:tcPr>
            <w:tcW w:w="1990" w:type="dxa"/>
            <w:shd w:val="clear" w:color="auto" w:fill="auto"/>
          </w:tcPr>
          <w:p w14:paraId="6808FC49" w14:textId="77777777" w:rsidR="00CF33D9" w:rsidRDefault="00E3332A">
            <w:pPr>
              <w:spacing w:after="60"/>
              <w:jc w:val="both"/>
              <w:rPr>
                <w:rFonts w:eastAsia="Calibri"/>
                <w:i/>
                <w:sz w:val="20"/>
                <w:szCs w:val="20"/>
              </w:rPr>
            </w:pPr>
            <w:r>
              <w:rPr>
                <w:rFonts w:eastAsia="Calibri"/>
                <w:color w:val="000000"/>
                <w:sz w:val="20"/>
                <w:szCs w:val="20"/>
              </w:rPr>
              <w:t>List of women-owned business involved in the value chains</w:t>
            </w:r>
          </w:p>
        </w:tc>
      </w:tr>
      <w:tr w:rsidR="00CF33D9" w14:paraId="6808FC59" w14:textId="77777777">
        <w:trPr>
          <w:trHeight w:val="20"/>
        </w:trPr>
        <w:tc>
          <w:tcPr>
            <w:tcW w:w="993" w:type="dxa"/>
            <w:vMerge/>
          </w:tcPr>
          <w:p w14:paraId="6808FC4B" w14:textId="77777777" w:rsidR="00CF33D9" w:rsidRDefault="00CF33D9">
            <w:pPr>
              <w:widowControl w:val="0"/>
              <w:spacing w:after="0" w:line="276" w:lineRule="auto"/>
              <w:rPr>
                <w:rFonts w:eastAsia="Calibri"/>
                <w:i/>
                <w:sz w:val="20"/>
                <w:szCs w:val="20"/>
              </w:rPr>
            </w:pPr>
          </w:p>
        </w:tc>
        <w:tc>
          <w:tcPr>
            <w:tcW w:w="1701" w:type="dxa"/>
            <w:shd w:val="clear" w:color="auto" w:fill="auto"/>
          </w:tcPr>
          <w:p w14:paraId="6808FC4C" w14:textId="77777777" w:rsidR="00CF33D9" w:rsidRDefault="00E3332A">
            <w:pPr>
              <w:spacing w:after="60"/>
              <w:rPr>
                <w:rFonts w:eastAsia="Calibri"/>
                <w:bCs/>
                <w:sz w:val="20"/>
                <w:szCs w:val="20"/>
              </w:rPr>
            </w:pPr>
            <w:r>
              <w:rPr>
                <w:rFonts w:eastAsia="Calibri"/>
                <w:b/>
                <w:sz w:val="20"/>
                <w:szCs w:val="20"/>
              </w:rPr>
              <w:t xml:space="preserve">Project Outcome </w:t>
            </w:r>
            <w:r>
              <w:rPr>
                <w:rFonts w:eastAsia="Calibri"/>
                <w:b/>
                <w:color w:val="000000"/>
                <w:sz w:val="20"/>
                <w:szCs w:val="20"/>
              </w:rPr>
              <w:t xml:space="preserve">3.1 </w:t>
            </w:r>
            <w:r>
              <w:rPr>
                <w:rFonts w:eastAsia="Calibri"/>
                <w:bCs/>
                <w:sz w:val="20"/>
                <w:szCs w:val="20"/>
              </w:rPr>
              <w:t>Reduced discharge of pollutants from ocean-based activities</w:t>
            </w:r>
          </w:p>
        </w:tc>
        <w:tc>
          <w:tcPr>
            <w:tcW w:w="1559" w:type="dxa"/>
            <w:shd w:val="clear" w:color="auto" w:fill="auto"/>
          </w:tcPr>
          <w:p w14:paraId="6808FC4D" w14:textId="77777777" w:rsidR="00CF33D9" w:rsidRDefault="00E3332A">
            <w:pPr>
              <w:spacing w:after="60"/>
              <w:jc w:val="both"/>
              <w:rPr>
                <w:rFonts w:eastAsia="Calibri"/>
                <w:b/>
                <w:i/>
                <w:sz w:val="20"/>
                <w:szCs w:val="20"/>
              </w:rPr>
            </w:pPr>
            <w:r>
              <w:rPr>
                <w:rFonts w:eastAsia="Calibri"/>
                <w:b/>
                <w:i/>
                <w:sz w:val="20"/>
                <w:szCs w:val="20"/>
              </w:rPr>
              <w:t>Indicator 17</w:t>
            </w:r>
          </w:p>
          <w:p w14:paraId="6808FC4E" w14:textId="77777777" w:rsidR="00CF33D9" w:rsidRDefault="00E3332A">
            <w:pPr>
              <w:spacing w:after="60"/>
              <w:rPr>
                <w:rFonts w:eastAsia="Calibri"/>
                <w:b/>
                <w:i/>
                <w:sz w:val="20"/>
                <w:szCs w:val="20"/>
              </w:rPr>
            </w:pPr>
            <w:r>
              <w:rPr>
                <w:rFonts w:eastAsia="Calibri"/>
                <w:color w:val="000000"/>
                <w:sz w:val="20"/>
                <w:szCs w:val="20"/>
              </w:rPr>
              <w:t># of countries that have adopted legislation giving effect to relevant IMO pollution instruments and regional guidance for offshore pollution</w:t>
            </w:r>
          </w:p>
        </w:tc>
        <w:tc>
          <w:tcPr>
            <w:tcW w:w="1417" w:type="dxa"/>
          </w:tcPr>
          <w:p w14:paraId="6808FC4F" w14:textId="77777777" w:rsidR="00CF33D9" w:rsidRDefault="00E3332A">
            <w:pPr>
              <w:spacing w:after="60"/>
              <w:jc w:val="both"/>
              <w:rPr>
                <w:rFonts w:eastAsia="Calibri"/>
                <w:iCs/>
                <w:sz w:val="20"/>
                <w:szCs w:val="20"/>
              </w:rPr>
            </w:pPr>
            <w:r>
              <w:rPr>
                <w:rFonts w:eastAsia="Calibri"/>
                <w:iCs/>
                <w:sz w:val="20"/>
                <w:szCs w:val="20"/>
                <w:u w:val="single"/>
              </w:rPr>
              <w:t>Mid-term</w:t>
            </w:r>
            <w:r>
              <w:rPr>
                <w:rFonts w:eastAsia="Calibri"/>
                <w:iCs/>
                <w:sz w:val="20"/>
                <w:szCs w:val="20"/>
              </w:rPr>
              <w:t xml:space="preserve">: </w:t>
            </w:r>
          </w:p>
          <w:p w14:paraId="6808FC50" w14:textId="77777777" w:rsidR="00CF33D9" w:rsidRDefault="00E3332A">
            <w:pPr>
              <w:spacing w:after="60"/>
              <w:rPr>
                <w:rFonts w:eastAsia="Calibri"/>
                <w:iCs/>
                <w:sz w:val="20"/>
                <w:szCs w:val="20"/>
              </w:rPr>
            </w:pPr>
            <w:r>
              <w:rPr>
                <w:rFonts w:eastAsia="Calibri"/>
                <w:iCs/>
                <w:sz w:val="20"/>
                <w:szCs w:val="20"/>
              </w:rPr>
              <w:t>2</w:t>
            </w:r>
          </w:p>
          <w:p w14:paraId="6808FC51" w14:textId="77777777" w:rsidR="00CF33D9" w:rsidRDefault="00E3332A">
            <w:pPr>
              <w:spacing w:after="60"/>
              <w:jc w:val="both"/>
              <w:rPr>
                <w:rFonts w:eastAsia="Calibri"/>
                <w:i/>
                <w:sz w:val="20"/>
                <w:szCs w:val="20"/>
              </w:rPr>
            </w:pPr>
            <w:r>
              <w:rPr>
                <w:rFonts w:eastAsia="Calibri"/>
                <w:iCs/>
                <w:sz w:val="20"/>
                <w:szCs w:val="20"/>
                <w:u w:val="single"/>
              </w:rPr>
              <w:t>End-of-Project</w:t>
            </w:r>
            <w:r>
              <w:rPr>
                <w:rFonts w:eastAsia="Calibri"/>
                <w:iCs/>
                <w:sz w:val="20"/>
                <w:szCs w:val="20"/>
              </w:rPr>
              <w:t>: 3</w:t>
            </w:r>
          </w:p>
        </w:tc>
        <w:tc>
          <w:tcPr>
            <w:tcW w:w="2268" w:type="dxa"/>
          </w:tcPr>
          <w:p w14:paraId="6808FC52" w14:textId="77777777" w:rsidR="00CF33D9" w:rsidRDefault="00E3332A">
            <w:pPr>
              <w:spacing w:after="60"/>
              <w:rPr>
                <w:rFonts w:eastAsia="Calibri"/>
                <w:i/>
                <w:sz w:val="20"/>
                <w:szCs w:val="20"/>
              </w:rPr>
            </w:pPr>
            <w:r>
              <w:rPr>
                <w:rFonts w:eastAsia="Calibri"/>
                <w:sz w:val="20"/>
                <w:szCs w:val="20"/>
              </w:rPr>
              <w:t>To date, South Africa is the only country that has a comprehensive and up to date legal framework addressing IMO instruments. Namibia currently has a draft Marine Pollution Bill that requires finalisation and adoption while Angola has no instruments relating to maritime pollution.</w:t>
            </w:r>
          </w:p>
        </w:tc>
        <w:tc>
          <w:tcPr>
            <w:tcW w:w="1843" w:type="dxa"/>
            <w:shd w:val="clear" w:color="auto" w:fill="auto"/>
          </w:tcPr>
          <w:p w14:paraId="6808FC53" w14:textId="77777777" w:rsidR="00CF33D9" w:rsidRDefault="00E3332A">
            <w:pPr>
              <w:spacing w:after="60"/>
              <w:rPr>
                <w:rFonts w:eastAsia="Calibri"/>
                <w:i/>
                <w:sz w:val="20"/>
                <w:szCs w:val="20"/>
              </w:rPr>
            </w:pPr>
            <w:r>
              <w:rPr>
                <w:rFonts w:eastAsia="Calibri"/>
                <w:color w:val="000000"/>
                <w:sz w:val="20"/>
                <w:szCs w:val="20"/>
              </w:rPr>
              <w:t>Midpoint and end of the project</w:t>
            </w:r>
          </w:p>
        </w:tc>
        <w:tc>
          <w:tcPr>
            <w:tcW w:w="1547" w:type="dxa"/>
            <w:shd w:val="clear" w:color="auto" w:fill="auto"/>
          </w:tcPr>
          <w:p w14:paraId="6808FC54" w14:textId="77777777" w:rsidR="00CF33D9" w:rsidRDefault="00E3332A">
            <w:pPr>
              <w:spacing w:after="0"/>
              <w:contextualSpacing/>
              <w:rPr>
                <w:rFonts w:eastAsia="Calibri"/>
                <w:iCs/>
                <w:sz w:val="20"/>
                <w:szCs w:val="20"/>
              </w:rPr>
            </w:pPr>
            <w:r>
              <w:rPr>
                <w:rFonts w:eastAsia="Calibri"/>
                <w:iCs/>
                <w:sz w:val="20"/>
                <w:szCs w:val="20"/>
              </w:rPr>
              <w:t>M&amp;E and KM Expert</w:t>
            </w:r>
          </w:p>
          <w:p w14:paraId="6808FC55" w14:textId="77777777" w:rsidR="00CF33D9" w:rsidRDefault="00CF33D9">
            <w:pPr>
              <w:spacing w:after="0"/>
              <w:contextualSpacing/>
              <w:rPr>
                <w:rFonts w:eastAsia="Calibri"/>
                <w:iCs/>
                <w:sz w:val="20"/>
                <w:szCs w:val="20"/>
              </w:rPr>
            </w:pPr>
          </w:p>
          <w:p w14:paraId="6808FC56" w14:textId="77777777" w:rsidR="00CF33D9" w:rsidRDefault="00E3332A">
            <w:pPr>
              <w:spacing w:after="0"/>
              <w:contextualSpacing/>
              <w:rPr>
                <w:rFonts w:eastAsia="Calibri"/>
                <w:iCs/>
                <w:sz w:val="20"/>
                <w:szCs w:val="20"/>
              </w:rPr>
            </w:pPr>
            <w:r>
              <w:rPr>
                <w:rFonts w:eastAsia="Calibri"/>
                <w:iCs/>
                <w:sz w:val="20"/>
                <w:szCs w:val="20"/>
              </w:rPr>
              <w:t>Marine pollution expert</w:t>
            </w:r>
          </w:p>
          <w:p w14:paraId="6808FC57" w14:textId="77777777" w:rsidR="00CF33D9" w:rsidRDefault="00CF33D9">
            <w:pPr>
              <w:spacing w:after="60"/>
              <w:jc w:val="both"/>
              <w:rPr>
                <w:rFonts w:eastAsia="Calibri"/>
                <w:i/>
                <w:sz w:val="20"/>
                <w:szCs w:val="20"/>
              </w:rPr>
            </w:pPr>
          </w:p>
        </w:tc>
        <w:tc>
          <w:tcPr>
            <w:tcW w:w="1990" w:type="dxa"/>
            <w:shd w:val="clear" w:color="auto" w:fill="auto"/>
          </w:tcPr>
          <w:p w14:paraId="6808FC58" w14:textId="77777777" w:rsidR="00CF33D9" w:rsidRDefault="00E3332A">
            <w:pPr>
              <w:spacing w:after="60"/>
              <w:rPr>
                <w:rFonts w:eastAsia="Calibri"/>
                <w:i/>
                <w:sz w:val="20"/>
                <w:szCs w:val="20"/>
              </w:rPr>
            </w:pPr>
            <w:r>
              <w:rPr>
                <w:rFonts w:eastAsia="Calibri"/>
                <w:sz w:val="20"/>
                <w:szCs w:val="20"/>
              </w:rPr>
              <w:t>Gazette notices of new regulations</w:t>
            </w:r>
          </w:p>
        </w:tc>
      </w:tr>
      <w:tr w:rsidR="00CF33D9" w14:paraId="6808FC69" w14:textId="77777777">
        <w:trPr>
          <w:trHeight w:val="20"/>
        </w:trPr>
        <w:tc>
          <w:tcPr>
            <w:tcW w:w="993" w:type="dxa"/>
            <w:vMerge/>
          </w:tcPr>
          <w:p w14:paraId="6808FC5A" w14:textId="77777777" w:rsidR="00CF33D9" w:rsidRDefault="00CF33D9">
            <w:pPr>
              <w:widowControl w:val="0"/>
              <w:spacing w:after="0" w:line="276" w:lineRule="auto"/>
              <w:rPr>
                <w:rFonts w:eastAsia="Calibri"/>
                <w:i/>
                <w:sz w:val="20"/>
                <w:szCs w:val="20"/>
              </w:rPr>
            </w:pPr>
          </w:p>
        </w:tc>
        <w:tc>
          <w:tcPr>
            <w:tcW w:w="1701" w:type="dxa"/>
            <w:shd w:val="clear" w:color="auto" w:fill="auto"/>
            <w:vAlign w:val="center"/>
          </w:tcPr>
          <w:p w14:paraId="6808FC5B" w14:textId="77777777" w:rsidR="00CF33D9" w:rsidRDefault="00E3332A">
            <w:pPr>
              <w:spacing w:after="60"/>
              <w:rPr>
                <w:rFonts w:eastAsia="Calibri"/>
                <w:b/>
                <w:sz w:val="20"/>
                <w:szCs w:val="20"/>
              </w:rPr>
            </w:pPr>
            <w:r>
              <w:rPr>
                <w:rFonts w:eastAsia="Calibri"/>
                <w:b/>
                <w:sz w:val="20"/>
                <w:szCs w:val="20"/>
              </w:rPr>
              <w:t xml:space="preserve">Project Outcome </w:t>
            </w:r>
            <w:r>
              <w:rPr>
                <w:rFonts w:eastAsia="Calibri"/>
                <w:b/>
                <w:color w:val="000000"/>
                <w:sz w:val="20"/>
                <w:szCs w:val="20"/>
              </w:rPr>
              <w:t xml:space="preserve">3.2: </w:t>
            </w:r>
            <w:r>
              <w:rPr>
                <w:rFonts w:eastAsia="Calibri"/>
                <w:bCs/>
                <w:sz w:val="20"/>
                <w:szCs w:val="20"/>
              </w:rPr>
              <w:t>Reduced discharge of pollutants from land-based activities in priority coastal areas [and river basins] through Community-Level Stakeholder Engagement</w:t>
            </w:r>
          </w:p>
        </w:tc>
        <w:tc>
          <w:tcPr>
            <w:tcW w:w="1559" w:type="dxa"/>
            <w:shd w:val="clear" w:color="auto" w:fill="auto"/>
          </w:tcPr>
          <w:p w14:paraId="6808FC5C" w14:textId="77777777" w:rsidR="00CF33D9" w:rsidRDefault="00E3332A">
            <w:pPr>
              <w:spacing w:after="60"/>
              <w:jc w:val="both"/>
              <w:rPr>
                <w:rFonts w:eastAsia="Calibri"/>
                <w:b/>
                <w:i/>
                <w:sz w:val="20"/>
                <w:szCs w:val="20"/>
              </w:rPr>
            </w:pPr>
            <w:r>
              <w:rPr>
                <w:rFonts w:eastAsia="Calibri"/>
                <w:b/>
                <w:i/>
                <w:sz w:val="20"/>
                <w:szCs w:val="20"/>
              </w:rPr>
              <w:t>Indicator 18</w:t>
            </w:r>
          </w:p>
          <w:p w14:paraId="6808FC5D" w14:textId="77777777" w:rsidR="00CF33D9" w:rsidRDefault="00E3332A">
            <w:pPr>
              <w:spacing w:after="60"/>
              <w:rPr>
                <w:rFonts w:eastAsia="Calibri"/>
                <w:b/>
                <w:i/>
                <w:sz w:val="20"/>
                <w:szCs w:val="20"/>
              </w:rPr>
            </w:pPr>
            <w:r>
              <w:rPr>
                <w:rFonts w:eastAsia="Calibri"/>
                <w:color w:val="000000"/>
                <w:sz w:val="20"/>
                <w:szCs w:val="20"/>
              </w:rPr>
              <w:t># of awareness raising briefings and workshops held for stakeholders across all countries (participants disaggregated by gender)</w:t>
            </w:r>
          </w:p>
        </w:tc>
        <w:tc>
          <w:tcPr>
            <w:tcW w:w="1417" w:type="dxa"/>
          </w:tcPr>
          <w:p w14:paraId="6808FC5E" w14:textId="77777777" w:rsidR="00CF33D9" w:rsidRDefault="00E3332A">
            <w:pPr>
              <w:spacing w:after="60"/>
              <w:jc w:val="both"/>
              <w:rPr>
                <w:rFonts w:eastAsia="Calibri"/>
                <w:iCs/>
                <w:sz w:val="20"/>
                <w:szCs w:val="20"/>
              </w:rPr>
            </w:pPr>
            <w:r>
              <w:rPr>
                <w:rFonts w:eastAsia="Calibri"/>
                <w:iCs/>
                <w:sz w:val="20"/>
                <w:szCs w:val="20"/>
                <w:u w:val="single"/>
              </w:rPr>
              <w:t>Mid-term</w:t>
            </w:r>
            <w:r>
              <w:rPr>
                <w:rFonts w:eastAsia="Calibri"/>
                <w:iCs/>
                <w:sz w:val="20"/>
                <w:szCs w:val="20"/>
              </w:rPr>
              <w:t xml:space="preserve">: </w:t>
            </w:r>
          </w:p>
          <w:p w14:paraId="6808FC5F" w14:textId="77777777" w:rsidR="00CF33D9" w:rsidRDefault="00E3332A">
            <w:pPr>
              <w:spacing w:after="60"/>
              <w:rPr>
                <w:rFonts w:eastAsia="Calibri"/>
                <w:iCs/>
                <w:sz w:val="20"/>
                <w:szCs w:val="20"/>
                <w:u w:val="single"/>
              </w:rPr>
            </w:pPr>
            <w:r>
              <w:rPr>
                <w:rFonts w:eastAsia="Calibri"/>
                <w:sz w:val="20"/>
                <w:szCs w:val="20"/>
              </w:rPr>
              <w:t>3 Awareness raising activities</w:t>
            </w:r>
            <w:r>
              <w:rPr>
                <w:rFonts w:eastAsia="Calibri"/>
                <w:iCs/>
                <w:sz w:val="20"/>
                <w:szCs w:val="20"/>
                <w:u w:val="single"/>
              </w:rPr>
              <w:t xml:space="preserve"> </w:t>
            </w:r>
          </w:p>
          <w:p w14:paraId="6808FC60" w14:textId="77777777" w:rsidR="00CF33D9" w:rsidRDefault="00E3332A">
            <w:pPr>
              <w:rPr>
                <w:rFonts w:eastAsia="Calibri"/>
                <w:sz w:val="20"/>
                <w:szCs w:val="20"/>
              </w:rPr>
            </w:pPr>
            <w:r>
              <w:rPr>
                <w:rFonts w:eastAsia="Calibri"/>
                <w:iCs/>
                <w:sz w:val="20"/>
                <w:szCs w:val="20"/>
                <w:u w:val="single"/>
              </w:rPr>
              <w:t>End-of-Project</w:t>
            </w:r>
            <w:r>
              <w:rPr>
                <w:rFonts w:eastAsia="Calibri"/>
                <w:iCs/>
                <w:sz w:val="20"/>
                <w:szCs w:val="20"/>
              </w:rPr>
              <w:t xml:space="preserve">: </w:t>
            </w:r>
            <w:r>
              <w:rPr>
                <w:rFonts w:eastAsia="Calibri"/>
                <w:sz w:val="20"/>
                <w:szCs w:val="20"/>
              </w:rPr>
              <w:t>6 Awareness raising activities</w:t>
            </w:r>
          </w:p>
          <w:p w14:paraId="6808FC61" w14:textId="77777777" w:rsidR="00CF33D9" w:rsidRDefault="00E3332A">
            <w:pPr>
              <w:spacing w:after="60"/>
              <w:rPr>
                <w:rFonts w:eastAsia="Calibri"/>
                <w:i/>
                <w:sz w:val="20"/>
                <w:szCs w:val="20"/>
              </w:rPr>
            </w:pPr>
            <w:r>
              <w:rPr>
                <w:rFonts w:eastAsia="Calibri"/>
                <w:sz w:val="20"/>
                <w:szCs w:val="20"/>
              </w:rPr>
              <w:t xml:space="preserve">6 Training and capacity </w:t>
            </w:r>
            <w:r>
              <w:rPr>
                <w:rFonts w:eastAsia="Calibri"/>
                <w:sz w:val="20"/>
                <w:szCs w:val="20"/>
              </w:rPr>
              <w:lastRenderedPageBreak/>
              <w:t>building activities</w:t>
            </w:r>
          </w:p>
        </w:tc>
        <w:tc>
          <w:tcPr>
            <w:tcW w:w="2268" w:type="dxa"/>
          </w:tcPr>
          <w:p w14:paraId="6808FC62" w14:textId="77777777" w:rsidR="00CF33D9" w:rsidRDefault="00E3332A">
            <w:pPr>
              <w:spacing w:after="60"/>
              <w:rPr>
                <w:rFonts w:eastAsia="Calibri"/>
                <w:i/>
                <w:sz w:val="20"/>
                <w:szCs w:val="20"/>
              </w:rPr>
            </w:pPr>
            <w:r>
              <w:rPr>
                <w:rFonts w:eastAsia="Calibri"/>
                <w:sz w:val="20"/>
                <w:szCs w:val="20"/>
              </w:rPr>
              <w:lastRenderedPageBreak/>
              <w:t xml:space="preserve">Numerous awareness raising activities have been concluded under previous BCLME projects. However, this will focus on new demonstration projects and engage with new communities, raising the level of their awareness and need for action to </w:t>
            </w:r>
            <w:r>
              <w:rPr>
                <w:rFonts w:eastAsia="Calibri"/>
                <w:sz w:val="20"/>
                <w:szCs w:val="20"/>
              </w:rPr>
              <w:lastRenderedPageBreak/>
              <w:t>reduce pollution from land-based activities.</w:t>
            </w:r>
          </w:p>
        </w:tc>
        <w:tc>
          <w:tcPr>
            <w:tcW w:w="1843" w:type="dxa"/>
            <w:shd w:val="clear" w:color="auto" w:fill="auto"/>
          </w:tcPr>
          <w:p w14:paraId="6808FC63" w14:textId="77777777" w:rsidR="00CF33D9" w:rsidRDefault="00E3332A">
            <w:pPr>
              <w:spacing w:after="60"/>
              <w:rPr>
                <w:rFonts w:eastAsia="Calibri"/>
                <w:i/>
                <w:sz w:val="20"/>
                <w:szCs w:val="20"/>
              </w:rPr>
            </w:pPr>
            <w:r>
              <w:rPr>
                <w:rFonts w:eastAsia="Calibri"/>
                <w:color w:val="000000"/>
                <w:sz w:val="20"/>
                <w:szCs w:val="20"/>
              </w:rPr>
              <w:lastRenderedPageBreak/>
              <w:t>Midpoint and end of the project</w:t>
            </w:r>
          </w:p>
        </w:tc>
        <w:tc>
          <w:tcPr>
            <w:tcW w:w="1547" w:type="dxa"/>
            <w:shd w:val="clear" w:color="auto" w:fill="auto"/>
          </w:tcPr>
          <w:p w14:paraId="6808FC64" w14:textId="77777777" w:rsidR="00CF33D9" w:rsidRDefault="00E3332A">
            <w:pPr>
              <w:spacing w:after="0"/>
              <w:contextualSpacing/>
              <w:rPr>
                <w:rFonts w:eastAsia="Calibri"/>
                <w:iCs/>
                <w:sz w:val="20"/>
                <w:szCs w:val="20"/>
              </w:rPr>
            </w:pPr>
            <w:r>
              <w:rPr>
                <w:rFonts w:eastAsia="Calibri"/>
                <w:iCs/>
                <w:sz w:val="20"/>
                <w:szCs w:val="20"/>
              </w:rPr>
              <w:t>M&amp;E and KM Expert</w:t>
            </w:r>
          </w:p>
          <w:p w14:paraId="6808FC65" w14:textId="77777777" w:rsidR="00CF33D9" w:rsidRDefault="00CF33D9">
            <w:pPr>
              <w:spacing w:after="0"/>
              <w:contextualSpacing/>
              <w:rPr>
                <w:rFonts w:eastAsia="Calibri"/>
                <w:iCs/>
                <w:sz w:val="20"/>
                <w:szCs w:val="20"/>
              </w:rPr>
            </w:pPr>
          </w:p>
          <w:p w14:paraId="6808FC66" w14:textId="77777777" w:rsidR="00CF33D9" w:rsidRDefault="00E3332A">
            <w:pPr>
              <w:spacing w:after="0"/>
              <w:contextualSpacing/>
              <w:rPr>
                <w:rFonts w:eastAsia="Calibri"/>
                <w:iCs/>
                <w:sz w:val="20"/>
                <w:szCs w:val="20"/>
              </w:rPr>
            </w:pPr>
            <w:r>
              <w:rPr>
                <w:rFonts w:eastAsia="Calibri"/>
                <w:iCs/>
                <w:sz w:val="20"/>
                <w:szCs w:val="20"/>
              </w:rPr>
              <w:t>Marine pollution expert</w:t>
            </w:r>
          </w:p>
          <w:p w14:paraId="6808FC67" w14:textId="77777777" w:rsidR="00CF33D9" w:rsidRDefault="00CF33D9">
            <w:pPr>
              <w:spacing w:after="60"/>
              <w:jc w:val="both"/>
              <w:rPr>
                <w:rFonts w:eastAsia="Calibri"/>
                <w:i/>
                <w:sz w:val="20"/>
                <w:szCs w:val="20"/>
              </w:rPr>
            </w:pPr>
          </w:p>
        </w:tc>
        <w:tc>
          <w:tcPr>
            <w:tcW w:w="1990" w:type="dxa"/>
            <w:shd w:val="clear" w:color="auto" w:fill="auto"/>
          </w:tcPr>
          <w:p w14:paraId="6808FC68" w14:textId="77777777" w:rsidR="00CF33D9" w:rsidRDefault="00E3332A">
            <w:pPr>
              <w:spacing w:after="60"/>
              <w:rPr>
                <w:rFonts w:eastAsia="Calibri"/>
                <w:i/>
                <w:sz w:val="20"/>
                <w:szCs w:val="20"/>
              </w:rPr>
            </w:pPr>
            <w:r>
              <w:rPr>
                <w:rFonts w:eastAsia="Calibri"/>
                <w:color w:val="000000"/>
                <w:sz w:val="20"/>
                <w:szCs w:val="20"/>
              </w:rPr>
              <w:t>Minutes of training and consultations workshops/ sessions</w:t>
            </w:r>
          </w:p>
        </w:tc>
      </w:tr>
      <w:tr w:rsidR="00CF33D9" w14:paraId="6808FC78" w14:textId="77777777">
        <w:trPr>
          <w:trHeight w:val="20"/>
        </w:trPr>
        <w:tc>
          <w:tcPr>
            <w:tcW w:w="993" w:type="dxa"/>
            <w:vMerge/>
          </w:tcPr>
          <w:p w14:paraId="6808FC6A" w14:textId="77777777" w:rsidR="00CF33D9" w:rsidRDefault="00CF33D9">
            <w:pPr>
              <w:widowControl w:val="0"/>
              <w:spacing w:line="276" w:lineRule="auto"/>
              <w:rPr>
                <w:rFonts w:eastAsia="Calibri"/>
                <w:i/>
                <w:sz w:val="20"/>
                <w:szCs w:val="20"/>
              </w:rPr>
            </w:pPr>
          </w:p>
        </w:tc>
        <w:tc>
          <w:tcPr>
            <w:tcW w:w="1701" w:type="dxa"/>
            <w:vMerge w:val="restart"/>
            <w:shd w:val="clear" w:color="auto" w:fill="auto"/>
            <w:vAlign w:val="center"/>
          </w:tcPr>
          <w:p w14:paraId="6808FC6B" w14:textId="77777777" w:rsidR="00CF33D9" w:rsidRDefault="00E3332A">
            <w:pPr>
              <w:spacing w:after="60"/>
              <w:rPr>
                <w:rFonts w:eastAsia="Calibri"/>
                <w:b/>
                <w:sz w:val="20"/>
                <w:szCs w:val="20"/>
              </w:rPr>
            </w:pPr>
            <w:r>
              <w:rPr>
                <w:rFonts w:eastAsia="Calibri"/>
                <w:b/>
                <w:sz w:val="20"/>
                <w:szCs w:val="20"/>
              </w:rPr>
              <w:t xml:space="preserve">Project Outcome 3.3: </w:t>
            </w:r>
            <w:r>
              <w:rPr>
                <w:rFonts w:eastAsia="Calibri"/>
                <w:bCs/>
                <w:sz w:val="20"/>
                <w:szCs w:val="20"/>
              </w:rPr>
              <w:t>Strengthened regional cooperation and coordination, and increased institutional and technical capacity to undertake broad-scale monitoring and surveillance of marine pollution in priority transboundary and coastal hotspots of the BCLME</w:t>
            </w:r>
          </w:p>
        </w:tc>
        <w:tc>
          <w:tcPr>
            <w:tcW w:w="1559" w:type="dxa"/>
            <w:shd w:val="clear" w:color="auto" w:fill="auto"/>
          </w:tcPr>
          <w:p w14:paraId="6808FC6C" w14:textId="77777777" w:rsidR="00CF33D9" w:rsidRDefault="00E3332A">
            <w:pPr>
              <w:spacing w:after="60"/>
              <w:jc w:val="both"/>
              <w:rPr>
                <w:rFonts w:eastAsia="Calibri"/>
                <w:b/>
                <w:i/>
                <w:sz w:val="20"/>
                <w:szCs w:val="20"/>
              </w:rPr>
            </w:pPr>
            <w:r>
              <w:rPr>
                <w:rFonts w:eastAsia="Calibri"/>
                <w:b/>
                <w:i/>
                <w:sz w:val="20"/>
                <w:szCs w:val="20"/>
              </w:rPr>
              <w:t>Indicator 19</w:t>
            </w:r>
          </w:p>
          <w:p w14:paraId="6808FC6D" w14:textId="77777777" w:rsidR="00CF33D9" w:rsidRDefault="00E3332A">
            <w:pPr>
              <w:spacing w:after="60"/>
              <w:rPr>
                <w:rFonts w:eastAsia="Calibri"/>
                <w:b/>
                <w:i/>
                <w:sz w:val="20"/>
                <w:szCs w:val="20"/>
              </w:rPr>
            </w:pPr>
            <w:r>
              <w:rPr>
                <w:rFonts w:eastAsia="Calibri"/>
                <w:color w:val="000000"/>
                <w:sz w:val="20"/>
                <w:szCs w:val="20"/>
              </w:rPr>
              <w:t># of BCC pollution hotspots in each country where Phase 1 monitoring has been undertaken</w:t>
            </w:r>
          </w:p>
        </w:tc>
        <w:tc>
          <w:tcPr>
            <w:tcW w:w="1417" w:type="dxa"/>
          </w:tcPr>
          <w:p w14:paraId="6808FC6E" w14:textId="77777777" w:rsidR="00CF33D9" w:rsidRDefault="00E3332A">
            <w:pPr>
              <w:spacing w:after="60"/>
              <w:jc w:val="both"/>
              <w:rPr>
                <w:rFonts w:eastAsia="Calibri"/>
                <w:iCs/>
                <w:sz w:val="20"/>
                <w:szCs w:val="20"/>
              </w:rPr>
            </w:pPr>
            <w:r>
              <w:rPr>
                <w:rFonts w:eastAsia="Calibri"/>
                <w:iCs/>
                <w:sz w:val="20"/>
                <w:szCs w:val="20"/>
                <w:u w:val="single"/>
              </w:rPr>
              <w:t>Mid-term</w:t>
            </w:r>
            <w:r>
              <w:rPr>
                <w:rFonts w:eastAsia="Calibri"/>
                <w:iCs/>
                <w:sz w:val="20"/>
                <w:szCs w:val="20"/>
              </w:rPr>
              <w:t xml:space="preserve">: </w:t>
            </w:r>
          </w:p>
          <w:p w14:paraId="6808FC6F" w14:textId="77777777" w:rsidR="00CF33D9" w:rsidRDefault="00E3332A">
            <w:pPr>
              <w:spacing w:after="60"/>
              <w:rPr>
                <w:rFonts w:eastAsia="Calibri"/>
                <w:iCs/>
                <w:sz w:val="20"/>
                <w:szCs w:val="20"/>
              </w:rPr>
            </w:pPr>
            <w:r>
              <w:rPr>
                <w:rFonts w:eastAsia="Calibri"/>
                <w:iCs/>
                <w:sz w:val="20"/>
                <w:szCs w:val="20"/>
              </w:rPr>
              <w:t>12</w:t>
            </w:r>
          </w:p>
          <w:p w14:paraId="6808FC70" w14:textId="77777777" w:rsidR="00CF33D9" w:rsidRDefault="00E3332A">
            <w:pPr>
              <w:spacing w:after="60"/>
              <w:jc w:val="both"/>
              <w:rPr>
                <w:rFonts w:eastAsia="Calibri"/>
                <w:i/>
                <w:sz w:val="20"/>
                <w:szCs w:val="20"/>
              </w:rPr>
            </w:pPr>
            <w:r>
              <w:rPr>
                <w:rFonts w:eastAsia="Calibri"/>
                <w:iCs/>
                <w:sz w:val="20"/>
                <w:szCs w:val="20"/>
                <w:u w:val="single"/>
              </w:rPr>
              <w:t>End-of-Project</w:t>
            </w:r>
            <w:r>
              <w:rPr>
                <w:rFonts w:eastAsia="Calibri"/>
                <w:iCs/>
                <w:sz w:val="20"/>
                <w:szCs w:val="20"/>
              </w:rPr>
              <w:t>: 18</w:t>
            </w:r>
          </w:p>
        </w:tc>
        <w:tc>
          <w:tcPr>
            <w:tcW w:w="2268" w:type="dxa"/>
          </w:tcPr>
          <w:p w14:paraId="6808FC71" w14:textId="77777777" w:rsidR="00CF33D9" w:rsidRDefault="00E3332A">
            <w:pPr>
              <w:spacing w:after="60"/>
              <w:rPr>
                <w:rFonts w:eastAsia="Calibri"/>
                <w:iCs/>
                <w:sz w:val="20"/>
                <w:szCs w:val="20"/>
              </w:rPr>
            </w:pPr>
            <w:r>
              <w:rPr>
                <w:rFonts w:eastAsia="Calibri"/>
                <w:iCs/>
                <w:sz w:val="20"/>
                <w:szCs w:val="20"/>
              </w:rPr>
              <w:t xml:space="preserve">Monitoring spots will be expanded which will bring better quality of marine waters. </w:t>
            </w:r>
          </w:p>
        </w:tc>
        <w:tc>
          <w:tcPr>
            <w:tcW w:w="1843" w:type="dxa"/>
            <w:shd w:val="clear" w:color="auto" w:fill="auto"/>
          </w:tcPr>
          <w:p w14:paraId="6808FC72" w14:textId="77777777" w:rsidR="00CF33D9" w:rsidRDefault="00E3332A">
            <w:pPr>
              <w:spacing w:after="60"/>
              <w:rPr>
                <w:rFonts w:eastAsia="Calibri"/>
                <w:i/>
                <w:sz w:val="20"/>
                <w:szCs w:val="20"/>
              </w:rPr>
            </w:pPr>
            <w:r>
              <w:rPr>
                <w:rFonts w:eastAsia="Calibri"/>
                <w:sz w:val="20"/>
                <w:szCs w:val="20"/>
              </w:rPr>
              <w:t>Annually (reported in Development Objective (DO) progress section of the GEF PIR), mid-term, closure</w:t>
            </w:r>
          </w:p>
        </w:tc>
        <w:tc>
          <w:tcPr>
            <w:tcW w:w="1547" w:type="dxa"/>
            <w:shd w:val="clear" w:color="auto" w:fill="auto"/>
          </w:tcPr>
          <w:p w14:paraId="6808FC73" w14:textId="77777777" w:rsidR="00CF33D9" w:rsidRDefault="00E3332A">
            <w:pPr>
              <w:spacing w:after="0"/>
              <w:contextualSpacing/>
              <w:rPr>
                <w:rFonts w:eastAsia="Calibri"/>
                <w:iCs/>
                <w:sz w:val="20"/>
                <w:szCs w:val="20"/>
              </w:rPr>
            </w:pPr>
            <w:r>
              <w:rPr>
                <w:rFonts w:eastAsia="Calibri"/>
                <w:iCs/>
                <w:sz w:val="20"/>
                <w:szCs w:val="20"/>
              </w:rPr>
              <w:t>M&amp;E and KM Expert</w:t>
            </w:r>
          </w:p>
          <w:p w14:paraId="6808FC74" w14:textId="77777777" w:rsidR="00CF33D9" w:rsidRDefault="00CF33D9">
            <w:pPr>
              <w:spacing w:after="0"/>
              <w:contextualSpacing/>
              <w:rPr>
                <w:rFonts w:eastAsia="Calibri"/>
                <w:iCs/>
                <w:sz w:val="20"/>
                <w:szCs w:val="20"/>
              </w:rPr>
            </w:pPr>
          </w:p>
          <w:p w14:paraId="6808FC75" w14:textId="77777777" w:rsidR="00CF33D9" w:rsidRDefault="00E3332A">
            <w:pPr>
              <w:spacing w:after="0"/>
              <w:contextualSpacing/>
              <w:rPr>
                <w:rFonts w:eastAsia="Calibri"/>
                <w:iCs/>
                <w:sz w:val="20"/>
                <w:szCs w:val="20"/>
              </w:rPr>
            </w:pPr>
            <w:r>
              <w:rPr>
                <w:rFonts w:eastAsia="Calibri"/>
                <w:iCs/>
                <w:sz w:val="20"/>
                <w:szCs w:val="20"/>
              </w:rPr>
              <w:t>Marine pollution expert</w:t>
            </w:r>
          </w:p>
          <w:p w14:paraId="6808FC76" w14:textId="77777777" w:rsidR="00CF33D9" w:rsidRDefault="00CF33D9">
            <w:pPr>
              <w:spacing w:after="60"/>
              <w:jc w:val="both"/>
              <w:rPr>
                <w:rFonts w:eastAsia="Calibri"/>
                <w:i/>
                <w:sz w:val="20"/>
                <w:szCs w:val="20"/>
              </w:rPr>
            </w:pPr>
          </w:p>
        </w:tc>
        <w:tc>
          <w:tcPr>
            <w:tcW w:w="1990" w:type="dxa"/>
            <w:shd w:val="clear" w:color="auto" w:fill="auto"/>
          </w:tcPr>
          <w:p w14:paraId="6808FC77" w14:textId="77777777" w:rsidR="00CF33D9" w:rsidRDefault="00E3332A">
            <w:pPr>
              <w:spacing w:after="60"/>
              <w:rPr>
                <w:rFonts w:eastAsia="Calibri"/>
                <w:i/>
                <w:sz w:val="20"/>
                <w:szCs w:val="20"/>
              </w:rPr>
            </w:pPr>
            <w:r>
              <w:rPr>
                <w:rFonts w:eastAsia="Calibri"/>
                <w:sz w:val="20"/>
                <w:szCs w:val="20"/>
              </w:rPr>
              <w:t>Monitoring survey records and reports</w:t>
            </w:r>
          </w:p>
        </w:tc>
      </w:tr>
      <w:tr w:rsidR="00CF33D9" w14:paraId="6808FC87" w14:textId="77777777">
        <w:trPr>
          <w:trHeight w:val="20"/>
        </w:trPr>
        <w:tc>
          <w:tcPr>
            <w:tcW w:w="993" w:type="dxa"/>
            <w:vMerge/>
          </w:tcPr>
          <w:p w14:paraId="6808FC79" w14:textId="77777777" w:rsidR="00CF33D9" w:rsidRDefault="00CF33D9">
            <w:pPr>
              <w:widowControl w:val="0"/>
              <w:spacing w:line="276" w:lineRule="auto"/>
              <w:rPr>
                <w:rFonts w:eastAsia="Calibri"/>
                <w:i/>
                <w:sz w:val="20"/>
                <w:szCs w:val="20"/>
              </w:rPr>
            </w:pPr>
          </w:p>
        </w:tc>
        <w:tc>
          <w:tcPr>
            <w:tcW w:w="1701" w:type="dxa"/>
            <w:vMerge/>
            <w:shd w:val="clear" w:color="auto" w:fill="auto"/>
            <w:vAlign w:val="center"/>
          </w:tcPr>
          <w:p w14:paraId="6808FC7A" w14:textId="77777777" w:rsidR="00CF33D9" w:rsidRDefault="00CF33D9">
            <w:pPr>
              <w:spacing w:after="60"/>
              <w:jc w:val="both"/>
              <w:rPr>
                <w:rFonts w:eastAsia="Calibri"/>
                <w:b/>
                <w:sz w:val="20"/>
                <w:szCs w:val="20"/>
              </w:rPr>
            </w:pPr>
          </w:p>
        </w:tc>
        <w:tc>
          <w:tcPr>
            <w:tcW w:w="1559" w:type="dxa"/>
            <w:shd w:val="clear" w:color="auto" w:fill="auto"/>
          </w:tcPr>
          <w:p w14:paraId="6808FC7B" w14:textId="77777777" w:rsidR="00CF33D9" w:rsidRDefault="00E3332A">
            <w:pPr>
              <w:spacing w:after="60"/>
              <w:jc w:val="both"/>
              <w:rPr>
                <w:rFonts w:eastAsia="Calibri"/>
                <w:b/>
                <w:i/>
                <w:sz w:val="20"/>
                <w:szCs w:val="20"/>
              </w:rPr>
            </w:pPr>
            <w:r>
              <w:rPr>
                <w:rFonts w:eastAsia="Calibri"/>
                <w:b/>
                <w:i/>
                <w:sz w:val="20"/>
                <w:szCs w:val="20"/>
              </w:rPr>
              <w:t>Indicator 20</w:t>
            </w:r>
          </w:p>
          <w:p w14:paraId="6808FC7C" w14:textId="77777777" w:rsidR="00CF33D9" w:rsidRDefault="00E3332A">
            <w:pPr>
              <w:spacing w:after="60"/>
              <w:rPr>
                <w:rFonts w:eastAsia="Calibri"/>
                <w:b/>
                <w:i/>
                <w:sz w:val="20"/>
                <w:szCs w:val="20"/>
              </w:rPr>
            </w:pPr>
            <w:r>
              <w:rPr>
                <w:rFonts w:eastAsia="Calibri"/>
                <w:color w:val="000000"/>
                <w:sz w:val="20"/>
                <w:szCs w:val="20"/>
              </w:rPr>
              <w:t># of BCC pollution hotspots in each country where Phase 2 monitoring has been undertaken</w:t>
            </w:r>
          </w:p>
        </w:tc>
        <w:tc>
          <w:tcPr>
            <w:tcW w:w="1417" w:type="dxa"/>
          </w:tcPr>
          <w:p w14:paraId="6808FC7D" w14:textId="77777777" w:rsidR="00CF33D9" w:rsidRDefault="00E3332A">
            <w:pPr>
              <w:spacing w:after="60"/>
              <w:jc w:val="both"/>
              <w:rPr>
                <w:rFonts w:eastAsia="Calibri"/>
                <w:iCs/>
                <w:sz w:val="20"/>
                <w:szCs w:val="20"/>
              </w:rPr>
            </w:pPr>
            <w:r>
              <w:rPr>
                <w:rFonts w:eastAsia="Calibri"/>
                <w:iCs/>
                <w:sz w:val="20"/>
                <w:szCs w:val="20"/>
                <w:u w:val="single"/>
              </w:rPr>
              <w:t>Mid-term</w:t>
            </w:r>
            <w:r>
              <w:rPr>
                <w:rFonts w:eastAsia="Calibri"/>
                <w:iCs/>
                <w:sz w:val="20"/>
                <w:szCs w:val="20"/>
              </w:rPr>
              <w:t xml:space="preserve">: </w:t>
            </w:r>
          </w:p>
          <w:p w14:paraId="6808FC7E" w14:textId="77777777" w:rsidR="00CF33D9" w:rsidRDefault="00E3332A">
            <w:pPr>
              <w:spacing w:after="60"/>
              <w:rPr>
                <w:rFonts w:eastAsia="Calibri"/>
                <w:iCs/>
                <w:sz w:val="20"/>
                <w:szCs w:val="20"/>
              </w:rPr>
            </w:pPr>
            <w:r>
              <w:rPr>
                <w:rFonts w:eastAsia="Calibri"/>
                <w:iCs/>
                <w:sz w:val="20"/>
                <w:szCs w:val="20"/>
              </w:rPr>
              <w:t>0</w:t>
            </w:r>
          </w:p>
          <w:p w14:paraId="6808FC7F" w14:textId="77777777" w:rsidR="00CF33D9" w:rsidRDefault="00E3332A">
            <w:pPr>
              <w:spacing w:after="60"/>
              <w:jc w:val="both"/>
              <w:rPr>
                <w:rFonts w:eastAsia="Calibri"/>
                <w:i/>
                <w:sz w:val="20"/>
                <w:szCs w:val="20"/>
              </w:rPr>
            </w:pPr>
            <w:r>
              <w:rPr>
                <w:rFonts w:eastAsia="Calibri"/>
                <w:iCs/>
                <w:sz w:val="20"/>
                <w:szCs w:val="20"/>
                <w:u w:val="single"/>
              </w:rPr>
              <w:t>End-of-Project</w:t>
            </w:r>
            <w:r>
              <w:rPr>
                <w:rFonts w:eastAsia="Calibri"/>
                <w:iCs/>
                <w:sz w:val="20"/>
                <w:szCs w:val="20"/>
              </w:rPr>
              <w:t>: 4</w:t>
            </w:r>
          </w:p>
        </w:tc>
        <w:tc>
          <w:tcPr>
            <w:tcW w:w="2268" w:type="dxa"/>
          </w:tcPr>
          <w:p w14:paraId="6808FC80" w14:textId="77777777" w:rsidR="00CF33D9" w:rsidRDefault="00E3332A">
            <w:pPr>
              <w:spacing w:after="60"/>
              <w:rPr>
                <w:rFonts w:eastAsia="Calibri"/>
                <w:iCs/>
                <w:sz w:val="20"/>
                <w:szCs w:val="20"/>
              </w:rPr>
            </w:pPr>
            <w:r>
              <w:rPr>
                <w:rFonts w:eastAsia="Calibri"/>
                <w:iCs/>
                <w:sz w:val="20"/>
                <w:szCs w:val="20"/>
              </w:rPr>
              <w:t xml:space="preserve">Monitoring spots will be expanded which will bring better quality of marine waters. </w:t>
            </w:r>
          </w:p>
        </w:tc>
        <w:tc>
          <w:tcPr>
            <w:tcW w:w="1843" w:type="dxa"/>
            <w:shd w:val="clear" w:color="auto" w:fill="auto"/>
          </w:tcPr>
          <w:p w14:paraId="6808FC81" w14:textId="77777777" w:rsidR="00CF33D9" w:rsidRDefault="00E3332A">
            <w:pPr>
              <w:spacing w:after="60"/>
              <w:rPr>
                <w:rFonts w:eastAsia="Calibri"/>
                <w:i/>
                <w:sz w:val="20"/>
                <w:szCs w:val="20"/>
              </w:rPr>
            </w:pPr>
            <w:r>
              <w:rPr>
                <w:rFonts w:eastAsia="Calibri"/>
                <w:sz w:val="20"/>
                <w:szCs w:val="20"/>
              </w:rPr>
              <w:t>Annually (reported in Development Objective (DO) progress section of the GEF PIR), mid-term, closure</w:t>
            </w:r>
          </w:p>
        </w:tc>
        <w:tc>
          <w:tcPr>
            <w:tcW w:w="1547" w:type="dxa"/>
            <w:shd w:val="clear" w:color="auto" w:fill="auto"/>
          </w:tcPr>
          <w:p w14:paraId="6808FC82" w14:textId="77777777" w:rsidR="00CF33D9" w:rsidRDefault="00E3332A">
            <w:pPr>
              <w:spacing w:after="0"/>
              <w:contextualSpacing/>
              <w:rPr>
                <w:rFonts w:eastAsia="Calibri"/>
                <w:iCs/>
                <w:sz w:val="20"/>
                <w:szCs w:val="20"/>
              </w:rPr>
            </w:pPr>
            <w:r>
              <w:rPr>
                <w:rFonts w:eastAsia="Calibri"/>
                <w:iCs/>
                <w:sz w:val="20"/>
                <w:szCs w:val="20"/>
              </w:rPr>
              <w:t>M&amp;E and KM Expert</w:t>
            </w:r>
          </w:p>
          <w:p w14:paraId="6808FC83" w14:textId="77777777" w:rsidR="00CF33D9" w:rsidRDefault="00CF33D9">
            <w:pPr>
              <w:spacing w:after="0"/>
              <w:contextualSpacing/>
              <w:rPr>
                <w:rFonts w:eastAsia="Calibri"/>
                <w:iCs/>
                <w:sz w:val="20"/>
                <w:szCs w:val="20"/>
              </w:rPr>
            </w:pPr>
          </w:p>
          <w:p w14:paraId="6808FC84" w14:textId="77777777" w:rsidR="00CF33D9" w:rsidRDefault="00E3332A">
            <w:pPr>
              <w:spacing w:after="0"/>
              <w:contextualSpacing/>
              <w:rPr>
                <w:rFonts w:eastAsia="Calibri"/>
                <w:iCs/>
                <w:sz w:val="20"/>
                <w:szCs w:val="20"/>
              </w:rPr>
            </w:pPr>
            <w:r>
              <w:rPr>
                <w:rFonts w:eastAsia="Calibri"/>
                <w:iCs/>
                <w:sz w:val="20"/>
                <w:szCs w:val="20"/>
              </w:rPr>
              <w:t>Marine pollution expert</w:t>
            </w:r>
          </w:p>
          <w:p w14:paraId="6808FC85" w14:textId="77777777" w:rsidR="00CF33D9" w:rsidRDefault="00CF33D9">
            <w:pPr>
              <w:spacing w:after="60"/>
              <w:jc w:val="both"/>
              <w:rPr>
                <w:rFonts w:eastAsia="Calibri"/>
                <w:i/>
                <w:sz w:val="20"/>
                <w:szCs w:val="20"/>
              </w:rPr>
            </w:pPr>
          </w:p>
        </w:tc>
        <w:tc>
          <w:tcPr>
            <w:tcW w:w="1990" w:type="dxa"/>
            <w:shd w:val="clear" w:color="auto" w:fill="auto"/>
          </w:tcPr>
          <w:p w14:paraId="6808FC86" w14:textId="77777777" w:rsidR="00CF33D9" w:rsidRDefault="00E3332A">
            <w:pPr>
              <w:spacing w:after="60"/>
              <w:rPr>
                <w:rFonts w:eastAsia="Calibri"/>
                <w:i/>
                <w:sz w:val="20"/>
                <w:szCs w:val="20"/>
              </w:rPr>
            </w:pPr>
            <w:r>
              <w:rPr>
                <w:rFonts w:eastAsia="Calibri"/>
                <w:sz w:val="20"/>
                <w:szCs w:val="20"/>
              </w:rPr>
              <w:t>Monitoring survey records and reports</w:t>
            </w:r>
          </w:p>
        </w:tc>
      </w:tr>
      <w:tr w:rsidR="00CF33D9" w14:paraId="6808FC9A" w14:textId="77777777">
        <w:trPr>
          <w:trHeight w:val="20"/>
        </w:trPr>
        <w:tc>
          <w:tcPr>
            <w:tcW w:w="993" w:type="dxa"/>
            <w:vMerge/>
          </w:tcPr>
          <w:p w14:paraId="6808FC88" w14:textId="77777777" w:rsidR="00CF33D9" w:rsidRDefault="00CF33D9">
            <w:pPr>
              <w:widowControl w:val="0"/>
              <w:spacing w:line="276" w:lineRule="auto"/>
              <w:rPr>
                <w:rFonts w:eastAsia="Calibri"/>
                <w:i/>
                <w:sz w:val="20"/>
                <w:szCs w:val="20"/>
              </w:rPr>
            </w:pPr>
          </w:p>
        </w:tc>
        <w:tc>
          <w:tcPr>
            <w:tcW w:w="1701" w:type="dxa"/>
            <w:vMerge w:val="restart"/>
            <w:shd w:val="clear" w:color="auto" w:fill="auto"/>
          </w:tcPr>
          <w:p w14:paraId="6808FC89" w14:textId="77777777" w:rsidR="00CF33D9" w:rsidRDefault="00E3332A">
            <w:pPr>
              <w:spacing w:after="60"/>
              <w:rPr>
                <w:rFonts w:eastAsia="Calibri"/>
                <w:b/>
                <w:sz w:val="20"/>
                <w:szCs w:val="20"/>
              </w:rPr>
            </w:pPr>
            <w:r>
              <w:rPr>
                <w:rFonts w:eastAsia="Calibri"/>
                <w:b/>
                <w:sz w:val="20"/>
                <w:szCs w:val="20"/>
              </w:rPr>
              <w:t xml:space="preserve">Project Outcome </w:t>
            </w:r>
            <w:r>
              <w:rPr>
                <w:rFonts w:eastAsia="Calibri"/>
                <w:b/>
                <w:color w:val="000000"/>
                <w:sz w:val="20"/>
                <w:szCs w:val="20"/>
              </w:rPr>
              <w:t xml:space="preserve">4.1: </w:t>
            </w:r>
            <w:r>
              <w:rPr>
                <w:rFonts w:eastAsia="Calibri"/>
                <w:bCs/>
                <w:color w:val="000000"/>
                <w:sz w:val="20"/>
                <w:szCs w:val="20"/>
              </w:rPr>
              <w:t xml:space="preserve">Policy, regulatory and institutional capacity for boosting sustainable innovative blue/ocean </w:t>
            </w:r>
            <w:r>
              <w:rPr>
                <w:rFonts w:eastAsia="Calibri"/>
                <w:bCs/>
                <w:color w:val="000000"/>
                <w:sz w:val="20"/>
                <w:szCs w:val="20"/>
              </w:rPr>
              <w:lastRenderedPageBreak/>
              <w:t>economy finance strengthened (within the framework of a Circular Economy)</w:t>
            </w:r>
          </w:p>
        </w:tc>
        <w:tc>
          <w:tcPr>
            <w:tcW w:w="1559" w:type="dxa"/>
            <w:shd w:val="clear" w:color="auto" w:fill="auto"/>
          </w:tcPr>
          <w:p w14:paraId="6808FC8A" w14:textId="77777777" w:rsidR="00CF33D9" w:rsidRDefault="00E3332A">
            <w:pPr>
              <w:spacing w:after="60"/>
              <w:jc w:val="both"/>
              <w:rPr>
                <w:rFonts w:eastAsia="Calibri"/>
                <w:b/>
                <w:i/>
                <w:sz w:val="20"/>
                <w:szCs w:val="20"/>
              </w:rPr>
            </w:pPr>
            <w:r>
              <w:rPr>
                <w:rFonts w:eastAsia="Calibri"/>
                <w:b/>
                <w:i/>
                <w:sz w:val="20"/>
                <w:szCs w:val="20"/>
              </w:rPr>
              <w:lastRenderedPageBreak/>
              <w:t>Indicator 21</w:t>
            </w:r>
          </w:p>
          <w:p w14:paraId="6808FC8B" w14:textId="77777777" w:rsidR="00CF33D9" w:rsidRDefault="00E3332A">
            <w:pPr>
              <w:spacing w:after="60"/>
              <w:rPr>
                <w:rFonts w:eastAsia="Calibri"/>
                <w:b/>
                <w:i/>
                <w:sz w:val="20"/>
                <w:szCs w:val="20"/>
              </w:rPr>
            </w:pPr>
            <w:r>
              <w:rPr>
                <w:rFonts w:eastAsia="Calibri"/>
                <w:color w:val="000000"/>
                <w:sz w:val="20"/>
                <w:szCs w:val="20"/>
              </w:rPr>
              <w:t># of policies developed and/or strengthened for sustainable blue/ocean economy finance</w:t>
            </w:r>
          </w:p>
        </w:tc>
        <w:tc>
          <w:tcPr>
            <w:tcW w:w="1417" w:type="dxa"/>
          </w:tcPr>
          <w:p w14:paraId="6808FC8C" w14:textId="77777777" w:rsidR="00CF33D9" w:rsidRDefault="00E3332A">
            <w:pPr>
              <w:spacing w:after="60"/>
              <w:jc w:val="both"/>
              <w:rPr>
                <w:rFonts w:eastAsia="Calibri"/>
                <w:iCs/>
                <w:sz w:val="20"/>
                <w:szCs w:val="20"/>
              </w:rPr>
            </w:pPr>
            <w:r>
              <w:rPr>
                <w:rFonts w:eastAsia="Calibri"/>
                <w:iCs/>
                <w:sz w:val="20"/>
                <w:szCs w:val="20"/>
                <w:u w:val="single"/>
              </w:rPr>
              <w:t>Mid-term</w:t>
            </w:r>
            <w:r>
              <w:rPr>
                <w:rFonts w:eastAsia="Calibri"/>
                <w:iCs/>
                <w:sz w:val="20"/>
                <w:szCs w:val="20"/>
              </w:rPr>
              <w:t xml:space="preserve">: </w:t>
            </w:r>
          </w:p>
          <w:p w14:paraId="6808FC8D" w14:textId="77777777" w:rsidR="00CF33D9" w:rsidRDefault="00E3332A">
            <w:pPr>
              <w:spacing w:after="0"/>
              <w:contextualSpacing/>
              <w:rPr>
                <w:rFonts w:eastAsia="Calibri"/>
                <w:sz w:val="20"/>
                <w:szCs w:val="20"/>
              </w:rPr>
            </w:pPr>
            <w:r>
              <w:rPr>
                <w:rFonts w:eastAsia="Calibri"/>
                <w:sz w:val="20"/>
                <w:szCs w:val="20"/>
              </w:rPr>
              <w:t>3</w:t>
            </w:r>
          </w:p>
          <w:p w14:paraId="6808FC8E" w14:textId="77777777" w:rsidR="00CF33D9" w:rsidRDefault="00E3332A">
            <w:pPr>
              <w:spacing w:after="0"/>
              <w:contextualSpacing/>
              <w:rPr>
                <w:rFonts w:eastAsia="Calibri"/>
                <w:iCs/>
                <w:sz w:val="20"/>
                <w:szCs w:val="20"/>
                <w:u w:val="single"/>
              </w:rPr>
            </w:pPr>
            <w:r>
              <w:rPr>
                <w:rFonts w:eastAsia="Calibri"/>
                <w:sz w:val="20"/>
                <w:szCs w:val="20"/>
              </w:rPr>
              <w:t xml:space="preserve">At least 1 designed/ developed policy and/or strengthened blue/ocean economy </w:t>
            </w:r>
            <w:r>
              <w:rPr>
                <w:rFonts w:eastAsia="Calibri"/>
                <w:sz w:val="20"/>
                <w:szCs w:val="20"/>
              </w:rPr>
              <w:lastRenderedPageBreak/>
              <w:t>finance developed by each country</w:t>
            </w:r>
            <w:r>
              <w:rPr>
                <w:rFonts w:eastAsia="Calibri"/>
                <w:iCs/>
                <w:sz w:val="20"/>
                <w:szCs w:val="20"/>
                <w:u w:val="single"/>
              </w:rPr>
              <w:t xml:space="preserve"> </w:t>
            </w:r>
          </w:p>
          <w:p w14:paraId="6808FC8F" w14:textId="77777777" w:rsidR="00CF33D9" w:rsidRDefault="00CF33D9">
            <w:pPr>
              <w:spacing w:after="0"/>
              <w:contextualSpacing/>
              <w:rPr>
                <w:rFonts w:eastAsia="Calibri"/>
                <w:iCs/>
                <w:sz w:val="20"/>
                <w:szCs w:val="20"/>
                <w:u w:val="single"/>
              </w:rPr>
            </w:pPr>
          </w:p>
          <w:p w14:paraId="6808FC90" w14:textId="77777777" w:rsidR="00CF33D9" w:rsidRDefault="00E3332A">
            <w:pPr>
              <w:spacing w:after="0"/>
              <w:contextualSpacing/>
              <w:rPr>
                <w:rFonts w:eastAsia="Calibri"/>
                <w:iCs/>
                <w:sz w:val="20"/>
                <w:szCs w:val="20"/>
              </w:rPr>
            </w:pPr>
            <w:r>
              <w:rPr>
                <w:rFonts w:eastAsia="Calibri"/>
                <w:iCs/>
                <w:sz w:val="20"/>
                <w:szCs w:val="20"/>
                <w:u w:val="single"/>
              </w:rPr>
              <w:t>End-of-Project</w:t>
            </w:r>
            <w:r>
              <w:rPr>
                <w:rFonts w:eastAsia="Calibri"/>
                <w:iCs/>
                <w:sz w:val="20"/>
                <w:szCs w:val="20"/>
              </w:rPr>
              <w:t>: 6</w:t>
            </w:r>
          </w:p>
          <w:p w14:paraId="6808FC91" w14:textId="77777777" w:rsidR="00CF33D9" w:rsidRDefault="00E3332A">
            <w:pPr>
              <w:spacing w:after="0"/>
              <w:contextualSpacing/>
              <w:rPr>
                <w:rFonts w:eastAsia="Calibri"/>
                <w:i/>
                <w:sz w:val="20"/>
                <w:szCs w:val="20"/>
              </w:rPr>
            </w:pPr>
            <w:r>
              <w:rPr>
                <w:rFonts w:eastAsia="Calibri"/>
                <w:sz w:val="20"/>
                <w:szCs w:val="20"/>
              </w:rPr>
              <w:t>At least 2 developed policy and/or strengthened blue/ocean economy finance adopted by each country</w:t>
            </w:r>
          </w:p>
        </w:tc>
        <w:tc>
          <w:tcPr>
            <w:tcW w:w="2268" w:type="dxa"/>
          </w:tcPr>
          <w:p w14:paraId="6808FC92" w14:textId="77777777" w:rsidR="00CF33D9" w:rsidRDefault="00E3332A">
            <w:pPr>
              <w:spacing w:after="60"/>
              <w:rPr>
                <w:rFonts w:eastAsia="Calibri"/>
                <w:i/>
                <w:sz w:val="20"/>
                <w:szCs w:val="20"/>
              </w:rPr>
            </w:pPr>
            <w:r>
              <w:rPr>
                <w:rFonts w:eastAsia="Calibri"/>
                <w:color w:val="000000"/>
                <w:sz w:val="20"/>
                <w:szCs w:val="20"/>
              </w:rPr>
              <w:lastRenderedPageBreak/>
              <w:t xml:space="preserve">The aim is to refine and improve policies and strategies related to the sustainable blue/ocean economy and develop innovative and sustainable financial products and solutions that support the broader </w:t>
            </w:r>
            <w:r>
              <w:rPr>
                <w:rFonts w:eastAsia="Calibri"/>
                <w:color w:val="000000"/>
                <w:sz w:val="20"/>
                <w:szCs w:val="20"/>
              </w:rPr>
              <w:lastRenderedPageBreak/>
              <w:t>objectives of the blue/ocean economy. The process will strengthen existing policies, but also lead to the creation of new policies in line with the principles of sustainability and innovation in the blue/ocean economy.</w:t>
            </w:r>
          </w:p>
        </w:tc>
        <w:tc>
          <w:tcPr>
            <w:tcW w:w="1843" w:type="dxa"/>
            <w:shd w:val="clear" w:color="auto" w:fill="auto"/>
          </w:tcPr>
          <w:p w14:paraId="6808FC93" w14:textId="77777777" w:rsidR="00CF33D9" w:rsidRDefault="00E3332A">
            <w:pPr>
              <w:spacing w:after="60"/>
              <w:rPr>
                <w:rFonts w:eastAsia="Calibri"/>
                <w:i/>
                <w:sz w:val="20"/>
                <w:szCs w:val="20"/>
              </w:rPr>
            </w:pPr>
            <w:r>
              <w:rPr>
                <w:rFonts w:eastAsia="Calibri"/>
                <w:color w:val="000000"/>
                <w:sz w:val="20"/>
                <w:szCs w:val="20"/>
              </w:rPr>
              <w:lastRenderedPageBreak/>
              <w:t>Midpoint and end of the project</w:t>
            </w:r>
          </w:p>
        </w:tc>
        <w:tc>
          <w:tcPr>
            <w:tcW w:w="1547" w:type="dxa"/>
            <w:shd w:val="clear" w:color="auto" w:fill="auto"/>
          </w:tcPr>
          <w:p w14:paraId="6808FC94" w14:textId="77777777" w:rsidR="00CF33D9" w:rsidRDefault="00E3332A">
            <w:pPr>
              <w:spacing w:after="0"/>
              <w:contextualSpacing/>
              <w:rPr>
                <w:rFonts w:eastAsia="Calibri"/>
                <w:iCs/>
                <w:sz w:val="20"/>
                <w:szCs w:val="20"/>
              </w:rPr>
            </w:pPr>
            <w:r>
              <w:rPr>
                <w:rFonts w:eastAsia="Calibri"/>
                <w:iCs/>
                <w:sz w:val="20"/>
                <w:szCs w:val="20"/>
              </w:rPr>
              <w:t>M&amp;E and KM Expert</w:t>
            </w:r>
          </w:p>
          <w:p w14:paraId="6808FC95" w14:textId="77777777" w:rsidR="00CF33D9" w:rsidRDefault="00CF33D9">
            <w:pPr>
              <w:spacing w:after="0"/>
              <w:contextualSpacing/>
              <w:rPr>
                <w:rFonts w:eastAsia="Calibri"/>
                <w:iCs/>
                <w:sz w:val="20"/>
                <w:szCs w:val="20"/>
              </w:rPr>
            </w:pPr>
          </w:p>
          <w:p w14:paraId="6808FC96" w14:textId="77777777" w:rsidR="00CF33D9" w:rsidRDefault="00E3332A">
            <w:pPr>
              <w:contextualSpacing/>
              <w:rPr>
                <w:rFonts w:eastAsia="Calibri"/>
                <w:iCs/>
                <w:sz w:val="20"/>
                <w:szCs w:val="20"/>
              </w:rPr>
            </w:pPr>
            <w:r>
              <w:rPr>
                <w:rFonts w:eastAsia="Calibri"/>
                <w:iCs/>
                <w:sz w:val="20"/>
                <w:szCs w:val="20"/>
              </w:rPr>
              <w:t>SBE expert</w:t>
            </w:r>
          </w:p>
        </w:tc>
        <w:tc>
          <w:tcPr>
            <w:tcW w:w="1990" w:type="dxa"/>
            <w:shd w:val="clear" w:color="auto" w:fill="auto"/>
          </w:tcPr>
          <w:p w14:paraId="6808FC97" w14:textId="77777777" w:rsidR="00CF33D9" w:rsidRDefault="00E3332A">
            <w:pPr>
              <w:pStyle w:val="ListParagraph"/>
              <w:numPr>
                <w:ilvl w:val="0"/>
                <w:numId w:val="52"/>
              </w:numPr>
              <w:ind w:left="187" w:hanging="187"/>
              <w:contextualSpacing/>
              <w:rPr>
                <w:rFonts w:eastAsia="Calibri"/>
                <w:sz w:val="20"/>
                <w:szCs w:val="20"/>
              </w:rPr>
            </w:pPr>
            <w:r>
              <w:rPr>
                <w:rFonts w:eastAsia="Calibri"/>
                <w:sz w:val="20"/>
                <w:szCs w:val="20"/>
              </w:rPr>
              <w:t>Gazette notices of new regulations</w:t>
            </w:r>
          </w:p>
          <w:p w14:paraId="6808FC98" w14:textId="77777777" w:rsidR="00CF33D9" w:rsidRDefault="00E3332A">
            <w:pPr>
              <w:pStyle w:val="ListParagraph"/>
              <w:numPr>
                <w:ilvl w:val="0"/>
                <w:numId w:val="52"/>
              </w:numPr>
              <w:ind w:left="187" w:hanging="187"/>
              <w:contextualSpacing/>
              <w:rPr>
                <w:rFonts w:eastAsia="Calibri"/>
                <w:sz w:val="20"/>
                <w:szCs w:val="20"/>
              </w:rPr>
            </w:pPr>
            <w:r>
              <w:rPr>
                <w:rFonts w:eastAsia="Calibri"/>
                <w:sz w:val="20"/>
                <w:szCs w:val="20"/>
              </w:rPr>
              <w:t>C</w:t>
            </w:r>
            <w:r>
              <w:rPr>
                <w:rFonts w:eastAsia="Calibri"/>
                <w:color w:val="000000"/>
                <w:sz w:val="20"/>
                <w:szCs w:val="20"/>
              </w:rPr>
              <w:t>onsultation reports</w:t>
            </w:r>
          </w:p>
          <w:p w14:paraId="6808FC99" w14:textId="77777777" w:rsidR="00CF33D9" w:rsidRDefault="00E3332A">
            <w:pPr>
              <w:pStyle w:val="ListParagraph"/>
              <w:numPr>
                <w:ilvl w:val="0"/>
                <w:numId w:val="52"/>
              </w:numPr>
              <w:ind w:left="187" w:hanging="187"/>
              <w:contextualSpacing/>
              <w:jc w:val="both"/>
              <w:rPr>
                <w:rFonts w:eastAsia="Calibri"/>
                <w:i/>
                <w:sz w:val="20"/>
                <w:szCs w:val="20"/>
              </w:rPr>
            </w:pPr>
            <w:r>
              <w:rPr>
                <w:rFonts w:eastAsia="Calibri"/>
                <w:color w:val="000000"/>
                <w:sz w:val="20"/>
                <w:szCs w:val="20"/>
              </w:rPr>
              <w:t>Attendance registers</w:t>
            </w:r>
          </w:p>
        </w:tc>
      </w:tr>
      <w:tr w:rsidR="00CF33D9" w14:paraId="6808FCAC" w14:textId="77777777">
        <w:trPr>
          <w:trHeight w:val="20"/>
        </w:trPr>
        <w:tc>
          <w:tcPr>
            <w:tcW w:w="993" w:type="dxa"/>
            <w:vMerge/>
          </w:tcPr>
          <w:p w14:paraId="6808FC9B" w14:textId="77777777" w:rsidR="00CF33D9" w:rsidRDefault="00CF33D9">
            <w:pPr>
              <w:widowControl w:val="0"/>
              <w:spacing w:line="276" w:lineRule="auto"/>
              <w:rPr>
                <w:rFonts w:eastAsia="Calibri"/>
                <w:i/>
                <w:sz w:val="20"/>
                <w:szCs w:val="20"/>
              </w:rPr>
            </w:pPr>
          </w:p>
        </w:tc>
        <w:tc>
          <w:tcPr>
            <w:tcW w:w="1701" w:type="dxa"/>
            <w:vMerge/>
            <w:shd w:val="clear" w:color="auto" w:fill="auto"/>
            <w:vAlign w:val="center"/>
          </w:tcPr>
          <w:p w14:paraId="6808FC9C" w14:textId="77777777" w:rsidR="00CF33D9" w:rsidRDefault="00CF33D9">
            <w:pPr>
              <w:spacing w:after="60"/>
              <w:jc w:val="both"/>
              <w:rPr>
                <w:rFonts w:eastAsia="Calibri"/>
                <w:b/>
                <w:sz w:val="20"/>
                <w:szCs w:val="20"/>
              </w:rPr>
            </w:pPr>
          </w:p>
        </w:tc>
        <w:tc>
          <w:tcPr>
            <w:tcW w:w="1559" w:type="dxa"/>
            <w:shd w:val="clear" w:color="auto" w:fill="auto"/>
          </w:tcPr>
          <w:p w14:paraId="6808FC9D" w14:textId="77777777" w:rsidR="00CF33D9" w:rsidRDefault="00E3332A">
            <w:pPr>
              <w:spacing w:after="60"/>
              <w:jc w:val="both"/>
              <w:rPr>
                <w:rFonts w:eastAsia="Calibri"/>
                <w:b/>
                <w:i/>
                <w:sz w:val="20"/>
                <w:szCs w:val="20"/>
              </w:rPr>
            </w:pPr>
            <w:r>
              <w:rPr>
                <w:rFonts w:eastAsia="Calibri"/>
                <w:b/>
                <w:i/>
                <w:sz w:val="20"/>
                <w:szCs w:val="20"/>
              </w:rPr>
              <w:t>Indicator 22</w:t>
            </w:r>
          </w:p>
          <w:p w14:paraId="6808FC9E" w14:textId="77777777" w:rsidR="00CF33D9" w:rsidRDefault="00E3332A">
            <w:pPr>
              <w:spacing w:after="60"/>
              <w:rPr>
                <w:rFonts w:eastAsia="Calibri"/>
                <w:b/>
                <w:i/>
                <w:sz w:val="20"/>
                <w:szCs w:val="20"/>
              </w:rPr>
            </w:pPr>
            <w:r>
              <w:rPr>
                <w:rFonts w:eastAsia="Calibri"/>
                <w:color w:val="000000"/>
                <w:sz w:val="20"/>
                <w:szCs w:val="20"/>
              </w:rPr>
              <w:t># of sectors and stakeholders (sex disaggregated) consulted and capacitated in implementing innovative blue economy projects</w:t>
            </w:r>
          </w:p>
        </w:tc>
        <w:tc>
          <w:tcPr>
            <w:tcW w:w="1417" w:type="dxa"/>
          </w:tcPr>
          <w:p w14:paraId="6808FC9F" w14:textId="77777777" w:rsidR="00CF33D9" w:rsidRDefault="00E3332A">
            <w:pPr>
              <w:spacing w:after="60"/>
              <w:jc w:val="both"/>
              <w:rPr>
                <w:rFonts w:eastAsia="Calibri"/>
                <w:iCs/>
                <w:sz w:val="20"/>
                <w:szCs w:val="20"/>
              </w:rPr>
            </w:pPr>
            <w:r>
              <w:rPr>
                <w:rFonts w:eastAsia="Calibri"/>
                <w:iCs/>
                <w:sz w:val="20"/>
                <w:szCs w:val="20"/>
                <w:u w:val="single"/>
              </w:rPr>
              <w:t>Mid-term</w:t>
            </w:r>
            <w:r>
              <w:rPr>
                <w:rFonts w:eastAsia="Calibri"/>
                <w:iCs/>
                <w:sz w:val="20"/>
                <w:szCs w:val="20"/>
              </w:rPr>
              <w:t xml:space="preserve">: </w:t>
            </w:r>
          </w:p>
          <w:p w14:paraId="6808FCA0" w14:textId="77777777" w:rsidR="00CF33D9" w:rsidRDefault="00E3332A">
            <w:pPr>
              <w:rPr>
                <w:rFonts w:eastAsia="Calibri"/>
                <w:color w:val="000000"/>
                <w:sz w:val="20"/>
                <w:szCs w:val="20"/>
              </w:rPr>
            </w:pPr>
            <w:r>
              <w:rPr>
                <w:rFonts w:eastAsia="Calibri"/>
                <w:color w:val="000000"/>
                <w:sz w:val="20"/>
                <w:szCs w:val="20"/>
              </w:rPr>
              <w:t>2000 (in each country)</w:t>
            </w:r>
          </w:p>
          <w:p w14:paraId="6808FCA1" w14:textId="77777777" w:rsidR="00CF33D9" w:rsidRDefault="00E3332A">
            <w:pPr>
              <w:spacing w:after="60"/>
              <w:rPr>
                <w:rFonts w:eastAsia="Calibri"/>
                <w:i/>
                <w:sz w:val="20"/>
                <w:szCs w:val="20"/>
              </w:rPr>
            </w:pPr>
            <w:r>
              <w:rPr>
                <w:rFonts w:eastAsia="Calibri"/>
                <w:iCs/>
                <w:sz w:val="20"/>
                <w:szCs w:val="20"/>
                <w:u w:val="single"/>
              </w:rPr>
              <w:t>End-of-Project</w:t>
            </w:r>
            <w:r>
              <w:rPr>
                <w:rFonts w:eastAsia="Calibri"/>
                <w:iCs/>
                <w:sz w:val="20"/>
                <w:szCs w:val="20"/>
              </w:rPr>
              <w:t xml:space="preserve">: </w:t>
            </w:r>
            <w:r>
              <w:rPr>
                <w:rFonts w:eastAsia="Calibri"/>
                <w:color w:val="000000"/>
                <w:sz w:val="20"/>
                <w:szCs w:val="20"/>
              </w:rPr>
              <w:t>4000 (in each country)</w:t>
            </w:r>
          </w:p>
        </w:tc>
        <w:tc>
          <w:tcPr>
            <w:tcW w:w="2268" w:type="dxa"/>
          </w:tcPr>
          <w:p w14:paraId="6808FCA2" w14:textId="77777777" w:rsidR="00CF33D9" w:rsidRDefault="00E3332A">
            <w:pPr>
              <w:rPr>
                <w:rFonts w:eastAsia="Calibri"/>
                <w:i/>
                <w:sz w:val="20"/>
                <w:szCs w:val="20"/>
              </w:rPr>
            </w:pPr>
            <w:r>
              <w:rPr>
                <w:rFonts w:eastAsia="Calibri"/>
                <w:color w:val="000000"/>
                <w:sz w:val="20"/>
                <w:szCs w:val="20"/>
              </w:rPr>
              <w:t>Approximately 91 million people reside in the BCLME region and involvement of stakeholders from varying sectors and private sectors in BCLME is critical. BCC engagement platforms (Working Groups, Forums etc.) will be used</w:t>
            </w:r>
          </w:p>
        </w:tc>
        <w:tc>
          <w:tcPr>
            <w:tcW w:w="1843" w:type="dxa"/>
            <w:shd w:val="clear" w:color="auto" w:fill="auto"/>
          </w:tcPr>
          <w:p w14:paraId="6808FCA3" w14:textId="77777777" w:rsidR="00CF33D9" w:rsidRDefault="00E3332A">
            <w:pPr>
              <w:spacing w:after="60"/>
              <w:rPr>
                <w:rFonts w:eastAsia="Calibri"/>
                <w:i/>
                <w:sz w:val="20"/>
                <w:szCs w:val="20"/>
              </w:rPr>
            </w:pPr>
            <w:r>
              <w:rPr>
                <w:rFonts w:eastAsia="Calibri"/>
                <w:sz w:val="20"/>
                <w:szCs w:val="20"/>
              </w:rPr>
              <w:t>Annually (reported in Development Objective (DO) progress section of the GEF PIR), mid-term, closure</w:t>
            </w:r>
          </w:p>
        </w:tc>
        <w:tc>
          <w:tcPr>
            <w:tcW w:w="1547" w:type="dxa"/>
            <w:shd w:val="clear" w:color="auto" w:fill="auto"/>
          </w:tcPr>
          <w:p w14:paraId="6808FCA4" w14:textId="77777777" w:rsidR="00CF33D9" w:rsidRDefault="00E3332A">
            <w:pPr>
              <w:spacing w:after="0"/>
              <w:contextualSpacing/>
              <w:rPr>
                <w:rFonts w:eastAsia="Calibri"/>
                <w:iCs/>
                <w:sz w:val="20"/>
                <w:szCs w:val="20"/>
              </w:rPr>
            </w:pPr>
            <w:r>
              <w:rPr>
                <w:rFonts w:eastAsia="Calibri"/>
                <w:iCs/>
                <w:sz w:val="20"/>
                <w:szCs w:val="20"/>
              </w:rPr>
              <w:t>M&amp;E and KM Expert</w:t>
            </w:r>
          </w:p>
          <w:p w14:paraId="6808FCA5" w14:textId="77777777" w:rsidR="00CF33D9" w:rsidRDefault="00E3332A">
            <w:pPr>
              <w:spacing w:after="0"/>
              <w:contextualSpacing/>
              <w:rPr>
                <w:rFonts w:eastAsia="Calibri"/>
                <w:iCs/>
                <w:sz w:val="20"/>
                <w:szCs w:val="20"/>
              </w:rPr>
            </w:pPr>
            <w:r>
              <w:rPr>
                <w:rFonts w:eastAsia="Calibri"/>
                <w:iCs/>
                <w:sz w:val="20"/>
                <w:szCs w:val="20"/>
              </w:rPr>
              <w:t>Gender expert</w:t>
            </w:r>
          </w:p>
          <w:p w14:paraId="6808FCA6" w14:textId="77777777" w:rsidR="00CF33D9" w:rsidRDefault="00E3332A">
            <w:pPr>
              <w:spacing w:after="0"/>
              <w:contextualSpacing/>
              <w:rPr>
                <w:rFonts w:eastAsia="Calibri"/>
                <w:iCs/>
                <w:sz w:val="20"/>
                <w:szCs w:val="20"/>
              </w:rPr>
            </w:pPr>
            <w:r>
              <w:rPr>
                <w:rFonts w:eastAsia="Calibri"/>
                <w:iCs/>
                <w:sz w:val="20"/>
                <w:szCs w:val="20"/>
              </w:rPr>
              <w:t>Communications expert</w:t>
            </w:r>
          </w:p>
          <w:p w14:paraId="6808FCA7" w14:textId="77777777" w:rsidR="00CF33D9" w:rsidRDefault="00CF33D9">
            <w:pPr>
              <w:spacing w:after="60"/>
              <w:jc w:val="both"/>
              <w:rPr>
                <w:rFonts w:eastAsia="Calibri"/>
                <w:i/>
                <w:sz w:val="20"/>
                <w:szCs w:val="20"/>
              </w:rPr>
            </w:pPr>
          </w:p>
        </w:tc>
        <w:tc>
          <w:tcPr>
            <w:tcW w:w="1990" w:type="dxa"/>
            <w:shd w:val="clear" w:color="auto" w:fill="auto"/>
          </w:tcPr>
          <w:p w14:paraId="6808FCA8" w14:textId="77777777" w:rsidR="00CF33D9" w:rsidRDefault="00E3332A">
            <w:pPr>
              <w:pStyle w:val="ListParagraph"/>
              <w:numPr>
                <w:ilvl w:val="0"/>
                <w:numId w:val="53"/>
              </w:numPr>
              <w:ind w:left="187" w:hanging="187"/>
              <w:rPr>
                <w:rFonts w:eastAsia="Calibri"/>
                <w:color w:val="000000"/>
                <w:sz w:val="20"/>
                <w:szCs w:val="20"/>
              </w:rPr>
            </w:pPr>
            <w:r>
              <w:rPr>
                <w:rFonts w:eastAsia="Calibri"/>
                <w:color w:val="000000"/>
                <w:sz w:val="20"/>
                <w:szCs w:val="20"/>
              </w:rPr>
              <w:t>Attendance registers for engagements</w:t>
            </w:r>
          </w:p>
          <w:p w14:paraId="6808FCA9" w14:textId="77777777" w:rsidR="00CF33D9" w:rsidRDefault="00E3332A">
            <w:pPr>
              <w:pStyle w:val="ListParagraph"/>
              <w:numPr>
                <w:ilvl w:val="0"/>
                <w:numId w:val="53"/>
              </w:numPr>
              <w:ind w:left="187" w:hanging="187"/>
              <w:rPr>
                <w:rFonts w:eastAsia="Calibri"/>
                <w:color w:val="000000"/>
                <w:sz w:val="20"/>
                <w:szCs w:val="20"/>
              </w:rPr>
            </w:pPr>
            <w:r>
              <w:rPr>
                <w:rFonts w:eastAsia="Calibri"/>
                <w:color w:val="000000"/>
                <w:sz w:val="20"/>
                <w:szCs w:val="20"/>
              </w:rPr>
              <w:t>Training/ workshop reports</w:t>
            </w:r>
          </w:p>
          <w:p w14:paraId="6808FCAA" w14:textId="77777777" w:rsidR="00CF33D9" w:rsidRDefault="00CF33D9">
            <w:pPr>
              <w:rPr>
                <w:rFonts w:eastAsia="Calibri"/>
                <w:i/>
                <w:sz w:val="20"/>
                <w:szCs w:val="20"/>
              </w:rPr>
            </w:pPr>
          </w:p>
          <w:p w14:paraId="6808FCAB" w14:textId="77777777" w:rsidR="00CF33D9" w:rsidRDefault="00CF33D9">
            <w:pPr>
              <w:spacing w:after="60"/>
              <w:jc w:val="both"/>
              <w:rPr>
                <w:rFonts w:eastAsia="Calibri"/>
                <w:i/>
                <w:sz w:val="20"/>
                <w:szCs w:val="20"/>
              </w:rPr>
            </w:pPr>
          </w:p>
        </w:tc>
      </w:tr>
      <w:tr w:rsidR="00CF33D9" w14:paraId="6808FCBC" w14:textId="77777777">
        <w:trPr>
          <w:trHeight w:val="20"/>
        </w:trPr>
        <w:tc>
          <w:tcPr>
            <w:tcW w:w="993" w:type="dxa"/>
            <w:vMerge/>
          </w:tcPr>
          <w:p w14:paraId="6808FCAD" w14:textId="77777777" w:rsidR="00CF33D9" w:rsidRDefault="00CF33D9">
            <w:pPr>
              <w:widowControl w:val="0"/>
              <w:spacing w:line="276" w:lineRule="auto"/>
              <w:rPr>
                <w:rFonts w:eastAsia="Calibri"/>
                <w:i/>
                <w:sz w:val="20"/>
                <w:szCs w:val="20"/>
              </w:rPr>
            </w:pPr>
          </w:p>
        </w:tc>
        <w:tc>
          <w:tcPr>
            <w:tcW w:w="1701" w:type="dxa"/>
            <w:vMerge w:val="restart"/>
            <w:shd w:val="clear" w:color="auto" w:fill="auto"/>
          </w:tcPr>
          <w:p w14:paraId="6808FCAE" w14:textId="77777777" w:rsidR="00CF33D9" w:rsidRDefault="00E3332A">
            <w:pPr>
              <w:spacing w:after="60"/>
              <w:rPr>
                <w:rFonts w:eastAsia="Calibri"/>
                <w:b/>
                <w:sz w:val="20"/>
                <w:szCs w:val="20"/>
              </w:rPr>
            </w:pPr>
            <w:r>
              <w:rPr>
                <w:rFonts w:eastAsia="Calibri"/>
                <w:b/>
                <w:sz w:val="20"/>
                <w:szCs w:val="20"/>
              </w:rPr>
              <w:t xml:space="preserve">Project Outcome 4.2: </w:t>
            </w:r>
            <w:r>
              <w:rPr>
                <w:rFonts w:eastAsia="Calibri"/>
                <w:bCs/>
                <w:color w:val="000000"/>
                <w:sz w:val="20"/>
                <w:szCs w:val="20"/>
              </w:rPr>
              <w:t xml:space="preserve">Innovative sustainable blue/ocean </w:t>
            </w:r>
            <w:r>
              <w:rPr>
                <w:rFonts w:eastAsia="Calibri"/>
                <w:bCs/>
                <w:color w:val="000000"/>
                <w:sz w:val="20"/>
                <w:szCs w:val="20"/>
              </w:rPr>
              <w:lastRenderedPageBreak/>
              <w:t>finance at national and/or regional levels accelerated</w:t>
            </w:r>
          </w:p>
        </w:tc>
        <w:tc>
          <w:tcPr>
            <w:tcW w:w="1559" w:type="dxa"/>
            <w:shd w:val="clear" w:color="auto" w:fill="auto"/>
          </w:tcPr>
          <w:p w14:paraId="6808FCAF" w14:textId="77777777" w:rsidR="00CF33D9" w:rsidRDefault="00E3332A">
            <w:pPr>
              <w:spacing w:after="60"/>
              <w:jc w:val="both"/>
              <w:rPr>
                <w:rFonts w:eastAsia="Calibri"/>
                <w:b/>
                <w:i/>
                <w:sz w:val="20"/>
                <w:szCs w:val="20"/>
              </w:rPr>
            </w:pPr>
            <w:r>
              <w:rPr>
                <w:rFonts w:eastAsia="Calibri"/>
                <w:b/>
                <w:i/>
                <w:sz w:val="20"/>
                <w:szCs w:val="20"/>
              </w:rPr>
              <w:lastRenderedPageBreak/>
              <w:t>Indicator 23</w:t>
            </w:r>
          </w:p>
          <w:p w14:paraId="6808FCB0" w14:textId="77777777" w:rsidR="00CF33D9" w:rsidRDefault="00E3332A">
            <w:pPr>
              <w:spacing w:after="60"/>
              <w:rPr>
                <w:rFonts w:eastAsia="Calibri"/>
                <w:b/>
                <w:i/>
                <w:sz w:val="20"/>
                <w:szCs w:val="20"/>
              </w:rPr>
            </w:pPr>
            <w:r>
              <w:rPr>
                <w:rFonts w:eastAsia="Calibri"/>
                <w:color w:val="000000"/>
                <w:sz w:val="20"/>
                <w:szCs w:val="20"/>
              </w:rPr>
              <w:t xml:space="preserve"># of viable mechanisms /tools for </w:t>
            </w:r>
            <w:r>
              <w:rPr>
                <w:rFonts w:eastAsia="Calibri"/>
                <w:color w:val="000000"/>
                <w:sz w:val="20"/>
                <w:szCs w:val="20"/>
              </w:rPr>
              <w:lastRenderedPageBreak/>
              <w:t>blue/ocean finance developed</w:t>
            </w:r>
          </w:p>
        </w:tc>
        <w:tc>
          <w:tcPr>
            <w:tcW w:w="1417" w:type="dxa"/>
          </w:tcPr>
          <w:p w14:paraId="6808FCB1" w14:textId="77777777" w:rsidR="00CF33D9" w:rsidRDefault="00E3332A">
            <w:pPr>
              <w:spacing w:after="60"/>
              <w:jc w:val="both"/>
              <w:rPr>
                <w:rFonts w:eastAsia="Calibri"/>
                <w:iCs/>
                <w:sz w:val="20"/>
                <w:szCs w:val="20"/>
              </w:rPr>
            </w:pPr>
            <w:r>
              <w:rPr>
                <w:rFonts w:eastAsia="Calibri"/>
                <w:iCs/>
                <w:sz w:val="20"/>
                <w:szCs w:val="20"/>
                <w:u w:val="single"/>
              </w:rPr>
              <w:lastRenderedPageBreak/>
              <w:t>Mid-term</w:t>
            </w:r>
            <w:r>
              <w:rPr>
                <w:rFonts w:eastAsia="Calibri"/>
                <w:iCs/>
                <w:sz w:val="20"/>
                <w:szCs w:val="20"/>
              </w:rPr>
              <w:t xml:space="preserve">: </w:t>
            </w:r>
          </w:p>
          <w:p w14:paraId="6808FCB2" w14:textId="77777777" w:rsidR="00CF33D9" w:rsidRDefault="00E3332A">
            <w:pPr>
              <w:spacing w:after="0"/>
              <w:contextualSpacing/>
              <w:rPr>
                <w:rFonts w:eastAsia="Calibri"/>
                <w:iCs/>
                <w:sz w:val="20"/>
                <w:szCs w:val="20"/>
              </w:rPr>
            </w:pPr>
            <w:r>
              <w:rPr>
                <w:rFonts w:eastAsia="Calibri"/>
                <w:sz w:val="20"/>
                <w:szCs w:val="20"/>
              </w:rPr>
              <w:t xml:space="preserve">3 (at least 1 designed viable </w:t>
            </w:r>
            <w:r>
              <w:rPr>
                <w:rFonts w:eastAsia="Calibri"/>
                <w:sz w:val="20"/>
                <w:szCs w:val="20"/>
              </w:rPr>
              <w:lastRenderedPageBreak/>
              <w:t>mechanism or tool per country</w:t>
            </w:r>
            <w:r>
              <w:rPr>
                <w:rFonts w:eastAsia="Calibri"/>
                <w:iCs/>
                <w:sz w:val="20"/>
                <w:szCs w:val="20"/>
              </w:rPr>
              <w:t>)</w:t>
            </w:r>
          </w:p>
          <w:p w14:paraId="6808FCB3" w14:textId="77777777" w:rsidR="00CF33D9" w:rsidRDefault="00CF33D9">
            <w:pPr>
              <w:spacing w:after="0"/>
              <w:contextualSpacing/>
              <w:rPr>
                <w:rFonts w:eastAsia="Calibri"/>
                <w:sz w:val="20"/>
                <w:szCs w:val="20"/>
              </w:rPr>
            </w:pPr>
          </w:p>
          <w:p w14:paraId="6808FCB4" w14:textId="77777777" w:rsidR="00CF33D9" w:rsidRDefault="00E3332A">
            <w:pPr>
              <w:spacing w:after="0"/>
              <w:contextualSpacing/>
              <w:rPr>
                <w:rFonts w:eastAsia="Calibri"/>
                <w:iCs/>
                <w:sz w:val="20"/>
                <w:szCs w:val="20"/>
              </w:rPr>
            </w:pPr>
            <w:r>
              <w:rPr>
                <w:rFonts w:eastAsia="Calibri"/>
                <w:iCs/>
                <w:sz w:val="20"/>
                <w:szCs w:val="20"/>
                <w:u w:val="single"/>
              </w:rPr>
              <w:t>End-of-Project</w:t>
            </w:r>
            <w:r>
              <w:rPr>
                <w:rFonts w:eastAsia="Calibri"/>
                <w:iCs/>
                <w:sz w:val="20"/>
                <w:szCs w:val="20"/>
              </w:rPr>
              <w:t>: 6</w:t>
            </w:r>
            <w:r>
              <w:rPr>
                <w:rFonts w:eastAsia="Calibri"/>
                <w:sz w:val="20"/>
                <w:szCs w:val="20"/>
              </w:rPr>
              <w:t xml:space="preserve"> (at least 2 designed viable mechanisms or tools per country</w:t>
            </w:r>
            <w:r>
              <w:rPr>
                <w:rFonts w:eastAsia="Calibri"/>
                <w:iCs/>
                <w:sz w:val="20"/>
                <w:szCs w:val="20"/>
              </w:rPr>
              <w:t>)</w:t>
            </w:r>
          </w:p>
          <w:p w14:paraId="6808FCB5" w14:textId="77777777" w:rsidR="00CF33D9" w:rsidRDefault="00CF33D9">
            <w:pPr>
              <w:spacing w:after="0"/>
              <w:contextualSpacing/>
              <w:rPr>
                <w:rFonts w:eastAsia="Calibri"/>
                <w:i/>
                <w:sz w:val="20"/>
                <w:szCs w:val="20"/>
              </w:rPr>
            </w:pPr>
          </w:p>
        </w:tc>
        <w:tc>
          <w:tcPr>
            <w:tcW w:w="2268" w:type="dxa"/>
          </w:tcPr>
          <w:p w14:paraId="6808FCB6" w14:textId="77777777" w:rsidR="00CF33D9" w:rsidRDefault="00E3332A">
            <w:pPr>
              <w:spacing w:after="60"/>
              <w:rPr>
                <w:rFonts w:eastAsia="Calibri"/>
                <w:iCs/>
                <w:sz w:val="20"/>
                <w:szCs w:val="20"/>
              </w:rPr>
            </w:pPr>
            <w:r>
              <w:rPr>
                <w:rFonts w:eastAsia="Calibri"/>
                <w:iCs/>
                <w:sz w:val="20"/>
                <w:szCs w:val="20"/>
              </w:rPr>
              <w:lastRenderedPageBreak/>
              <w:t xml:space="preserve">The mechanisms and/or tools identified will facilitate transition to SBE. The tools will be </w:t>
            </w:r>
            <w:r>
              <w:rPr>
                <w:rFonts w:eastAsia="Calibri"/>
                <w:iCs/>
                <w:sz w:val="20"/>
                <w:szCs w:val="20"/>
              </w:rPr>
              <w:lastRenderedPageBreak/>
              <w:t>tested in one country demo project.</w:t>
            </w:r>
          </w:p>
        </w:tc>
        <w:tc>
          <w:tcPr>
            <w:tcW w:w="1843" w:type="dxa"/>
            <w:shd w:val="clear" w:color="auto" w:fill="auto"/>
          </w:tcPr>
          <w:p w14:paraId="6808FCB7" w14:textId="77777777" w:rsidR="00CF33D9" w:rsidRDefault="00E3332A">
            <w:pPr>
              <w:spacing w:after="60"/>
              <w:rPr>
                <w:rFonts w:eastAsia="Calibri"/>
                <w:i/>
                <w:sz w:val="20"/>
                <w:szCs w:val="20"/>
              </w:rPr>
            </w:pPr>
            <w:r>
              <w:rPr>
                <w:rFonts w:eastAsia="Calibri"/>
                <w:color w:val="000000"/>
                <w:sz w:val="20"/>
                <w:szCs w:val="20"/>
              </w:rPr>
              <w:lastRenderedPageBreak/>
              <w:t>Midpoint and end of the project</w:t>
            </w:r>
          </w:p>
        </w:tc>
        <w:tc>
          <w:tcPr>
            <w:tcW w:w="1547" w:type="dxa"/>
            <w:shd w:val="clear" w:color="auto" w:fill="auto"/>
          </w:tcPr>
          <w:p w14:paraId="6808FCB8" w14:textId="77777777" w:rsidR="00CF33D9" w:rsidRDefault="00E3332A">
            <w:pPr>
              <w:spacing w:after="0"/>
              <w:contextualSpacing/>
              <w:rPr>
                <w:rFonts w:eastAsia="Calibri"/>
                <w:iCs/>
                <w:sz w:val="20"/>
                <w:szCs w:val="20"/>
              </w:rPr>
            </w:pPr>
            <w:r>
              <w:rPr>
                <w:rFonts w:eastAsia="Calibri"/>
                <w:iCs/>
                <w:sz w:val="20"/>
                <w:szCs w:val="20"/>
              </w:rPr>
              <w:t>M&amp;E and KM Expert</w:t>
            </w:r>
          </w:p>
          <w:p w14:paraId="6808FCB9" w14:textId="77777777" w:rsidR="00CF33D9" w:rsidRDefault="00CF33D9">
            <w:pPr>
              <w:spacing w:after="0"/>
              <w:contextualSpacing/>
              <w:rPr>
                <w:rFonts w:eastAsia="Calibri"/>
                <w:iCs/>
                <w:sz w:val="20"/>
                <w:szCs w:val="20"/>
              </w:rPr>
            </w:pPr>
          </w:p>
          <w:p w14:paraId="6808FCBA" w14:textId="77777777" w:rsidR="00CF33D9" w:rsidRDefault="00E3332A">
            <w:pPr>
              <w:contextualSpacing/>
              <w:rPr>
                <w:rFonts w:eastAsia="Calibri"/>
                <w:iCs/>
                <w:sz w:val="20"/>
                <w:szCs w:val="20"/>
              </w:rPr>
            </w:pPr>
            <w:r>
              <w:rPr>
                <w:rFonts w:eastAsia="Calibri"/>
                <w:iCs/>
                <w:sz w:val="20"/>
                <w:szCs w:val="20"/>
              </w:rPr>
              <w:t>SBE expert</w:t>
            </w:r>
          </w:p>
        </w:tc>
        <w:tc>
          <w:tcPr>
            <w:tcW w:w="1990" w:type="dxa"/>
            <w:shd w:val="clear" w:color="auto" w:fill="auto"/>
          </w:tcPr>
          <w:p w14:paraId="6808FCBB" w14:textId="77777777" w:rsidR="00CF33D9" w:rsidRDefault="00E3332A">
            <w:pPr>
              <w:spacing w:after="60"/>
              <w:rPr>
                <w:rFonts w:eastAsia="Calibri"/>
                <w:i/>
                <w:sz w:val="20"/>
                <w:szCs w:val="20"/>
              </w:rPr>
            </w:pPr>
            <w:r>
              <w:rPr>
                <w:rFonts w:eastAsia="Calibri"/>
                <w:sz w:val="20"/>
                <w:szCs w:val="20"/>
              </w:rPr>
              <w:t xml:space="preserve">Reports presenting the viable mechanisms/ tools  </w:t>
            </w:r>
            <w:r>
              <w:rPr>
                <w:rFonts w:eastAsia="Calibri"/>
                <w:color w:val="000000"/>
                <w:sz w:val="20"/>
                <w:szCs w:val="20"/>
              </w:rPr>
              <w:lastRenderedPageBreak/>
              <w:t>for blue/ocean finance</w:t>
            </w:r>
          </w:p>
        </w:tc>
      </w:tr>
      <w:tr w:rsidR="00CF33D9" w14:paraId="6808FCD2" w14:textId="77777777">
        <w:trPr>
          <w:trHeight w:val="1230"/>
        </w:trPr>
        <w:tc>
          <w:tcPr>
            <w:tcW w:w="993" w:type="dxa"/>
            <w:vMerge/>
          </w:tcPr>
          <w:p w14:paraId="6808FCBD" w14:textId="77777777" w:rsidR="00CF33D9" w:rsidRDefault="00CF33D9">
            <w:pPr>
              <w:widowControl w:val="0"/>
              <w:spacing w:line="276" w:lineRule="auto"/>
              <w:rPr>
                <w:rFonts w:eastAsia="Calibri"/>
                <w:i/>
                <w:sz w:val="20"/>
                <w:szCs w:val="20"/>
              </w:rPr>
            </w:pPr>
          </w:p>
        </w:tc>
        <w:tc>
          <w:tcPr>
            <w:tcW w:w="1701" w:type="dxa"/>
            <w:vMerge/>
            <w:shd w:val="clear" w:color="auto" w:fill="auto"/>
            <w:vAlign w:val="center"/>
          </w:tcPr>
          <w:p w14:paraId="6808FCBE" w14:textId="77777777" w:rsidR="00CF33D9" w:rsidRDefault="00CF33D9">
            <w:pPr>
              <w:spacing w:after="60"/>
              <w:jc w:val="both"/>
              <w:rPr>
                <w:rFonts w:eastAsia="Calibri"/>
                <w:b/>
                <w:sz w:val="20"/>
                <w:szCs w:val="20"/>
              </w:rPr>
            </w:pPr>
          </w:p>
        </w:tc>
        <w:tc>
          <w:tcPr>
            <w:tcW w:w="1559" w:type="dxa"/>
            <w:shd w:val="clear" w:color="auto" w:fill="auto"/>
          </w:tcPr>
          <w:p w14:paraId="6808FCBF" w14:textId="77777777" w:rsidR="00CF33D9" w:rsidRDefault="00E3332A">
            <w:pPr>
              <w:spacing w:after="60"/>
              <w:jc w:val="both"/>
              <w:rPr>
                <w:rFonts w:eastAsia="Calibri"/>
                <w:b/>
                <w:i/>
                <w:sz w:val="20"/>
                <w:szCs w:val="20"/>
              </w:rPr>
            </w:pPr>
            <w:r>
              <w:rPr>
                <w:rFonts w:eastAsia="Calibri"/>
                <w:b/>
                <w:i/>
                <w:sz w:val="20"/>
                <w:szCs w:val="20"/>
              </w:rPr>
              <w:t>Indicator 24</w:t>
            </w:r>
          </w:p>
          <w:p w14:paraId="6808FCC0" w14:textId="77777777" w:rsidR="00CF33D9" w:rsidRDefault="00E3332A">
            <w:pPr>
              <w:spacing w:after="60"/>
              <w:rPr>
                <w:rFonts w:eastAsia="Calibri"/>
                <w:b/>
                <w:i/>
                <w:sz w:val="20"/>
                <w:szCs w:val="20"/>
              </w:rPr>
            </w:pPr>
            <w:r>
              <w:rPr>
                <w:rFonts w:eastAsia="Calibri"/>
                <w:color w:val="000000"/>
                <w:sz w:val="20"/>
                <w:szCs w:val="20"/>
              </w:rPr>
              <w:t># of communities and stakeholders (sex disaggregated) involved in piloting blue carbon finance mechanisms in the BCC countries</w:t>
            </w:r>
          </w:p>
        </w:tc>
        <w:tc>
          <w:tcPr>
            <w:tcW w:w="1417" w:type="dxa"/>
          </w:tcPr>
          <w:p w14:paraId="6808FCC1" w14:textId="77777777" w:rsidR="00CF33D9" w:rsidRDefault="00E3332A">
            <w:pPr>
              <w:spacing w:after="60"/>
              <w:jc w:val="both"/>
              <w:rPr>
                <w:rFonts w:eastAsia="Calibri"/>
                <w:iCs/>
                <w:sz w:val="20"/>
                <w:szCs w:val="20"/>
              </w:rPr>
            </w:pPr>
            <w:r>
              <w:rPr>
                <w:rFonts w:eastAsia="Calibri"/>
                <w:iCs/>
                <w:sz w:val="20"/>
                <w:szCs w:val="20"/>
                <w:u w:val="single"/>
              </w:rPr>
              <w:t>Mid-term</w:t>
            </w:r>
            <w:r>
              <w:rPr>
                <w:rFonts w:eastAsia="Calibri"/>
                <w:iCs/>
                <w:sz w:val="20"/>
                <w:szCs w:val="20"/>
              </w:rPr>
              <w:t xml:space="preserve">: </w:t>
            </w:r>
          </w:p>
          <w:p w14:paraId="6808FCC2" w14:textId="77777777" w:rsidR="00CF33D9" w:rsidRDefault="00E3332A">
            <w:pPr>
              <w:rPr>
                <w:rFonts w:eastAsia="Calibri"/>
                <w:color w:val="000000"/>
                <w:sz w:val="20"/>
                <w:szCs w:val="20"/>
              </w:rPr>
            </w:pPr>
            <w:r>
              <w:rPr>
                <w:rFonts w:eastAsia="Calibri"/>
                <w:color w:val="000000"/>
                <w:sz w:val="20"/>
                <w:szCs w:val="20"/>
              </w:rPr>
              <w:t xml:space="preserve">1500 (in each country) community members have benefited or participated in the implementation of the demonstration projects. Stakeholder engagement platforms strengthened </w:t>
            </w:r>
            <w:r>
              <w:rPr>
                <w:rFonts w:eastAsia="Calibri"/>
                <w:color w:val="000000"/>
                <w:sz w:val="20"/>
                <w:szCs w:val="20"/>
              </w:rPr>
              <w:lastRenderedPageBreak/>
              <w:t>to include private sector, youth and community members</w:t>
            </w:r>
          </w:p>
          <w:p w14:paraId="6808FCC3" w14:textId="77777777" w:rsidR="00CF33D9" w:rsidRDefault="00E3332A">
            <w:pPr>
              <w:spacing w:after="0"/>
              <w:contextualSpacing/>
              <w:rPr>
                <w:rFonts w:eastAsia="Calibri"/>
                <w:color w:val="000000"/>
                <w:sz w:val="20"/>
                <w:szCs w:val="20"/>
              </w:rPr>
            </w:pPr>
            <w:r>
              <w:rPr>
                <w:rFonts w:eastAsia="Calibri"/>
                <w:iCs/>
                <w:sz w:val="20"/>
                <w:szCs w:val="20"/>
                <w:u w:val="single"/>
              </w:rPr>
              <w:t>End-of-Project</w:t>
            </w:r>
            <w:r>
              <w:rPr>
                <w:rFonts w:eastAsia="Calibri"/>
                <w:iCs/>
                <w:sz w:val="20"/>
                <w:szCs w:val="20"/>
              </w:rPr>
              <w:t xml:space="preserve">: </w:t>
            </w:r>
            <w:r>
              <w:rPr>
                <w:rFonts w:eastAsia="Calibri"/>
                <w:color w:val="000000"/>
                <w:sz w:val="20"/>
                <w:szCs w:val="20"/>
              </w:rPr>
              <w:t>3500 (in each country) community members have benefited or participated in the implementation of the demonstration projects.</w:t>
            </w:r>
          </w:p>
          <w:p w14:paraId="6808FCC4" w14:textId="77777777" w:rsidR="00CF33D9" w:rsidRDefault="00E3332A">
            <w:pPr>
              <w:spacing w:after="0"/>
              <w:contextualSpacing/>
              <w:rPr>
                <w:rFonts w:eastAsia="Calibri"/>
                <w:color w:val="000000"/>
                <w:sz w:val="20"/>
                <w:szCs w:val="20"/>
              </w:rPr>
            </w:pPr>
            <w:r>
              <w:rPr>
                <w:rFonts w:eastAsia="Calibri"/>
                <w:color w:val="000000"/>
                <w:sz w:val="20"/>
                <w:szCs w:val="20"/>
              </w:rPr>
              <w:t>Demonstration of blue carbon finance support to communities through partnerships.</w:t>
            </w:r>
          </w:p>
        </w:tc>
        <w:tc>
          <w:tcPr>
            <w:tcW w:w="2268" w:type="dxa"/>
          </w:tcPr>
          <w:p w14:paraId="6808FCC5" w14:textId="77777777" w:rsidR="00CF33D9" w:rsidRDefault="00E3332A">
            <w:pPr>
              <w:spacing w:after="60"/>
              <w:rPr>
                <w:rFonts w:eastAsia="Calibri"/>
                <w:i/>
                <w:sz w:val="20"/>
                <w:szCs w:val="20"/>
              </w:rPr>
            </w:pPr>
            <w:r>
              <w:rPr>
                <w:rFonts w:eastAsia="Calibri"/>
                <w:color w:val="000000"/>
                <w:sz w:val="20"/>
                <w:szCs w:val="20"/>
              </w:rPr>
              <w:lastRenderedPageBreak/>
              <w:t xml:space="preserve">This indicators  will show how the strategic communication and distribution of the customised financial mechanisms and developed tools in each BCC country will ensure key players are well-informed about the available financial instruments to facilitate transition to SBE. </w:t>
            </w:r>
          </w:p>
        </w:tc>
        <w:tc>
          <w:tcPr>
            <w:tcW w:w="1843" w:type="dxa"/>
            <w:shd w:val="clear" w:color="auto" w:fill="auto"/>
          </w:tcPr>
          <w:p w14:paraId="6808FCC6" w14:textId="77777777" w:rsidR="00CF33D9" w:rsidRDefault="00E3332A">
            <w:pPr>
              <w:spacing w:after="60"/>
              <w:rPr>
                <w:rFonts w:eastAsia="Calibri"/>
                <w:i/>
                <w:sz w:val="20"/>
                <w:szCs w:val="20"/>
              </w:rPr>
            </w:pPr>
            <w:r>
              <w:rPr>
                <w:rFonts w:eastAsia="Calibri"/>
                <w:sz w:val="20"/>
                <w:szCs w:val="20"/>
              </w:rPr>
              <w:t>Annually (reported in Development Objective (DO) progress section of the GEF PIR), mid-term, closure</w:t>
            </w:r>
          </w:p>
        </w:tc>
        <w:tc>
          <w:tcPr>
            <w:tcW w:w="1547" w:type="dxa"/>
            <w:shd w:val="clear" w:color="auto" w:fill="auto"/>
          </w:tcPr>
          <w:p w14:paraId="6808FCC7" w14:textId="77777777" w:rsidR="00CF33D9" w:rsidRDefault="00E3332A">
            <w:pPr>
              <w:spacing w:after="0"/>
              <w:contextualSpacing/>
              <w:rPr>
                <w:rFonts w:eastAsia="Calibri"/>
                <w:iCs/>
                <w:sz w:val="20"/>
                <w:szCs w:val="20"/>
              </w:rPr>
            </w:pPr>
            <w:r>
              <w:rPr>
                <w:rFonts w:eastAsia="Calibri"/>
                <w:iCs/>
                <w:sz w:val="20"/>
                <w:szCs w:val="20"/>
              </w:rPr>
              <w:t>M&amp;E and KM Expert</w:t>
            </w:r>
          </w:p>
          <w:p w14:paraId="6808FCC8" w14:textId="77777777" w:rsidR="00CF33D9" w:rsidRDefault="00CF33D9">
            <w:pPr>
              <w:spacing w:after="0"/>
              <w:contextualSpacing/>
              <w:rPr>
                <w:rFonts w:eastAsia="Calibri"/>
                <w:iCs/>
                <w:sz w:val="20"/>
                <w:szCs w:val="20"/>
              </w:rPr>
            </w:pPr>
          </w:p>
          <w:p w14:paraId="6808FCC9" w14:textId="77777777" w:rsidR="00CF33D9" w:rsidRDefault="00E3332A">
            <w:pPr>
              <w:spacing w:after="0"/>
              <w:contextualSpacing/>
              <w:rPr>
                <w:rFonts w:eastAsia="Calibri"/>
                <w:iCs/>
                <w:sz w:val="20"/>
                <w:szCs w:val="20"/>
              </w:rPr>
            </w:pPr>
            <w:r>
              <w:rPr>
                <w:rFonts w:eastAsia="Calibri"/>
                <w:iCs/>
                <w:sz w:val="20"/>
                <w:szCs w:val="20"/>
              </w:rPr>
              <w:t>Gender expert</w:t>
            </w:r>
          </w:p>
          <w:p w14:paraId="6808FCCA" w14:textId="77777777" w:rsidR="00CF33D9" w:rsidRDefault="00CF33D9">
            <w:pPr>
              <w:spacing w:after="0"/>
              <w:contextualSpacing/>
              <w:rPr>
                <w:rFonts w:eastAsia="Calibri"/>
                <w:iCs/>
                <w:sz w:val="20"/>
                <w:szCs w:val="20"/>
              </w:rPr>
            </w:pPr>
          </w:p>
          <w:p w14:paraId="6808FCCB" w14:textId="77777777" w:rsidR="00CF33D9" w:rsidRDefault="00E3332A">
            <w:pPr>
              <w:spacing w:after="0"/>
              <w:contextualSpacing/>
              <w:rPr>
                <w:rFonts w:eastAsia="Calibri"/>
                <w:iCs/>
                <w:sz w:val="20"/>
                <w:szCs w:val="20"/>
              </w:rPr>
            </w:pPr>
            <w:r>
              <w:rPr>
                <w:rFonts w:eastAsia="Calibri"/>
                <w:iCs/>
                <w:sz w:val="20"/>
                <w:szCs w:val="20"/>
              </w:rPr>
              <w:t>Communications expert</w:t>
            </w:r>
          </w:p>
          <w:p w14:paraId="6808FCCC" w14:textId="77777777" w:rsidR="00CF33D9" w:rsidRDefault="00CF33D9">
            <w:pPr>
              <w:spacing w:after="0"/>
              <w:contextualSpacing/>
              <w:rPr>
                <w:rFonts w:eastAsia="Calibri"/>
                <w:iCs/>
                <w:sz w:val="20"/>
                <w:szCs w:val="20"/>
              </w:rPr>
            </w:pPr>
          </w:p>
          <w:p w14:paraId="6808FCCD" w14:textId="77777777" w:rsidR="00CF33D9" w:rsidRDefault="00E3332A">
            <w:pPr>
              <w:spacing w:after="0"/>
              <w:contextualSpacing/>
              <w:rPr>
                <w:rFonts w:eastAsia="Calibri"/>
                <w:iCs/>
                <w:sz w:val="20"/>
                <w:szCs w:val="20"/>
              </w:rPr>
            </w:pPr>
            <w:r>
              <w:rPr>
                <w:rFonts w:eastAsia="Calibri"/>
                <w:iCs/>
                <w:sz w:val="20"/>
                <w:szCs w:val="20"/>
              </w:rPr>
              <w:t>SBE expert</w:t>
            </w:r>
          </w:p>
          <w:p w14:paraId="6808FCCE" w14:textId="77777777" w:rsidR="00CF33D9" w:rsidRDefault="00CF33D9">
            <w:pPr>
              <w:spacing w:after="60"/>
              <w:jc w:val="both"/>
              <w:rPr>
                <w:rFonts w:eastAsia="Calibri"/>
                <w:i/>
                <w:sz w:val="20"/>
                <w:szCs w:val="20"/>
              </w:rPr>
            </w:pPr>
          </w:p>
        </w:tc>
        <w:tc>
          <w:tcPr>
            <w:tcW w:w="1990" w:type="dxa"/>
            <w:shd w:val="clear" w:color="auto" w:fill="auto"/>
          </w:tcPr>
          <w:p w14:paraId="6808FCCF" w14:textId="77777777" w:rsidR="00CF33D9" w:rsidRDefault="00E3332A">
            <w:pPr>
              <w:pStyle w:val="ListParagraph"/>
              <w:numPr>
                <w:ilvl w:val="0"/>
                <w:numId w:val="54"/>
              </w:numPr>
              <w:ind w:left="45" w:hanging="142"/>
              <w:rPr>
                <w:rFonts w:eastAsia="Calibri"/>
                <w:color w:val="000000"/>
                <w:sz w:val="20"/>
                <w:szCs w:val="20"/>
              </w:rPr>
            </w:pPr>
            <w:r>
              <w:rPr>
                <w:rFonts w:eastAsia="Calibri"/>
                <w:color w:val="000000"/>
                <w:sz w:val="20"/>
                <w:szCs w:val="20"/>
              </w:rPr>
              <w:t xml:space="preserve">Signed agreements for support </w:t>
            </w:r>
          </w:p>
          <w:p w14:paraId="6808FCD0" w14:textId="77777777" w:rsidR="00CF33D9" w:rsidRDefault="00E3332A">
            <w:pPr>
              <w:pStyle w:val="ListParagraph"/>
              <w:numPr>
                <w:ilvl w:val="0"/>
                <w:numId w:val="54"/>
              </w:numPr>
              <w:ind w:left="45" w:hanging="142"/>
              <w:rPr>
                <w:rFonts w:eastAsia="Calibri"/>
                <w:color w:val="000000"/>
                <w:sz w:val="20"/>
                <w:szCs w:val="20"/>
              </w:rPr>
            </w:pPr>
            <w:r>
              <w:rPr>
                <w:rFonts w:eastAsia="Calibri"/>
                <w:color w:val="000000"/>
                <w:sz w:val="20"/>
                <w:szCs w:val="20"/>
              </w:rPr>
              <w:t>Stakeholder Engagement database (sex disaggregated)</w:t>
            </w:r>
          </w:p>
          <w:p w14:paraId="6808FCD1" w14:textId="77777777" w:rsidR="00CF33D9" w:rsidRDefault="00CF33D9">
            <w:pPr>
              <w:spacing w:after="60"/>
              <w:jc w:val="both"/>
              <w:rPr>
                <w:rFonts w:eastAsia="Calibri"/>
                <w:i/>
                <w:sz w:val="20"/>
                <w:szCs w:val="20"/>
              </w:rPr>
            </w:pPr>
          </w:p>
        </w:tc>
      </w:tr>
      <w:tr w:rsidR="00CF33D9" w14:paraId="6808FCE4" w14:textId="77777777">
        <w:trPr>
          <w:trHeight w:val="20"/>
        </w:trPr>
        <w:tc>
          <w:tcPr>
            <w:tcW w:w="993" w:type="dxa"/>
            <w:vMerge/>
          </w:tcPr>
          <w:p w14:paraId="6808FCD3" w14:textId="77777777" w:rsidR="00CF33D9" w:rsidRDefault="00CF33D9">
            <w:pPr>
              <w:widowControl w:val="0"/>
              <w:spacing w:line="276" w:lineRule="auto"/>
              <w:rPr>
                <w:rFonts w:eastAsia="Calibri"/>
                <w:i/>
                <w:sz w:val="20"/>
                <w:szCs w:val="20"/>
              </w:rPr>
            </w:pPr>
          </w:p>
        </w:tc>
        <w:tc>
          <w:tcPr>
            <w:tcW w:w="1701" w:type="dxa"/>
            <w:shd w:val="clear" w:color="auto" w:fill="auto"/>
          </w:tcPr>
          <w:p w14:paraId="6808FCD4" w14:textId="77777777" w:rsidR="00CF33D9" w:rsidRDefault="00E3332A">
            <w:pPr>
              <w:spacing w:after="60"/>
              <w:rPr>
                <w:rFonts w:eastAsia="Calibri"/>
                <w:b/>
                <w:sz w:val="20"/>
                <w:szCs w:val="20"/>
              </w:rPr>
            </w:pPr>
            <w:r>
              <w:rPr>
                <w:rFonts w:eastAsia="Calibri"/>
                <w:b/>
                <w:sz w:val="20"/>
                <w:szCs w:val="20"/>
              </w:rPr>
              <w:t xml:space="preserve">Project Outcome </w:t>
            </w:r>
            <w:r>
              <w:rPr>
                <w:rFonts w:eastAsia="Calibri"/>
                <w:b/>
                <w:color w:val="000000"/>
                <w:sz w:val="20"/>
                <w:szCs w:val="20"/>
              </w:rPr>
              <w:t xml:space="preserve">5.1: </w:t>
            </w:r>
            <w:r>
              <w:rPr>
                <w:rFonts w:eastAsia="Calibri"/>
                <w:bCs/>
                <w:color w:val="000000"/>
                <w:sz w:val="20"/>
                <w:szCs w:val="20"/>
              </w:rPr>
              <w:t xml:space="preserve">Knowledge management, </w:t>
            </w:r>
            <w:r>
              <w:rPr>
                <w:rFonts w:eastAsia="Calibri"/>
                <w:bCs/>
                <w:color w:val="000000"/>
                <w:sz w:val="20"/>
                <w:szCs w:val="20"/>
              </w:rPr>
              <w:lastRenderedPageBreak/>
              <w:t>awareness raising and communication on Sustainable Blue/Ocean Economy, and Social and Environmental Safeguards in the BCLME region strengthened</w:t>
            </w:r>
          </w:p>
        </w:tc>
        <w:tc>
          <w:tcPr>
            <w:tcW w:w="1559" w:type="dxa"/>
            <w:shd w:val="clear" w:color="auto" w:fill="auto"/>
          </w:tcPr>
          <w:p w14:paraId="6808FCD5" w14:textId="77777777" w:rsidR="00CF33D9" w:rsidRDefault="00E3332A">
            <w:pPr>
              <w:spacing w:after="60"/>
              <w:jc w:val="both"/>
              <w:rPr>
                <w:rFonts w:eastAsia="Calibri"/>
                <w:b/>
                <w:i/>
                <w:sz w:val="20"/>
                <w:szCs w:val="20"/>
              </w:rPr>
            </w:pPr>
            <w:r>
              <w:rPr>
                <w:rFonts w:eastAsia="Calibri"/>
                <w:b/>
                <w:i/>
                <w:sz w:val="20"/>
                <w:szCs w:val="20"/>
              </w:rPr>
              <w:lastRenderedPageBreak/>
              <w:t>Indicator 25</w:t>
            </w:r>
          </w:p>
          <w:p w14:paraId="6808FCD6" w14:textId="77777777" w:rsidR="00CF33D9" w:rsidRDefault="00E3332A">
            <w:pPr>
              <w:spacing w:after="60"/>
              <w:rPr>
                <w:rFonts w:eastAsia="Calibri"/>
                <w:b/>
                <w:i/>
                <w:sz w:val="20"/>
                <w:szCs w:val="20"/>
              </w:rPr>
            </w:pPr>
            <w:r>
              <w:rPr>
                <w:rFonts w:eastAsia="Calibri"/>
                <w:color w:val="000000"/>
                <w:sz w:val="20"/>
                <w:szCs w:val="20"/>
              </w:rPr>
              <w:t xml:space="preserve">BCLME Sustainable </w:t>
            </w:r>
            <w:r>
              <w:rPr>
                <w:rFonts w:eastAsia="Calibri"/>
                <w:color w:val="000000"/>
                <w:sz w:val="20"/>
                <w:szCs w:val="20"/>
              </w:rPr>
              <w:lastRenderedPageBreak/>
              <w:t>Blue Economy Observatory (SBE) established and disseminating information through web-based BCLME SBE knowledge management platform</w:t>
            </w:r>
          </w:p>
        </w:tc>
        <w:tc>
          <w:tcPr>
            <w:tcW w:w="1417" w:type="dxa"/>
          </w:tcPr>
          <w:p w14:paraId="6808FCD7" w14:textId="77777777" w:rsidR="00CF33D9" w:rsidRDefault="00E3332A">
            <w:pPr>
              <w:spacing w:after="60"/>
              <w:jc w:val="both"/>
              <w:rPr>
                <w:rFonts w:eastAsia="Calibri"/>
                <w:iCs/>
                <w:sz w:val="20"/>
                <w:szCs w:val="20"/>
              </w:rPr>
            </w:pPr>
            <w:r>
              <w:rPr>
                <w:rFonts w:eastAsia="Calibri"/>
                <w:iCs/>
                <w:sz w:val="20"/>
                <w:szCs w:val="20"/>
                <w:u w:val="single"/>
              </w:rPr>
              <w:lastRenderedPageBreak/>
              <w:t>Mid-term</w:t>
            </w:r>
            <w:r>
              <w:rPr>
                <w:rFonts w:eastAsia="Calibri"/>
                <w:iCs/>
                <w:sz w:val="20"/>
                <w:szCs w:val="20"/>
              </w:rPr>
              <w:t xml:space="preserve">: </w:t>
            </w:r>
          </w:p>
          <w:p w14:paraId="6808FCD8" w14:textId="77777777" w:rsidR="00CF33D9" w:rsidRDefault="00E3332A">
            <w:pPr>
              <w:spacing w:after="60"/>
              <w:rPr>
                <w:rFonts w:eastAsia="Calibri"/>
                <w:iCs/>
                <w:sz w:val="20"/>
                <w:szCs w:val="20"/>
              </w:rPr>
            </w:pPr>
            <w:r>
              <w:rPr>
                <w:rFonts w:eastAsia="Calibri"/>
                <w:color w:val="000000"/>
                <w:sz w:val="20"/>
                <w:szCs w:val="20"/>
              </w:rPr>
              <w:t xml:space="preserve">SBE established </w:t>
            </w:r>
            <w:r>
              <w:rPr>
                <w:rFonts w:eastAsia="Calibri"/>
                <w:color w:val="000000"/>
                <w:sz w:val="20"/>
                <w:szCs w:val="20"/>
              </w:rPr>
              <w:lastRenderedPageBreak/>
              <w:t>and widely accessible to stakeholders through SBE KM platform</w:t>
            </w:r>
            <w:r>
              <w:rPr>
                <w:rFonts w:eastAsia="Calibri"/>
                <w:iCs/>
                <w:sz w:val="20"/>
                <w:szCs w:val="20"/>
              </w:rPr>
              <w:t xml:space="preserve"> </w:t>
            </w:r>
          </w:p>
          <w:p w14:paraId="6808FCD9" w14:textId="77777777" w:rsidR="00CF33D9" w:rsidRDefault="00E3332A">
            <w:pPr>
              <w:spacing w:after="60"/>
              <w:rPr>
                <w:rFonts w:eastAsia="Calibri"/>
                <w:i/>
                <w:sz w:val="20"/>
                <w:szCs w:val="20"/>
              </w:rPr>
            </w:pPr>
            <w:r>
              <w:rPr>
                <w:rFonts w:eastAsia="Calibri"/>
                <w:iCs/>
                <w:sz w:val="20"/>
                <w:szCs w:val="20"/>
                <w:u w:val="single"/>
              </w:rPr>
              <w:t>End-of-Project</w:t>
            </w:r>
            <w:r>
              <w:rPr>
                <w:rFonts w:eastAsia="Calibri"/>
                <w:iCs/>
                <w:sz w:val="20"/>
                <w:szCs w:val="20"/>
              </w:rPr>
              <w:t xml:space="preserve">: </w:t>
            </w:r>
            <w:r>
              <w:rPr>
                <w:rFonts w:eastAsia="Calibri"/>
                <w:color w:val="000000"/>
                <w:sz w:val="20"/>
                <w:szCs w:val="20"/>
              </w:rPr>
              <w:t>Annual reports on SBE published</w:t>
            </w:r>
          </w:p>
        </w:tc>
        <w:tc>
          <w:tcPr>
            <w:tcW w:w="2268" w:type="dxa"/>
          </w:tcPr>
          <w:p w14:paraId="6808FCDA" w14:textId="77777777" w:rsidR="00CF33D9" w:rsidRDefault="00E3332A">
            <w:pPr>
              <w:spacing w:after="60"/>
              <w:rPr>
                <w:rFonts w:eastAsia="Calibri"/>
                <w:iCs/>
                <w:sz w:val="20"/>
                <w:szCs w:val="20"/>
              </w:rPr>
            </w:pPr>
            <w:r>
              <w:rPr>
                <w:rFonts w:eastAsia="Calibri"/>
                <w:iCs/>
                <w:sz w:val="20"/>
                <w:szCs w:val="20"/>
              </w:rPr>
              <w:lastRenderedPageBreak/>
              <w:t xml:space="preserve">Establishment of SBE Observatory will contribute to better </w:t>
            </w:r>
            <w:r>
              <w:rPr>
                <w:rFonts w:eastAsia="Calibri"/>
                <w:iCs/>
                <w:sz w:val="20"/>
                <w:szCs w:val="20"/>
              </w:rPr>
              <w:lastRenderedPageBreak/>
              <w:t>measurement of SBE in the BCLME region countries. Further dissemination of annual reports will raise awareness on SBE.</w:t>
            </w:r>
          </w:p>
        </w:tc>
        <w:tc>
          <w:tcPr>
            <w:tcW w:w="1843" w:type="dxa"/>
            <w:shd w:val="clear" w:color="auto" w:fill="auto"/>
          </w:tcPr>
          <w:p w14:paraId="6808FCDB" w14:textId="77777777" w:rsidR="00CF33D9" w:rsidRDefault="00E3332A">
            <w:pPr>
              <w:spacing w:after="60"/>
              <w:rPr>
                <w:rFonts w:eastAsia="Calibri"/>
                <w:i/>
                <w:sz w:val="20"/>
                <w:szCs w:val="20"/>
              </w:rPr>
            </w:pPr>
            <w:r>
              <w:rPr>
                <w:rFonts w:eastAsia="Calibri"/>
                <w:sz w:val="20"/>
                <w:szCs w:val="20"/>
              </w:rPr>
              <w:lastRenderedPageBreak/>
              <w:t xml:space="preserve">Annually (reported in Development Objective (DO) </w:t>
            </w:r>
            <w:r>
              <w:rPr>
                <w:rFonts w:eastAsia="Calibri"/>
                <w:sz w:val="20"/>
                <w:szCs w:val="20"/>
              </w:rPr>
              <w:lastRenderedPageBreak/>
              <w:t>progress section of the GEF PIR), mid-term, closure</w:t>
            </w:r>
          </w:p>
        </w:tc>
        <w:tc>
          <w:tcPr>
            <w:tcW w:w="1547" w:type="dxa"/>
            <w:shd w:val="clear" w:color="auto" w:fill="auto"/>
          </w:tcPr>
          <w:p w14:paraId="6808FCDC" w14:textId="77777777" w:rsidR="00CF33D9" w:rsidRDefault="00E3332A">
            <w:pPr>
              <w:spacing w:after="0"/>
              <w:contextualSpacing/>
              <w:rPr>
                <w:rFonts w:eastAsia="Calibri"/>
                <w:iCs/>
                <w:sz w:val="20"/>
                <w:szCs w:val="20"/>
              </w:rPr>
            </w:pPr>
            <w:r>
              <w:rPr>
                <w:rFonts w:eastAsia="Calibri"/>
                <w:iCs/>
                <w:sz w:val="20"/>
                <w:szCs w:val="20"/>
              </w:rPr>
              <w:lastRenderedPageBreak/>
              <w:t>M&amp;E and KM Expert</w:t>
            </w:r>
          </w:p>
          <w:p w14:paraId="6808FCDD" w14:textId="77777777" w:rsidR="00CF33D9" w:rsidRDefault="00CF33D9">
            <w:pPr>
              <w:spacing w:after="0"/>
              <w:contextualSpacing/>
              <w:rPr>
                <w:rFonts w:eastAsia="Calibri"/>
                <w:iCs/>
                <w:sz w:val="20"/>
                <w:szCs w:val="20"/>
              </w:rPr>
            </w:pPr>
          </w:p>
          <w:p w14:paraId="6808FCDE" w14:textId="77777777" w:rsidR="00CF33D9" w:rsidRDefault="00E3332A">
            <w:pPr>
              <w:spacing w:after="0"/>
              <w:contextualSpacing/>
              <w:rPr>
                <w:rFonts w:eastAsia="Calibri"/>
                <w:iCs/>
                <w:sz w:val="20"/>
                <w:szCs w:val="20"/>
              </w:rPr>
            </w:pPr>
            <w:r>
              <w:rPr>
                <w:rFonts w:eastAsia="Calibri"/>
                <w:iCs/>
                <w:sz w:val="20"/>
                <w:szCs w:val="20"/>
              </w:rPr>
              <w:lastRenderedPageBreak/>
              <w:t>Communications expert</w:t>
            </w:r>
          </w:p>
          <w:p w14:paraId="6808FCDF" w14:textId="77777777" w:rsidR="00CF33D9" w:rsidRDefault="00CF33D9">
            <w:pPr>
              <w:spacing w:after="0"/>
              <w:contextualSpacing/>
              <w:rPr>
                <w:rFonts w:eastAsia="Calibri"/>
                <w:iCs/>
                <w:sz w:val="20"/>
                <w:szCs w:val="20"/>
              </w:rPr>
            </w:pPr>
          </w:p>
          <w:p w14:paraId="6808FCE0" w14:textId="77777777" w:rsidR="00CF33D9" w:rsidRDefault="00E3332A">
            <w:pPr>
              <w:spacing w:after="0"/>
              <w:contextualSpacing/>
              <w:rPr>
                <w:rFonts w:eastAsia="Calibri"/>
                <w:iCs/>
                <w:sz w:val="20"/>
                <w:szCs w:val="20"/>
              </w:rPr>
            </w:pPr>
            <w:r>
              <w:rPr>
                <w:rFonts w:eastAsia="Calibri"/>
                <w:iCs/>
                <w:sz w:val="20"/>
                <w:szCs w:val="20"/>
              </w:rPr>
              <w:t>SBE expert</w:t>
            </w:r>
          </w:p>
          <w:p w14:paraId="6808FCE1" w14:textId="77777777" w:rsidR="00CF33D9" w:rsidRDefault="00CF33D9">
            <w:pPr>
              <w:spacing w:after="60"/>
              <w:jc w:val="both"/>
              <w:rPr>
                <w:rFonts w:eastAsia="Calibri"/>
                <w:i/>
                <w:sz w:val="20"/>
                <w:szCs w:val="20"/>
              </w:rPr>
            </w:pPr>
          </w:p>
        </w:tc>
        <w:tc>
          <w:tcPr>
            <w:tcW w:w="1990" w:type="dxa"/>
            <w:shd w:val="clear" w:color="auto" w:fill="auto"/>
          </w:tcPr>
          <w:p w14:paraId="6808FCE2" w14:textId="77777777" w:rsidR="00CF33D9" w:rsidRDefault="00E3332A">
            <w:pPr>
              <w:pStyle w:val="ListParagraph"/>
              <w:numPr>
                <w:ilvl w:val="0"/>
                <w:numId w:val="55"/>
              </w:numPr>
              <w:spacing w:after="0"/>
              <w:ind w:left="176" w:hanging="176"/>
              <w:contextualSpacing/>
              <w:rPr>
                <w:rFonts w:eastAsia="Calibri"/>
                <w:color w:val="000000"/>
                <w:sz w:val="20"/>
                <w:szCs w:val="20"/>
              </w:rPr>
            </w:pPr>
            <w:r>
              <w:rPr>
                <w:rFonts w:eastAsia="Calibri"/>
                <w:color w:val="000000"/>
                <w:sz w:val="20"/>
                <w:szCs w:val="20"/>
              </w:rPr>
              <w:lastRenderedPageBreak/>
              <w:t>Information material uploaded onto SBE</w:t>
            </w:r>
          </w:p>
          <w:p w14:paraId="6808FCE3" w14:textId="77777777" w:rsidR="00CF33D9" w:rsidRDefault="00E3332A">
            <w:pPr>
              <w:pStyle w:val="ListParagraph"/>
              <w:numPr>
                <w:ilvl w:val="0"/>
                <w:numId w:val="55"/>
              </w:numPr>
              <w:spacing w:after="0"/>
              <w:ind w:left="176" w:hanging="176"/>
              <w:contextualSpacing/>
              <w:rPr>
                <w:rFonts w:eastAsia="Calibri"/>
                <w:i/>
                <w:sz w:val="20"/>
                <w:szCs w:val="20"/>
              </w:rPr>
            </w:pPr>
            <w:r>
              <w:rPr>
                <w:rFonts w:eastAsia="Calibri"/>
                <w:color w:val="000000"/>
                <w:sz w:val="20"/>
                <w:szCs w:val="20"/>
              </w:rPr>
              <w:lastRenderedPageBreak/>
              <w:t># of downloads of knowledge products from the SBE KM platform</w:t>
            </w:r>
          </w:p>
        </w:tc>
      </w:tr>
      <w:tr w:rsidR="00CF33D9" w14:paraId="6808FCF7" w14:textId="77777777">
        <w:trPr>
          <w:trHeight w:val="20"/>
        </w:trPr>
        <w:tc>
          <w:tcPr>
            <w:tcW w:w="993" w:type="dxa"/>
            <w:vMerge/>
          </w:tcPr>
          <w:p w14:paraId="6808FCE5" w14:textId="77777777" w:rsidR="00CF33D9" w:rsidRDefault="00CF33D9">
            <w:pPr>
              <w:widowControl w:val="0"/>
              <w:spacing w:line="276" w:lineRule="auto"/>
              <w:rPr>
                <w:rFonts w:eastAsia="Calibri"/>
                <w:i/>
                <w:sz w:val="20"/>
                <w:szCs w:val="20"/>
              </w:rPr>
            </w:pPr>
          </w:p>
        </w:tc>
        <w:tc>
          <w:tcPr>
            <w:tcW w:w="1701" w:type="dxa"/>
            <w:vMerge w:val="restart"/>
            <w:shd w:val="clear" w:color="auto" w:fill="auto"/>
          </w:tcPr>
          <w:p w14:paraId="6808FCE6" w14:textId="77777777" w:rsidR="00CF33D9" w:rsidRDefault="00E3332A">
            <w:pPr>
              <w:rPr>
                <w:rFonts w:eastAsia="Calibri"/>
                <w:b/>
                <w:sz w:val="20"/>
                <w:szCs w:val="20"/>
              </w:rPr>
            </w:pPr>
            <w:r>
              <w:rPr>
                <w:rFonts w:eastAsia="Calibri"/>
                <w:b/>
                <w:sz w:val="20"/>
                <w:szCs w:val="20"/>
              </w:rPr>
              <w:t xml:space="preserve">Project Outcome 5.2: </w:t>
            </w:r>
            <w:r>
              <w:rPr>
                <w:rFonts w:eastAsia="Calibri"/>
                <w:bCs/>
                <w:color w:val="000000"/>
                <w:sz w:val="20"/>
                <w:szCs w:val="20"/>
              </w:rPr>
              <w:t>The upscaling of sustainable and viable  blue/ocean economy interventions is promoted</w:t>
            </w:r>
          </w:p>
        </w:tc>
        <w:tc>
          <w:tcPr>
            <w:tcW w:w="1559" w:type="dxa"/>
            <w:shd w:val="clear" w:color="auto" w:fill="auto"/>
          </w:tcPr>
          <w:p w14:paraId="6808FCE7" w14:textId="77777777" w:rsidR="00CF33D9" w:rsidRDefault="00E3332A">
            <w:pPr>
              <w:spacing w:after="60"/>
              <w:jc w:val="both"/>
              <w:rPr>
                <w:rFonts w:eastAsia="Calibri"/>
                <w:b/>
                <w:i/>
                <w:sz w:val="20"/>
                <w:szCs w:val="20"/>
              </w:rPr>
            </w:pPr>
            <w:r>
              <w:rPr>
                <w:rFonts w:eastAsia="Calibri"/>
                <w:b/>
                <w:i/>
                <w:sz w:val="20"/>
                <w:szCs w:val="20"/>
              </w:rPr>
              <w:t>Indicator 26</w:t>
            </w:r>
          </w:p>
          <w:p w14:paraId="6808FCE8" w14:textId="77777777" w:rsidR="00CF33D9" w:rsidRDefault="00E3332A">
            <w:pPr>
              <w:spacing w:after="60"/>
              <w:rPr>
                <w:rFonts w:eastAsia="Calibri"/>
                <w:b/>
                <w:i/>
                <w:sz w:val="20"/>
                <w:szCs w:val="20"/>
              </w:rPr>
            </w:pPr>
            <w:r>
              <w:rPr>
                <w:rFonts w:eastAsia="Calibri"/>
                <w:color w:val="000000"/>
                <w:sz w:val="20"/>
                <w:szCs w:val="20"/>
              </w:rPr>
              <w:t># of project SBE knowledge products disseminated widely including on IW:LEARN and Africa LME Caucus</w:t>
            </w:r>
          </w:p>
        </w:tc>
        <w:tc>
          <w:tcPr>
            <w:tcW w:w="1417" w:type="dxa"/>
          </w:tcPr>
          <w:p w14:paraId="6808FCE9" w14:textId="77777777" w:rsidR="00CF33D9" w:rsidRDefault="00E3332A">
            <w:pPr>
              <w:spacing w:after="60"/>
              <w:jc w:val="both"/>
              <w:rPr>
                <w:rFonts w:eastAsia="Calibri"/>
                <w:iCs/>
                <w:sz w:val="20"/>
                <w:szCs w:val="20"/>
              </w:rPr>
            </w:pPr>
            <w:r>
              <w:rPr>
                <w:rFonts w:eastAsia="Calibri"/>
                <w:iCs/>
                <w:sz w:val="20"/>
                <w:szCs w:val="20"/>
                <w:u w:val="single"/>
              </w:rPr>
              <w:t>Mid-term</w:t>
            </w:r>
            <w:r>
              <w:rPr>
                <w:rFonts w:eastAsia="Calibri"/>
                <w:iCs/>
                <w:sz w:val="20"/>
                <w:szCs w:val="20"/>
              </w:rPr>
              <w:t xml:space="preserve">: </w:t>
            </w:r>
          </w:p>
          <w:p w14:paraId="6808FCEA" w14:textId="77777777" w:rsidR="00CF33D9" w:rsidRDefault="00E3332A">
            <w:pPr>
              <w:spacing w:after="60"/>
              <w:rPr>
                <w:rFonts w:eastAsia="Calibri"/>
                <w:iCs/>
                <w:sz w:val="20"/>
                <w:szCs w:val="20"/>
                <w:u w:val="single"/>
              </w:rPr>
            </w:pPr>
            <w:r>
              <w:rPr>
                <w:rFonts w:eastAsia="Calibri"/>
                <w:color w:val="000000"/>
                <w:sz w:val="20"/>
                <w:szCs w:val="20"/>
              </w:rPr>
              <w:t>9 SBE knowledge products developed and disseminated</w:t>
            </w:r>
            <w:r>
              <w:rPr>
                <w:rFonts w:eastAsia="Calibri"/>
                <w:iCs/>
                <w:sz w:val="20"/>
                <w:szCs w:val="20"/>
                <w:u w:val="single"/>
              </w:rPr>
              <w:t xml:space="preserve"> </w:t>
            </w:r>
          </w:p>
          <w:p w14:paraId="6808FCEB" w14:textId="77777777" w:rsidR="00CF33D9" w:rsidRDefault="00E3332A">
            <w:pPr>
              <w:spacing w:after="60"/>
              <w:rPr>
                <w:rFonts w:eastAsia="Calibri"/>
                <w:i/>
                <w:sz w:val="20"/>
                <w:szCs w:val="20"/>
              </w:rPr>
            </w:pPr>
            <w:r>
              <w:rPr>
                <w:rFonts w:eastAsia="Calibri"/>
                <w:iCs/>
                <w:sz w:val="20"/>
                <w:szCs w:val="20"/>
                <w:u w:val="single"/>
              </w:rPr>
              <w:t>End-of-Project</w:t>
            </w:r>
            <w:r>
              <w:rPr>
                <w:rFonts w:eastAsia="Calibri"/>
                <w:iCs/>
                <w:sz w:val="20"/>
                <w:szCs w:val="20"/>
              </w:rPr>
              <w:t xml:space="preserve">: </w:t>
            </w:r>
            <w:r>
              <w:rPr>
                <w:rFonts w:eastAsia="Calibri"/>
                <w:color w:val="000000"/>
                <w:sz w:val="20"/>
                <w:szCs w:val="20"/>
              </w:rPr>
              <w:t>18 SBE knowledge products developed and disseminated</w:t>
            </w:r>
          </w:p>
        </w:tc>
        <w:tc>
          <w:tcPr>
            <w:tcW w:w="2268" w:type="dxa"/>
          </w:tcPr>
          <w:p w14:paraId="6808FCEC" w14:textId="77777777" w:rsidR="00CF33D9" w:rsidRDefault="00E3332A">
            <w:pPr>
              <w:spacing w:after="60"/>
              <w:rPr>
                <w:rFonts w:eastAsia="Calibri"/>
                <w:i/>
                <w:sz w:val="20"/>
                <w:szCs w:val="20"/>
              </w:rPr>
            </w:pPr>
            <w:r>
              <w:rPr>
                <w:rFonts w:eastAsia="Calibri"/>
                <w:sz w:val="20"/>
                <w:szCs w:val="20"/>
              </w:rPr>
              <w:t>Project lessons learned and experiences disseminated to other regions will support knowledge and exchange.</w:t>
            </w:r>
          </w:p>
        </w:tc>
        <w:tc>
          <w:tcPr>
            <w:tcW w:w="1843" w:type="dxa"/>
            <w:shd w:val="clear" w:color="auto" w:fill="auto"/>
          </w:tcPr>
          <w:p w14:paraId="6808FCED" w14:textId="77777777" w:rsidR="00CF33D9" w:rsidRDefault="00E3332A">
            <w:pPr>
              <w:spacing w:after="60"/>
              <w:rPr>
                <w:rFonts w:eastAsia="Calibri"/>
                <w:i/>
                <w:sz w:val="20"/>
                <w:szCs w:val="20"/>
              </w:rPr>
            </w:pPr>
            <w:r>
              <w:rPr>
                <w:rFonts w:eastAsia="Calibri"/>
                <w:sz w:val="20"/>
                <w:szCs w:val="20"/>
              </w:rPr>
              <w:t>Annually (reported in Development Objective (DO) progress section of the GEF PIR), mid-term, closure</w:t>
            </w:r>
          </w:p>
        </w:tc>
        <w:tc>
          <w:tcPr>
            <w:tcW w:w="1547" w:type="dxa"/>
            <w:shd w:val="clear" w:color="auto" w:fill="auto"/>
          </w:tcPr>
          <w:p w14:paraId="6808FCEE" w14:textId="77777777" w:rsidR="00CF33D9" w:rsidRDefault="00E3332A">
            <w:pPr>
              <w:spacing w:after="0"/>
              <w:contextualSpacing/>
              <w:rPr>
                <w:rFonts w:eastAsia="Calibri"/>
                <w:iCs/>
                <w:sz w:val="20"/>
                <w:szCs w:val="20"/>
              </w:rPr>
            </w:pPr>
            <w:r>
              <w:rPr>
                <w:rFonts w:eastAsia="Calibri"/>
                <w:iCs/>
                <w:sz w:val="20"/>
                <w:szCs w:val="20"/>
              </w:rPr>
              <w:t>M&amp;E and KM Expert</w:t>
            </w:r>
          </w:p>
          <w:p w14:paraId="6808FCEF" w14:textId="77777777" w:rsidR="00CF33D9" w:rsidRDefault="00CF33D9">
            <w:pPr>
              <w:spacing w:after="0"/>
              <w:contextualSpacing/>
              <w:rPr>
                <w:rFonts w:eastAsia="Calibri"/>
                <w:iCs/>
                <w:sz w:val="20"/>
                <w:szCs w:val="20"/>
              </w:rPr>
            </w:pPr>
          </w:p>
          <w:p w14:paraId="6808FCF0" w14:textId="77777777" w:rsidR="00CF33D9" w:rsidRDefault="00E3332A">
            <w:pPr>
              <w:spacing w:after="0"/>
              <w:contextualSpacing/>
              <w:rPr>
                <w:rFonts w:eastAsia="Calibri"/>
                <w:iCs/>
                <w:sz w:val="20"/>
                <w:szCs w:val="20"/>
              </w:rPr>
            </w:pPr>
            <w:r>
              <w:rPr>
                <w:rFonts w:eastAsia="Calibri"/>
                <w:iCs/>
                <w:sz w:val="20"/>
                <w:szCs w:val="20"/>
              </w:rPr>
              <w:t>Communications expert</w:t>
            </w:r>
          </w:p>
          <w:p w14:paraId="6808FCF1" w14:textId="77777777" w:rsidR="00CF33D9" w:rsidRDefault="00CF33D9">
            <w:pPr>
              <w:spacing w:after="0"/>
              <w:contextualSpacing/>
              <w:rPr>
                <w:rFonts w:eastAsia="Calibri"/>
                <w:iCs/>
                <w:sz w:val="20"/>
                <w:szCs w:val="20"/>
              </w:rPr>
            </w:pPr>
          </w:p>
          <w:p w14:paraId="6808FCF2" w14:textId="77777777" w:rsidR="00CF33D9" w:rsidRDefault="00CF33D9">
            <w:pPr>
              <w:contextualSpacing/>
              <w:rPr>
                <w:rFonts w:eastAsia="Calibri"/>
                <w:i/>
                <w:sz w:val="20"/>
                <w:szCs w:val="20"/>
              </w:rPr>
            </w:pPr>
          </w:p>
        </w:tc>
        <w:tc>
          <w:tcPr>
            <w:tcW w:w="1990" w:type="dxa"/>
            <w:shd w:val="clear" w:color="auto" w:fill="auto"/>
          </w:tcPr>
          <w:p w14:paraId="6808FCF3" w14:textId="77777777" w:rsidR="00CF33D9" w:rsidRDefault="00E3332A">
            <w:pPr>
              <w:pStyle w:val="ListParagraph"/>
              <w:numPr>
                <w:ilvl w:val="0"/>
                <w:numId w:val="56"/>
              </w:numPr>
              <w:spacing w:after="0"/>
              <w:ind w:left="46" w:hanging="142"/>
              <w:contextualSpacing/>
              <w:rPr>
                <w:rFonts w:eastAsia="Calibri"/>
                <w:color w:val="000000"/>
                <w:sz w:val="20"/>
                <w:szCs w:val="20"/>
              </w:rPr>
            </w:pPr>
            <w:r>
              <w:rPr>
                <w:rFonts w:eastAsia="Calibri"/>
                <w:color w:val="000000"/>
                <w:sz w:val="20"/>
                <w:szCs w:val="20"/>
              </w:rPr>
              <w:t>Newsletters</w:t>
            </w:r>
          </w:p>
          <w:p w14:paraId="6808FCF4" w14:textId="77777777" w:rsidR="00CF33D9" w:rsidRDefault="00E3332A">
            <w:pPr>
              <w:pStyle w:val="ListParagraph"/>
              <w:numPr>
                <w:ilvl w:val="0"/>
                <w:numId w:val="56"/>
              </w:numPr>
              <w:spacing w:after="0"/>
              <w:ind w:left="46" w:hanging="142"/>
              <w:contextualSpacing/>
              <w:rPr>
                <w:rFonts w:eastAsia="Calibri"/>
                <w:color w:val="000000"/>
                <w:sz w:val="20"/>
                <w:szCs w:val="20"/>
              </w:rPr>
            </w:pPr>
            <w:r>
              <w:rPr>
                <w:rFonts w:eastAsia="Calibri"/>
                <w:color w:val="000000"/>
                <w:sz w:val="20"/>
                <w:szCs w:val="20"/>
              </w:rPr>
              <w:t>SBE Experience notes</w:t>
            </w:r>
          </w:p>
          <w:p w14:paraId="6808FCF5" w14:textId="77777777" w:rsidR="00CF33D9" w:rsidRDefault="00E3332A">
            <w:pPr>
              <w:pStyle w:val="ListParagraph"/>
              <w:numPr>
                <w:ilvl w:val="0"/>
                <w:numId w:val="56"/>
              </w:numPr>
              <w:spacing w:after="0"/>
              <w:ind w:left="46" w:hanging="142"/>
              <w:contextualSpacing/>
              <w:rPr>
                <w:rFonts w:eastAsia="Calibri"/>
                <w:color w:val="000000"/>
                <w:sz w:val="20"/>
                <w:szCs w:val="20"/>
              </w:rPr>
            </w:pPr>
            <w:r>
              <w:rPr>
                <w:rFonts w:eastAsia="Calibri"/>
                <w:color w:val="000000"/>
                <w:sz w:val="20"/>
                <w:szCs w:val="20"/>
              </w:rPr>
              <w:t>Technical reports</w:t>
            </w:r>
          </w:p>
          <w:p w14:paraId="6808FCF6" w14:textId="77777777" w:rsidR="00CF33D9" w:rsidRDefault="00E3332A">
            <w:pPr>
              <w:pStyle w:val="ListParagraph"/>
              <w:numPr>
                <w:ilvl w:val="0"/>
                <w:numId w:val="56"/>
              </w:numPr>
              <w:spacing w:after="0"/>
              <w:ind w:left="46" w:hanging="142"/>
              <w:contextualSpacing/>
              <w:jc w:val="both"/>
              <w:rPr>
                <w:rFonts w:eastAsia="Calibri"/>
                <w:i/>
                <w:sz w:val="20"/>
                <w:szCs w:val="20"/>
              </w:rPr>
            </w:pPr>
            <w:r>
              <w:rPr>
                <w:rFonts w:eastAsia="Calibri"/>
                <w:color w:val="000000"/>
                <w:sz w:val="20"/>
                <w:szCs w:val="20"/>
              </w:rPr>
              <w:t>SBE Policy briefs</w:t>
            </w:r>
          </w:p>
        </w:tc>
      </w:tr>
      <w:tr w:rsidR="00CF33D9" w14:paraId="6808FD05" w14:textId="77777777">
        <w:trPr>
          <w:trHeight w:val="20"/>
        </w:trPr>
        <w:tc>
          <w:tcPr>
            <w:tcW w:w="993" w:type="dxa"/>
            <w:vMerge/>
          </w:tcPr>
          <w:p w14:paraId="6808FCF8" w14:textId="77777777" w:rsidR="00CF33D9" w:rsidRDefault="00CF33D9">
            <w:pPr>
              <w:widowControl w:val="0"/>
              <w:spacing w:line="276" w:lineRule="auto"/>
              <w:rPr>
                <w:rFonts w:eastAsia="Calibri"/>
                <w:i/>
                <w:sz w:val="20"/>
                <w:szCs w:val="20"/>
              </w:rPr>
            </w:pPr>
          </w:p>
        </w:tc>
        <w:tc>
          <w:tcPr>
            <w:tcW w:w="1701" w:type="dxa"/>
            <w:vMerge/>
            <w:shd w:val="clear" w:color="auto" w:fill="auto"/>
            <w:vAlign w:val="center"/>
          </w:tcPr>
          <w:p w14:paraId="6808FCF9" w14:textId="77777777" w:rsidR="00CF33D9" w:rsidRDefault="00CF33D9">
            <w:pPr>
              <w:spacing w:after="60"/>
              <w:jc w:val="both"/>
              <w:rPr>
                <w:rFonts w:eastAsia="Calibri"/>
                <w:b/>
                <w:sz w:val="20"/>
                <w:szCs w:val="20"/>
              </w:rPr>
            </w:pPr>
          </w:p>
        </w:tc>
        <w:tc>
          <w:tcPr>
            <w:tcW w:w="1559" w:type="dxa"/>
            <w:shd w:val="clear" w:color="auto" w:fill="auto"/>
          </w:tcPr>
          <w:p w14:paraId="6808FCFA" w14:textId="77777777" w:rsidR="00CF33D9" w:rsidRDefault="00E3332A">
            <w:pPr>
              <w:spacing w:after="60"/>
              <w:jc w:val="both"/>
              <w:rPr>
                <w:rFonts w:eastAsia="Calibri"/>
                <w:b/>
                <w:i/>
                <w:sz w:val="20"/>
                <w:szCs w:val="20"/>
              </w:rPr>
            </w:pPr>
            <w:r>
              <w:rPr>
                <w:rFonts w:eastAsia="Calibri"/>
                <w:b/>
                <w:i/>
                <w:sz w:val="20"/>
                <w:szCs w:val="20"/>
              </w:rPr>
              <w:t>Indicator 27</w:t>
            </w:r>
          </w:p>
          <w:p w14:paraId="6808FCFB" w14:textId="77777777" w:rsidR="00CF33D9" w:rsidRDefault="00E3332A">
            <w:pPr>
              <w:spacing w:after="60"/>
              <w:rPr>
                <w:rFonts w:eastAsia="Calibri"/>
                <w:b/>
                <w:i/>
                <w:sz w:val="20"/>
                <w:szCs w:val="20"/>
              </w:rPr>
            </w:pPr>
            <w:r>
              <w:rPr>
                <w:rFonts w:eastAsia="Calibri"/>
                <w:color w:val="000000"/>
                <w:sz w:val="20"/>
                <w:szCs w:val="20"/>
              </w:rPr>
              <w:t xml:space="preserve"># of BCC Annual Science to </w:t>
            </w:r>
            <w:r>
              <w:rPr>
                <w:rFonts w:eastAsia="Calibri"/>
                <w:color w:val="000000"/>
                <w:sz w:val="20"/>
                <w:szCs w:val="20"/>
              </w:rPr>
              <w:lastRenderedPageBreak/>
              <w:t>Governance Forum convened</w:t>
            </w:r>
          </w:p>
        </w:tc>
        <w:tc>
          <w:tcPr>
            <w:tcW w:w="1417" w:type="dxa"/>
          </w:tcPr>
          <w:p w14:paraId="6808FCFC" w14:textId="77777777" w:rsidR="00CF33D9" w:rsidRDefault="00E3332A">
            <w:pPr>
              <w:spacing w:after="60"/>
              <w:jc w:val="both"/>
              <w:rPr>
                <w:rFonts w:eastAsia="Calibri"/>
                <w:iCs/>
                <w:sz w:val="20"/>
                <w:szCs w:val="20"/>
              </w:rPr>
            </w:pPr>
            <w:r>
              <w:rPr>
                <w:rFonts w:eastAsia="Calibri"/>
                <w:iCs/>
                <w:sz w:val="20"/>
                <w:szCs w:val="20"/>
                <w:u w:val="single"/>
              </w:rPr>
              <w:lastRenderedPageBreak/>
              <w:t>Mid-term</w:t>
            </w:r>
            <w:r>
              <w:rPr>
                <w:rFonts w:eastAsia="Calibri"/>
                <w:iCs/>
                <w:sz w:val="20"/>
                <w:szCs w:val="20"/>
              </w:rPr>
              <w:t xml:space="preserve">: </w:t>
            </w:r>
          </w:p>
          <w:p w14:paraId="6808FCFD" w14:textId="77777777" w:rsidR="00CF33D9" w:rsidRDefault="00E3332A">
            <w:pPr>
              <w:spacing w:after="60"/>
              <w:rPr>
                <w:rFonts w:eastAsia="Calibri"/>
                <w:iCs/>
                <w:sz w:val="20"/>
                <w:szCs w:val="20"/>
                <w:u w:val="single"/>
              </w:rPr>
            </w:pPr>
            <w:r>
              <w:rPr>
                <w:rFonts w:eastAsia="Calibri"/>
                <w:color w:val="000000"/>
                <w:sz w:val="20"/>
                <w:szCs w:val="20"/>
              </w:rPr>
              <w:t>3 forums convened</w:t>
            </w:r>
            <w:r>
              <w:rPr>
                <w:rFonts w:eastAsia="Calibri"/>
                <w:iCs/>
                <w:sz w:val="20"/>
                <w:szCs w:val="20"/>
                <w:u w:val="single"/>
              </w:rPr>
              <w:t xml:space="preserve"> </w:t>
            </w:r>
          </w:p>
          <w:p w14:paraId="6808FCFE" w14:textId="77777777" w:rsidR="00CF33D9" w:rsidRDefault="00E3332A">
            <w:pPr>
              <w:spacing w:after="60"/>
              <w:rPr>
                <w:rFonts w:eastAsia="Calibri"/>
                <w:i/>
                <w:sz w:val="20"/>
                <w:szCs w:val="20"/>
              </w:rPr>
            </w:pPr>
            <w:r>
              <w:rPr>
                <w:rFonts w:eastAsia="Calibri"/>
                <w:iCs/>
                <w:sz w:val="20"/>
                <w:szCs w:val="20"/>
                <w:u w:val="single"/>
              </w:rPr>
              <w:lastRenderedPageBreak/>
              <w:t>End-of-Project</w:t>
            </w:r>
            <w:r>
              <w:rPr>
                <w:rFonts w:eastAsia="Calibri"/>
                <w:iCs/>
                <w:sz w:val="20"/>
                <w:szCs w:val="20"/>
              </w:rPr>
              <w:t xml:space="preserve">: </w:t>
            </w:r>
            <w:r>
              <w:rPr>
                <w:rFonts w:eastAsia="Calibri"/>
                <w:color w:val="000000"/>
                <w:sz w:val="20"/>
                <w:szCs w:val="20"/>
              </w:rPr>
              <w:t>6 forums convened</w:t>
            </w:r>
          </w:p>
        </w:tc>
        <w:tc>
          <w:tcPr>
            <w:tcW w:w="2268" w:type="dxa"/>
          </w:tcPr>
          <w:p w14:paraId="6808FCFF" w14:textId="77777777" w:rsidR="00CF33D9" w:rsidRDefault="00E3332A">
            <w:pPr>
              <w:spacing w:after="60"/>
              <w:rPr>
                <w:rFonts w:eastAsia="Calibri"/>
                <w:iCs/>
                <w:sz w:val="20"/>
                <w:szCs w:val="20"/>
              </w:rPr>
            </w:pPr>
            <w:r>
              <w:rPr>
                <w:rFonts w:eastAsia="Calibri"/>
                <w:iCs/>
                <w:sz w:val="20"/>
                <w:szCs w:val="20"/>
              </w:rPr>
              <w:lastRenderedPageBreak/>
              <w:t xml:space="preserve">Annual regional Science to Governance Forum is an opportunity to exchange experiences as </w:t>
            </w:r>
            <w:r>
              <w:rPr>
                <w:rFonts w:eastAsia="Calibri"/>
                <w:iCs/>
                <w:sz w:val="20"/>
                <w:szCs w:val="20"/>
              </w:rPr>
              <w:lastRenderedPageBreak/>
              <w:t xml:space="preserve">well as to draft new SBE initiatives. </w:t>
            </w:r>
          </w:p>
        </w:tc>
        <w:tc>
          <w:tcPr>
            <w:tcW w:w="1843" w:type="dxa"/>
            <w:shd w:val="clear" w:color="auto" w:fill="auto"/>
          </w:tcPr>
          <w:p w14:paraId="6808FD00" w14:textId="77777777" w:rsidR="00CF33D9" w:rsidRDefault="00E3332A">
            <w:pPr>
              <w:spacing w:after="60"/>
              <w:rPr>
                <w:rFonts w:eastAsia="Calibri"/>
                <w:i/>
                <w:sz w:val="20"/>
                <w:szCs w:val="20"/>
              </w:rPr>
            </w:pPr>
            <w:r>
              <w:rPr>
                <w:rFonts w:eastAsia="Calibri"/>
                <w:sz w:val="20"/>
                <w:szCs w:val="20"/>
              </w:rPr>
              <w:lastRenderedPageBreak/>
              <w:t xml:space="preserve">Annually (reported in Development Objective (DO) progress section of </w:t>
            </w:r>
            <w:r>
              <w:rPr>
                <w:rFonts w:eastAsia="Calibri"/>
                <w:sz w:val="20"/>
                <w:szCs w:val="20"/>
              </w:rPr>
              <w:lastRenderedPageBreak/>
              <w:t>the GEF PIR), mid-term, closure</w:t>
            </w:r>
          </w:p>
        </w:tc>
        <w:tc>
          <w:tcPr>
            <w:tcW w:w="1547" w:type="dxa"/>
            <w:shd w:val="clear" w:color="auto" w:fill="auto"/>
          </w:tcPr>
          <w:p w14:paraId="6808FD01" w14:textId="77777777" w:rsidR="00CF33D9" w:rsidRDefault="00E3332A">
            <w:pPr>
              <w:spacing w:after="0"/>
              <w:contextualSpacing/>
              <w:rPr>
                <w:rFonts w:eastAsia="Calibri"/>
                <w:iCs/>
                <w:sz w:val="20"/>
                <w:szCs w:val="20"/>
              </w:rPr>
            </w:pPr>
            <w:r>
              <w:rPr>
                <w:rFonts w:eastAsia="Calibri"/>
                <w:iCs/>
                <w:sz w:val="20"/>
                <w:szCs w:val="20"/>
              </w:rPr>
              <w:lastRenderedPageBreak/>
              <w:t>M&amp;E and KM Expert</w:t>
            </w:r>
          </w:p>
          <w:p w14:paraId="6808FD02" w14:textId="77777777" w:rsidR="00CF33D9" w:rsidRDefault="00CF33D9">
            <w:pPr>
              <w:spacing w:after="60"/>
              <w:jc w:val="both"/>
              <w:rPr>
                <w:rFonts w:eastAsia="Calibri"/>
                <w:i/>
                <w:sz w:val="20"/>
                <w:szCs w:val="20"/>
              </w:rPr>
            </w:pPr>
          </w:p>
        </w:tc>
        <w:tc>
          <w:tcPr>
            <w:tcW w:w="1990" w:type="dxa"/>
            <w:shd w:val="clear" w:color="auto" w:fill="auto"/>
          </w:tcPr>
          <w:p w14:paraId="6808FD03" w14:textId="77777777" w:rsidR="00CF33D9" w:rsidRDefault="00E3332A">
            <w:pPr>
              <w:pStyle w:val="ListParagraph"/>
              <w:numPr>
                <w:ilvl w:val="0"/>
                <w:numId w:val="56"/>
              </w:numPr>
              <w:spacing w:after="60"/>
              <w:ind w:left="176" w:hanging="176"/>
              <w:rPr>
                <w:rFonts w:eastAsia="Calibri"/>
                <w:color w:val="000000"/>
                <w:sz w:val="20"/>
                <w:szCs w:val="20"/>
              </w:rPr>
            </w:pPr>
            <w:r>
              <w:rPr>
                <w:rFonts w:eastAsia="Calibri"/>
                <w:color w:val="000000"/>
                <w:sz w:val="20"/>
                <w:szCs w:val="20"/>
              </w:rPr>
              <w:t xml:space="preserve">Progress reports on the preparatory </w:t>
            </w:r>
            <w:r>
              <w:rPr>
                <w:rFonts w:eastAsia="Calibri"/>
                <w:color w:val="000000"/>
                <w:sz w:val="20"/>
                <w:szCs w:val="20"/>
              </w:rPr>
              <w:lastRenderedPageBreak/>
              <w:t>activities for the forum</w:t>
            </w:r>
          </w:p>
          <w:p w14:paraId="6808FD04" w14:textId="77777777" w:rsidR="00CF33D9" w:rsidRDefault="00E3332A">
            <w:pPr>
              <w:pStyle w:val="ListParagraph"/>
              <w:numPr>
                <w:ilvl w:val="0"/>
                <w:numId w:val="56"/>
              </w:numPr>
              <w:spacing w:after="60"/>
              <w:ind w:left="176" w:hanging="176"/>
              <w:rPr>
                <w:rFonts w:eastAsia="Calibri"/>
                <w:i/>
                <w:sz w:val="20"/>
                <w:szCs w:val="20"/>
              </w:rPr>
            </w:pPr>
            <w:r>
              <w:rPr>
                <w:rFonts w:eastAsia="Calibri"/>
                <w:color w:val="000000"/>
                <w:sz w:val="20"/>
                <w:szCs w:val="20"/>
              </w:rPr>
              <w:t>Forum reports</w:t>
            </w:r>
          </w:p>
        </w:tc>
      </w:tr>
      <w:tr w:rsidR="00CF33D9" w14:paraId="6808FD0F" w14:textId="77777777">
        <w:trPr>
          <w:trHeight w:val="20"/>
        </w:trPr>
        <w:tc>
          <w:tcPr>
            <w:tcW w:w="993" w:type="dxa"/>
            <w:vMerge/>
          </w:tcPr>
          <w:p w14:paraId="6808FD06" w14:textId="77777777" w:rsidR="00CF33D9" w:rsidRDefault="00CF33D9">
            <w:pPr>
              <w:widowControl w:val="0"/>
              <w:spacing w:line="276" w:lineRule="auto"/>
              <w:rPr>
                <w:rFonts w:eastAsia="Calibri"/>
                <w:i/>
                <w:sz w:val="20"/>
                <w:szCs w:val="20"/>
              </w:rPr>
            </w:pPr>
          </w:p>
        </w:tc>
        <w:tc>
          <w:tcPr>
            <w:tcW w:w="1701" w:type="dxa"/>
            <w:vMerge w:val="restart"/>
            <w:shd w:val="clear" w:color="auto" w:fill="auto"/>
          </w:tcPr>
          <w:p w14:paraId="6808FD07" w14:textId="77777777" w:rsidR="00CF33D9" w:rsidRDefault="00E3332A">
            <w:pPr>
              <w:spacing w:after="60"/>
              <w:rPr>
                <w:rFonts w:eastAsia="Calibri"/>
                <w:b/>
                <w:sz w:val="20"/>
                <w:szCs w:val="20"/>
              </w:rPr>
            </w:pPr>
            <w:r>
              <w:rPr>
                <w:rFonts w:eastAsia="Calibri"/>
                <w:b/>
                <w:sz w:val="20"/>
                <w:szCs w:val="20"/>
              </w:rPr>
              <w:t>Outcome M&amp;E</w:t>
            </w:r>
          </w:p>
        </w:tc>
        <w:tc>
          <w:tcPr>
            <w:tcW w:w="1559" w:type="dxa"/>
            <w:shd w:val="clear" w:color="auto" w:fill="auto"/>
          </w:tcPr>
          <w:p w14:paraId="6808FD08" w14:textId="77777777" w:rsidR="00CF33D9" w:rsidRDefault="00E3332A">
            <w:pPr>
              <w:spacing w:after="0"/>
              <w:contextualSpacing/>
              <w:rPr>
                <w:rFonts w:eastAsia="Calibri"/>
                <w:b/>
                <w:sz w:val="20"/>
                <w:szCs w:val="20"/>
              </w:rPr>
            </w:pPr>
            <w:r>
              <w:rPr>
                <w:rFonts w:eastAsia="Calibri"/>
                <w:b/>
                <w:sz w:val="20"/>
                <w:szCs w:val="20"/>
              </w:rPr>
              <w:t xml:space="preserve">Indicator </w:t>
            </w:r>
            <w:r>
              <w:rPr>
                <w:rFonts w:eastAsia="Calibri"/>
                <w:color w:val="000000"/>
                <w:sz w:val="20"/>
                <w:szCs w:val="20"/>
              </w:rPr>
              <w:t>Inception Workshop</w:t>
            </w:r>
          </w:p>
        </w:tc>
        <w:tc>
          <w:tcPr>
            <w:tcW w:w="1417" w:type="dxa"/>
          </w:tcPr>
          <w:p w14:paraId="6808FD09" w14:textId="77777777" w:rsidR="00CF33D9" w:rsidRDefault="00E3332A">
            <w:pPr>
              <w:spacing w:after="0"/>
              <w:contextualSpacing/>
              <w:rPr>
                <w:rFonts w:eastAsia="Calibri"/>
                <w:sz w:val="20"/>
                <w:szCs w:val="20"/>
              </w:rPr>
            </w:pPr>
            <w:r>
              <w:rPr>
                <w:rFonts w:eastAsia="Calibri"/>
                <w:sz w:val="20"/>
                <w:szCs w:val="20"/>
                <w:u w:val="single"/>
              </w:rPr>
              <w:t>Mid-Term:</w:t>
            </w:r>
            <w:r>
              <w:rPr>
                <w:rFonts w:eastAsia="Calibri"/>
                <w:sz w:val="20"/>
                <w:szCs w:val="20"/>
              </w:rPr>
              <w:t xml:space="preserve"> </w:t>
            </w:r>
          </w:p>
          <w:p w14:paraId="6808FD0A" w14:textId="77777777" w:rsidR="00CF33D9" w:rsidRDefault="00E3332A">
            <w:pPr>
              <w:spacing w:after="0"/>
              <w:contextualSpacing/>
              <w:rPr>
                <w:rFonts w:eastAsia="Calibri"/>
                <w:sz w:val="20"/>
                <w:szCs w:val="20"/>
              </w:rPr>
            </w:pPr>
            <w:r>
              <w:rPr>
                <w:rFonts w:eastAsia="Calibri"/>
                <w:sz w:val="20"/>
                <w:szCs w:val="20"/>
              </w:rPr>
              <w:t>1 Inception Workshop</w:t>
            </w:r>
          </w:p>
        </w:tc>
        <w:tc>
          <w:tcPr>
            <w:tcW w:w="2268" w:type="dxa"/>
          </w:tcPr>
          <w:p w14:paraId="6808FD0B" w14:textId="77777777" w:rsidR="00CF33D9" w:rsidRDefault="00E3332A">
            <w:pPr>
              <w:spacing w:after="60"/>
              <w:rPr>
                <w:rFonts w:eastAsia="Calibri"/>
                <w:sz w:val="20"/>
                <w:szCs w:val="20"/>
              </w:rPr>
            </w:pPr>
            <w:r>
              <w:rPr>
                <w:rFonts w:eastAsia="Calibri"/>
                <w:sz w:val="20"/>
                <w:szCs w:val="20"/>
              </w:rPr>
              <w:t xml:space="preserve">Inception workshop is held </w:t>
            </w:r>
          </w:p>
        </w:tc>
        <w:tc>
          <w:tcPr>
            <w:tcW w:w="1843" w:type="dxa"/>
            <w:shd w:val="clear" w:color="auto" w:fill="auto"/>
          </w:tcPr>
          <w:p w14:paraId="6808FD0C" w14:textId="77777777" w:rsidR="00CF33D9" w:rsidRDefault="00E3332A">
            <w:pPr>
              <w:spacing w:after="0"/>
              <w:contextualSpacing/>
              <w:rPr>
                <w:rFonts w:eastAsia="Calibri"/>
                <w:sz w:val="20"/>
                <w:szCs w:val="20"/>
              </w:rPr>
            </w:pPr>
            <w:r>
              <w:rPr>
                <w:rFonts w:eastAsia="Calibri"/>
                <w:sz w:val="20"/>
                <w:szCs w:val="20"/>
              </w:rPr>
              <w:t>First year</w:t>
            </w:r>
          </w:p>
        </w:tc>
        <w:tc>
          <w:tcPr>
            <w:tcW w:w="1547" w:type="dxa"/>
            <w:shd w:val="clear" w:color="auto" w:fill="auto"/>
          </w:tcPr>
          <w:p w14:paraId="6808FD0D" w14:textId="77777777" w:rsidR="00CF33D9" w:rsidRDefault="00E3332A">
            <w:pPr>
              <w:spacing w:after="0"/>
              <w:contextualSpacing/>
              <w:rPr>
                <w:rFonts w:eastAsia="Calibri"/>
                <w:iCs/>
                <w:sz w:val="20"/>
                <w:szCs w:val="20"/>
              </w:rPr>
            </w:pPr>
            <w:r>
              <w:rPr>
                <w:rFonts w:eastAsia="Calibri"/>
                <w:iCs/>
                <w:sz w:val="20"/>
                <w:szCs w:val="20"/>
              </w:rPr>
              <w:t>Project Manager</w:t>
            </w:r>
          </w:p>
        </w:tc>
        <w:tc>
          <w:tcPr>
            <w:tcW w:w="1990" w:type="dxa"/>
            <w:shd w:val="clear" w:color="auto" w:fill="auto"/>
          </w:tcPr>
          <w:p w14:paraId="6808FD0E" w14:textId="77777777" w:rsidR="00CF33D9" w:rsidRDefault="00E3332A">
            <w:pPr>
              <w:spacing w:after="60"/>
              <w:rPr>
                <w:rFonts w:eastAsia="Calibri"/>
                <w:sz w:val="20"/>
                <w:szCs w:val="20"/>
              </w:rPr>
            </w:pPr>
            <w:r>
              <w:rPr>
                <w:rFonts w:eastAsia="Calibri"/>
                <w:sz w:val="20"/>
                <w:szCs w:val="20"/>
              </w:rPr>
              <w:t>Inception Workshop Report</w:t>
            </w:r>
          </w:p>
        </w:tc>
      </w:tr>
      <w:tr w:rsidR="00CF33D9" w14:paraId="6808FD1C" w14:textId="77777777">
        <w:trPr>
          <w:trHeight w:val="20"/>
        </w:trPr>
        <w:tc>
          <w:tcPr>
            <w:tcW w:w="993" w:type="dxa"/>
            <w:vMerge/>
          </w:tcPr>
          <w:p w14:paraId="6808FD10" w14:textId="77777777" w:rsidR="00CF33D9" w:rsidRDefault="00CF33D9">
            <w:pPr>
              <w:widowControl w:val="0"/>
              <w:spacing w:line="276" w:lineRule="auto"/>
              <w:rPr>
                <w:rFonts w:eastAsia="Calibri"/>
                <w:i/>
                <w:sz w:val="20"/>
                <w:szCs w:val="20"/>
              </w:rPr>
            </w:pPr>
          </w:p>
        </w:tc>
        <w:tc>
          <w:tcPr>
            <w:tcW w:w="1701" w:type="dxa"/>
            <w:vMerge/>
            <w:shd w:val="clear" w:color="auto" w:fill="auto"/>
            <w:vAlign w:val="center"/>
          </w:tcPr>
          <w:p w14:paraId="6808FD11" w14:textId="77777777" w:rsidR="00CF33D9" w:rsidRDefault="00CF33D9">
            <w:pPr>
              <w:spacing w:after="60"/>
              <w:jc w:val="both"/>
              <w:rPr>
                <w:rFonts w:eastAsia="Calibri"/>
                <w:b/>
                <w:sz w:val="20"/>
                <w:szCs w:val="20"/>
              </w:rPr>
            </w:pPr>
          </w:p>
        </w:tc>
        <w:tc>
          <w:tcPr>
            <w:tcW w:w="1559" w:type="dxa"/>
            <w:shd w:val="clear" w:color="auto" w:fill="auto"/>
          </w:tcPr>
          <w:p w14:paraId="6808FD12" w14:textId="77777777" w:rsidR="00CF33D9" w:rsidRDefault="00E3332A">
            <w:pPr>
              <w:spacing w:after="0"/>
              <w:contextualSpacing/>
              <w:rPr>
                <w:rFonts w:eastAsia="Calibri"/>
                <w:b/>
                <w:sz w:val="20"/>
                <w:szCs w:val="20"/>
              </w:rPr>
            </w:pPr>
            <w:r>
              <w:rPr>
                <w:rFonts w:eastAsia="Calibri"/>
                <w:b/>
                <w:sz w:val="20"/>
                <w:szCs w:val="20"/>
              </w:rPr>
              <w:t xml:space="preserve">Indicator </w:t>
            </w:r>
          </w:p>
          <w:p w14:paraId="6808FD13" w14:textId="77777777" w:rsidR="00CF33D9" w:rsidRDefault="00E3332A">
            <w:pPr>
              <w:spacing w:after="0"/>
              <w:contextualSpacing/>
              <w:rPr>
                <w:rFonts w:eastAsia="Calibri"/>
                <w:color w:val="000000"/>
                <w:sz w:val="20"/>
                <w:szCs w:val="20"/>
              </w:rPr>
            </w:pPr>
            <w:r>
              <w:rPr>
                <w:rFonts w:eastAsia="Calibri"/>
                <w:color w:val="000000"/>
                <w:sz w:val="20"/>
                <w:szCs w:val="20"/>
              </w:rPr>
              <w:t>Project Steering Committee</w:t>
            </w:r>
          </w:p>
        </w:tc>
        <w:tc>
          <w:tcPr>
            <w:tcW w:w="1417" w:type="dxa"/>
          </w:tcPr>
          <w:p w14:paraId="6808FD14" w14:textId="77777777" w:rsidR="00CF33D9" w:rsidRDefault="00E3332A">
            <w:pPr>
              <w:spacing w:after="0"/>
              <w:contextualSpacing/>
              <w:rPr>
                <w:rFonts w:eastAsia="Calibri"/>
                <w:sz w:val="20"/>
                <w:szCs w:val="20"/>
              </w:rPr>
            </w:pPr>
            <w:r>
              <w:rPr>
                <w:rFonts w:eastAsia="Calibri"/>
                <w:sz w:val="20"/>
                <w:szCs w:val="20"/>
                <w:u w:val="single"/>
              </w:rPr>
              <w:t>Mid-Term</w:t>
            </w:r>
            <w:r>
              <w:rPr>
                <w:rFonts w:eastAsia="Calibri"/>
                <w:sz w:val="20"/>
                <w:szCs w:val="20"/>
              </w:rPr>
              <w:t xml:space="preserve">: </w:t>
            </w:r>
          </w:p>
          <w:p w14:paraId="6808FD15" w14:textId="77777777" w:rsidR="00CF33D9" w:rsidRDefault="00E3332A">
            <w:pPr>
              <w:spacing w:after="0"/>
              <w:contextualSpacing/>
              <w:rPr>
                <w:rFonts w:eastAsia="Calibri"/>
                <w:sz w:val="20"/>
                <w:szCs w:val="20"/>
                <w:u w:val="single"/>
              </w:rPr>
            </w:pPr>
            <w:r>
              <w:rPr>
                <w:rFonts w:eastAsia="Calibri"/>
                <w:sz w:val="20"/>
                <w:szCs w:val="20"/>
              </w:rPr>
              <w:t xml:space="preserve">3 Steering Committee </w:t>
            </w:r>
          </w:p>
          <w:p w14:paraId="6808FD16" w14:textId="77777777" w:rsidR="00CF33D9" w:rsidRDefault="00E3332A">
            <w:pPr>
              <w:spacing w:after="0"/>
              <w:contextualSpacing/>
              <w:rPr>
                <w:rFonts w:eastAsia="Calibri"/>
                <w:sz w:val="20"/>
                <w:szCs w:val="20"/>
              </w:rPr>
            </w:pPr>
            <w:r>
              <w:rPr>
                <w:rFonts w:eastAsia="Calibri"/>
                <w:sz w:val="20"/>
                <w:szCs w:val="20"/>
                <w:u w:val="single"/>
              </w:rPr>
              <w:t>End-of-Project:</w:t>
            </w:r>
            <w:r>
              <w:rPr>
                <w:rFonts w:eastAsia="Calibri"/>
                <w:sz w:val="20"/>
                <w:szCs w:val="20"/>
              </w:rPr>
              <w:t xml:space="preserve"> 3 Steering Committees</w:t>
            </w:r>
          </w:p>
          <w:p w14:paraId="6808FD17" w14:textId="77777777" w:rsidR="00CF33D9" w:rsidRDefault="00CF33D9">
            <w:pPr>
              <w:spacing w:after="0"/>
              <w:contextualSpacing/>
              <w:rPr>
                <w:rFonts w:eastAsia="Calibri"/>
                <w:sz w:val="20"/>
                <w:szCs w:val="20"/>
              </w:rPr>
            </w:pPr>
          </w:p>
        </w:tc>
        <w:tc>
          <w:tcPr>
            <w:tcW w:w="2268" w:type="dxa"/>
          </w:tcPr>
          <w:p w14:paraId="6808FD18" w14:textId="77777777" w:rsidR="00CF33D9" w:rsidRDefault="00E3332A">
            <w:pPr>
              <w:spacing w:after="60"/>
              <w:rPr>
                <w:rFonts w:eastAsia="Calibri"/>
                <w:sz w:val="20"/>
                <w:szCs w:val="20"/>
              </w:rPr>
            </w:pPr>
            <w:r>
              <w:rPr>
                <w:rFonts w:eastAsia="Calibri"/>
                <w:sz w:val="20"/>
                <w:szCs w:val="20"/>
              </w:rPr>
              <w:t>Annual Steering Committee meetings and Final Validation Workshop held</w:t>
            </w:r>
          </w:p>
        </w:tc>
        <w:tc>
          <w:tcPr>
            <w:tcW w:w="1843" w:type="dxa"/>
            <w:shd w:val="clear" w:color="auto" w:fill="auto"/>
          </w:tcPr>
          <w:p w14:paraId="6808FD19" w14:textId="77777777" w:rsidR="00CF33D9" w:rsidRDefault="00E3332A">
            <w:pPr>
              <w:spacing w:after="0"/>
              <w:contextualSpacing/>
              <w:rPr>
                <w:rFonts w:eastAsia="Calibri"/>
                <w:sz w:val="20"/>
                <w:szCs w:val="20"/>
              </w:rPr>
            </w:pPr>
            <w:r>
              <w:rPr>
                <w:rFonts w:eastAsia="Calibri"/>
                <w:sz w:val="20"/>
                <w:szCs w:val="20"/>
              </w:rPr>
              <w:t>Annually</w:t>
            </w:r>
          </w:p>
        </w:tc>
        <w:tc>
          <w:tcPr>
            <w:tcW w:w="1547" w:type="dxa"/>
            <w:shd w:val="clear" w:color="auto" w:fill="auto"/>
          </w:tcPr>
          <w:p w14:paraId="6808FD1A" w14:textId="77777777" w:rsidR="00CF33D9" w:rsidRDefault="00E3332A">
            <w:pPr>
              <w:spacing w:after="0"/>
              <w:contextualSpacing/>
              <w:rPr>
                <w:rFonts w:eastAsia="Calibri"/>
                <w:iCs/>
                <w:sz w:val="20"/>
                <w:szCs w:val="20"/>
              </w:rPr>
            </w:pPr>
            <w:r>
              <w:rPr>
                <w:rFonts w:eastAsia="Calibri"/>
                <w:iCs/>
                <w:sz w:val="20"/>
                <w:szCs w:val="20"/>
              </w:rPr>
              <w:t>Project Manager</w:t>
            </w:r>
          </w:p>
        </w:tc>
        <w:tc>
          <w:tcPr>
            <w:tcW w:w="1990" w:type="dxa"/>
            <w:shd w:val="clear" w:color="auto" w:fill="auto"/>
          </w:tcPr>
          <w:p w14:paraId="6808FD1B" w14:textId="77777777" w:rsidR="00CF33D9" w:rsidRDefault="00E3332A">
            <w:pPr>
              <w:spacing w:after="60"/>
              <w:rPr>
                <w:rFonts w:eastAsia="Calibri"/>
                <w:sz w:val="20"/>
                <w:szCs w:val="20"/>
              </w:rPr>
            </w:pPr>
            <w:r>
              <w:rPr>
                <w:rFonts w:eastAsia="Calibri"/>
                <w:sz w:val="20"/>
                <w:szCs w:val="20"/>
              </w:rPr>
              <w:t>Steering Committee Meetings and Validation Workshop Reports</w:t>
            </w:r>
          </w:p>
        </w:tc>
      </w:tr>
      <w:tr w:rsidR="00CF33D9" w14:paraId="6808FD28" w14:textId="77777777">
        <w:trPr>
          <w:trHeight w:val="20"/>
        </w:trPr>
        <w:tc>
          <w:tcPr>
            <w:tcW w:w="993" w:type="dxa"/>
            <w:vMerge/>
          </w:tcPr>
          <w:p w14:paraId="6808FD1D" w14:textId="77777777" w:rsidR="00CF33D9" w:rsidRDefault="00CF33D9">
            <w:pPr>
              <w:widowControl w:val="0"/>
              <w:spacing w:line="276" w:lineRule="auto"/>
              <w:rPr>
                <w:rFonts w:eastAsia="Calibri"/>
                <w:i/>
                <w:sz w:val="20"/>
                <w:szCs w:val="20"/>
              </w:rPr>
            </w:pPr>
          </w:p>
        </w:tc>
        <w:tc>
          <w:tcPr>
            <w:tcW w:w="1701" w:type="dxa"/>
            <w:vMerge/>
            <w:shd w:val="clear" w:color="auto" w:fill="auto"/>
            <w:vAlign w:val="center"/>
          </w:tcPr>
          <w:p w14:paraId="6808FD1E" w14:textId="77777777" w:rsidR="00CF33D9" w:rsidRDefault="00CF33D9">
            <w:pPr>
              <w:spacing w:after="60"/>
              <w:jc w:val="both"/>
              <w:rPr>
                <w:rFonts w:eastAsia="Calibri"/>
                <w:b/>
                <w:sz w:val="20"/>
                <w:szCs w:val="20"/>
              </w:rPr>
            </w:pPr>
          </w:p>
        </w:tc>
        <w:tc>
          <w:tcPr>
            <w:tcW w:w="1559" w:type="dxa"/>
            <w:shd w:val="clear" w:color="auto" w:fill="auto"/>
          </w:tcPr>
          <w:p w14:paraId="6808FD1F" w14:textId="77777777" w:rsidR="00CF33D9" w:rsidRDefault="00E3332A">
            <w:pPr>
              <w:spacing w:after="0"/>
              <w:contextualSpacing/>
              <w:rPr>
                <w:rFonts w:eastAsia="Calibri"/>
                <w:color w:val="000000"/>
                <w:sz w:val="20"/>
                <w:szCs w:val="20"/>
              </w:rPr>
            </w:pPr>
            <w:r>
              <w:rPr>
                <w:rFonts w:eastAsia="Calibri"/>
                <w:b/>
                <w:sz w:val="20"/>
                <w:szCs w:val="20"/>
              </w:rPr>
              <w:t xml:space="preserve">Indicator </w:t>
            </w:r>
            <w:r>
              <w:rPr>
                <w:rFonts w:eastAsia="Calibri"/>
                <w:color w:val="000000"/>
                <w:sz w:val="20"/>
                <w:szCs w:val="20"/>
              </w:rPr>
              <w:t>Independent Mid-Term Review</w:t>
            </w:r>
          </w:p>
        </w:tc>
        <w:tc>
          <w:tcPr>
            <w:tcW w:w="1417" w:type="dxa"/>
          </w:tcPr>
          <w:p w14:paraId="6808FD20" w14:textId="77777777" w:rsidR="00CF33D9" w:rsidRDefault="00E3332A">
            <w:pPr>
              <w:spacing w:after="0"/>
              <w:contextualSpacing/>
              <w:rPr>
                <w:rFonts w:eastAsia="Calibri"/>
                <w:sz w:val="20"/>
                <w:szCs w:val="20"/>
              </w:rPr>
            </w:pPr>
            <w:r>
              <w:rPr>
                <w:rFonts w:eastAsia="Calibri"/>
                <w:sz w:val="20"/>
                <w:szCs w:val="20"/>
                <w:u w:val="single"/>
              </w:rPr>
              <w:t>Mid-Term:</w:t>
            </w:r>
            <w:r>
              <w:rPr>
                <w:rFonts w:eastAsia="Calibri"/>
                <w:sz w:val="20"/>
                <w:szCs w:val="20"/>
              </w:rPr>
              <w:t xml:space="preserve">  1 Independent Mid-Term Review</w:t>
            </w:r>
          </w:p>
          <w:p w14:paraId="6808FD21" w14:textId="77777777" w:rsidR="00CF33D9" w:rsidRDefault="00CF33D9">
            <w:pPr>
              <w:spacing w:after="0"/>
              <w:contextualSpacing/>
              <w:jc w:val="both"/>
              <w:rPr>
                <w:rFonts w:eastAsia="Calibri"/>
                <w:sz w:val="20"/>
                <w:szCs w:val="20"/>
              </w:rPr>
            </w:pPr>
          </w:p>
        </w:tc>
        <w:tc>
          <w:tcPr>
            <w:tcW w:w="2268" w:type="dxa"/>
          </w:tcPr>
          <w:p w14:paraId="6808FD22" w14:textId="77777777" w:rsidR="00CF33D9" w:rsidRDefault="00E3332A">
            <w:pPr>
              <w:spacing w:after="60"/>
              <w:rPr>
                <w:rFonts w:eastAsia="Calibri"/>
                <w:sz w:val="20"/>
                <w:szCs w:val="20"/>
              </w:rPr>
            </w:pPr>
            <w:r>
              <w:rPr>
                <w:rFonts w:eastAsia="Calibri"/>
                <w:sz w:val="20"/>
                <w:szCs w:val="20"/>
              </w:rPr>
              <w:t>Independent Mid-Term Review performed</w:t>
            </w:r>
          </w:p>
        </w:tc>
        <w:tc>
          <w:tcPr>
            <w:tcW w:w="1843" w:type="dxa"/>
            <w:shd w:val="clear" w:color="auto" w:fill="auto"/>
          </w:tcPr>
          <w:p w14:paraId="6808FD23" w14:textId="77777777" w:rsidR="00CF33D9" w:rsidRDefault="00E3332A">
            <w:pPr>
              <w:spacing w:after="0"/>
              <w:contextualSpacing/>
              <w:rPr>
                <w:rFonts w:eastAsia="Calibri"/>
                <w:sz w:val="20"/>
                <w:szCs w:val="20"/>
              </w:rPr>
            </w:pPr>
            <w:r>
              <w:rPr>
                <w:rFonts w:eastAsia="Calibri"/>
                <w:sz w:val="20"/>
                <w:szCs w:val="20"/>
              </w:rPr>
              <w:t>Mid-point</w:t>
            </w:r>
          </w:p>
        </w:tc>
        <w:tc>
          <w:tcPr>
            <w:tcW w:w="1547" w:type="dxa"/>
            <w:shd w:val="clear" w:color="auto" w:fill="auto"/>
          </w:tcPr>
          <w:p w14:paraId="6808FD24" w14:textId="77777777" w:rsidR="00CF33D9" w:rsidRDefault="00E3332A">
            <w:pPr>
              <w:spacing w:after="0"/>
              <w:contextualSpacing/>
              <w:rPr>
                <w:rFonts w:eastAsia="Calibri"/>
                <w:iCs/>
                <w:sz w:val="20"/>
                <w:szCs w:val="20"/>
              </w:rPr>
            </w:pPr>
            <w:r>
              <w:rPr>
                <w:rFonts w:eastAsia="Calibri"/>
                <w:iCs/>
                <w:sz w:val="20"/>
                <w:szCs w:val="20"/>
              </w:rPr>
              <w:t>Project Manager</w:t>
            </w:r>
          </w:p>
          <w:p w14:paraId="6808FD25" w14:textId="77777777" w:rsidR="00CF33D9" w:rsidRDefault="00CF33D9">
            <w:pPr>
              <w:spacing w:after="0"/>
              <w:contextualSpacing/>
              <w:rPr>
                <w:rFonts w:eastAsia="Calibri"/>
                <w:iCs/>
                <w:sz w:val="20"/>
                <w:szCs w:val="20"/>
              </w:rPr>
            </w:pPr>
          </w:p>
          <w:p w14:paraId="6808FD26" w14:textId="77777777" w:rsidR="00CF33D9" w:rsidRDefault="00E3332A">
            <w:pPr>
              <w:spacing w:after="0"/>
              <w:contextualSpacing/>
              <w:rPr>
                <w:rFonts w:eastAsia="Calibri"/>
                <w:iCs/>
                <w:sz w:val="20"/>
                <w:szCs w:val="20"/>
              </w:rPr>
            </w:pPr>
            <w:r>
              <w:rPr>
                <w:rFonts w:eastAsia="Calibri"/>
                <w:iCs/>
                <w:sz w:val="20"/>
                <w:szCs w:val="20"/>
              </w:rPr>
              <w:t>Evaluation consultant</w:t>
            </w:r>
          </w:p>
        </w:tc>
        <w:tc>
          <w:tcPr>
            <w:tcW w:w="1990" w:type="dxa"/>
            <w:shd w:val="clear" w:color="auto" w:fill="auto"/>
          </w:tcPr>
          <w:p w14:paraId="6808FD27" w14:textId="77777777" w:rsidR="00CF33D9" w:rsidRDefault="00E3332A">
            <w:pPr>
              <w:spacing w:after="60"/>
              <w:rPr>
                <w:rFonts w:eastAsia="Calibri"/>
                <w:sz w:val="20"/>
                <w:szCs w:val="20"/>
              </w:rPr>
            </w:pPr>
            <w:r>
              <w:rPr>
                <w:rFonts w:eastAsia="Calibri"/>
                <w:sz w:val="20"/>
                <w:szCs w:val="20"/>
              </w:rPr>
              <w:t>Mid-Term Review Report</w:t>
            </w:r>
          </w:p>
        </w:tc>
      </w:tr>
      <w:tr w:rsidR="00CF33D9" w14:paraId="6808FD33" w14:textId="77777777">
        <w:trPr>
          <w:trHeight w:val="20"/>
        </w:trPr>
        <w:tc>
          <w:tcPr>
            <w:tcW w:w="993" w:type="dxa"/>
            <w:vMerge/>
          </w:tcPr>
          <w:p w14:paraId="6808FD29" w14:textId="77777777" w:rsidR="00CF33D9" w:rsidRDefault="00CF33D9">
            <w:pPr>
              <w:widowControl w:val="0"/>
              <w:spacing w:line="276" w:lineRule="auto"/>
              <w:rPr>
                <w:rFonts w:eastAsia="Calibri"/>
                <w:i/>
                <w:sz w:val="20"/>
                <w:szCs w:val="20"/>
              </w:rPr>
            </w:pPr>
          </w:p>
        </w:tc>
        <w:tc>
          <w:tcPr>
            <w:tcW w:w="1701" w:type="dxa"/>
            <w:vMerge/>
            <w:shd w:val="clear" w:color="auto" w:fill="auto"/>
            <w:vAlign w:val="center"/>
          </w:tcPr>
          <w:p w14:paraId="6808FD2A" w14:textId="77777777" w:rsidR="00CF33D9" w:rsidRDefault="00CF33D9">
            <w:pPr>
              <w:spacing w:after="60"/>
              <w:jc w:val="both"/>
              <w:rPr>
                <w:rFonts w:eastAsia="Calibri"/>
                <w:b/>
                <w:sz w:val="20"/>
                <w:szCs w:val="20"/>
              </w:rPr>
            </w:pPr>
          </w:p>
        </w:tc>
        <w:tc>
          <w:tcPr>
            <w:tcW w:w="1559" w:type="dxa"/>
            <w:shd w:val="clear" w:color="auto" w:fill="auto"/>
          </w:tcPr>
          <w:p w14:paraId="6808FD2B" w14:textId="77777777" w:rsidR="00CF33D9" w:rsidRDefault="00E3332A">
            <w:pPr>
              <w:spacing w:after="0"/>
              <w:contextualSpacing/>
              <w:rPr>
                <w:rFonts w:eastAsia="Calibri"/>
                <w:b/>
                <w:sz w:val="20"/>
                <w:szCs w:val="20"/>
              </w:rPr>
            </w:pPr>
            <w:r>
              <w:rPr>
                <w:rFonts w:eastAsia="Calibri"/>
                <w:b/>
                <w:sz w:val="20"/>
                <w:szCs w:val="20"/>
              </w:rPr>
              <w:t xml:space="preserve">Indicator </w:t>
            </w:r>
            <w:r>
              <w:rPr>
                <w:rFonts w:eastAsia="Calibri"/>
                <w:bCs/>
                <w:sz w:val="20"/>
                <w:szCs w:val="20"/>
              </w:rPr>
              <w:t xml:space="preserve">Independent </w:t>
            </w:r>
            <w:r>
              <w:rPr>
                <w:rFonts w:eastAsia="Calibri"/>
                <w:color w:val="000000"/>
                <w:sz w:val="20"/>
                <w:szCs w:val="20"/>
              </w:rPr>
              <w:t>Terminal Evaluation</w:t>
            </w:r>
          </w:p>
        </w:tc>
        <w:tc>
          <w:tcPr>
            <w:tcW w:w="1417" w:type="dxa"/>
          </w:tcPr>
          <w:p w14:paraId="6808FD2C" w14:textId="77777777" w:rsidR="00CF33D9" w:rsidRDefault="00E3332A">
            <w:pPr>
              <w:spacing w:after="0"/>
              <w:contextualSpacing/>
              <w:rPr>
                <w:rFonts w:eastAsia="Calibri"/>
                <w:sz w:val="20"/>
                <w:szCs w:val="20"/>
              </w:rPr>
            </w:pPr>
            <w:r>
              <w:rPr>
                <w:rFonts w:eastAsia="Calibri"/>
                <w:sz w:val="20"/>
                <w:szCs w:val="20"/>
                <w:u w:val="single"/>
              </w:rPr>
              <w:t>End-of-Project:</w:t>
            </w:r>
            <w:r>
              <w:rPr>
                <w:rFonts w:eastAsia="Calibri"/>
                <w:sz w:val="20"/>
                <w:szCs w:val="20"/>
              </w:rPr>
              <w:t xml:space="preserve"> 1 Independent Terminal Evaluation</w:t>
            </w:r>
          </w:p>
        </w:tc>
        <w:tc>
          <w:tcPr>
            <w:tcW w:w="2268" w:type="dxa"/>
          </w:tcPr>
          <w:p w14:paraId="6808FD2D" w14:textId="77777777" w:rsidR="00CF33D9" w:rsidRDefault="00E3332A">
            <w:pPr>
              <w:spacing w:after="60"/>
              <w:rPr>
                <w:rFonts w:eastAsia="Calibri"/>
                <w:sz w:val="20"/>
                <w:szCs w:val="20"/>
              </w:rPr>
            </w:pPr>
            <w:r>
              <w:rPr>
                <w:rFonts w:eastAsia="Calibri"/>
                <w:sz w:val="20"/>
                <w:szCs w:val="20"/>
              </w:rPr>
              <w:t>Independent Terminal Evaluation performed</w:t>
            </w:r>
          </w:p>
        </w:tc>
        <w:tc>
          <w:tcPr>
            <w:tcW w:w="1843" w:type="dxa"/>
            <w:shd w:val="clear" w:color="auto" w:fill="auto"/>
          </w:tcPr>
          <w:p w14:paraId="6808FD2E" w14:textId="77777777" w:rsidR="00CF33D9" w:rsidRDefault="00E3332A">
            <w:pPr>
              <w:spacing w:after="0"/>
              <w:contextualSpacing/>
              <w:rPr>
                <w:rFonts w:eastAsia="Calibri"/>
                <w:sz w:val="20"/>
                <w:szCs w:val="20"/>
              </w:rPr>
            </w:pPr>
            <w:r>
              <w:rPr>
                <w:rFonts w:eastAsia="Calibri"/>
                <w:sz w:val="20"/>
                <w:szCs w:val="20"/>
              </w:rPr>
              <w:t>Closure</w:t>
            </w:r>
          </w:p>
        </w:tc>
        <w:tc>
          <w:tcPr>
            <w:tcW w:w="1547" w:type="dxa"/>
            <w:shd w:val="clear" w:color="auto" w:fill="auto"/>
          </w:tcPr>
          <w:p w14:paraId="6808FD2F" w14:textId="77777777" w:rsidR="00CF33D9" w:rsidRDefault="00E3332A">
            <w:pPr>
              <w:spacing w:after="0"/>
              <w:contextualSpacing/>
              <w:rPr>
                <w:rFonts w:eastAsia="Calibri"/>
                <w:iCs/>
                <w:sz w:val="20"/>
                <w:szCs w:val="20"/>
              </w:rPr>
            </w:pPr>
            <w:r>
              <w:rPr>
                <w:rFonts w:eastAsia="Calibri"/>
                <w:iCs/>
                <w:sz w:val="20"/>
                <w:szCs w:val="20"/>
              </w:rPr>
              <w:t>Project Manager</w:t>
            </w:r>
          </w:p>
          <w:p w14:paraId="6808FD30" w14:textId="77777777" w:rsidR="00CF33D9" w:rsidRDefault="00CF33D9">
            <w:pPr>
              <w:spacing w:after="0"/>
              <w:contextualSpacing/>
              <w:rPr>
                <w:rFonts w:eastAsia="Calibri"/>
                <w:iCs/>
                <w:sz w:val="20"/>
                <w:szCs w:val="20"/>
              </w:rPr>
            </w:pPr>
          </w:p>
          <w:p w14:paraId="6808FD31" w14:textId="77777777" w:rsidR="00CF33D9" w:rsidRDefault="00E3332A">
            <w:pPr>
              <w:spacing w:after="0"/>
              <w:contextualSpacing/>
              <w:rPr>
                <w:rFonts w:eastAsia="Calibri"/>
                <w:iCs/>
                <w:sz w:val="20"/>
                <w:szCs w:val="20"/>
              </w:rPr>
            </w:pPr>
            <w:r>
              <w:rPr>
                <w:rFonts w:eastAsia="Calibri"/>
                <w:iCs/>
                <w:sz w:val="20"/>
                <w:szCs w:val="20"/>
              </w:rPr>
              <w:t>Evaluation Consultant</w:t>
            </w:r>
          </w:p>
        </w:tc>
        <w:tc>
          <w:tcPr>
            <w:tcW w:w="1990" w:type="dxa"/>
            <w:shd w:val="clear" w:color="auto" w:fill="auto"/>
          </w:tcPr>
          <w:p w14:paraId="6808FD32" w14:textId="77777777" w:rsidR="00CF33D9" w:rsidRDefault="00E3332A">
            <w:pPr>
              <w:spacing w:after="60"/>
              <w:rPr>
                <w:rFonts w:eastAsia="Calibri"/>
                <w:sz w:val="20"/>
                <w:szCs w:val="20"/>
              </w:rPr>
            </w:pPr>
            <w:r>
              <w:rPr>
                <w:rFonts w:eastAsia="Calibri"/>
                <w:sz w:val="20"/>
                <w:szCs w:val="20"/>
              </w:rPr>
              <w:t>Terminal Evaluation Report</w:t>
            </w:r>
          </w:p>
        </w:tc>
      </w:tr>
    </w:tbl>
    <w:p w14:paraId="6808FD34" w14:textId="77777777" w:rsidR="00CF33D9" w:rsidRDefault="00CF33D9">
      <w:pPr>
        <w:spacing w:after="60"/>
        <w:jc w:val="both"/>
        <w:rPr>
          <w:rFonts w:ascii="Calibri" w:eastAsia="Calibri" w:hAnsi="Calibri" w:cs="Calibri"/>
          <w:sz w:val="20"/>
          <w:szCs w:val="20"/>
        </w:rPr>
      </w:pPr>
    </w:p>
    <w:tbl>
      <w:tblPr>
        <w:tblStyle w:val="Style262"/>
        <w:tblpPr w:leftFromText="180" w:rightFromText="180" w:vertAnchor="text" w:tblpY="1"/>
        <w:tblW w:w="13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65"/>
        <w:gridCol w:w="3330"/>
        <w:gridCol w:w="3330"/>
        <w:gridCol w:w="1890"/>
      </w:tblGrid>
      <w:tr w:rsidR="00CF33D9" w14:paraId="6808FD39" w14:textId="77777777">
        <w:trPr>
          <w:tblHeader/>
        </w:trPr>
        <w:tc>
          <w:tcPr>
            <w:tcW w:w="4765" w:type="dxa"/>
            <w:shd w:val="clear" w:color="auto" w:fill="auto"/>
          </w:tcPr>
          <w:p w14:paraId="6808FD35" w14:textId="77777777" w:rsidR="00CF33D9" w:rsidRDefault="00E3332A">
            <w:pPr>
              <w:rPr>
                <w:rFonts w:eastAsia="Calibri"/>
                <w:b/>
                <w:sz w:val="20"/>
                <w:szCs w:val="20"/>
              </w:rPr>
            </w:pPr>
            <w:r>
              <w:rPr>
                <w:rFonts w:eastAsia="Calibri"/>
                <w:b/>
                <w:sz w:val="20"/>
                <w:szCs w:val="20"/>
              </w:rPr>
              <w:lastRenderedPageBreak/>
              <w:t>Monitoring Activity</w:t>
            </w:r>
          </w:p>
        </w:tc>
        <w:tc>
          <w:tcPr>
            <w:tcW w:w="3330" w:type="dxa"/>
            <w:shd w:val="clear" w:color="auto" w:fill="auto"/>
          </w:tcPr>
          <w:p w14:paraId="6808FD36" w14:textId="77777777" w:rsidR="00CF33D9" w:rsidRDefault="00CF33D9">
            <w:pPr>
              <w:rPr>
                <w:rFonts w:eastAsia="Calibri"/>
                <w:b/>
                <w:sz w:val="20"/>
                <w:szCs w:val="20"/>
              </w:rPr>
            </w:pPr>
          </w:p>
        </w:tc>
        <w:tc>
          <w:tcPr>
            <w:tcW w:w="3330" w:type="dxa"/>
            <w:shd w:val="clear" w:color="auto" w:fill="auto"/>
          </w:tcPr>
          <w:p w14:paraId="6808FD37" w14:textId="77777777" w:rsidR="00CF33D9" w:rsidRDefault="00CF33D9">
            <w:pPr>
              <w:rPr>
                <w:rFonts w:eastAsia="Calibri"/>
                <w:b/>
                <w:sz w:val="20"/>
                <w:szCs w:val="20"/>
              </w:rPr>
            </w:pPr>
          </w:p>
        </w:tc>
        <w:tc>
          <w:tcPr>
            <w:tcW w:w="1890" w:type="dxa"/>
            <w:shd w:val="clear" w:color="auto" w:fill="auto"/>
          </w:tcPr>
          <w:p w14:paraId="6808FD38" w14:textId="77777777" w:rsidR="00CF33D9" w:rsidRDefault="00CF33D9">
            <w:pPr>
              <w:rPr>
                <w:rFonts w:eastAsia="Calibri"/>
                <w:b/>
                <w:sz w:val="20"/>
                <w:szCs w:val="20"/>
              </w:rPr>
            </w:pPr>
          </w:p>
        </w:tc>
      </w:tr>
      <w:tr w:rsidR="00CF33D9" w14:paraId="6808FD3F" w14:textId="77777777">
        <w:trPr>
          <w:tblHeader/>
        </w:trPr>
        <w:tc>
          <w:tcPr>
            <w:tcW w:w="4765" w:type="dxa"/>
            <w:shd w:val="clear" w:color="auto" w:fill="D9D9D9"/>
            <w:vAlign w:val="center"/>
          </w:tcPr>
          <w:p w14:paraId="6808FD3A" w14:textId="77777777" w:rsidR="00CF33D9" w:rsidRDefault="00CF33D9">
            <w:pPr>
              <w:jc w:val="center"/>
              <w:rPr>
                <w:rFonts w:eastAsia="Calibri"/>
                <w:b/>
                <w:sz w:val="20"/>
                <w:szCs w:val="20"/>
              </w:rPr>
            </w:pPr>
          </w:p>
        </w:tc>
        <w:tc>
          <w:tcPr>
            <w:tcW w:w="3330" w:type="dxa"/>
            <w:shd w:val="clear" w:color="auto" w:fill="D9D9D9"/>
            <w:vAlign w:val="center"/>
          </w:tcPr>
          <w:p w14:paraId="6808FD3B" w14:textId="77777777" w:rsidR="00CF33D9" w:rsidRDefault="00E3332A">
            <w:pPr>
              <w:jc w:val="center"/>
              <w:rPr>
                <w:rFonts w:eastAsia="Calibri"/>
                <w:b/>
                <w:sz w:val="20"/>
                <w:szCs w:val="20"/>
              </w:rPr>
            </w:pPr>
            <w:r>
              <w:rPr>
                <w:rFonts w:eastAsia="Calibri"/>
                <w:b/>
                <w:sz w:val="20"/>
                <w:szCs w:val="20"/>
              </w:rPr>
              <w:t>Frequency/Timeframe</w:t>
            </w:r>
          </w:p>
        </w:tc>
        <w:tc>
          <w:tcPr>
            <w:tcW w:w="3330" w:type="dxa"/>
            <w:shd w:val="clear" w:color="auto" w:fill="D9D9D9"/>
            <w:vAlign w:val="center"/>
          </w:tcPr>
          <w:p w14:paraId="6808FD3C" w14:textId="77777777" w:rsidR="00CF33D9" w:rsidRDefault="00E3332A">
            <w:pPr>
              <w:jc w:val="center"/>
              <w:rPr>
                <w:rFonts w:eastAsia="Calibri"/>
                <w:b/>
                <w:sz w:val="20"/>
                <w:szCs w:val="20"/>
              </w:rPr>
            </w:pPr>
            <w:r>
              <w:rPr>
                <w:rFonts w:eastAsia="Calibri"/>
                <w:b/>
                <w:sz w:val="20"/>
                <w:szCs w:val="20"/>
              </w:rPr>
              <w:t>Expected Action</w:t>
            </w:r>
          </w:p>
        </w:tc>
        <w:tc>
          <w:tcPr>
            <w:tcW w:w="1890" w:type="dxa"/>
            <w:shd w:val="clear" w:color="auto" w:fill="D9D9D9"/>
            <w:vAlign w:val="center"/>
          </w:tcPr>
          <w:p w14:paraId="6808FD3D" w14:textId="77777777" w:rsidR="00CF33D9" w:rsidRDefault="00E3332A">
            <w:pPr>
              <w:jc w:val="center"/>
              <w:rPr>
                <w:rFonts w:eastAsia="Calibri"/>
                <w:b/>
                <w:sz w:val="20"/>
                <w:szCs w:val="20"/>
              </w:rPr>
            </w:pPr>
            <w:r>
              <w:rPr>
                <w:rFonts w:eastAsia="Calibri"/>
                <w:b/>
                <w:sz w:val="20"/>
                <w:szCs w:val="20"/>
              </w:rPr>
              <w:t xml:space="preserve">Partners </w:t>
            </w:r>
          </w:p>
          <w:p w14:paraId="6808FD3E" w14:textId="77777777" w:rsidR="00CF33D9" w:rsidRDefault="00E3332A">
            <w:pPr>
              <w:jc w:val="center"/>
              <w:rPr>
                <w:rFonts w:eastAsia="Calibri"/>
                <w:b/>
                <w:sz w:val="20"/>
                <w:szCs w:val="20"/>
              </w:rPr>
            </w:pPr>
            <w:r>
              <w:rPr>
                <w:rFonts w:eastAsia="Calibri"/>
                <w:b/>
                <w:sz w:val="20"/>
                <w:szCs w:val="20"/>
              </w:rPr>
              <w:t>(if joint)</w:t>
            </w:r>
          </w:p>
        </w:tc>
      </w:tr>
      <w:tr w:rsidR="00CF33D9" w14:paraId="6808FD45" w14:textId="77777777">
        <w:tc>
          <w:tcPr>
            <w:tcW w:w="4765" w:type="dxa"/>
            <w:shd w:val="clear" w:color="auto" w:fill="auto"/>
            <w:vAlign w:val="center"/>
          </w:tcPr>
          <w:p w14:paraId="6808FD40" w14:textId="77777777" w:rsidR="00CF33D9" w:rsidRDefault="00E3332A">
            <w:pPr>
              <w:rPr>
                <w:rFonts w:eastAsia="Calibri"/>
                <w:b/>
                <w:sz w:val="20"/>
                <w:szCs w:val="20"/>
              </w:rPr>
            </w:pPr>
            <w:r>
              <w:rPr>
                <w:rFonts w:eastAsia="Calibri"/>
                <w:b/>
                <w:sz w:val="20"/>
                <w:szCs w:val="20"/>
              </w:rPr>
              <w:t>Inception Workshop and Report</w:t>
            </w:r>
          </w:p>
        </w:tc>
        <w:tc>
          <w:tcPr>
            <w:tcW w:w="3330" w:type="dxa"/>
            <w:shd w:val="clear" w:color="auto" w:fill="auto"/>
            <w:vAlign w:val="center"/>
          </w:tcPr>
          <w:p w14:paraId="6808FD41" w14:textId="77777777" w:rsidR="00CF33D9" w:rsidRDefault="00E3332A">
            <w:pPr>
              <w:jc w:val="center"/>
              <w:rPr>
                <w:rFonts w:eastAsia="Calibri"/>
                <w:sz w:val="20"/>
                <w:szCs w:val="20"/>
              </w:rPr>
            </w:pPr>
            <w:r>
              <w:rPr>
                <w:rFonts w:eastAsia="Calibri"/>
                <w:sz w:val="20"/>
                <w:szCs w:val="20"/>
              </w:rPr>
              <w:t>Inception Workshop within 2 months of the First Disbursement</w:t>
            </w:r>
          </w:p>
        </w:tc>
        <w:tc>
          <w:tcPr>
            <w:tcW w:w="3330" w:type="dxa"/>
            <w:shd w:val="clear" w:color="auto" w:fill="auto"/>
          </w:tcPr>
          <w:p w14:paraId="6808FD42" w14:textId="77777777" w:rsidR="00CF33D9" w:rsidRDefault="00E3332A">
            <w:pPr>
              <w:rPr>
                <w:rFonts w:eastAsia="Calibri"/>
                <w:sz w:val="20"/>
                <w:szCs w:val="20"/>
              </w:rPr>
            </w:pPr>
            <w:r>
              <w:rPr>
                <w:rFonts w:eastAsia="Calibri"/>
                <w:sz w:val="20"/>
                <w:szCs w:val="20"/>
              </w:rPr>
              <w:t>As per above description</w:t>
            </w:r>
          </w:p>
        </w:tc>
        <w:tc>
          <w:tcPr>
            <w:tcW w:w="1890" w:type="dxa"/>
            <w:shd w:val="clear" w:color="auto" w:fill="auto"/>
          </w:tcPr>
          <w:p w14:paraId="6808FD43" w14:textId="77777777" w:rsidR="00CF33D9" w:rsidRDefault="00E3332A">
            <w:pPr>
              <w:jc w:val="both"/>
              <w:rPr>
                <w:rFonts w:eastAsia="Calibri"/>
                <w:sz w:val="20"/>
                <w:szCs w:val="20"/>
              </w:rPr>
            </w:pPr>
            <w:r>
              <w:rPr>
                <w:rFonts w:eastAsia="Calibri"/>
                <w:sz w:val="20"/>
                <w:szCs w:val="20"/>
              </w:rPr>
              <w:t>UNDP</w:t>
            </w:r>
          </w:p>
          <w:p w14:paraId="6808FD44" w14:textId="77777777" w:rsidR="00CF33D9" w:rsidRDefault="00E3332A">
            <w:pPr>
              <w:jc w:val="both"/>
              <w:rPr>
                <w:rFonts w:eastAsia="Calibri"/>
                <w:sz w:val="20"/>
                <w:szCs w:val="20"/>
              </w:rPr>
            </w:pPr>
            <w:r>
              <w:rPr>
                <w:rFonts w:eastAsia="Calibri"/>
                <w:sz w:val="20"/>
                <w:szCs w:val="20"/>
              </w:rPr>
              <w:t>BCC (PCU)</w:t>
            </w:r>
          </w:p>
        </w:tc>
      </w:tr>
      <w:tr w:rsidR="00CF33D9" w14:paraId="6808FD4A" w14:textId="77777777">
        <w:tc>
          <w:tcPr>
            <w:tcW w:w="4765" w:type="dxa"/>
            <w:shd w:val="clear" w:color="auto" w:fill="auto"/>
            <w:vAlign w:val="center"/>
          </w:tcPr>
          <w:p w14:paraId="6808FD46" w14:textId="77777777" w:rsidR="00CF33D9" w:rsidRDefault="00E3332A">
            <w:pPr>
              <w:rPr>
                <w:rFonts w:eastAsia="Calibri"/>
                <w:b/>
                <w:sz w:val="20"/>
                <w:szCs w:val="20"/>
              </w:rPr>
            </w:pPr>
            <w:r>
              <w:rPr>
                <w:rFonts w:eastAsia="Calibri"/>
                <w:b/>
                <w:sz w:val="20"/>
                <w:szCs w:val="20"/>
              </w:rPr>
              <w:t xml:space="preserve">Track results progress (see above table for details) </w:t>
            </w:r>
          </w:p>
        </w:tc>
        <w:tc>
          <w:tcPr>
            <w:tcW w:w="3330" w:type="dxa"/>
            <w:shd w:val="clear" w:color="auto" w:fill="auto"/>
            <w:vAlign w:val="center"/>
          </w:tcPr>
          <w:p w14:paraId="6808FD47" w14:textId="77777777" w:rsidR="00CF33D9" w:rsidRDefault="00E3332A">
            <w:pPr>
              <w:jc w:val="center"/>
              <w:rPr>
                <w:rFonts w:eastAsia="Calibri"/>
                <w:sz w:val="20"/>
                <w:szCs w:val="20"/>
              </w:rPr>
            </w:pPr>
            <w:r>
              <w:rPr>
                <w:rFonts w:eastAsia="Calibri"/>
                <w:sz w:val="20"/>
                <w:szCs w:val="20"/>
              </w:rPr>
              <w:t>Annually and at mid-point and closure</w:t>
            </w:r>
          </w:p>
        </w:tc>
        <w:tc>
          <w:tcPr>
            <w:tcW w:w="3330" w:type="dxa"/>
            <w:shd w:val="clear" w:color="auto" w:fill="auto"/>
          </w:tcPr>
          <w:p w14:paraId="6808FD48" w14:textId="77777777" w:rsidR="00CF33D9" w:rsidRDefault="00E3332A">
            <w:pPr>
              <w:rPr>
                <w:rFonts w:eastAsia="Calibri"/>
                <w:sz w:val="20"/>
                <w:szCs w:val="20"/>
              </w:rPr>
            </w:pPr>
            <w:r>
              <w:rPr>
                <w:rFonts w:eastAsia="Calibri"/>
                <w:sz w:val="20"/>
                <w:szCs w:val="20"/>
              </w:rPr>
              <w:t>Slower than expected progress will be addressed by project management.</w:t>
            </w:r>
          </w:p>
        </w:tc>
        <w:tc>
          <w:tcPr>
            <w:tcW w:w="1890" w:type="dxa"/>
            <w:shd w:val="clear" w:color="auto" w:fill="auto"/>
          </w:tcPr>
          <w:p w14:paraId="6808FD49" w14:textId="77777777" w:rsidR="00CF33D9" w:rsidRDefault="00E3332A">
            <w:pPr>
              <w:jc w:val="both"/>
              <w:rPr>
                <w:rFonts w:eastAsia="Calibri"/>
                <w:sz w:val="20"/>
                <w:szCs w:val="20"/>
              </w:rPr>
            </w:pPr>
            <w:r>
              <w:rPr>
                <w:rFonts w:eastAsia="Calibri"/>
                <w:sz w:val="20"/>
                <w:szCs w:val="20"/>
              </w:rPr>
              <w:t>BCC (PCU)</w:t>
            </w:r>
          </w:p>
        </w:tc>
      </w:tr>
      <w:tr w:rsidR="00CF33D9" w14:paraId="6808FD4F" w14:textId="77777777">
        <w:tc>
          <w:tcPr>
            <w:tcW w:w="4765" w:type="dxa"/>
            <w:shd w:val="clear" w:color="auto" w:fill="auto"/>
            <w:vAlign w:val="center"/>
          </w:tcPr>
          <w:p w14:paraId="6808FD4B" w14:textId="77777777" w:rsidR="00CF33D9" w:rsidRDefault="00E3332A">
            <w:pPr>
              <w:rPr>
                <w:rFonts w:eastAsia="Calibri"/>
                <w:b/>
                <w:sz w:val="20"/>
                <w:szCs w:val="20"/>
              </w:rPr>
            </w:pPr>
            <w:r>
              <w:rPr>
                <w:rFonts w:eastAsia="Calibri"/>
                <w:b/>
                <w:sz w:val="20"/>
                <w:szCs w:val="20"/>
              </w:rPr>
              <w:t>Monitor and Manage Risk</w:t>
            </w:r>
          </w:p>
        </w:tc>
        <w:tc>
          <w:tcPr>
            <w:tcW w:w="3330" w:type="dxa"/>
            <w:shd w:val="clear" w:color="auto" w:fill="auto"/>
            <w:vAlign w:val="center"/>
          </w:tcPr>
          <w:p w14:paraId="6808FD4C" w14:textId="77777777" w:rsidR="00CF33D9" w:rsidRDefault="00E3332A">
            <w:pPr>
              <w:jc w:val="center"/>
              <w:rPr>
                <w:rFonts w:eastAsia="Calibri"/>
                <w:sz w:val="20"/>
                <w:szCs w:val="20"/>
              </w:rPr>
            </w:pPr>
            <w:r>
              <w:rPr>
                <w:rFonts w:eastAsia="Calibri"/>
                <w:sz w:val="20"/>
                <w:szCs w:val="20"/>
              </w:rPr>
              <w:t>Quarterly</w:t>
            </w:r>
          </w:p>
        </w:tc>
        <w:tc>
          <w:tcPr>
            <w:tcW w:w="3330" w:type="dxa"/>
            <w:shd w:val="clear" w:color="auto" w:fill="auto"/>
          </w:tcPr>
          <w:p w14:paraId="6808FD4D" w14:textId="77777777" w:rsidR="00CF33D9" w:rsidRDefault="00E3332A">
            <w:pPr>
              <w:rPr>
                <w:rFonts w:eastAsia="Calibri"/>
                <w:sz w:val="20"/>
                <w:szCs w:val="20"/>
              </w:rPr>
            </w:pPr>
            <w:r>
              <w:rPr>
                <w:rFonts w:eastAsia="Calibri"/>
                <w:sz w:val="20"/>
                <w:szCs w:val="20"/>
              </w:rPr>
              <w:t>Risks are identified by project management and actions are taken to manage risk. The risk log is actively maintained to keep track of identified risks and actions taken.</w:t>
            </w:r>
          </w:p>
        </w:tc>
        <w:tc>
          <w:tcPr>
            <w:tcW w:w="1890" w:type="dxa"/>
            <w:shd w:val="clear" w:color="auto" w:fill="auto"/>
          </w:tcPr>
          <w:p w14:paraId="6808FD4E" w14:textId="77777777" w:rsidR="00CF33D9" w:rsidRDefault="00E3332A">
            <w:pPr>
              <w:jc w:val="both"/>
              <w:rPr>
                <w:rFonts w:eastAsia="Calibri"/>
                <w:color w:val="000000" w:themeColor="text1"/>
                <w:sz w:val="20"/>
                <w:szCs w:val="20"/>
              </w:rPr>
            </w:pPr>
            <w:r>
              <w:rPr>
                <w:rFonts w:eastAsia="Calibri"/>
                <w:color w:val="000000" w:themeColor="text1"/>
                <w:sz w:val="20"/>
                <w:szCs w:val="20"/>
              </w:rPr>
              <w:t>BCC (PCU)</w:t>
            </w:r>
          </w:p>
        </w:tc>
      </w:tr>
      <w:tr w:rsidR="00CF33D9" w14:paraId="6808FD54" w14:textId="77777777">
        <w:tc>
          <w:tcPr>
            <w:tcW w:w="4765" w:type="dxa"/>
            <w:shd w:val="clear" w:color="auto" w:fill="auto"/>
          </w:tcPr>
          <w:p w14:paraId="6808FD50" w14:textId="77777777" w:rsidR="00CF33D9" w:rsidRDefault="00E3332A">
            <w:pPr>
              <w:rPr>
                <w:rFonts w:eastAsia="Calibri"/>
                <w:b/>
                <w:sz w:val="20"/>
                <w:szCs w:val="20"/>
              </w:rPr>
            </w:pPr>
            <w:r>
              <w:rPr>
                <w:rFonts w:eastAsia="Calibri"/>
                <w:b/>
                <w:sz w:val="20"/>
                <w:szCs w:val="20"/>
              </w:rPr>
              <w:t>Monitor (ESMF; Gender Action Plan)</w:t>
            </w:r>
          </w:p>
        </w:tc>
        <w:tc>
          <w:tcPr>
            <w:tcW w:w="3330" w:type="dxa"/>
            <w:shd w:val="clear" w:color="auto" w:fill="auto"/>
            <w:vAlign w:val="center"/>
          </w:tcPr>
          <w:p w14:paraId="6808FD51" w14:textId="77777777" w:rsidR="00CF33D9" w:rsidRDefault="00E3332A">
            <w:pPr>
              <w:jc w:val="center"/>
              <w:rPr>
                <w:rFonts w:eastAsia="Calibri"/>
                <w:sz w:val="20"/>
                <w:szCs w:val="20"/>
              </w:rPr>
            </w:pPr>
            <w:r>
              <w:rPr>
                <w:rFonts w:eastAsia="Calibri"/>
                <w:sz w:val="20"/>
                <w:szCs w:val="20"/>
              </w:rPr>
              <w:t>ongoing</w:t>
            </w:r>
          </w:p>
        </w:tc>
        <w:tc>
          <w:tcPr>
            <w:tcW w:w="3330" w:type="dxa"/>
            <w:shd w:val="clear" w:color="auto" w:fill="auto"/>
            <w:vAlign w:val="center"/>
          </w:tcPr>
          <w:p w14:paraId="6808FD52" w14:textId="77777777" w:rsidR="00CF33D9" w:rsidRDefault="00E3332A">
            <w:pPr>
              <w:rPr>
                <w:rFonts w:eastAsia="Calibri"/>
                <w:sz w:val="20"/>
                <w:szCs w:val="20"/>
              </w:rPr>
            </w:pPr>
            <w:r>
              <w:rPr>
                <w:rFonts w:eastAsia="Calibri"/>
                <w:sz w:val="20"/>
                <w:szCs w:val="20"/>
              </w:rPr>
              <w:t>Risk assessed; Participation of women in project activities and as beneficiaries of project actions</w:t>
            </w:r>
          </w:p>
        </w:tc>
        <w:tc>
          <w:tcPr>
            <w:tcW w:w="1890" w:type="dxa"/>
            <w:shd w:val="clear" w:color="auto" w:fill="auto"/>
          </w:tcPr>
          <w:p w14:paraId="6808FD53" w14:textId="77777777" w:rsidR="00CF33D9" w:rsidRDefault="00E3332A">
            <w:pPr>
              <w:jc w:val="both"/>
              <w:rPr>
                <w:rFonts w:eastAsia="Calibri"/>
                <w:sz w:val="20"/>
                <w:szCs w:val="20"/>
              </w:rPr>
            </w:pPr>
            <w:r>
              <w:rPr>
                <w:rFonts w:eastAsia="Calibri"/>
                <w:sz w:val="20"/>
                <w:szCs w:val="20"/>
              </w:rPr>
              <w:t>BCC (PCU)</w:t>
            </w:r>
          </w:p>
        </w:tc>
      </w:tr>
      <w:tr w:rsidR="00CF33D9" w14:paraId="6808FD5A" w14:textId="77777777">
        <w:tc>
          <w:tcPr>
            <w:tcW w:w="4765" w:type="dxa"/>
            <w:shd w:val="clear" w:color="auto" w:fill="auto"/>
            <w:vAlign w:val="center"/>
          </w:tcPr>
          <w:p w14:paraId="6808FD55" w14:textId="77777777" w:rsidR="00CF33D9" w:rsidRDefault="00E3332A">
            <w:pPr>
              <w:rPr>
                <w:rFonts w:eastAsia="Calibri"/>
                <w:b/>
                <w:sz w:val="20"/>
                <w:szCs w:val="20"/>
              </w:rPr>
            </w:pPr>
            <w:r>
              <w:rPr>
                <w:rFonts w:eastAsia="Calibri"/>
                <w:b/>
                <w:sz w:val="20"/>
                <w:szCs w:val="20"/>
              </w:rPr>
              <w:t xml:space="preserve">Supervision Missions </w:t>
            </w:r>
          </w:p>
        </w:tc>
        <w:tc>
          <w:tcPr>
            <w:tcW w:w="3330" w:type="dxa"/>
            <w:shd w:val="clear" w:color="auto" w:fill="auto"/>
            <w:vAlign w:val="center"/>
          </w:tcPr>
          <w:p w14:paraId="6808FD56" w14:textId="77777777" w:rsidR="00CF33D9" w:rsidRDefault="00E3332A">
            <w:pPr>
              <w:jc w:val="center"/>
              <w:rPr>
                <w:rFonts w:eastAsia="Calibri"/>
                <w:sz w:val="20"/>
                <w:szCs w:val="20"/>
              </w:rPr>
            </w:pPr>
            <w:r>
              <w:rPr>
                <w:rFonts w:eastAsia="Calibri"/>
                <w:sz w:val="20"/>
                <w:szCs w:val="20"/>
              </w:rPr>
              <w:t>Annually</w:t>
            </w:r>
          </w:p>
        </w:tc>
        <w:tc>
          <w:tcPr>
            <w:tcW w:w="3330" w:type="dxa"/>
            <w:shd w:val="clear" w:color="auto" w:fill="auto"/>
          </w:tcPr>
          <w:p w14:paraId="6808FD57" w14:textId="77777777" w:rsidR="00CF33D9" w:rsidRDefault="00E3332A">
            <w:pPr>
              <w:spacing w:after="60"/>
              <w:rPr>
                <w:rFonts w:eastAsia="Calibri"/>
                <w:sz w:val="20"/>
                <w:szCs w:val="20"/>
              </w:rPr>
            </w:pPr>
            <w:r>
              <w:rPr>
                <w:rFonts w:eastAsia="Calibri"/>
                <w:sz w:val="20"/>
                <w:szCs w:val="20"/>
              </w:rPr>
              <w:t>Project management problems, if identified, will be addressed and solved</w:t>
            </w:r>
          </w:p>
        </w:tc>
        <w:tc>
          <w:tcPr>
            <w:tcW w:w="1890" w:type="dxa"/>
            <w:shd w:val="clear" w:color="auto" w:fill="auto"/>
          </w:tcPr>
          <w:p w14:paraId="6808FD58" w14:textId="77777777" w:rsidR="00CF33D9" w:rsidRDefault="00E3332A">
            <w:pPr>
              <w:jc w:val="both"/>
              <w:rPr>
                <w:rFonts w:eastAsia="Calibri"/>
                <w:sz w:val="20"/>
                <w:szCs w:val="20"/>
              </w:rPr>
            </w:pPr>
            <w:r>
              <w:rPr>
                <w:rFonts w:eastAsia="Calibri"/>
                <w:sz w:val="20"/>
                <w:szCs w:val="20"/>
              </w:rPr>
              <w:t>UNDP</w:t>
            </w:r>
          </w:p>
          <w:p w14:paraId="6808FD59" w14:textId="77777777" w:rsidR="00CF33D9" w:rsidRDefault="00E3332A">
            <w:pPr>
              <w:jc w:val="both"/>
              <w:rPr>
                <w:rFonts w:eastAsia="Calibri"/>
                <w:sz w:val="20"/>
                <w:szCs w:val="20"/>
              </w:rPr>
            </w:pPr>
            <w:r>
              <w:rPr>
                <w:rFonts w:eastAsia="Calibri"/>
                <w:sz w:val="20"/>
                <w:szCs w:val="20"/>
              </w:rPr>
              <w:t>BCC (PCU)</w:t>
            </w:r>
          </w:p>
        </w:tc>
      </w:tr>
      <w:tr w:rsidR="00CF33D9" w14:paraId="6808FD60" w14:textId="77777777">
        <w:tc>
          <w:tcPr>
            <w:tcW w:w="4765" w:type="dxa"/>
            <w:shd w:val="clear" w:color="auto" w:fill="auto"/>
            <w:vAlign w:val="center"/>
          </w:tcPr>
          <w:p w14:paraId="6808FD5B" w14:textId="77777777" w:rsidR="00CF33D9" w:rsidRDefault="00E3332A">
            <w:pPr>
              <w:rPr>
                <w:rFonts w:eastAsia="Calibri"/>
                <w:b/>
                <w:sz w:val="20"/>
                <w:szCs w:val="20"/>
              </w:rPr>
            </w:pPr>
            <w:r>
              <w:rPr>
                <w:rFonts w:eastAsia="Calibri"/>
                <w:b/>
                <w:sz w:val="20"/>
                <w:szCs w:val="20"/>
              </w:rPr>
              <w:t xml:space="preserve">Learning and Learning Missions </w:t>
            </w:r>
          </w:p>
        </w:tc>
        <w:tc>
          <w:tcPr>
            <w:tcW w:w="3330" w:type="dxa"/>
            <w:shd w:val="clear" w:color="auto" w:fill="auto"/>
            <w:vAlign w:val="center"/>
          </w:tcPr>
          <w:p w14:paraId="6808FD5C" w14:textId="77777777" w:rsidR="00CF33D9" w:rsidRDefault="00E3332A">
            <w:pPr>
              <w:jc w:val="center"/>
              <w:rPr>
                <w:rFonts w:eastAsia="Calibri"/>
                <w:sz w:val="20"/>
                <w:szCs w:val="20"/>
              </w:rPr>
            </w:pPr>
            <w:r>
              <w:rPr>
                <w:rFonts w:eastAsia="Calibri"/>
                <w:sz w:val="20"/>
                <w:szCs w:val="20"/>
              </w:rPr>
              <w:t>As needed</w:t>
            </w:r>
          </w:p>
        </w:tc>
        <w:tc>
          <w:tcPr>
            <w:tcW w:w="3330" w:type="dxa"/>
            <w:shd w:val="clear" w:color="auto" w:fill="auto"/>
          </w:tcPr>
          <w:p w14:paraId="6808FD5D" w14:textId="77777777" w:rsidR="00CF33D9" w:rsidRDefault="00E3332A">
            <w:pPr>
              <w:spacing w:after="60"/>
              <w:rPr>
                <w:rFonts w:eastAsia="Calibri"/>
                <w:sz w:val="20"/>
                <w:szCs w:val="20"/>
              </w:rPr>
            </w:pPr>
            <w:r>
              <w:rPr>
                <w:rFonts w:eastAsia="Calibri"/>
                <w:sz w:val="20"/>
                <w:szCs w:val="20"/>
              </w:rPr>
              <w:t>Relevant lessons are captured by the project team and used to inform management decisions.</w:t>
            </w:r>
          </w:p>
        </w:tc>
        <w:tc>
          <w:tcPr>
            <w:tcW w:w="1890" w:type="dxa"/>
            <w:shd w:val="clear" w:color="auto" w:fill="auto"/>
          </w:tcPr>
          <w:p w14:paraId="6808FD5E" w14:textId="77777777" w:rsidR="00CF33D9" w:rsidRDefault="00E3332A">
            <w:pPr>
              <w:jc w:val="both"/>
              <w:rPr>
                <w:rFonts w:eastAsia="Calibri"/>
                <w:sz w:val="20"/>
                <w:szCs w:val="20"/>
              </w:rPr>
            </w:pPr>
            <w:r>
              <w:rPr>
                <w:rFonts w:eastAsia="Calibri"/>
                <w:sz w:val="20"/>
                <w:szCs w:val="20"/>
              </w:rPr>
              <w:t>BCC (PCU)</w:t>
            </w:r>
          </w:p>
          <w:p w14:paraId="6808FD5F" w14:textId="77777777" w:rsidR="00CF33D9" w:rsidRDefault="00E3332A">
            <w:pPr>
              <w:jc w:val="both"/>
              <w:rPr>
                <w:rFonts w:eastAsia="Calibri"/>
                <w:sz w:val="20"/>
                <w:szCs w:val="20"/>
              </w:rPr>
            </w:pPr>
            <w:r>
              <w:rPr>
                <w:rFonts w:eastAsia="Calibri"/>
                <w:sz w:val="20"/>
                <w:szCs w:val="20"/>
              </w:rPr>
              <w:t>IW:LEARN</w:t>
            </w:r>
          </w:p>
        </w:tc>
      </w:tr>
      <w:tr w:rsidR="00CF33D9" w14:paraId="6808FD65" w14:textId="77777777">
        <w:tc>
          <w:tcPr>
            <w:tcW w:w="4765" w:type="dxa"/>
            <w:shd w:val="clear" w:color="auto" w:fill="auto"/>
            <w:vAlign w:val="center"/>
          </w:tcPr>
          <w:p w14:paraId="6808FD61" w14:textId="77777777" w:rsidR="00CF33D9" w:rsidRDefault="00E3332A">
            <w:pPr>
              <w:rPr>
                <w:rFonts w:eastAsia="Calibri"/>
                <w:b/>
                <w:sz w:val="20"/>
                <w:szCs w:val="20"/>
              </w:rPr>
            </w:pPr>
            <w:r>
              <w:rPr>
                <w:rFonts w:eastAsia="Calibri"/>
                <w:b/>
                <w:sz w:val="20"/>
                <w:szCs w:val="20"/>
              </w:rPr>
              <w:t>Annual Project Quality Assurance</w:t>
            </w:r>
          </w:p>
        </w:tc>
        <w:tc>
          <w:tcPr>
            <w:tcW w:w="3330" w:type="dxa"/>
            <w:shd w:val="clear" w:color="auto" w:fill="auto"/>
            <w:vAlign w:val="center"/>
          </w:tcPr>
          <w:p w14:paraId="6808FD62" w14:textId="77777777" w:rsidR="00CF33D9" w:rsidRDefault="00E3332A">
            <w:pPr>
              <w:jc w:val="center"/>
              <w:rPr>
                <w:rFonts w:eastAsia="Calibri"/>
                <w:sz w:val="20"/>
                <w:szCs w:val="20"/>
              </w:rPr>
            </w:pPr>
            <w:r>
              <w:rPr>
                <w:rFonts w:eastAsia="Calibri"/>
                <w:sz w:val="20"/>
                <w:szCs w:val="20"/>
              </w:rPr>
              <w:t>Annually</w:t>
            </w:r>
          </w:p>
        </w:tc>
        <w:tc>
          <w:tcPr>
            <w:tcW w:w="3330" w:type="dxa"/>
            <w:shd w:val="clear" w:color="auto" w:fill="auto"/>
          </w:tcPr>
          <w:p w14:paraId="6808FD63" w14:textId="77777777" w:rsidR="00CF33D9" w:rsidRDefault="00E3332A">
            <w:pPr>
              <w:spacing w:after="60"/>
              <w:rPr>
                <w:rFonts w:eastAsia="Calibri"/>
                <w:sz w:val="20"/>
                <w:szCs w:val="20"/>
              </w:rPr>
            </w:pPr>
            <w:r>
              <w:rPr>
                <w:rFonts w:eastAsia="Calibri"/>
                <w:sz w:val="20"/>
                <w:szCs w:val="20"/>
              </w:rPr>
              <w:t>Areas of strength and weakness will be reviewed by project management and used to inform decisions to improve project performance</w:t>
            </w:r>
          </w:p>
        </w:tc>
        <w:tc>
          <w:tcPr>
            <w:tcW w:w="1890" w:type="dxa"/>
            <w:shd w:val="clear" w:color="auto" w:fill="auto"/>
          </w:tcPr>
          <w:p w14:paraId="6808FD64" w14:textId="77777777" w:rsidR="00CF33D9" w:rsidRDefault="00E3332A">
            <w:pPr>
              <w:jc w:val="both"/>
              <w:rPr>
                <w:rFonts w:eastAsia="Calibri"/>
                <w:sz w:val="20"/>
                <w:szCs w:val="20"/>
              </w:rPr>
            </w:pPr>
            <w:r>
              <w:rPr>
                <w:rFonts w:eastAsia="Calibri"/>
                <w:sz w:val="20"/>
                <w:szCs w:val="20"/>
              </w:rPr>
              <w:t>BCC (PCU)</w:t>
            </w:r>
          </w:p>
        </w:tc>
      </w:tr>
      <w:tr w:rsidR="00CF33D9" w14:paraId="6808FD6B" w14:textId="77777777">
        <w:tc>
          <w:tcPr>
            <w:tcW w:w="4765" w:type="dxa"/>
            <w:shd w:val="clear" w:color="auto" w:fill="auto"/>
            <w:vAlign w:val="center"/>
          </w:tcPr>
          <w:p w14:paraId="6808FD66" w14:textId="77777777" w:rsidR="00CF33D9" w:rsidRDefault="00E3332A">
            <w:pPr>
              <w:rPr>
                <w:rFonts w:eastAsia="Calibri"/>
                <w:b/>
                <w:sz w:val="20"/>
                <w:szCs w:val="20"/>
              </w:rPr>
            </w:pPr>
            <w:r>
              <w:rPr>
                <w:rFonts w:eastAsia="Calibri"/>
                <w:b/>
                <w:sz w:val="20"/>
                <w:szCs w:val="20"/>
              </w:rPr>
              <w:t>Review and Make Course Corrections</w:t>
            </w:r>
          </w:p>
        </w:tc>
        <w:tc>
          <w:tcPr>
            <w:tcW w:w="3330" w:type="dxa"/>
            <w:shd w:val="clear" w:color="auto" w:fill="auto"/>
            <w:vAlign w:val="center"/>
          </w:tcPr>
          <w:p w14:paraId="6808FD67" w14:textId="77777777" w:rsidR="00CF33D9" w:rsidRDefault="00E3332A">
            <w:pPr>
              <w:jc w:val="center"/>
              <w:rPr>
                <w:rFonts w:eastAsia="Calibri"/>
                <w:sz w:val="20"/>
                <w:szCs w:val="20"/>
              </w:rPr>
            </w:pPr>
            <w:r>
              <w:rPr>
                <w:rFonts w:eastAsia="Calibri"/>
                <w:sz w:val="20"/>
                <w:szCs w:val="20"/>
              </w:rPr>
              <w:t>Mid-point</w:t>
            </w:r>
          </w:p>
        </w:tc>
        <w:tc>
          <w:tcPr>
            <w:tcW w:w="3330" w:type="dxa"/>
            <w:shd w:val="clear" w:color="auto" w:fill="auto"/>
          </w:tcPr>
          <w:p w14:paraId="6808FD68" w14:textId="77777777" w:rsidR="00CF33D9" w:rsidRDefault="00E3332A">
            <w:pPr>
              <w:spacing w:after="60"/>
              <w:rPr>
                <w:rFonts w:eastAsia="Calibri"/>
                <w:sz w:val="20"/>
                <w:szCs w:val="20"/>
              </w:rPr>
            </w:pPr>
            <w:r>
              <w:rPr>
                <w:rFonts w:eastAsia="Calibri"/>
                <w:sz w:val="20"/>
                <w:szCs w:val="20"/>
              </w:rPr>
              <w:t>Mid-Term Evaluation Report</w:t>
            </w:r>
          </w:p>
        </w:tc>
        <w:tc>
          <w:tcPr>
            <w:tcW w:w="1890" w:type="dxa"/>
            <w:shd w:val="clear" w:color="auto" w:fill="auto"/>
          </w:tcPr>
          <w:p w14:paraId="6808FD69" w14:textId="77777777" w:rsidR="00CF33D9" w:rsidRDefault="00E3332A">
            <w:pPr>
              <w:jc w:val="both"/>
              <w:rPr>
                <w:rFonts w:eastAsia="Calibri"/>
                <w:sz w:val="20"/>
                <w:szCs w:val="20"/>
              </w:rPr>
            </w:pPr>
            <w:r>
              <w:rPr>
                <w:rFonts w:eastAsia="Calibri"/>
                <w:sz w:val="20"/>
                <w:szCs w:val="20"/>
              </w:rPr>
              <w:t>UNDP</w:t>
            </w:r>
          </w:p>
          <w:p w14:paraId="6808FD6A" w14:textId="77777777" w:rsidR="00CF33D9" w:rsidRDefault="00E3332A">
            <w:pPr>
              <w:jc w:val="both"/>
              <w:rPr>
                <w:rFonts w:eastAsia="Calibri"/>
                <w:sz w:val="20"/>
                <w:szCs w:val="20"/>
              </w:rPr>
            </w:pPr>
            <w:r>
              <w:rPr>
                <w:rFonts w:eastAsia="Calibri"/>
                <w:sz w:val="20"/>
                <w:szCs w:val="20"/>
              </w:rPr>
              <w:t>BCC (PCU)</w:t>
            </w:r>
          </w:p>
        </w:tc>
      </w:tr>
      <w:tr w:rsidR="00CF33D9" w14:paraId="6808FD71" w14:textId="77777777">
        <w:tc>
          <w:tcPr>
            <w:tcW w:w="4765" w:type="dxa"/>
            <w:shd w:val="clear" w:color="auto" w:fill="auto"/>
            <w:vAlign w:val="center"/>
          </w:tcPr>
          <w:p w14:paraId="6808FD6C" w14:textId="77777777" w:rsidR="00CF33D9" w:rsidRDefault="00E3332A">
            <w:pPr>
              <w:rPr>
                <w:rFonts w:eastAsia="Calibri"/>
                <w:b/>
                <w:sz w:val="20"/>
                <w:szCs w:val="20"/>
              </w:rPr>
            </w:pPr>
            <w:r>
              <w:rPr>
                <w:rFonts w:eastAsia="Calibri"/>
                <w:b/>
                <w:sz w:val="20"/>
                <w:szCs w:val="20"/>
              </w:rPr>
              <w:lastRenderedPageBreak/>
              <w:t>Annual GEF Project Implementation Report (PIR)</w:t>
            </w:r>
          </w:p>
        </w:tc>
        <w:tc>
          <w:tcPr>
            <w:tcW w:w="3330" w:type="dxa"/>
            <w:shd w:val="clear" w:color="auto" w:fill="auto"/>
            <w:vAlign w:val="center"/>
          </w:tcPr>
          <w:p w14:paraId="6808FD6D" w14:textId="77777777" w:rsidR="00CF33D9" w:rsidRDefault="00E3332A">
            <w:pPr>
              <w:jc w:val="center"/>
              <w:rPr>
                <w:rFonts w:eastAsia="Calibri"/>
                <w:sz w:val="20"/>
                <w:szCs w:val="20"/>
              </w:rPr>
            </w:pPr>
            <w:r>
              <w:rPr>
                <w:rFonts w:eastAsia="Calibri"/>
                <w:sz w:val="20"/>
                <w:szCs w:val="20"/>
              </w:rPr>
              <w:t>Annually typically between June-September</w:t>
            </w:r>
          </w:p>
        </w:tc>
        <w:tc>
          <w:tcPr>
            <w:tcW w:w="3330" w:type="dxa"/>
            <w:shd w:val="clear" w:color="auto" w:fill="auto"/>
          </w:tcPr>
          <w:p w14:paraId="6808FD6E" w14:textId="77777777" w:rsidR="00CF33D9" w:rsidRDefault="00E3332A">
            <w:pPr>
              <w:rPr>
                <w:rFonts w:eastAsia="Calibri"/>
                <w:sz w:val="20"/>
                <w:szCs w:val="20"/>
              </w:rPr>
            </w:pPr>
            <w:r>
              <w:rPr>
                <w:rFonts w:eastAsia="Calibri"/>
                <w:sz w:val="20"/>
                <w:szCs w:val="20"/>
              </w:rPr>
              <w:t>Mandatory contribution by Project Team, CO and RTA. Strengths and weaknesses will be reviewed by project management and used to inform decisions to improve project performance</w:t>
            </w:r>
          </w:p>
        </w:tc>
        <w:tc>
          <w:tcPr>
            <w:tcW w:w="1890" w:type="dxa"/>
            <w:shd w:val="clear" w:color="auto" w:fill="auto"/>
          </w:tcPr>
          <w:p w14:paraId="6808FD6F" w14:textId="77777777" w:rsidR="00CF33D9" w:rsidRDefault="00E3332A">
            <w:pPr>
              <w:jc w:val="both"/>
              <w:rPr>
                <w:rFonts w:eastAsia="Calibri"/>
                <w:sz w:val="20"/>
                <w:szCs w:val="20"/>
              </w:rPr>
            </w:pPr>
            <w:r>
              <w:rPr>
                <w:rFonts w:eastAsia="Calibri"/>
                <w:sz w:val="20"/>
                <w:szCs w:val="20"/>
              </w:rPr>
              <w:t>UNDP</w:t>
            </w:r>
          </w:p>
          <w:p w14:paraId="6808FD70" w14:textId="77777777" w:rsidR="00CF33D9" w:rsidRDefault="00E3332A">
            <w:pPr>
              <w:jc w:val="both"/>
              <w:rPr>
                <w:rFonts w:eastAsia="Calibri"/>
                <w:sz w:val="20"/>
                <w:szCs w:val="20"/>
              </w:rPr>
            </w:pPr>
            <w:r>
              <w:rPr>
                <w:rFonts w:eastAsia="Calibri"/>
                <w:sz w:val="20"/>
                <w:szCs w:val="20"/>
              </w:rPr>
              <w:t>BCC (PCU)</w:t>
            </w:r>
          </w:p>
        </w:tc>
      </w:tr>
      <w:tr w:rsidR="00CF33D9" w14:paraId="6808FD78" w14:textId="77777777">
        <w:tc>
          <w:tcPr>
            <w:tcW w:w="4765" w:type="dxa"/>
            <w:shd w:val="clear" w:color="auto" w:fill="auto"/>
            <w:vAlign w:val="center"/>
          </w:tcPr>
          <w:p w14:paraId="6808FD72" w14:textId="77777777" w:rsidR="00CF33D9" w:rsidRDefault="00E3332A">
            <w:pPr>
              <w:rPr>
                <w:rFonts w:eastAsia="Calibri"/>
                <w:b/>
                <w:sz w:val="20"/>
                <w:szCs w:val="20"/>
              </w:rPr>
            </w:pPr>
            <w:r>
              <w:rPr>
                <w:rFonts w:eastAsia="Calibri"/>
                <w:b/>
                <w:sz w:val="20"/>
                <w:szCs w:val="20"/>
              </w:rPr>
              <w:t>Project Review (Project Steering Committee)</w:t>
            </w:r>
          </w:p>
        </w:tc>
        <w:tc>
          <w:tcPr>
            <w:tcW w:w="3330" w:type="dxa"/>
            <w:shd w:val="clear" w:color="auto" w:fill="auto"/>
            <w:vAlign w:val="center"/>
          </w:tcPr>
          <w:p w14:paraId="6808FD73" w14:textId="77777777" w:rsidR="00CF33D9" w:rsidRDefault="00E3332A">
            <w:pPr>
              <w:jc w:val="center"/>
              <w:rPr>
                <w:rFonts w:eastAsia="Calibri"/>
                <w:iCs/>
                <w:sz w:val="20"/>
                <w:szCs w:val="20"/>
              </w:rPr>
            </w:pPr>
            <w:r>
              <w:rPr>
                <w:rFonts w:eastAsia="Calibri"/>
                <w:iCs/>
                <w:sz w:val="20"/>
                <w:szCs w:val="20"/>
              </w:rPr>
              <w:t>Annually</w:t>
            </w:r>
          </w:p>
        </w:tc>
        <w:tc>
          <w:tcPr>
            <w:tcW w:w="3330" w:type="dxa"/>
            <w:shd w:val="clear" w:color="auto" w:fill="auto"/>
            <w:vAlign w:val="center"/>
          </w:tcPr>
          <w:p w14:paraId="6808FD74" w14:textId="77777777" w:rsidR="00CF33D9" w:rsidRDefault="00E3332A">
            <w:pPr>
              <w:spacing w:after="60"/>
              <w:rPr>
                <w:rFonts w:eastAsia="Calibri"/>
                <w:b/>
                <w:sz w:val="20"/>
                <w:szCs w:val="20"/>
              </w:rPr>
            </w:pPr>
            <w:r>
              <w:rPr>
                <w:rFonts w:eastAsia="Calibri"/>
                <w:sz w:val="20"/>
                <w:szCs w:val="20"/>
              </w:rPr>
              <w:t xml:space="preserve">Any quality concerns or slower than expected progress should be discussed by the PSC and management actions agreed to address the issues identified. </w:t>
            </w:r>
          </w:p>
        </w:tc>
        <w:tc>
          <w:tcPr>
            <w:tcW w:w="1890" w:type="dxa"/>
            <w:shd w:val="clear" w:color="auto" w:fill="auto"/>
          </w:tcPr>
          <w:p w14:paraId="6808FD75" w14:textId="77777777" w:rsidR="00CF33D9" w:rsidRDefault="00E3332A">
            <w:pPr>
              <w:jc w:val="both"/>
              <w:rPr>
                <w:rFonts w:eastAsia="Calibri"/>
                <w:sz w:val="20"/>
                <w:szCs w:val="20"/>
              </w:rPr>
            </w:pPr>
            <w:r>
              <w:rPr>
                <w:rFonts w:eastAsia="Calibri"/>
                <w:sz w:val="20"/>
                <w:szCs w:val="20"/>
              </w:rPr>
              <w:t>UNDP</w:t>
            </w:r>
          </w:p>
          <w:p w14:paraId="6808FD76" w14:textId="77777777" w:rsidR="00CF33D9" w:rsidRDefault="00E3332A">
            <w:pPr>
              <w:jc w:val="both"/>
              <w:rPr>
                <w:rFonts w:eastAsia="Calibri"/>
                <w:sz w:val="20"/>
                <w:szCs w:val="20"/>
              </w:rPr>
            </w:pPr>
            <w:r>
              <w:rPr>
                <w:rFonts w:eastAsia="Calibri"/>
                <w:sz w:val="20"/>
                <w:szCs w:val="20"/>
              </w:rPr>
              <w:t>BCC (PCU)</w:t>
            </w:r>
          </w:p>
          <w:p w14:paraId="6808FD77" w14:textId="77777777" w:rsidR="00CF33D9" w:rsidRDefault="00E3332A">
            <w:pPr>
              <w:jc w:val="both"/>
              <w:rPr>
                <w:rFonts w:eastAsia="Calibri"/>
                <w:sz w:val="20"/>
                <w:szCs w:val="20"/>
              </w:rPr>
            </w:pPr>
            <w:r>
              <w:rPr>
                <w:rFonts w:eastAsia="Calibri"/>
                <w:sz w:val="20"/>
                <w:szCs w:val="20"/>
              </w:rPr>
              <w:t>PSC</w:t>
            </w:r>
          </w:p>
        </w:tc>
      </w:tr>
    </w:tbl>
    <w:p w14:paraId="6808FD79" w14:textId="77777777" w:rsidR="00CF33D9" w:rsidRDefault="00CF33D9">
      <w:pPr>
        <w:keepNext/>
        <w:spacing w:after="60"/>
        <w:jc w:val="both"/>
        <w:rPr>
          <w:rFonts w:ascii="Calibri" w:eastAsia="Calibri" w:hAnsi="Calibri" w:cs="Calibri"/>
          <w:sz w:val="20"/>
          <w:szCs w:val="20"/>
        </w:rPr>
      </w:pPr>
    </w:p>
    <w:p w14:paraId="6808FD7A" w14:textId="77777777" w:rsidR="00CF33D9" w:rsidRDefault="00E3332A">
      <w:pPr>
        <w:keepNext/>
        <w:spacing w:after="60"/>
        <w:jc w:val="both"/>
        <w:rPr>
          <w:rFonts w:ascii="Calibri" w:eastAsia="Calibri" w:hAnsi="Calibri" w:cs="Calibri"/>
          <w:b/>
          <w:sz w:val="20"/>
          <w:szCs w:val="20"/>
        </w:rPr>
      </w:pPr>
      <w:r>
        <w:rPr>
          <w:rFonts w:ascii="Calibri" w:eastAsia="Calibri" w:hAnsi="Calibri" w:cs="Calibri"/>
          <w:b/>
          <w:sz w:val="20"/>
          <w:szCs w:val="20"/>
        </w:rPr>
        <w:t>Evaluation Plan</w:t>
      </w:r>
    </w:p>
    <w:tbl>
      <w:tblPr>
        <w:tblStyle w:val="Style263"/>
        <w:tblW w:w="12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20"/>
        <w:gridCol w:w="1835"/>
        <w:gridCol w:w="1876"/>
        <w:gridCol w:w="1952"/>
        <w:gridCol w:w="2632"/>
        <w:gridCol w:w="2135"/>
      </w:tblGrid>
      <w:tr w:rsidR="00CF33D9" w14:paraId="6808FD81" w14:textId="77777777">
        <w:trPr>
          <w:trHeight w:val="422"/>
        </w:trPr>
        <w:tc>
          <w:tcPr>
            <w:tcW w:w="2520" w:type="dxa"/>
            <w:shd w:val="clear" w:color="auto" w:fill="auto"/>
            <w:vAlign w:val="center"/>
          </w:tcPr>
          <w:p w14:paraId="6808FD7B" w14:textId="77777777" w:rsidR="00CF33D9" w:rsidRDefault="00E3332A">
            <w:pPr>
              <w:spacing w:after="60"/>
              <w:jc w:val="center"/>
              <w:rPr>
                <w:rFonts w:eastAsia="Calibri"/>
                <w:b/>
                <w:sz w:val="20"/>
                <w:szCs w:val="20"/>
              </w:rPr>
            </w:pPr>
            <w:r>
              <w:rPr>
                <w:rFonts w:eastAsia="Calibri"/>
                <w:b/>
                <w:sz w:val="20"/>
                <w:szCs w:val="20"/>
              </w:rPr>
              <w:t>Evaluation Title</w:t>
            </w:r>
          </w:p>
        </w:tc>
        <w:tc>
          <w:tcPr>
            <w:tcW w:w="1835" w:type="dxa"/>
          </w:tcPr>
          <w:p w14:paraId="6808FD7C" w14:textId="77777777" w:rsidR="00CF33D9" w:rsidRDefault="00E3332A">
            <w:pPr>
              <w:spacing w:after="60"/>
              <w:jc w:val="center"/>
              <w:rPr>
                <w:rFonts w:eastAsia="Calibri"/>
                <w:b/>
                <w:sz w:val="20"/>
                <w:szCs w:val="20"/>
              </w:rPr>
            </w:pPr>
            <w:r>
              <w:rPr>
                <w:rFonts w:eastAsia="Calibri"/>
                <w:b/>
                <w:sz w:val="20"/>
                <w:szCs w:val="20"/>
              </w:rPr>
              <w:t>Partners (if joint)</w:t>
            </w:r>
          </w:p>
        </w:tc>
        <w:tc>
          <w:tcPr>
            <w:tcW w:w="1876" w:type="dxa"/>
            <w:shd w:val="clear" w:color="auto" w:fill="auto"/>
            <w:vAlign w:val="center"/>
          </w:tcPr>
          <w:p w14:paraId="6808FD7D" w14:textId="77777777" w:rsidR="00CF33D9" w:rsidRDefault="00E3332A">
            <w:pPr>
              <w:spacing w:after="60"/>
              <w:jc w:val="center"/>
              <w:rPr>
                <w:rFonts w:eastAsia="Calibri"/>
                <w:b/>
                <w:sz w:val="20"/>
                <w:szCs w:val="20"/>
              </w:rPr>
            </w:pPr>
            <w:r>
              <w:rPr>
                <w:rFonts w:eastAsia="Calibri"/>
                <w:b/>
                <w:sz w:val="20"/>
                <w:szCs w:val="20"/>
              </w:rPr>
              <w:t>Related Strategic Plan Output</w:t>
            </w:r>
          </w:p>
        </w:tc>
        <w:tc>
          <w:tcPr>
            <w:tcW w:w="1952" w:type="dxa"/>
            <w:shd w:val="clear" w:color="auto" w:fill="auto"/>
            <w:vAlign w:val="center"/>
          </w:tcPr>
          <w:p w14:paraId="6808FD7E" w14:textId="77777777" w:rsidR="00CF33D9" w:rsidRDefault="00E3332A">
            <w:pPr>
              <w:spacing w:after="60"/>
              <w:jc w:val="center"/>
              <w:rPr>
                <w:rFonts w:eastAsia="Calibri"/>
                <w:b/>
                <w:sz w:val="20"/>
                <w:szCs w:val="20"/>
              </w:rPr>
            </w:pPr>
            <w:r>
              <w:rPr>
                <w:rFonts w:eastAsia="Calibri"/>
                <w:b/>
                <w:sz w:val="20"/>
                <w:szCs w:val="20"/>
              </w:rPr>
              <w:t>UNSDCF/CPD Outcome</w:t>
            </w:r>
          </w:p>
        </w:tc>
        <w:tc>
          <w:tcPr>
            <w:tcW w:w="2632" w:type="dxa"/>
            <w:shd w:val="clear" w:color="auto" w:fill="auto"/>
            <w:vAlign w:val="center"/>
          </w:tcPr>
          <w:p w14:paraId="6808FD7F" w14:textId="77777777" w:rsidR="00CF33D9" w:rsidRDefault="00E3332A">
            <w:pPr>
              <w:spacing w:after="60"/>
              <w:jc w:val="center"/>
              <w:rPr>
                <w:rFonts w:eastAsia="Calibri"/>
                <w:b/>
                <w:sz w:val="20"/>
                <w:szCs w:val="20"/>
              </w:rPr>
            </w:pPr>
            <w:r>
              <w:rPr>
                <w:rFonts w:eastAsia="Calibri"/>
                <w:b/>
                <w:sz w:val="20"/>
                <w:szCs w:val="20"/>
              </w:rPr>
              <w:t>Planned Completion Date</w:t>
            </w:r>
          </w:p>
        </w:tc>
        <w:tc>
          <w:tcPr>
            <w:tcW w:w="2135" w:type="dxa"/>
            <w:shd w:val="clear" w:color="auto" w:fill="auto"/>
            <w:vAlign w:val="center"/>
          </w:tcPr>
          <w:p w14:paraId="6808FD80" w14:textId="77777777" w:rsidR="00CF33D9" w:rsidRDefault="00E3332A">
            <w:pPr>
              <w:spacing w:after="60"/>
              <w:jc w:val="center"/>
              <w:rPr>
                <w:rFonts w:eastAsia="Calibri"/>
                <w:b/>
                <w:sz w:val="20"/>
                <w:szCs w:val="20"/>
              </w:rPr>
            </w:pPr>
            <w:r>
              <w:rPr>
                <w:rFonts w:eastAsia="Calibri"/>
                <w:b/>
                <w:sz w:val="20"/>
                <w:szCs w:val="20"/>
              </w:rPr>
              <w:t>Key Evaluation Stakeholders</w:t>
            </w:r>
          </w:p>
        </w:tc>
      </w:tr>
      <w:tr w:rsidR="00CF33D9" w14:paraId="6808FD8B" w14:textId="77777777">
        <w:trPr>
          <w:trHeight w:val="440"/>
        </w:trPr>
        <w:tc>
          <w:tcPr>
            <w:tcW w:w="2520" w:type="dxa"/>
            <w:shd w:val="clear" w:color="auto" w:fill="auto"/>
            <w:vAlign w:val="center"/>
          </w:tcPr>
          <w:p w14:paraId="6808FD82" w14:textId="77777777" w:rsidR="00CF33D9" w:rsidRDefault="00E3332A">
            <w:pPr>
              <w:jc w:val="center"/>
              <w:rPr>
                <w:rFonts w:eastAsia="Calibri"/>
                <w:sz w:val="20"/>
                <w:szCs w:val="20"/>
              </w:rPr>
            </w:pPr>
            <w:r>
              <w:rPr>
                <w:rFonts w:eastAsia="Calibri"/>
                <w:sz w:val="20"/>
                <w:szCs w:val="20"/>
              </w:rPr>
              <w:t>Independent Mid-Term Review (MTR)</w:t>
            </w:r>
          </w:p>
          <w:p w14:paraId="6808FD83" w14:textId="77777777" w:rsidR="00CF33D9" w:rsidRDefault="00CF33D9">
            <w:pPr>
              <w:spacing w:after="60"/>
              <w:jc w:val="center"/>
              <w:rPr>
                <w:rFonts w:eastAsia="Calibri"/>
                <w:i/>
                <w:sz w:val="20"/>
                <w:szCs w:val="20"/>
              </w:rPr>
            </w:pPr>
          </w:p>
        </w:tc>
        <w:tc>
          <w:tcPr>
            <w:tcW w:w="1835" w:type="dxa"/>
            <w:shd w:val="clear" w:color="auto" w:fill="auto"/>
            <w:vAlign w:val="center"/>
          </w:tcPr>
          <w:p w14:paraId="6808FD84" w14:textId="77777777" w:rsidR="00CF33D9" w:rsidRDefault="00E3332A">
            <w:pPr>
              <w:spacing w:after="60"/>
              <w:jc w:val="center"/>
              <w:rPr>
                <w:rFonts w:eastAsia="Calibri"/>
                <w:iCs/>
                <w:sz w:val="20"/>
                <w:szCs w:val="20"/>
              </w:rPr>
            </w:pPr>
            <w:r>
              <w:rPr>
                <w:rFonts w:eastAsia="Calibri"/>
                <w:iCs/>
                <w:sz w:val="20"/>
                <w:szCs w:val="20"/>
              </w:rPr>
              <w:t>UNDP</w:t>
            </w:r>
          </w:p>
          <w:p w14:paraId="6808FD85" w14:textId="77777777" w:rsidR="00CF33D9" w:rsidRDefault="00E3332A">
            <w:pPr>
              <w:spacing w:after="60"/>
              <w:jc w:val="center"/>
              <w:rPr>
                <w:rFonts w:eastAsia="Calibri"/>
                <w:iCs/>
                <w:sz w:val="20"/>
                <w:szCs w:val="20"/>
              </w:rPr>
            </w:pPr>
            <w:r>
              <w:rPr>
                <w:rFonts w:eastAsia="Calibri"/>
                <w:iCs/>
                <w:sz w:val="20"/>
                <w:szCs w:val="20"/>
              </w:rPr>
              <w:t>BCC (PCU)</w:t>
            </w:r>
          </w:p>
        </w:tc>
        <w:tc>
          <w:tcPr>
            <w:tcW w:w="1876" w:type="dxa"/>
            <w:shd w:val="clear" w:color="auto" w:fill="auto"/>
            <w:vAlign w:val="center"/>
          </w:tcPr>
          <w:p w14:paraId="6808FD86" w14:textId="77777777" w:rsidR="00CF33D9" w:rsidRDefault="00CF33D9">
            <w:pPr>
              <w:spacing w:after="60"/>
              <w:jc w:val="center"/>
              <w:rPr>
                <w:rFonts w:eastAsia="Calibri"/>
                <w:iCs/>
                <w:sz w:val="20"/>
                <w:szCs w:val="20"/>
              </w:rPr>
            </w:pPr>
          </w:p>
        </w:tc>
        <w:tc>
          <w:tcPr>
            <w:tcW w:w="1952" w:type="dxa"/>
            <w:shd w:val="clear" w:color="auto" w:fill="auto"/>
            <w:vAlign w:val="center"/>
          </w:tcPr>
          <w:p w14:paraId="6808FD87" w14:textId="77777777" w:rsidR="00CF33D9" w:rsidRDefault="00CF33D9">
            <w:pPr>
              <w:spacing w:after="60"/>
              <w:jc w:val="center"/>
              <w:rPr>
                <w:rFonts w:eastAsia="Calibri"/>
                <w:iCs/>
                <w:sz w:val="20"/>
                <w:szCs w:val="20"/>
              </w:rPr>
            </w:pPr>
          </w:p>
        </w:tc>
        <w:tc>
          <w:tcPr>
            <w:tcW w:w="2632" w:type="dxa"/>
            <w:shd w:val="clear" w:color="auto" w:fill="auto"/>
            <w:vAlign w:val="center"/>
          </w:tcPr>
          <w:p w14:paraId="6808FD88" w14:textId="77777777" w:rsidR="00CF33D9" w:rsidRDefault="00E3332A">
            <w:pPr>
              <w:spacing w:after="60"/>
              <w:rPr>
                <w:rFonts w:eastAsia="Calibri"/>
                <w:sz w:val="20"/>
                <w:szCs w:val="20"/>
              </w:rPr>
            </w:pPr>
            <w:r>
              <w:rPr>
                <w:rFonts w:eastAsia="Calibri"/>
                <w:sz w:val="20"/>
                <w:szCs w:val="20"/>
              </w:rPr>
              <w:t>By the MTR submission date included on cover page of Project Document</w:t>
            </w:r>
          </w:p>
        </w:tc>
        <w:tc>
          <w:tcPr>
            <w:tcW w:w="2135" w:type="dxa"/>
            <w:shd w:val="clear" w:color="auto" w:fill="auto"/>
            <w:vAlign w:val="center"/>
          </w:tcPr>
          <w:p w14:paraId="6808FD89" w14:textId="77777777" w:rsidR="00CF33D9" w:rsidRDefault="00E3332A">
            <w:pPr>
              <w:spacing w:after="60"/>
              <w:jc w:val="center"/>
              <w:rPr>
                <w:rFonts w:eastAsia="Calibri"/>
                <w:sz w:val="20"/>
                <w:szCs w:val="20"/>
              </w:rPr>
            </w:pPr>
            <w:r>
              <w:rPr>
                <w:rFonts w:eastAsia="Calibri"/>
                <w:sz w:val="20"/>
                <w:szCs w:val="20"/>
              </w:rPr>
              <w:t>UNDP</w:t>
            </w:r>
          </w:p>
          <w:p w14:paraId="6808FD8A" w14:textId="77777777" w:rsidR="00CF33D9" w:rsidRDefault="00E3332A">
            <w:pPr>
              <w:spacing w:after="60"/>
              <w:jc w:val="center"/>
              <w:rPr>
                <w:rFonts w:eastAsia="Calibri"/>
                <w:sz w:val="20"/>
                <w:szCs w:val="20"/>
              </w:rPr>
            </w:pPr>
            <w:r>
              <w:rPr>
                <w:rFonts w:eastAsia="Calibri"/>
                <w:sz w:val="20"/>
                <w:szCs w:val="20"/>
              </w:rPr>
              <w:t>BCC (PCU)</w:t>
            </w:r>
          </w:p>
        </w:tc>
      </w:tr>
      <w:tr w:rsidR="00CF33D9" w14:paraId="6808FD94" w14:textId="77777777">
        <w:trPr>
          <w:trHeight w:val="440"/>
        </w:trPr>
        <w:tc>
          <w:tcPr>
            <w:tcW w:w="2520" w:type="dxa"/>
            <w:shd w:val="clear" w:color="auto" w:fill="auto"/>
            <w:vAlign w:val="center"/>
          </w:tcPr>
          <w:p w14:paraId="6808FD8C" w14:textId="77777777" w:rsidR="00CF33D9" w:rsidRDefault="00E3332A">
            <w:pPr>
              <w:spacing w:after="60"/>
              <w:jc w:val="center"/>
              <w:rPr>
                <w:rFonts w:eastAsia="Calibri"/>
                <w:sz w:val="20"/>
                <w:szCs w:val="20"/>
              </w:rPr>
            </w:pPr>
            <w:r>
              <w:rPr>
                <w:rFonts w:eastAsia="Calibri"/>
                <w:sz w:val="20"/>
                <w:szCs w:val="20"/>
              </w:rPr>
              <w:t>Independent Terminal Evaluation (TE)</w:t>
            </w:r>
          </w:p>
        </w:tc>
        <w:tc>
          <w:tcPr>
            <w:tcW w:w="1835" w:type="dxa"/>
            <w:shd w:val="clear" w:color="auto" w:fill="auto"/>
            <w:vAlign w:val="center"/>
          </w:tcPr>
          <w:p w14:paraId="6808FD8D" w14:textId="77777777" w:rsidR="00CF33D9" w:rsidRDefault="00E3332A">
            <w:pPr>
              <w:spacing w:after="60"/>
              <w:jc w:val="center"/>
              <w:rPr>
                <w:rFonts w:eastAsia="Calibri"/>
                <w:iCs/>
                <w:sz w:val="20"/>
                <w:szCs w:val="20"/>
              </w:rPr>
            </w:pPr>
            <w:r>
              <w:rPr>
                <w:rFonts w:eastAsia="Calibri"/>
                <w:iCs/>
                <w:sz w:val="20"/>
                <w:szCs w:val="20"/>
              </w:rPr>
              <w:t>UNDP</w:t>
            </w:r>
          </w:p>
          <w:p w14:paraId="6808FD8E" w14:textId="77777777" w:rsidR="00CF33D9" w:rsidRDefault="00E3332A">
            <w:pPr>
              <w:spacing w:after="60"/>
              <w:jc w:val="center"/>
              <w:rPr>
                <w:rFonts w:eastAsia="Calibri"/>
                <w:iCs/>
                <w:sz w:val="20"/>
                <w:szCs w:val="20"/>
              </w:rPr>
            </w:pPr>
            <w:r>
              <w:rPr>
                <w:rFonts w:eastAsia="Calibri"/>
                <w:iCs/>
                <w:sz w:val="20"/>
                <w:szCs w:val="20"/>
              </w:rPr>
              <w:t>BCC (PCU)</w:t>
            </w:r>
          </w:p>
        </w:tc>
        <w:tc>
          <w:tcPr>
            <w:tcW w:w="1876" w:type="dxa"/>
            <w:shd w:val="clear" w:color="auto" w:fill="auto"/>
            <w:vAlign w:val="center"/>
          </w:tcPr>
          <w:p w14:paraId="6808FD8F" w14:textId="77777777" w:rsidR="00CF33D9" w:rsidRDefault="00CF33D9">
            <w:pPr>
              <w:spacing w:after="60"/>
              <w:jc w:val="center"/>
              <w:rPr>
                <w:rFonts w:eastAsia="Calibri"/>
                <w:iCs/>
                <w:sz w:val="20"/>
                <w:szCs w:val="20"/>
              </w:rPr>
            </w:pPr>
          </w:p>
        </w:tc>
        <w:tc>
          <w:tcPr>
            <w:tcW w:w="1952" w:type="dxa"/>
            <w:shd w:val="clear" w:color="auto" w:fill="auto"/>
            <w:vAlign w:val="center"/>
          </w:tcPr>
          <w:p w14:paraId="6808FD90" w14:textId="77777777" w:rsidR="00CF33D9" w:rsidRDefault="00CF33D9">
            <w:pPr>
              <w:spacing w:after="60"/>
              <w:jc w:val="center"/>
              <w:rPr>
                <w:rFonts w:eastAsia="Calibri"/>
                <w:iCs/>
                <w:sz w:val="20"/>
                <w:szCs w:val="20"/>
              </w:rPr>
            </w:pPr>
          </w:p>
        </w:tc>
        <w:tc>
          <w:tcPr>
            <w:tcW w:w="2632" w:type="dxa"/>
            <w:shd w:val="clear" w:color="auto" w:fill="auto"/>
            <w:vAlign w:val="center"/>
          </w:tcPr>
          <w:p w14:paraId="6808FD91" w14:textId="77777777" w:rsidR="00CF33D9" w:rsidRDefault="00E3332A">
            <w:pPr>
              <w:spacing w:after="60"/>
              <w:rPr>
                <w:rFonts w:eastAsia="Calibri"/>
                <w:iCs/>
                <w:sz w:val="20"/>
                <w:szCs w:val="20"/>
              </w:rPr>
            </w:pPr>
            <w:r>
              <w:rPr>
                <w:rFonts w:eastAsia="Calibri"/>
                <w:iCs/>
                <w:sz w:val="20"/>
                <w:szCs w:val="20"/>
              </w:rPr>
              <w:t>By the TE submission date included on cover page of Project Document</w:t>
            </w:r>
          </w:p>
        </w:tc>
        <w:tc>
          <w:tcPr>
            <w:tcW w:w="2135" w:type="dxa"/>
            <w:shd w:val="clear" w:color="auto" w:fill="auto"/>
            <w:vAlign w:val="center"/>
          </w:tcPr>
          <w:p w14:paraId="6808FD92" w14:textId="77777777" w:rsidR="00CF33D9" w:rsidRDefault="00E3332A">
            <w:pPr>
              <w:spacing w:after="60"/>
              <w:jc w:val="center"/>
              <w:rPr>
                <w:rFonts w:eastAsia="Calibri"/>
                <w:iCs/>
                <w:sz w:val="20"/>
                <w:szCs w:val="20"/>
              </w:rPr>
            </w:pPr>
            <w:r>
              <w:rPr>
                <w:rFonts w:eastAsia="Calibri"/>
                <w:iCs/>
                <w:sz w:val="20"/>
                <w:szCs w:val="20"/>
              </w:rPr>
              <w:t>UNDP</w:t>
            </w:r>
          </w:p>
          <w:p w14:paraId="6808FD93" w14:textId="77777777" w:rsidR="00CF33D9" w:rsidRDefault="00E3332A">
            <w:pPr>
              <w:spacing w:after="60"/>
              <w:jc w:val="center"/>
              <w:rPr>
                <w:rFonts w:eastAsia="Calibri"/>
                <w:iCs/>
                <w:sz w:val="20"/>
                <w:szCs w:val="20"/>
              </w:rPr>
            </w:pPr>
            <w:r>
              <w:rPr>
                <w:rFonts w:eastAsia="Calibri"/>
                <w:iCs/>
                <w:sz w:val="20"/>
                <w:szCs w:val="20"/>
              </w:rPr>
              <w:t>BCC (PCU)</w:t>
            </w:r>
          </w:p>
        </w:tc>
      </w:tr>
    </w:tbl>
    <w:p w14:paraId="6808FD95" w14:textId="77777777" w:rsidR="00CF33D9" w:rsidRDefault="00CF33D9">
      <w:pPr>
        <w:keepNext/>
        <w:spacing w:after="60"/>
        <w:jc w:val="both"/>
        <w:rPr>
          <w:rFonts w:ascii="Calibri" w:eastAsia="Arial Narrow" w:hAnsi="Calibri" w:cs="Calibri"/>
          <w:b/>
          <w:sz w:val="20"/>
          <w:szCs w:val="20"/>
        </w:rPr>
      </w:pPr>
    </w:p>
    <w:p w14:paraId="6808FD96" w14:textId="77777777" w:rsidR="00CF33D9" w:rsidRDefault="00CF33D9">
      <w:pPr>
        <w:spacing w:after="60"/>
        <w:jc w:val="both"/>
        <w:rPr>
          <w:rFonts w:ascii="Calibri" w:eastAsia="Calibri" w:hAnsi="Calibri" w:cs="Calibri"/>
          <w:b/>
          <w:sz w:val="20"/>
          <w:szCs w:val="20"/>
        </w:rPr>
      </w:pPr>
    </w:p>
    <w:tbl>
      <w:tblPr>
        <w:tblStyle w:val="Style264"/>
        <w:tblW w:w="133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792"/>
        <w:gridCol w:w="5523"/>
      </w:tblGrid>
      <w:tr w:rsidR="00CF33D9" w14:paraId="6808FD98" w14:textId="77777777">
        <w:trPr>
          <w:tblHeader/>
          <w:jc w:val="center"/>
        </w:trPr>
        <w:tc>
          <w:tcPr>
            <w:tcW w:w="13315" w:type="dxa"/>
            <w:gridSpan w:val="2"/>
            <w:shd w:val="clear" w:color="auto" w:fill="BFBFBF"/>
          </w:tcPr>
          <w:p w14:paraId="6808FD97" w14:textId="77777777" w:rsidR="00CF33D9" w:rsidRDefault="00E3332A">
            <w:pPr>
              <w:jc w:val="both"/>
              <w:rPr>
                <w:rFonts w:eastAsia="Calibri"/>
                <w:i/>
                <w:sz w:val="20"/>
                <w:szCs w:val="20"/>
                <w:highlight w:val="yellow"/>
              </w:rPr>
            </w:pPr>
            <w:r>
              <w:rPr>
                <w:rFonts w:eastAsia="Calibri"/>
                <w:b/>
                <w:sz w:val="20"/>
                <w:szCs w:val="20"/>
              </w:rPr>
              <w:lastRenderedPageBreak/>
              <w:t>Monitoring and Evaluation Budget for project execution</w:t>
            </w:r>
          </w:p>
        </w:tc>
      </w:tr>
      <w:tr w:rsidR="00CF33D9" w14:paraId="6808FD9B" w14:textId="77777777">
        <w:trPr>
          <w:trHeight w:val="512"/>
          <w:tblHeader/>
          <w:jc w:val="center"/>
        </w:trPr>
        <w:tc>
          <w:tcPr>
            <w:tcW w:w="7792" w:type="dxa"/>
            <w:shd w:val="clear" w:color="auto" w:fill="BFBFBF"/>
          </w:tcPr>
          <w:p w14:paraId="6808FD99" w14:textId="77777777" w:rsidR="00CF33D9" w:rsidRDefault="00E3332A">
            <w:pPr>
              <w:spacing w:after="60"/>
              <w:jc w:val="both"/>
              <w:rPr>
                <w:rFonts w:eastAsia="Calibri"/>
                <w:b/>
                <w:sz w:val="20"/>
                <w:szCs w:val="20"/>
              </w:rPr>
            </w:pPr>
            <w:r>
              <w:rPr>
                <w:rFonts w:eastAsia="Calibri"/>
                <w:b/>
                <w:sz w:val="20"/>
                <w:szCs w:val="20"/>
              </w:rPr>
              <w:t>GEF M&amp;E requirements to be undertaken by Project Management Unit (PMU)</w:t>
            </w:r>
          </w:p>
        </w:tc>
        <w:tc>
          <w:tcPr>
            <w:tcW w:w="5523" w:type="dxa"/>
            <w:shd w:val="clear" w:color="auto" w:fill="BFBFBF"/>
          </w:tcPr>
          <w:p w14:paraId="6808FD9A" w14:textId="77777777" w:rsidR="00CF33D9" w:rsidRDefault="00E3332A">
            <w:pPr>
              <w:spacing w:after="60"/>
              <w:jc w:val="both"/>
              <w:rPr>
                <w:rFonts w:eastAsia="Calibri"/>
                <w:b/>
                <w:sz w:val="20"/>
                <w:szCs w:val="20"/>
              </w:rPr>
            </w:pPr>
            <w:r>
              <w:rPr>
                <w:rFonts w:eastAsia="Calibri"/>
                <w:b/>
                <w:sz w:val="20"/>
                <w:szCs w:val="20"/>
              </w:rPr>
              <w:t>Indicative costs (US$)</w:t>
            </w:r>
          </w:p>
        </w:tc>
      </w:tr>
      <w:tr w:rsidR="00CF33D9" w14:paraId="6808FD9E" w14:textId="77777777">
        <w:trPr>
          <w:trHeight w:val="548"/>
          <w:jc w:val="center"/>
        </w:trPr>
        <w:tc>
          <w:tcPr>
            <w:tcW w:w="7792" w:type="dxa"/>
          </w:tcPr>
          <w:p w14:paraId="6808FD9C" w14:textId="67D5D576" w:rsidR="00CF33D9" w:rsidRPr="00E3332A" w:rsidRDefault="002D2FBA" w:rsidP="00E3332A">
            <w:pPr>
              <w:jc w:val="both"/>
              <w:rPr>
                <w:rFonts w:eastAsia="Calibri"/>
                <w:b/>
                <w:sz w:val="20"/>
                <w:szCs w:val="20"/>
              </w:rPr>
            </w:pPr>
            <w:r w:rsidRPr="00E3332A">
              <w:rPr>
                <w:rFonts w:eastAsia="Calibri"/>
                <w:b/>
                <w:sz w:val="20"/>
                <w:szCs w:val="20"/>
                <w:highlight w:val="yellow"/>
              </w:rPr>
              <w:t>Local companies to offer technical, interpretation and logistical support to Inception/First PSC and 5 PSC Workshops</w:t>
            </w:r>
          </w:p>
        </w:tc>
        <w:tc>
          <w:tcPr>
            <w:tcW w:w="5523" w:type="dxa"/>
          </w:tcPr>
          <w:p w14:paraId="6808FD9D" w14:textId="116AF40D" w:rsidR="00CF33D9" w:rsidRDefault="002D2FBA">
            <w:pPr>
              <w:spacing w:after="60"/>
              <w:rPr>
                <w:rFonts w:eastAsia="Calibri"/>
                <w:sz w:val="20"/>
                <w:szCs w:val="20"/>
                <w:highlight w:val="yellow"/>
              </w:rPr>
            </w:pPr>
            <w:r w:rsidRPr="00E3332A">
              <w:rPr>
                <w:rFonts w:eastAsia="Calibri"/>
                <w:sz w:val="20"/>
                <w:szCs w:val="20"/>
                <w:highlight w:val="yellow"/>
              </w:rPr>
              <w:t>15,000</w:t>
            </w:r>
          </w:p>
        </w:tc>
      </w:tr>
      <w:tr w:rsidR="00CF33D9" w14:paraId="6808FDA1" w14:textId="77777777">
        <w:trPr>
          <w:jc w:val="center"/>
        </w:trPr>
        <w:tc>
          <w:tcPr>
            <w:tcW w:w="7792" w:type="dxa"/>
          </w:tcPr>
          <w:p w14:paraId="6808FD9F" w14:textId="77777777" w:rsidR="00CF33D9" w:rsidRDefault="00E3332A">
            <w:pPr>
              <w:spacing w:after="60"/>
              <w:jc w:val="both"/>
              <w:rPr>
                <w:rFonts w:eastAsia="Calibri"/>
                <w:sz w:val="20"/>
                <w:szCs w:val="20"/>
              </w:rPr>
            </w:pPr>
            <w:r>
              <w:rPr>
                <w:rFonts w:eastAsia="Calibri"/>
                <w:b/>
                <w:sz w:val="20"/>
                <w:szCs w:val="20"/>
              </w:rPr>
              <w:t xml:space="preserve">M&amp;E required to report on progress made in reaching GEF core indicators and project results included in the project results framework </w:t>
            </w:r>
          </w:p>
        </w:tc>
        <w:tc>
          <w:tcPr>
            <w:tcW w:w="5523" w:type="dxa"/>
          </w:tcPr>
          <w:p w14:paraId="6808FDA0" w14:textId="77777777" w:rsidR="00CF33D9" w:rsidRDefault="00E3332A">
            <w:pPr>
              <w:spacing w:after="60"/>
              <w:jc w:val="both"/>
              <w:rPr>
                <w:rFonts w:eastAsia="Calibri"/>
                <w:iCs/>
                <w:sz w:val="20"/>
                <w:szCs w:val="20"/>
                <w:highlight w:val="yellow"/>
              </w:rPr>
            </w:pPr>
            <w:r>
              <w:rPr>
                <w:rFonts w:eastAsia="Calibri"/>
                <w:iCs/>
                <w:sz w:val="20"/>
                <w:szCs w:val="20"/>
              </w:rPr>
              <w:t>None</w:t>
            </w:r>
          </w:p>
        </w:tc>
      </w:tr>
      <w:tr w:rsidR="00CF33D9" w14:paraId="6808FDA4" w14:textId="77777777">
        <w:trPr>
          <w:jc w:val="center"/>
        </w:trPr>
        <w:tc>
          <w:tcPr>
            <w:tcW w:w="7792" w:type="dxa"/>
          </w:tcPr>
          <w:p w14:paraId="6808FDA2" w14:textId="77777777" w:rsidR="00CF33D9" w:rsidRDefault="00E3332A">
            <w:pPr>
              <w:jc w:val="both"/>
              <w:rPr>
                <w:rFonts w:eastAsia="Calibri"/>
                <w:sz w:val="20"/>
                <w:szCs w:val="20"/>
              </w:rPr>
            </w:pPr>
            <w:r>
              <w:rPr>
                <w:rFonts w:eastAsia="Calibri"/>
                <w:b/>
                <w:sz w:val="20"/>
                <w:szCs w:val="20"/>
              </w:rPr>
              <w:t xml:space="preserve">Preparation of the annual GEF Project Implementation Report (PIR) </w:t>
            </w:r>
          </w:p>
        </w:tc>
        <w:tc>
          <w:tcPr>
            <w:tcW w:w="5523" w:type="dxa"/>
          </w:tcPr>
          <w:p w14:paraId="6808FDA3" w14:textId="77777777" w:rsidR="00CF33D9" w:rsidRDefault="00E3332A">
            <w:pPr>
              <w:spacing w:after="60"/>
              <w:jc w:val="both"/>
              <w:rPr>
                <w:rFonts w:eastAsia="Calibri"/>
                <w:iCs/>
                <w:sz w:val="20"/>
                <w:szCs w:val="20"/>
              </w:rPr>
            </w:pPr>
            <w:r>
              <w:rPr>
                <w:rFonts w:eastAsia="Calibri"/>
                <w:iCs/>
                <w:sz w:val="20"/>
                <w:szCs w:val="20"/>
              </w:rPr>
              <w:t>None</w:t>
            </w:r>
          </w:p>
        </w:tc>
      </w:tr>
      <w:tr w:rsidR="00CF33D9" w14:paraId="6808FDA7" w14:textId="77777777">
        <w:trPr>
          <w:trHeight w:val="160"/>
          <w:jc w:val="center"/>
        </w:trPr>
        <w:tc>
          <w:tcPr>
            <w:tcW w:w="7792" w:type="dxa"/>
            <w:vMerge w:val="restart"/>
          </w:tcPr>
          <w:p w14:paraId="6808FDA5" w14:textId="77777777" w:rsidR="00CF33D9" w:rsidRDefault="00E3332A">
            <w:pPr>
              <w:spacing w:after="60"/>
              <w:jc w:val="both"/>
              <w:rPr>
                <w:rFonts w:eastAsia="Calibri"/>
                <w:i/>
                <w:sz w:val="20"/>
                <w:szCs w:val="20"/>
              </w:rPr>
            </w:pPr>
            <w:r>
              <w:rPr>
                <w:rFonts w:eastAsia="Calibri"/>
                <w:b/>
                <w:sz w:val="20"/>
                <w:szCs w:val="20"/>
              </w:rPr>
              <w:t>Monitoring of Gender Action Plan (GAP) and Environmental and Social Management Framework (ESMF</w:t>
            </w:r>
          </w:p>
        </w:tc>
        <w:tc>
          <w:tcPr>
            <w:tcW w:w="5523" w:type="dxa"/>
          </w:tcPr>
          <w:p w14:paraId="6808FDA6" w14:textId="77777777" w:rsidR="00CF33D9" w:rsidRDefault="00E3332A">
            <w:pPr>
              <w:spacing w:after="60"/>
              <w:jc w:val="both"/>
              <w:rPr>
                <w:rFonts w:eastAsia="Calibri"/>
                <w:iCs/>
                <w:sz w:val="20"/>
                <w:szCs w:val="20"/>
              </w:rPr>
            </w:pPr>
            <w:r>
              <w:rPr>
                <w:rFonts w:eastAsia="Calibri"/>
                <w:iCs/>
                <w:sz w:val="20"/>
                <w:szCs w:val="20"/>
              </w:rPr>
              <w:t>GAP:    25,000</w:t>
            </w:r>
          </w:p>
        </w:tc>
      </w:tr>
      <w:tr w:rsidR="00CF33D9" w14:paraId="6808FDAA" w14:textId="77777777">
        <w:trPr>
          <w:trHeight w:val="159"/>
          <w:jc w:val="center"/>
        </w:trPr>
        <w:tc>
          <w:tcPr>
            <w:tcW w:w="7792" w:type="dxa"/>
            <w:vMerge/>
          </w:tcPr>
          <w:p w14:paraId="6808FDA8" w14:textId="77777777" w:rsidR="00CF33D9" w:rsidRDefault="00CF33D9">
            <w:pPr>
              <w:spacing w:after="60"/>
              <w:jc w:val="both"/>
              <w:rPr>
                <w:rFonts w:eastAsia="Calibri"/>
                <w:b/>
                <w:sz w:val="20"/>
                <w:szCs w:val="20"/>
              </w:rPr>
            </w:pPr>
          </w:p>
        </w:tc>
        <w:tc>
          <w:tcPr>
            <w:tcW w:w="5523" w:type="dxa"/>
          </w:tcPr>
          <w:p w14:paraId="6808FDA9" w14:textId="77777777" w:rsidR="00CF33D9" w:rsidRDefault="00E3332A">
            <w:pPr>
              <w:spacing w:after="60"/>
              <w:jc w:val="both"/>
              <w:rPr>
                <w:rFonts w:eastAsia="Calibri"/>
                <w:iCs/>
                <w:sz w:val="20"/>
                <w:szCs w:val="20"/>
              </w:rPr>
            </w:pPr>
            <w:r>
              <w:rPr>
                <w:rFonts w:eastAsia="Calibri"/>
                <w:iCs/>
                <w:sz w:val="20"/>
                <w:szCs w:val="20"/>
              </w:rPr>
              <w:t>ESMF:  25,000</w:t>
            </w:r>
          </w:p>
        </w:tc>
      </w:tr>
      <w:tr w:rsidR="00CF33D9" w14:paraId="6808FDAD" w14:textId="77777777">
        <w:trPr>
          <w:trHeight w:val="305"/>
          <w:jc w:val="center"/>
        </w:trPr>
        <w:tc>
          <w:tcPr>
            <w:tcW w:w="7792" w:type="dxa"/>
          </w:tcPr>
          <w:p w14:paraId="6808FDAB" w14:textId="77777777" w:rsidR="00CF33D9" w:rsidRDefault="00E3332A">
            <w:pPr>
              <w:spacing w:after="60"/>
              <w:jc w:val="both"/>
              <w:rPr>
                <w:rFonts w:eastAsia="Calibri"/>
                <w:b/>
                <w:sz w:val="20"/>
                <w:szCs w:val="20"/>
              </w:rPr>
            </w:pPr>
            <w:r>
              <w:rPr>
                <w:rFonts w:eastAsia="Calibri"/>
                <w:b/>
                <w:sz w:val="20"/>
                <w:szCs w:val="20"/>
              </w:rPr>
              <w:t xml:space="preserve">Supervision missions </w:t>
            </w:r>
          </w:p>
        </w:tc>
        <w:tc>
          <w:tcPr>
            <w:tcW w:w="5523" w:type="dxa"/>
          </w:tcPr>
          <w:p w14:paraId="6808FDAC" w14:textId="77777777" w:rsidR="00CF33D9" w:rsidRDefault="00E3332A">
            <w:pPr>
              <w:spacing w:after="60"/>
              <w:jc w:val="both"/>
              <w:rPr>
                <w:rFonts w:eastAsia="Calibri"/>
                <w:iCs/>
                <w:sz w:val="20"/>
                <w:szCs w:val="20"/>
              </w:rPr>
            </w:pPr>
            <w:r>
              <w:rPr>
                <w:rFonts w:eastAsia="Calibri"/>
                <w:iCs/>
                <w:sz w:val="20"/>
                <w:szCs w:val="20"/>
              </w:rPr>
              <w:t>None</w:t>
            </w:r>
          </w:p>
        </w:tc>
      </w:tr>
      <w:tr w:rsidR="00CF33D9" w14:paraId="6808FDB0" w14:textId="77777777">
        <w:trPr>
          <w:trHeight w:val="305"/>
          <w:jc w:val="center"/>
        </w:trPr>
        <w:tc>
          <w:tcPr>
            <w:tcW w:w="7792" w:type="dxa"/>
          </w:tcPr>
          <w:p w14:paraId="6808FDAE" w14:textId="77777777" w:rsidR="00CF33D9" w:rsidRDefault="00E3332A">
            <w:pPr>
              <w:spacing w:after="60"/>
              <w:jc w:val="both"/>
              <w:rPr>
                <w:rFonts w:eastAsia="Calibri"/>
                <w:b/>
                <w:sz w:val="20"/>
                <w:szCs w:val="20"/>
              </w:rPr>
            </w:pPr>
            <w:r>
              <w:rPr>
                <w:rFonts w:eastAsia="Calibri"/>
                <w:b/>
                <w:sz w:val="20"/>
                <w:szCs w:val="20"/>
              </w:rPr>
              <w:t>Learning missions</w:t>
            </w:r>
          </w:p>
        </w:tc>
        <w:tc>
          <w:tcPr>
            <w:tcW w:w="5523" w:type="dxa"/>
          </w:tcPr>
          <w:p w14:paraId="6808FDAF" w14:textId="77777777" w:rsidR="00CF33D9" w:rsidRDefault="00E3332A">
            <w:pPr>
              <w:spacing w:after="60"/>
              <w:jc w:val="both"/>
              <w:rPr>
                <w:rFonts w:eastAsia="Calibri"/>
                <w:iCs/>
                <w:sz w:val="20"/>
                <w:szCs w:val="20"/>
              </w:rPr>
            </w:pPr>
            <w:r>
              <w:rPr>
                <w:rFonts w:eastAsia="Calibri"/>
                <w:iCs/>
                <w:sz w:val="20"/>
                <w:szCs w:val="20"/>
              </w:rPr>
              <w:t>None</w:t>
            </w:r>
          </w:p>
        </w:tc>
      </w:tr>
      <w:tr w:rsidR="00CF33D9" w14:paraId="6808FDB3" w14:textId="77777777">
        <w:trPr>
          <w:trHeight w:val="441"/>
          <w:jc w:val="center"/>
        </w:trPr>
        <w:tc>
          <w:tcPr>
            <w:tcW w:w="7792" w:type="dxa"/>
          </w:tcPr>
          <w:p w14:paraId="6808FDB1" w14:textId="77777777" w:rsidR="00CF33D9" w:rsidRDefault="00E3332A">
            <w:pPr>
              <w:spacing w:after="60"/>
              <w:jc w:val="both"/>
              <w:rPr>
                <w:rFonts w:eastAsia="Calibri"/>
                <w:b/>
                <w:sz w:val="20"/>
                <w:szCs w:val="20"/>
              </w:rPr>
            </w:pPr>
            <w:r>
              <w:rPr>
                <w:rFonts w:eastAsia="Calibri"/>
                <w:b/>
                <w:sz w:val="20"/>
                <w:szCs w:val="20"/>
              </w:rPr>
              <w:t xml:space="preserve">Independent Mid-term Review (MTR): </w:t>
            </w:r>
          </w:p>
        </w:tc>
        <w:tc>
          <w:tcPr>
            <w:tcW w:w="5523" w:type="dxa"/>
          </w:tcPr>
          <w:p w14:paraId="6808FDB2" w14:textId="77777777" w:rsidR="00CF33D9" w:rsidRDefault="00E3332A">
            <w:pPr>
              <w:spacing w:after="60"/>
              <w:jc w:val="both"/>
              <w:rPr>
                <w:rFonts w:eastAsia="Calibri"/>
                <w:iCs/>
                <w:sz w:val="20"/>
                <w:szCs w:val="20"/>
                <w:highlight w:val="yellow"/>
              </w:rPr>
            </w:pPr>
            <w:r>
              <w:rPr>
                <w:rFonts w:eastAsia="Calibri"/>
                <w:iCs/>
                <w:sz w:val="20"/>
                <w:szCs w:val="20"/>
              </w:rPr>
              <w:t>40,000</w:t>
            </w:r>
          </w:p>
        </w:tc>
      </w:tr>
      <w:tr w:rsidR="00CF33D9" w14:paraId="6808FDB7" w14:textId="77777777">
        <w:trPr>
          <w:jc w:val="center"/>
        </w:trPr>
        <w:tc>
          <w:tcPr>
            <w:tcW w:w="7792" w:type="dxa"/>
          </w:tcPr>
          <w:p w14:paraId="6808FDB4" w14:textId="77777777" w:rsidR="00CF33D9" w:rsidRDefault="00E3332A">
            <w:pPr>
              <w:spacing w:after="60"/>
              <w:jc w:val="both"/>
              <w:rPr>
                <w:rFonts w:eastAsia="Calibri"/>
                <w:b/>
                <w:sz w:val="20"/>
                <w:szCs w:val="20"/>
              </w:rPr>
            </w:pPr>
            <w:r>
              <w:rPr>
                <w:rFonts w:eastAsia="Calibri"/>
                <w:b/>
                <w:sz w:val="20"/>
                <w:szCs w:val="20"/>
              </w:rPr>
              <w:t xml:space="preserve">Independent Terminal Evaluation (TE): </w:t>
            </w:r>
          </w:p>
          <w:p w14:paraId="6808FDB5" w14:textId="77777777" w:rsidR="00CF33D9" w:rsidRDefault="00CF33D9">
            <w:pPr>
              <w:spacing w:after="60"/>
              <w:jc w:val="both"/>
              <w:rPr>
                <w:rFonts w:eastAsia="Calibri"/>
                <w:b/>
                <w:sz w:val="20"/>
                <w:szCs w:val="20"/>
              </w:rPr>
            </w:pPr>
          </w:p>
        </w:tc>
        <w:tc>
          <w:tcPr>
            <w:tcW w:w="5523" w:type="dxa"/>
          </w:tcPr>
          <w:p w14:paraId="6808FDB6" w14:textId="77777777" w:rsidR="00CF33D9" w:rsidRDefault="00E3332A">
            <w:pPr>
              <w:tabs>
                <w:tab w:val="center" w:pos="1216"/>
              </w:tabs>
              <w:spacing w:after="60"/>
              <w:jc w:val="both"/>
              <w:rPr>
                <w:rFonts w:eastAsia="Calibri"/>
                <w:sz w:val="20"/>
                <w:szCs w:val="20"/>
              </w:rPr>
            </w:pPr>
            <w:r>
              <w:rPr>
                <w:rFonts w:eastAsia="Calibri"/>
                <w:sz w:val="20"/>
                <w:szCs w:val="20"/>
              </w:rPr>
              <w:t>40,000</w:t>
            </w:r>
          </w:p>
        </w:tc>
      </w:tr>
      <w:tr w:rsidR="002D2FBA" w14:paraId="70324986" w14:textId="77777777">
        <w:trPr>
          <w:jc w:val="center"/>
        </w:trPr>
        <w:tc>
          <w:tcPr>
            <w:tcW w:w="7792" w:type="dxa"/>
          </w:tcPr>
          <w:p w14:paraId="11D87C0C" w14:textId="5A399B44" w:rsidR="002D2FBA" w:rsidRPr="00E3332A" w:rsidRDefault="00470EE0">
            <w:pPr>
              <w:spacing w:after="60"/>
              <w:jc w:val="both"/>
              <w:rPr>
                <w:rFonts w:eastAsia="Calibri"/>
                <w:b/>
                <w:iCs/>
                <w:sz w:val="20"/>
                <w:szCs w:val="20"/>
                <w:highlight w:val="yellow"/>
              </w:rPr>
            </w:pPr>
            <w:r w:rsidRPr="00E3332A">
              <w:rPr>
                <w:rFonts w:eastAsia="SimSun"/>
                <w:b/>
                <w:bCs/>
                <w:sz w:val="20"/>
                <w:szCs w:val="20"/>
                <w:highlight w:val="yellow"/>
              </w:rPr>
              <w:t>Travel of national representatives to Inception/First PSC and 5 PSC Workshops</w:t>
            </w:r>
          </w:p>
        </w:tc>
        <w:tc>
          <w:tcPr>
            <w:tcW w:w="5523" w:type="dxa"/>
          </w:tcPr>
          <w:p w14:paraId="391B87B7" w14:textId="3078DFB7" w:rsidR="002D2FBA" w:rsidRPr="00E3332A" w:rsidRDefault="008616DC">
            <w:pPr>
              <w:tabs>
                <w:tab w:val="center" w:pos="1216"/>
              </w:tabs>
              <w:spacing w:after="60"/>
              <w:jc w:val="both"/>
              <w:rPr>
                <w:rFonts w:eastAsia="Calibri"/>
                <w:iCs/>
                <w:sz w:val="20"/>
                <w:szCs w:val="20"/>
                <w:highlight w:val="yellow"/>
              </w:rPr>
            </w:pPr>
            <w:r w:rsidRPr="00E3332A">
              <w:rPr>
                <w:rFonts w:eastAsia="Calibri"/>
                <w:iCs/>
                <w:sz w:val="20"/>
                <w:szCs w:val="20"/>
                <w:highlight w:val="yellow"/>
              </w:rPr>
              <w:t>52,698</w:t>
            </w:r>
          </w:p>
        </w:tc>
      </w:tr>
      <w:tr w:rsidR="00CF33D9" w14:paraId="6808FDBA" w14:textId="77777777">
        <w:trPr>
          <w:jc w:val="center"/>
        </w:trPr>
        <w:tc>
          <w:tcPr>
            <w:tcW w:w="7792" w:type="dxa"/>
          </w:tcPr>
          <w:p w14:paraId="6808FDB8" w14:textId="4F214494" w:rsidR="00CF33D9" w:rsidRPr="00E3332A" w:rsidRDefault="008616DC">
            <w:pPr>
              <w:spacing w:after="60"/>
              <w:jc w:val="both"/>
              <w:rPr>
                <w:rFonts w:eastAsia="Calibri"/>
                <w:b/>
                <w:iCs/>
                <w:sz w:val="20"/>
                <w:szCs w:val="20"/>
                <w:highlight w:val="yellow"/>
              </w:rPr>
            </w:pPr>
            <w:r w:rsidRPr="00E3332A">
              <w:rPr>
                <w:rFonts w:eastAsia="SimSun"/>
                <w:b/>
                <w:bCs/>
                <w:sz w:val="20"/>
                <w:szCs w:val="20"/>
                <w:highlight w:val="yellow"/>
              </w:rPr>
              <w:t>Interpretation and audio-visual equipment for Inception/First PSC and 5 PSC Workshops</w:t>
            </w:r>
          </w:p>
        </w:tc>
        <w:tc>
          <w:tcPr>
            <w:tcW w:w="5523" w:type="dxa"/>
          </w:tcPr>
          <w:p w14:paraId="6808FDB9" w14:textId="4A50C1E6" w:rsidR="00CF33D9" w:rsidRPr="00E3332A" w:rsidRDefault="008616DC">
            <w:pPr>
              <w:tabs>
                <w:tab w:val="center" w:pos="1216"/>
              </w:tabs>
              <w:spacing w:after="60"/>
              <w:jc w:val="both"/>
              <w:rPr>
                <w:rFonts w:eastAsia="Calibri"/>
                <w:iCs/>
                <w:sz w:val="20"/>
                <w:szCs w:val="20"/>
                <w:highlight w:val="yellow"/>
              </w:rPr>
            </w:pPr>
            <w:r w:rsidRPr="00E3332A">
              <w:rPr>
                <w:rFonts w:eastAsia="Calibri"/>
                <w:iCs/>
                <w:sz w:val="20"/>
                <w:szCs w:val="20"/>
                <w:highlight w:val="yellow"/>
              </w:rPr>
              <w:t>12,000</w:t>
            </w:r>
          </w:p>
        </w:tc>
      </w:tr>
      <w:tr w:rsidR="00CF33D9" w14:paraId="6808FDBD" w14:textId="77777777">
        <w:trPr>
          <w:cantSplit/>
          <w:trHeight w:val="710"/>
          <w:jc w:val="center"/>
        </w:trPr>
        <w:tc>
          <w:tcPr>
            <w:tcW w:w="7792" w:type="dxa"/>
            <w:shd w:val="clear" w:color="auto" w:fill="E6E6E6"/>
          </w:tcPr>
          <w:p w14:paraId="6808FDBB" w14:textId="77777777" w:rsidR="00CF33D9" w:rsidRDefault="00E3332A">
            <w:pPr>
              <w:spacing w:after="60"/>
              <w:jc w:val="both"/>
              <w:rPr>
                <w:rFonts w:eastAsia="Calibri"/>
                <w:b/>
                <w:sz w:val="20"/>
                <w:szCs w:val="20"/>
              </w:rPr>
            </w:pPr>
            <w:r>
              <w:rPr>
                <w:rFonts w:eastAsia="Calibri"/>
                <w:b/>
                <w:sz w:val="20"/>
                <w:szCs w:val="20"/>
              </w:rPr>
              <w:t xml:space="preserve">TOTAL indicative COST </w:t>
            </w:r>
          </w:p>
        </w:tc>
        <w:tc>
          <w:tcPr>
            <w:tcW w:w="5523" w:type="dxa"/>
            <w:shd w:val="clear" w:color="auto" w:fill="E6E6E6"/>
          </w:tcPr>
          <w:p w14:paraId="6808FDBC" w14:textId="77777777" w:rsidR="00CF33D9" w:rsidRDefault="00E3332A">
            <w:pPr>
              <w:spacing w:after="60"/>
              <w:jc w:val="both"/>
              <w:rPr>
                <w:rFonts w:eastAsia="Calibri"/>
                <w:iCs/>
                <w:sz w:val="20"/>
                <w:szCs w:val="20"/>
                <w:highlight w:val="yellow"/>
              </w:rPr>
            </w:pPr>
            <w:r>
              <w:rPr>
                <w:rFonts w:eastAsia="Calibri"/>
                <w:i/>
                <w:sz w:val="20"/>
                <w:szCs w:val="20"/>
              </w:rPr>
              <w:t xml:space="preserve"> </w:t>
            </w:r>
            <w:r>
              <w:rPr>
                <w:rFonts w:eastAsia="Calibri"/>
                <w:iCs/>
                <w:sz w:val="20"/>
                <w:szCs w:val="20"/>
              </w:rPr>
              <w:t>209,698</w:t>
            </w:r>
          </w:p>
        </w:tc>
      </w:tr>
    </w:tbl>
    <w:p w14:paraId="6808FDBE" w14:textId="77777777" w:rsidR="00CF33D9" w:rsidRDefault="00CF33D9">
      <w:pPr>
        <w:keepNext/>
        <w:pBdr>
          <w:top w:val="single" w:sz="4" w:space="1" w:color="000000"/>
        </w:pBdr>
        <w:ind w:left="720" w:hanging="720"/>
        <w:jc w:val="both"/>
        <w:rPr>
          <w:rFonts w:ascii="Calibri" w:eastAsia="Calibri" w:hAnsi="Calibri" w:cs="Calibri"/>
          <w:b/>
          <w:smallCaps/>
          <w:sz w:val="20"/>
          <w:szCs w:val="20"/>
        </w:rPr>
        <w:sectPr w:rsidR="00CF33D9">
          <w:pgSz w:w="15840" w:h="12240" w:orient="landscape"/>
          <w:pgMar w:top="1440" w:right="1440" w:bottom="1440" w:left="1440" w:header="720" w:footer="432" w:gutter="0"/>
          <w:cols w:space="720"/>
          <w:titlePg/>
        </w:sectPr>
      </w:pPr>
    </w:p>
    <w:p w14:paraId="6808FDBF" w14:textId="77777777" w:rsidR="00CF33D9" w:rsidRDefault="00E3332A">
      <w:pPr>
        <w:pStyle w:val="Heading1"/>
        <w:rPr>
          <w:rFonts w:ascii="Calibri" w:hAnsi="Calibri" w:cs="Calibri"/>
          <w:sz w:val="20"/>
          <w:szCs w:val="20"/>
        </w:rPr>
      </w:pPr>
      <w:bookmarkStart w:id="25" w:name="_Toc169739164"/>
      <w:r>
        <w:rPr>
          <w:rFonts w:ascii="Calibri" w:hAnsi="Calibri" w:cs="Calibri"/>
          <w:sz w:val="20"/>
          <w:szCs w:val="20"/>
        </w:rPr>
        <w:lastRenderedPageBreak/>
        <w:t>VII</w:t>
      </w:r>
      <w:r>
        <w:rPr>
          <w:rFonts w:ascii="Calibri" w:hAnsi="Calibri" w:cs="Calibri"/>
          <w:sz w:val="20"/>
          <w:szCs w:val="20"/>
        </w:rPr>
        <w:tab/>
        <w:t>Governance and Management Arrangements</w:t>
      </w:r>
      <w:bookmarkEnd w:id="25"/>
      <w:r>
        <w:rPr>
          <w:rFonts w:ascii="Calibri" w:hAnsi="Calibri" w:cs="Calibri"/>
          <w:sz w:val="20"/>
          <w:szCs w:val="20"/>
        </w:rPr>
        <w:t xml:space="preserve"> </w:t>
      </w:r>
    </w:p>
    <w:p w14:paraId="6808FDC0" w14:textId="77777777" w:rsidR="00CF33D9" w:rsidRDefault="00CF33D9">
      <w:pPr>
        <w:jc w:val="both"/>
        <w:rPr>
          <w:rFonts w:ascii="Calibri" w:eastAsia="Calibri" w:hAnsi="Calibri" w:cs="Calibri"/>
          <w:b/>
          <w:i/>
          <w:sz w:val="20"/>
          <w:szCs w:val="20"/>
        </w:rPr>
      </w:pPr>
    </w:p>
    <w:p w14:paraId="6808FDC1" w14:textId="77777777" w:rsidR="00CF33D9" w:rsidRDefault="00E3332A">
      <w:pPr>
        <w:jc w:val="both"/>
        <w:rPr>
          <w:rFonts w:ascii="Calibri" w:eastAsia="Calibri" w:hAnsi="Calibri" w:cs="Calibri"/>
          <w:b/>
          <w:sz w:val="20"/>
          <w:szCs w:val="20"/>
        </w:rPr>
      </w:pPr>
      <w:r>
        <w:rPr>
          <w:rFonts w:ascii="Calibri" w:eastAsia="Calibri" w:hAnsi="Calibri" w:cs="Calibri"/>
          <w:b/>
          <w:sz w:val="20"/>
          <w:szCs w:val="20"/>
        </w:rPr>
        <w:t xml:space="preserve">Section 1: General roles and responsibilities in the projects’ governance mechanism </w:t>
      </w:r>
    </w:p>
    <w:p w14:paraId="6808FDC2" w14:textId="77777777" w:rsidR="00CF33D9" w:rsidRDefault="00CF33D9">
      <w:pPr>
        <w:jc w:val="both"/>
        <w:rPr>
          <w:rFonts w:ascii="Calibri" w:eastAsia="Calibri" w:hAnsi="Calibri" w:cs="Calibri"/>
          <w:sz w:val="20"/>
          <w:szCs w:val="20"/>
        </w:rPr>
      </w:pPr>
    </w:p>
    <w:p w14:paraId="6808FDC3" w14:textId="77777777" w:rsidR="00CF33D9" w:rsidRDefault="00E3332A">
      <w:pPr>
        <w:jc w:val="both"/>
        <w:rPr>
          <w:rFonts w:ascii="Calibri" w:eastAsia="Calibri" w:hAnsi="Calibri" w:cs="Calibri"/>
          <w:sz w:val="20"/>
          <w:szCs w:val="20"/>
        </w:rPr>
      </w:pPr>
      <w:r>
        <w:rPr>
          <w:rFonts w:ascii="Calibri" w:eastAsia="Calibri" w:hAnsi="Calibri" w:cs="Calibri"/>
          <w:color w:val="000000" w:themeColor="text1"/>
          <w:sz w:val="20"/>
          <w:szCs w:val="20"/>
          <w:u w:val="single"/>
        </w:rPr>
        <w:t>Implementing Partner</w:t>
      </w:r>
      <w:r>
        <w:rPr>
          <w:rFonts w:ascii="Calibri" w:eastAsia="Calibri" w:hAnsi="Calibri" w:cs="Calibri"/>
          <w:color w:val="000000" w:themeColor="text1"/>
          <w:sz w:val="20"/>
          <w:szCs w:val="20"/>
        </w:rPr>
        <w:t xml:space="preserve">: The Implementing Partner for this project is Benguela Current Commission (BCC). The Implementing Partner is the entity to which the UNDP Administrator has entrusted the implementation of UNDP assistance </w:t>
      </w:r>
      <w:r>
        <w:rPr>
          <w:rFonts w:ascii="Calibri" w:eastAsia="Calibri" w:hAnsi="Calibri" w:cs="Calibri"/>
          <w:sz w:val="20"/>
          <w:szCs w:val="20"/>
        </w:rPr>
        <w:t xml:space="preserve">specified in this signed project document along with the assumption of full responsibility and accountability for the effective use of UNDP resources and the delivery of outputs, as set forth in this document. </w:t>
      </w:r>
    </w:p>
    <w:p w14:paraId="6808FDC4" w14:textId="77777777" w:rsidR="00CF33D9" w:rsidRDefault="00CF33D9">
      <w:pPr>
        <w:jc w:val="both"/>
        <w:rPr>
          <w:rFonts w:ascii="Calibri" w:eastAsia="Calibri" w:hAnsi="Calibri" w:cs="Calibri"/>
          <w:sz w:val="20"/>
          <w:szCs w:val="20"/>
        </w:rPr>
      </w:pPr>
    </w:p>
    <w:p w14:paraId="6808FDC5" w14:textId="77777777" w:rsidR="00CF33D9" w:rsidRDefault="00E3332A">
      <w:pPr>
        <w:pStyle w:val="NormalWeb"/>
        <w:spacing w:before="0" w:beforeAutospacing="0" w:after="0" w:afterAutospacing="0"/>
        <w:textAlignment w:val="baseline"/>
        <w:rPr>
          <w:rFonts w:ascii="Calibri" w:eastAsia="Times New Roman" w:hAnsi="Calibri" w:cs="Calibri"/>
          <w:color w:val="000000"/>
          <w:sz w:val="20"/>
          <w:szCs w:val="20"/>
          <w:lang w:val="zh-CN"/>
        </w:rPr>
      </w:pPr>
      <w:r>
        <w:rPr>
          <w:rFonts w:ascii="Calibri" w:eastAsia="Calibri" w:hAnsi="Calibri" w:cs="Calibri"/>
          <w:color w:val="000000" w:themeColor="text1"/>
          <w:sz w:val="20"/>
          <w:szCs w:val="20"/>
        </w:rPr>
        <w:t xml:space="preserve">BCC was the Implementing </w:t>
      </w:r>
      <w:r>
        <w:rPr>
          <w:rFonts w:ascii="Calibri" w:eastAsia="Calibri" w:hAnsi="Calibri" w:cs="Calibri"/>
          <w:sz w:val="20"/>
          <w:szCs w:val="20"/>
        </w:rPr>
        <w:t xml:space="preserve">Partner for the previous GEF project – the BCLME III. That project </w:t>
      </w:r>
      <w:r>
        <w:rPr>
          <w:rFonts w:ascii="Calibri" w:hAnsi="Calibri" w:cs="Calibri"/>
          <w:color w:val="000000"/>
          <w:sz w:val="20"/>
          <w:szCs w:val="20"/>
        </w:rPr>
        <w:t>made a significant positive contribution to advancing a coordinated regional approach to the long-term conservation and sustainable use of the BCLME, in order to provide environmental and socio-economic benefits to the region. </w:t>
      </w:r>
      <w:r>
        <w:rPr>
          <w:rFonts w:ascii="Calibri" w:eastAsia="Times New Roman" w:hAnsi="Calibri" w:cs="Calibri"/>
          <w:color w:val="000000"/>
          <w:sz w:val="20"/>
          <w:szCs w:val="20"/>
          <w:lang w:val="zh-CN"/>
        </w:rPr>
        <w:t>The project continued the BCC tradition of basing ocean policy, governance and resource management on a scientific foundation.</w:t>
      </w:r>
      <w:r>
        <w:rPr>
          <w:rFonts w:ascii="Calibri" w:hAnsi="Calibri" w:cs="Calibri"/>
          <w:color w:val="000000"/>
          <w:sz w:val="20"/>
          <w:szCs w:val="20"/>
        </w:rPr>
        <w:t xml:space="preserve"> </w:t>
      </w:r>
      <w:r>
        <w:rPr>
          <w:rFonts w:ascii="Calibri" w:eastAsia="Times New Roman" w:hAnsi="Calibri" w:cs="Calibri"/>
          <w:color w:val="000000"/>
          <w:sz w:val="20"/>
          <w:szCs w:val="20"/>
          <w:lang w:val="zh-CN"/>
        </w:rPr>
        <w:t xml:space="preserve">The project </w:t>
      </w:r>
      <w:r>
        <w:rPr>
          <w:rFonts w:ascii="Calibri" w:eastAsia="Times New Roman" w:hAnsi="Calibri" w:cs="Calibri"/>
          <w:color w:val="000000"/>
          <w:sz w:val="20"/>
          <w:szCs w:val="20"/>
          <w:lang w:val="hr-HR"/>
        </w:rPr>
        <w:t xml:space="preserve">also </w:t>
      </w:r>
      <w:r>
        <w:rPr>
          <w:rFonts w:ascii="Calibri" w:eastAsia="Times New Roman" w:hAnsi="Calibri" w:cs="Calibri"/>
          <w:color w:val="000000"/>
          <w:sz w:val="20"/>
          <w:szCs w:val="20"/>
          <w:lang w:val="zh-CN"/>
        </w:rPr>
        <w:t>supported the ongoing expansion of BCC’s previous main focus on fisheries to the full spectrum of ocean health, blue economy and marine resource management issues, promoting a more holistic, integrated, cross-sectoral approach to the LME – consistent with the aims and objectives of the BCC itself and the Global Environment Facility (GEF) International Waters (IW) portfolio.</w:t>
      </w:r>
      <w:r>
        <w:rPr>
          <w:rFonts w:ascii="Calibri" w:hAnsi="Calibri" w:cs="Calibri"/>
          <w:color w:val="000000"/>
          <w:sz w:val="20"/>
          <w:szCs w:val="20"/>
        </w:rPr>
        <w:t xml:space="preserve"> </w:t>
      </w:r>
      <w:r>
        <w:rPr>
          <w:rFonts w:ascii="Calibri" w:eastAsia="Times New Roman" w:hAnsi="Calibri" w:cs="Calibri"/>
          <w:color w:val="000000"/>
          <w:sz w:val="20"/>
          <w:szCs w:val="20"/>
          <w:lang w:val="zh-CN"/>
        </w:rPr>
        <w:t>The completion of the Governance Baseline Assessment (GBA) proved valuable in identifying gaps, needs and priorities in each country and regionally.</w:t>
      </w:r>
    </w:p>
    <w:p w14:paraId="6808FDC6" w14:textId="77777777" w:rsidR="00CF33D9" w:rsidRDefault="00CF33D9">
      <w:pPr>
        <w:pStyle w:val="NormalWeb"/>
        <w:spacing w:before="0" w:beforeAutospacing="0" w:after="0" w:afterAutospacing="0"/>
        <w:textAlignment w:val="baseline"/>
        <w:rPr>
          <w:rFonts w:ascii="Calibri" w:eastAsia="Times New Roman" w:hAnsi="Calibri" w:cs="Calibri"/>
          <w:color w:val="000000"/>
          <w:sz w:val="20"/>
          <w:szCs w:val="20"/>
          <w:lang w:val="zh-CN"/>
        </w:rPr>
      </w:pPr>
    </w:p>
    <w:p w14:paraId="6808FDC7"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The Implementing Partner is responsible for executing this project. Specific tasks include:</w:t>
      </w:r>
    </w:p>
    <w:p w14:paraId="6808FDC8" w14:textId="77777777" w:rsidR="00CF33D9" w:rsidRDefault="00CF33D9">
      <w:pPr>
        <w:jc w:val="both"/>
        <w:rPr>
          <w:rFonts w:ascii="Calibri" w:eastAsia="Calibri" w:hAnsi="Calibri" w:cs="Calibri"/>
          <w:sz w:val="20"/>
          <w:szCs w:val="20"/>
        </w:rPr>
      </w:pPr>
    </w:p>
    <w:p w14:paraId="6808FDC9" w14:textId="77777777" w:rsidR="00CF33D9" w:rsidRDefault="00E3332A">
      <w:pPr>
        <w:numPr>
          <w:ilvl w:val="0"/>
          <w:numId w:val="57"/>
        </w:numPr>
        <w:ind w:left="426" w:hanging="426"/>
        <w:jc w:val="both"/>
        <w:rPr>
          <w:rFonts w:ascii="Calibri" w:eastAsia="Calibri" w:hAnsi="Calibri" w:cs="Calibri"/>
          <w:sz w:val="20"/>
          <w:szCs w:val="20"/>
        </w:rPr>
      </w:pPr>
      <w:r>
        <w:rPr>
          <w:rFonts w:ascii="Calibri" w:eastAsia="Calibri" w:hAnsi="Calibri" w:cs="Calibri"/>
          <w:sz w:val="20"/>
          <w:szCs w:val="20"/>
        </w:rPr>
        <w:t xml:space="preserve">Project planning, coordination, management, monitoring, evaluation and reporting. This includes providing all required information and data necessary for timely, comprehensive and evidence-based project reporting, including results and financial data, as necessary. The Implementing Partner will strive to ensure project-level M&amp;E is undertaken by national institutes and is aligned with national systems so that the data used and generated by the project supports national systems. </w:t>
      </w:r>
    </w:p>
    <w:p w14:paraId="6808FDCA" w14:textId="77777777" w:rsidR="00CF33D9" w:rsidRDefault="00E3332A">
      <w:pPr>
        <w:numPr>
          <w:ilvl w:val="0"/>
          <w:numId w:val="57"/>
        </w:numPr>
        <w:ind w:left="426" w:hanging="426"/>
        <w:jc w:val="both"/>
        <w:rPr>
          <w:rFonts w:ascii="Calibri" w:eastAsia="Calibri" w:hAnsi="Calibri" w:cs="Calibri"/>
          <w:sz w:val="20"/>
          <w:szCs w:val="20"/>
        </w:rPr>
      </w:pPr>
      <w:r>
        <w:rPr>
          <w:rFonts w:ascii="Calibri" w:eastAsia="Calibri" w:hAnsi="Calibri" w:cs="Calibri"/>
          <w:sz w:val="20"/>
          <w:szCs w:val="20"/>
        </w:rPr>
        <w:t xml:space="preserve">Overseeing the management of project risks as included in this project document and new risks that may emerge during project implementation. </w:t>
      </w:r>
    </w:p>
    <w:p w14:paraId="6808FDCB" w14:textId="77777777" w:rsidR="00CF33D9" w:rsidRDefault="00E3332A">
      <w:pPr>
        <w:numPr>
          <w:ilvl w:val="0"/>
          <w:numId w:val="57"/>
        </w:numPr>
        <w:ind w:left="426" w:hanging="426"/>
        <w:jc w:val="both"/>
        <w:rPr>
          <w:rFonts w:ascii="Calibri" w:eastAsia="Calibri" w:hAnsi="Calibri" w:cs="Calibri"/>
          <w:sz w:val="20"/>
          <w:szCs w:val="20"/>
        </w:rPr>
      </w:pPr>
      <w:r>
        <w:rPr>
          <w:rFonts w:ascii="Calibri" w:eastAsia="Calibri" w:hAnsi="Calibri" w:cs="Calibri"/>
          <w:sz w:val="20"/>
          <w:szCs w:val="20"/>
        </w:rPr>
        <w:t>Procurement of goods and services, including human resources.</w:t>
      </w:r>
    </w:p>
    <w:p w14:paraId="6808FDCC" w14:textId="77777777" w:rsidR="00CF33D9" w:rsidRDefault="00E3332A">
      <w:pPr>
        <w:numPr>
          <w:ilvl w:val="0"/>
          <w:numId w:val="57"/>
        </w:numPr>
        <w:ind w:left="426" w:hanging="426"/>
        <w:jc w:val="both"/>
        <w:rPr>
          <w:rFonts w:ascii="Calibri" w:eastAsia="Calibri" w:hAnsi="Calibri" w:cs="Calibri"/>
          <w:sz w:val="20"/>
          <w:szCs w:val="20"/>
        </w:rPr>
      </w:pPr>
      <w:r>
        <w:rPr>
          <w:rFonts w:ascii="Calibri" w:eastAsia="Calibri" w:hAnsi="Calibri" w:cs="Calibri"/>
          <w:sz w:val="20"/>
          <w:szCs w:val="20"/>
        </w:rPr>
        <w:t>Financial management, including overseeing financial expenditures against project budgets.</w:t>
      </w:r>
    </w:p>
    <w:p w14:paraId="6808FDCD" w14:textId="77777777" w:rsidR="00CF33D9" w:rsidRDefault="00E3332A">
      <w:pPr>
        <w:numPr>
          <w:ilvl w:val="0"/>
          <w:numId w:val="57"/>
        </w:numPr>
        <w:ind w:left="426" w:hanging="426"/>
        <w:jc w:val="both"/>
        <w:rPr>
          <w:rFonts w:ascii="Calibri" w:eastAsia="Calibri" w:hAnsi="Calibri" w:cs="Calibri"/>
          <w:sz w:val="20"/>
          <w:szCs w:val="20"/>
        </w:rPr>
      </w:pPr>
      <w:r>
        <w:rPr>
          <w:rFonts w:ascii="Calibri" w:eastAsia="Calibri" w:hAnsi="Calibri" w:cs="Calibri"/>
          <w:sz w:val="20"/>
          <w:szCs w:val="20"/>
        </w:rPr>
        <w:t>Approving and signing the multiyear workplan.</w:t>
      </w:r>
    </w:p>
    <w:p w14:paraId="6808FDCE" w14:textId="77777777" w:rsidR="00CF33D9" w:rsidRDefault="00E3332A">
      <w:pPr>
        <w:numPr>
          <w:ilvl w:val="0"/>
          <w:numId w:val="57"/>
        </w:numPr>
        <w:ind w:left="426" w:hanging="426"/>
        <w:jc w:val="both"/>
        <w:rPr>
          <w:rFonts w:ascii="Calibri" w:eastAsia="Calibri" w:hAnsi="Calibri" w:cs="Calibri"/>
          <w:sz w:val="20"/>
          <w:szCs w:val="20"/>
        </w:rPr>
      </w:pPr>
      <w:r>
        <w:rPr>
          <w:rFonts w:ascii="Calibri" w:eastAsia="Calibri" w:hAnsi="Calibri" w:cs="Calibri"/>
          <w:sz w:val="20"/>
          <w:szCs w:val="20"/>
        </w:rPr>
        <w:t>Approving and signing the combined delivery report at the end of the year; and,</w:t>
      </w:r>
    </w:p>
    <w:p w14:paraId="6808FDCF" w14:textId="77777777" w:rsidR="00CF33D9" w:rsidRDefault="00E3332A">
      <w:pPr>
        <w:numPr>
          <w:ilvl w:val="0"/>
          <w:numId w:val="57"/>
        </w:numPr>
        <w:ind w:left="426" w:hanging="426"/>
        <w:jc w:val="both"/>
        <w:rPr>
          <w:rFonts w:ascii="Calibri" w:eastAsia="Calibri" w:hAnsi="Calibri" w:cs="Calibri"/>
          <w:sz w:val="20"/>
          <w:szCs w:val="20"/>
        </w:rPr>
      </w:pPr>
      <w:r>
        <w:rPr>
          <w:rFonts w:ascii="Calibri" w:eastAsia="Calibri" w:hAnsi="Calibri" w:cs="Calibri"/>
          <w:sz w:val="20"/>
          <w:szCs w:val="20"/>
        </w:rPr>
        <w:t>Signing the financial report or the funding authorization and certificate of expenditures.</w:t>
      </w:r>
    </w:p>
    <w:p w14:paraId="6808FDD0" w14:textId="77777777" w:rsidR="00CF33D9" w:rsidRDefault="00CF33D9">
      <w:pPr>
        <w:jc w:val="both"/>
        <w:rPr>
          <w:rFonts w:ascii="Calibri" w:eastAsia="Calibri" w:hAnsi="Calibri" w:cs="Calibri"/>
          <w:sz w:val="20"/>
          <w:szCs w:val="20"/>
        </w:rPr>
      </w:pPr>
    </w:p>
    <w:p w14:paraId="6808FDD1" w14:textId="77777777" w:rsidR="00CF33D9" w:rsidRDefault="00E3332A">
      <w:pPr>
        <w:jc w:val="both"/>
        <w:rPr>
          <w:rFonts w:ascii="Calibri" w:eastAsia="Calibri" w:hAnsi="Calibri" w:cs="Calibri"/>
          <w:sz w:val="20"/>
          <w:szCs w:val="20"/>
        </w:rPr>
      </w:pPr>
      <w:r>
        <w:rPr>
          <w:rFonts w:ascii="Calibri" w:eastAsia="Calibri" w:hAnsi="Calibri" w:cs="Calibri"/>
          <w:sz w:val="20"/>
          <w:szCs w:val="20"/>
          <w:u w:val="single"/>
        </w:rPr>
        <w:t>Responsible Parties</w:t>
      </w:r>
      <w:r>
        <w:rPr>
          <w:rFonts w:ascii="Calibri" w:eastAsia="Calibri" w:hAnsi="Calibri" w:cs="Calibri"/>
          <w:sz w:val="20"/>
          <w:szCs w:val="20"/>
        </w:rPr>
        <w:t>:</w:t>
      </w:r>
      <w:r>
        <w:rPr>
          <w:rFonts w:ascii="Calibri" w:eastAsia="Calibri" w:hAnsi="Calibri" w:cs="Calibri"/>
          <w:b/>
          <w:sz w:val="20"/>
          <w:szCs w:val="20"/>
        </w:rPr>
        <w:t xml:space="preserve"> </w:t>
      </w:r>
      <w:r>
        <w:rPr>
          <w:rFonts w:ascii="Calibri" w:eastAsia="Calibri" w:hAnsi="Calibri" w:cs="Calibri"/>
          <w:sz w:val="20"/>
          <w:szCs w:val="20"/>
        </w:rPr>
        <w:t xml:space="preserve">The implementing partner may enter into a written agreement with other organizations, known as responsible parties, to provide goods and/or services to the Project, carry out Project activities and/or produce outputs using the Project budget. Implementing partners use responsible parties to take advantage of their specialized skills, to mitigate risk and to relieve administrative burdens. Responsible parties are directly accountable to the implementing partner in accordance with the terms of their agreement or contract with the implementing partner. Any organization that is legally constituted and duly registered may become a responsible party. This includes government agencies, intergovernmental organizations, private firms, other UN agencies, or civil society organizations, including non-governmental organizations, advocacy groups, state-owned enterprises and academia. The same policies and procedures for selecting civil society organizations as Responsible Parties are used for private and non-governmental academic institutions and foundations (notwithstanding their form of ownership, i.e., public or private) and state-owned enterprises.  For further guidance see the UNDP Programme and Operations Policies and Procedures – Select Responsible Parties and Grantees - </w:t>
      </w:r>
      <w:hyperlink r:id="rId32">
        <w:r>
          <w:rPr>
            <w:rFonts w:ascii="Calibri" w:eastAsia="Calibri" w:hAnsi="Calibri" w:cs="Calibri"/>
            <w:color w:val="0000FF"/>
            <w:sz w:val="20"/>
            <w:szCs w:val="20"/>
            <w:u w:val="single"/>
          </w:rPr>
          <w:t>https://popp.undp.org/SitePages/POPPSubject.aspx?SBJID=469&amp;Menu=BusinessUnit&amp;Beta=0</w:t>
        </w:r>
      </w:hyperlink>
    </w:p>
    <w:p w14:paraId="6808FDD2" w14:textId="77777777" w:rsidR="00CF33D9" w:rsidRDefault="00CF33D9">
      <w:pPr>
        <w:ind w:left="720"/>
        <w:contextualSpacing/>
        <w:rPr>
          <w:rFonts w:ascii="Calibri" w:eastAsia="Calibri" w:hAnsi="Calibri" w:cs="Calibri"/>
          <w:sz w:val="20"/>
          <w:szCs w:val="20"/>
        </w:rPr>
      </w:pPr>
    </w:p>
    <w:p w14:paraId="6808FDD3" w14:textId="77777777" w:rsidR="00CF33D9" w:rsidRDefault="00E3332A">
      <w:pPr>
        <w:contextualSpacing/>
        <w:jc w:val="both"/>
        <w:rPr>
          <w:rFonts w:ascii="Calibri" w:hAnsi="Calibri" w:cs="Calibri"/>
          <w:color w:val="000000" w:themeColor="text1"/>
          <w:sz w:val="20"/>
          <w:szCs w:val="20"/>
        </w:rPr>
      </w:pPr>
      <w:r>
        <w:rPr>
          <w:rFonts w:ascii="Calibri" w:eastAsia="Calibri" w:hAnsi="Calibri" w:cs="Calibri"/>
          <w:sz w:val="20"/>
          <w:szCs w:val="20"/>
        </w:rPr>
        <w:t xml:space="preserve">It is foreseen that the </w:t>
      </w:r>
      <w:r>
        <w:rPr>
          <w:rFonts w:ascii="Calibri" w:eastAsia="Calibri" w:hAnsi="Calibri" w:cs="Calibri"/>
          <w:b/>
          <w:sz w:val="20"/>
          <w:szCs w:val="20"/>
        </w:rPr>
        <w:t>United Nations Trade and Development (UNCTAD)</w:t>
      </w:r>
      <w:r>
        <w:rPr>
          <w:rFonts w:ascii="Calibri" w:eastAsia="Calibri" w:hAnsi="Calibri" w:cs="Calibri"/>
          <w:sz w:val="20"/>
          <w:szCs w:val="20"/>
        </w:rPr>
        <w:t xml:space="preserve"> will provide technical support for certain project activities, as a </w:t>
      </w:r>
      <w:r>
        <w:rPr>
          <w:rFonts w:ascii="Calibri" w:eastAsia="Calibri" w:hAnsi="Calibri" w:cs="Calibri"/>
          <w:b/>
          <w:sz w:val="20"/>
          <w:szCs w:val="20"/>
        </w:rPr>
        <w:t>Responsible Party</w:t>
      </w:r>
      <w:r>
        <w:rPr>
          <w:rFonts w:ascii="Calibri" w:eastAsia="Calibri" w:hAnsi="Calibri" w:cs="Calibri"/>
          <w:sz w:val="20"/>
          <w:szCs w:val="20"/>
        </w:rPr>
        <w:t xml:space="preserve"> through an agreement to be concluded between BCC, as the Implementing Partner and the UNCTAD. Its main goal is to align economic and trade agenda with sustainable development </w:t>
      </w:r>
      <w:r>
        <w:rPr>
          <w:rFonts w:ascii="Calibri" w:hAnsi="Calibri" w:cs="Calibri"/>
          <w:color w:val="333333"/>
          <w:sz w:val="20"/>
          <w:szCs w:val="20"/>
        </w:rPr>
        <w:t xml:space="preserve">efforts and the SDGs, and work towards </w:t>
      </w:r>
      <w:r>
        <w:rPr>
          <w:rFonts w:ascii="Calibri" w:hAnsi="Calibri" w:cs="Calibri"/>
          <w:color w:val="333333"/>
          <w:sz w:val="20"/>
          <w:szCs w:val="20"/>
          <w:shd w:val="clear" w:color="auto" w:fill="FFFFFF"/>
        </w:rPr>
        <w:t xml:space="preserve">gainful integration of developing countries into the world economy to align it with </w:t>
      </w:r>
      <w:r>
        <w:rPr>
          <w:rFonts w:ascii="Calibri" w:hAnsi="Calibri" w:cs="Calibri"/>
          <w:color w:val="333333"/>
          <w:sz w:val="20"/>
          <w:szCs w:val="20"/>
          <w:shd w:val="clear" w:color="auto" w:fill="FFFFFF"/>
        </w:rPr>
        <w:lastRenderedPageBreak/>
        <w:t xml:space="preserve">the ambitious 2030 Agenda for Sustainable Development. </w:t>
      </w:r>
      <w:r>
        <w:rPr>
          <w:rFonts w:ascii="Calibri" w:hAnsi="Calibri" w:cs="Calibri"/>
          <w:color w:val="333333"/>
          <w:spacing w:val="-5"/>
          <w:sz w:val="20"/>
          <w:szCs w:val="20"/>
          <w:shd w:val="clear" w:color="auto" w:fill="FFFFFF"/>
        </w:rPr>
        <w:t>More recently, it has been supporting national trade and other competent authorities to design and create an enabling policy and regulatory environment that promotes the development and emergence of sustainable ocean economic sectors through the definition and implementation of national and regional oceans economy and trade strategies. More specifically, UNCTAD is calling to: (1)</w:t>
      </w:r>
      <w:r>
        <w:rPr>
          <w:rFonts w:ascii="Calibri" w:hAnsi="Calibri" w:cs="Calibri"/>
          <w:color w:val="000000" w:themeColor="text1"/>
          <w:sz w:val="20"/>
          <w:szCs w:val="20"/>
        </w:rPr>
        <w:t xml:space="preserve"> implement the key priorities for ocean cooperation adopted at the 2nd UN Ocean Conference and new commitments made in other multilateral agreements that benefit the ocean; (2) urgently bridge the ocean funding gap, boosting investment in emerging sustainable sectors and promoting blended finance to enhance cooperation between public and private actors; (3) include the goal of promoting a sustainable ocean economy in crisis recovery strategies and climate mitigation and adaptation efforts; and (4) improve the collection, management and sharing of statistics, and contribute to UNCTAD’s database and classification of ocean sectors.</w:t>
      </w:r>
    </w:p>
    <w:p w14:paraId="6808FDD4" w14:textId="77777777" w:rsidR="00CF33D9" w:rsidRDefault="00CF33D9">
      <w:pPr>
        <w:jc w:val="both"/>
        <w:rPr>
          <w:rFonts w:ascii="Calibri" w:eastAsia="Calibri" w:hAnsi="Calibri" w:cs="Calibri"/>
          <w:iCs/>
          <w:sz w:val="20"/>
          <w:szCs w:val="20"/>
        </w:rPr>
      </w:pPr>
    </w:p>
    <w:p w14:paraId="6808FDD5" w14:textId="77777777" w:rsidR="00CF33D9" w:rsidRDefault="00E3332A">
      <w:pPr>
        <w:jc w:val="both"/>
        <w:rPr>
          <w:rFonts w:ascii="Calibri" w:eastAsia="Calibri" w:hAnsi="Calibri" w:cs="Calibri"/>
          <w:iCs/>
          <w:sz w:val="20"/>
          <w:szCs w:val="20"/>
        </w:rPr>
      </w:pPr>
      <w:r>
        <w:rPr>
          <w:rFonts w:ascii="Calibri" w:eastAsia="Calibri" w:hAnsi="Calibri" w:cs="Calibri"/>
          <w:iCs/>
          <w:sz w:val="20"/>
          <w:szCs w:val="20"/>
        </w:rPr>
        <w:t xml:space="preserve">Following the aforementioned objectives, UNCTAD has assisted Angola to improve its capacity to undertake sustainable fishery and mariculture following the principles of Blue Economy. It is also assisting Angola in attracting sustainable investments to the Blue Economy. UNCTAD will provide support for the implementation of activities in Components 2 and 4 of the project, namely through </w:t>
      </w:r>
      <w:r>
        <w:rPr>
          <w:rFonts w:ascii="Calibri" w:hAnsi="Calibri" w:cs="Calibri"/>
          <w:sz w:val="20"/>
          <w:szCs w:val="20"/>
        </w:rPr>
        <w:t xml:space="preserve">rapid transfer of knowledge and of international best practices on fisheries and aquaculture sector development, value addition, and on meeting international standards to export fisheries products, in particular at demonstration sites in Angola and Namibia (Component 2), and by preparing robust Investment Policy Review (IPR) to analyse the current legal and regulatory frameworks impacting investments and business operations in the SBE sectors in all three participating countries (Component 4). </w:t>
      </w:r>
      <w:r>
        <w:rPr>
          <w:rFonts w:ascii="Calibri" w:eastAsia="Calibri" w:hAnsi="Calibri" w:cs="Calibri"/>
          <w:sz w:val="20"/>
          <w:szCs w:val="20"/>
        </w:rPr>
        <w:t>A detailed Terms of Reference for the work to be undertaken by UNCTAD will be developed based on the project work plan and will be elaborated during the inception phase of the project.</w:t>
      </w:r>
    </w:p>
    <w:p w14:paraId="6808FDD6" w14:textId="77777777" w:rsidR="00CF33D9" w:rsidRDefault="00CF33D9">
      <w:pPr>
        <w:jc w:val="both"/>
        <w:rPr>
          <w:rFonts w:ascii="Calibri" w:eastAsia="Calibri" w:hAnsi="Calibri" w:cs="Calibri"/>
          <w:iCs/>
          <w:sz w:val="20"/>
          <w:szCs w:val="20"/>
        </w:rPr>
      </w:pPr>
    </w:p>
    <w:p w14:paraId="6808FDD7" w14:textId="77777777" w:rsidR="00CF33D9" w:rsidRDefault="00E3332A">
      <w:pPr>
        <w:jc w:val="both"/>
        <w:rPr>
          <w:rFonts w:ascii="Calibri" w:hAnsi="Calibri" w:cs="Calibri"/>
          <w:sz w:val="20"/>
          <w:szCs w:val="20"/>
        </w:rPr>
      </w:pPr>
      <w:r>
        <w:rPr>
          <w:rFonts w:ascii="Calibri" w:eastAsia="Calibri" w:hAnsi="Calibri" w:cs="Calibri"/>
          <w:sz w:val="20"/>
          <w:szCs w:val="20"/>
          <w:u w:val="single"/>
        </w:rPr>
        <w:t>Project stakeholders and target groups</w:t>
      </w:r>
      <w:r>
        <w:rPr>
          <w:rFonts w:ascii="Calibri" w:eastAsia="Calibri" w:hAnsi="Calibri" w:cs="Calibri"/>
          <w:sz w:val="20"/>
          <w:szCs w:val="20"/>
        </w:rPr>
        <w:t xml:space="preserve">: The stakeholders come from a wide range of different sectors and levels of power, from the government ministries, industries, researchers, and to the interested coastal community members. Furthermore, these stakeholders are scattered throughout three different countries, adding another level of complexity to any plans for their involvement. </w:t>
      </w:r>
      <w:r>
        <w:rPr>
          <w:rFonts w:ascii="Calibri" w:hAnsi="Calibri" w:cs="Calibri"/>
          <w:color w:val="000000"/>
          <w:sz w:val="20"/>
          <w:szCs w:val="20"/>
        </w:rPr>
        <w:t>To meet best practice approaches throughout the implementation phase, the project will hold public consultations, which will be arranged throughout the project cycle in an open manner, free of external manipulation, interference, coercion, or intimidation. Information will be provided to and widely distributed among all stakeholders in an appropriate format; opportunities are provided for communicating stakeholder feedback, and for analysing and addressing comments and concerns. The participation process for the projects is inclusive. All stakeholders will be always encouraged to be involved in the consultation process. Equal access to information will be provided to all stakeholders. Sensitivity to stakeholders’ needs is the key principle underlying the selection of engagement methods. Special attention will also be given to local communities in the demonstration pilot sites and/or indigenous groups that may be at risk of being left out of project benefits, particularly women, youth and persons with disabilities. The project will be flexible in the means of communication platforms to engage stakeholders. Digital technologies will be used to convene virtual meetings, host webinars in addition to physical means.</w:t>
      </w:r>
    </w:p>
    <w:p w14:paraId="6808FDD8" w14:textId="77777777" w:rsidR="00CF33D9" w:rsidRDefault="00CF33D9">
      <w:pPr>
        <w:rPr>
          <w:rFonts w:ascii="Calibri" w:hAnsi="Calibri" w:cs="Calibri"/>
          <w:sz w:val="20"/>
          <w:szCs w:val="20"/>
        </w:rPr>
      </w:pPr>
    </w:p>
    <w:p w14:paraId="6808FDD9" w14:textId="77777777" w:rsidR="00CF33D9" w:rsidRDefault="00E3332A">
      <w:pPr>
        <w:jc w:val="both"/>
        <w:rPr>
          <w:rFonts w:ascii="Calibri" w:eastAsia="Calibri" w:hAnsi="Calibri" w:cs="Calibri"/>
          <w:sz w:val="20"/>
          <w:szCs w:val="20"/>
        </w:rPr>
      </w:pPr>
      <w:r>
        <w:rPr>
          <w:rFonts w:ascii="Calibri" w:eastAsia="Calibri" w:hAnsi="Calibri" w:cs="Calibri"/>
          <w:sz w:val="20"/>
          <w:szCs w:val="20"/>
          <w:u w:val="single"/>
        </w:rPr>
        <w:t>UNDP:</w:t>
      </w:r>
      <w:r>
        <w:rPr>
          <w:rFonts w:ascii="Calibri" w:eastAsia="Calibri" w:hAnsi="Calibri" w:cs="Calibri"/>
          <w:sz w:val="20"/>
          <w:szCs w:val="20"/>
        </w:rPr>
        <w:t xml:space="preserve"> UNDP is accountable to the GEF for the implementation of this project. This includes overseeing project execution undertaken by the Implementing Partner to ensure that the project is being carried out in accordance with UNDP and GEF policies and procedures and the standards and provisions outlined in the Delegation of Authority (DOA) letter for this project. </w:t>
      </w:r>
      <w:r>
        <w:rPr>
          <w:rFonts w:ascii="Calibri" w:eastAsia="Calibri" w:hAnsi="Calibri" w:cs="Calibri"/>
          <w:b/>
          <w:sz w:val="20"/>
          <w:szCs w:val="20"/>
        </w:rPr>
        <w:t>The UNDP GEF Executive Coordinator, in consultation with UNDP Bureaus and the Implementing Partner, retains the right to revoke the project DOA, suspend or cancel this GEF project.</w:t>
      </w:r>
      <w:r>
        <w:rPr>
          <w:rFonts w:ascii="Calibri" w:eastAsia="Calibri" w:hAnsi="Calibri" w:cs="Calibri"/>
          <w:sz w:val="20"/>
          <w:szCs w:val="20"/>
        </w:rPr>
        <w:t xml:space="preserve"> UNDP is responsible for the Project Assurance function in the project governance structure and presents to the PSC and attends PSC meetings as a non-voting member. </w:t>
      </w:r>
    </w:p>
    <w:p w14:paraId="6808FDDA" w14:textId="77777777" w:rsidR="00CF33D9" w:rsidRDefault="00CF33D9">
      <w:pPr>
        <w:jc w:val="both"/>
        <w:rPr>
          <w:rFonts w:ascii="Calibri" w:eastAsia="Calibri" w:hAnsi="Calibri" w:cs="Calibri"/>
          <w:i/>
          <w:sz w:val="20"/>
          <w:szCs w:val="20"/>
          <w:highlight w:val="yellow"/>
        </w:rPr>
      </w:pPr>
    </w:p>
    <w:p w14:paraId="6808FDDB" w14:textId="77777777" w:rsidR="00CF33D9" w:rsidRDefault="00E3332A">
      <w:pPr>
        <w:jc w:val="both"/>
        <w:rPr>
          <w:rFonts w:ascii="Calibri" w:eastAsia="Calibri" w:hAnsi="Calibri" w:cs="Calibri"/>
          <w:i/>
          <w:sz w:val="20"/>
          <w:szCs w:val="20"/>
        </w:rPr>
      </w:pPr>
      <w:r>
        <w:rPr>
          <w:rFonts w:ascii="Calibri" w:eastAsia="Calibri" w:hAnsi="Calibri" w:cs="Calibri"/>
          <w:sz w:val="20"/>
          <w:szCs w:val="20"/>
        </w:rPr>
        <w:t xml:space="preserve">A firewall will be maintained between the delivery of project oversight and quality assurance performed by UNDP and charged to the GEF Fee and any support to project execution performed by UNDP (as requested by and agreed to by both the Implementing Partner and GEF) and may be charged to the GEF project management costs (only if approved by GEF). The segregation of functions and firewall provisions for UNDP in this case is described in the next section. </w:t>
      </w:r>
    </w:p>
    <w:p w14:paraId="6808FDDC" w14:textId="77777777" w:rsidR="00CF33D9" w:rsidRDefault="00CF33D9">
      <w:pPr>
        <w:jc w:val="both"/>
        <w:rPr>
          <w:rFonts w:ascii="Calibri" w:eastAsia="Calibri" w:hAnsi="Calibri" w:cs="Calibri"/>
          <w:i/>
          <w:sz w:val="20"/>
          <w:szCs w:val="20"/>
          <w:highlight w:val="yellow"/>
        </w:rPr>
      </w:pPr>
    </w:p>
    <w:p w14:paraId="6808FDDD" w14:textId="77777777" w:rsidR="00CF33D9" w:rsidRDefault="00E3332A">
      <w:pPr>
        <w:jc w:val="both"/>
        <w:rPr>
          <w:rFonts w:ascii="Calibri" w:eastAsia="Calibri" w:hAnsi="Calibri" w:cs="Calibri"/>
          <w:b/>
          <w:sz w:val="20"/>
          <w:szCs w:val="20"/>
        </w:rPr>
      </w:pPr>
      <w:r>
        <w:rPr>
          <w:rFonts w:ascii="Calibri" w:eastAsia="Calibri" w:hAnsi="Calibri" w:cs="Calibri"/>
          <w:b/>
          <w:sz w:val="20"/>
          <w:szCs w:val="20"/>
        </w:rPr>
        <w:lastRenderedPageBreak/>
        <w:t xml:space="preserve">Section 2: Project governance structure </w:t>
      </w:r>
    </w:p>
    <w:p w14:paraId="6808FDDE" w14:textId="77777777" w:rsidR="00CF33D9" w:rsidRDefault="00E3332A">
      <w:pPr>
        <w:jc w:val="both"/>
        <w:rPr>
          <w:rFonts w:ascii="Calibri" w:eastAsia="Calibri" w:hAnsi="Calibri" w:cs="Calibri"/>
          <w:b/>
          <w:sz w:val="20"/>
          <w:szCs w:val="20"/>
        </w:rPr>
      </w:pPr>
      <w:r>
        <w:rPr>
          <w:rFonts w:ascii="Calibri" w:hAnsi="Calibri" w:cs="Calibri"/>
          <w:noProof/>
          <w:sz w:val="20"/>
          <w:szCs w:val="20"/>
        </w:rPr>
        <mc:AlternateContent>
          <mc:Choice Requires="wps">
            <w:drawing>
              <wp:anchor distT="0" distB="0" distL="114300" distR="114300" simplePos="0" relativeHeight="251824640" behindDoc="0" locked="0" layoutInCell="1" allowOverlap="1" wp14:anchorId="680922D5" wp14:editId="680922D6">
                <wp:simplePos x="0" y="0"/>
                <wp:positionH relativeFrom="column">
                  <wp:posOffset>3450590</wp:posOffset>
                </wp:positionH>
                <wp:positionV relativeFrom="paragraph">
                  <wp:posOffset>463550</wp:posOffset>
                </wp:positionV>
                <wp:extent cx="1413510" cy="1264920"/>
                <wp:effectExtent l="0" t="0" r="8890" b="17780"/>
                <wp:wrapNone/>
                <wp:docPr id="1096051663" name="Rectangle 3"/>
                <wp:cNvGraphicFramePr/>
                <a:graphic xmlns:a="http://schemas.openxmlformats.org/drawingml/2006/main">
                  <a:graphicData uri="http://schemas.microsoft.com/office/word/2010/wordprocessingShape">
                    <wps:wsp>
                      <wps:cNvSpPr/>
                      <wps:spPr>
                        <a:xfrm>
                          <a:off x="0" y="0"/>
                          <a:ext cx="1413510" cy="1264920"/>
                        </a:xfrm>
                        <a:prstGeom prst="rect">
                          <a:avLst/>
                        </a:prstGeom>
                        <a:solidFill>
                          <a:srgbClr val="FFC000"/>
                        </a:solidFill>
                      </wps:spPr>
                      <wps:style>
                        <a:lnRef idx="2">
                          <a:schemeClr val="accent1">
                            <a:shade val="15000"/>
                          </a:schemeClr>
                        </a:lnRef>
                        <a:fillRef idx="1">
                          <a:schemeClr val="accent1"/>
                        </a:fillRef>
                        <a:effectRef idx="0">
                          <a:schemeClr val="accent1"/>
                        </a:effectRef>
                        <a:fontRef idx="minor">
                          <a:schemeClr val="lt1"/>
                        </a:fontRef>
                      </wps:style>
                      <wps:txbx>
                        <w:txbxContent>
                          <w:p w14:paraId="680923E9" w14:textId="77777777" w:rsidR="00CF33D9" w:rsidRDefault="00E3332A">
                            <w:pPr>
                              <w:pStyle w:val="TableParagraph"/>
                              <w:ind w:left="9" w:right="6"/>
                              <w:contextualSpacing/>
                              <w:jc w:val="center"/>
                              <w:rPr>
                                <w:b/>
                                <w:color w:val="362A00"/>
                                <w:spacing w:val="-2"/>
                                <w:sz w:val="18"/>
                                <w:szCs w:val="18"/>
                              </w:rPr>
                            </w:pPr>
                            <w:r>
                              <w:rPr>
                                <w:b/>
                                <w:color w:val="362A00"/>
                                <w:spacing w:val="2"/>
                                <w:w w:val="85"/>
                                <w:sz w:val="18"/>
                                <w:szCs w:val="18"/>
                              </w:rPr>
                              <w:t>Benefic</w:t>
                            </w:r>
                            <w:r>
                              <w:rPr>
                                <w:b/>
                                <w:spacing w:val="2"/>
                                <w:w w:val="85"/>
                                <w:sz w:val="18"/>
                                <w:szCs w:val="18"/>
                              </w:rPr>
                              <w:t>i</w:t>
                            </w:r>
                            <w:r>
                              <w:rPr>
                                <w:b/>
                                <w:color w:val="231A00"/>
                                <w:spacing w:val="2"/>
                                <w:w w:val="85"/>
                                <w:sz w:val="18"/>
                                <w:szCs w:val="18"/>
                              </w:rPr>
                              <w:t>ary</w:t>
                            </w:r>
                            <w:r>
                              <w:rPr>
                                <w:b/>
                                <w:color w:val="231A00"/>
                                <w:spacing w:val="-11"/>
                                <w:w w:val="85"/>
                                <w:sz w:val="18"/>
                                <w:szCs w:val="18"/>
                              </w:rPr>
                              <w:t xml:space="preserve"> </w:t>
                            </w:r>
                            <w:r>
                              <w:rPr>
                                <w:b/>
                                <w:color w:val="362A00"/>
                                <w:spacing w:val="-2"/>
                                <w:sz w:val="18"/>
                                <w:szCs w:val="18"/>
                              </w:rPr>
                              <w:t>Representatives</w:t>
                            </w:r>
                          </w:p>
                          <w:p w14:paraId="680923EA" w14:textId="77777777" w:rsidR="00CF33D9" w:rsidRDefault="00E3332A">
                            <w:pPr>
                              <w:pStyle w:val="TableParagraph"/>
                              <w:ind w:left="6" w:right="11"/>
                              <w:contextualSpacing/>
                              <w:jc w:val="center"/>
                              <w:rPr>
                                <w:i/>
                                <w:color w:val="000000" w:themeColor="text1"/>
                                <w:w w:val="90"/>
                                <w:sz w:val="15"/>
                                <w:szCs w:val="15"/>
                              </w:rPr>
                            </w:pPr>
                            <w:r>
                              <w:rPr>
                                <w:i/>
                                <w:color w:val="000000" w:themeColor="text1"/>
                                <w:w w:val="90"/>
                                <w:sz w:val="15"/>
                                <w:szCs w:val="15"/>
                              </w:rPr>
                              <w:t>BCC Commissioners from Angola, Namibia and South Africa</w:t>
                            </w:r>
                          </w:p>
                          <w:p w14:paraId="680923EB" w14:textId="77777777" w:rsidR="00CF33D9" w:rsidRDefault="00E3332A">
                            <w:pPr>
                              <w:pStyle w:val="TableParagraph"/>
                              <w:ind w:left="6" w:right="11"/>
                              <w:contextualSpacing/>
                              <w:jc w:val="center"/>
                              <w:rPr>
                                <w:i/>
                                <w:color w:val="000000" w:themeColor="text1"/>
                                <w:w w:val="90"/>
                                <w:sz w:val="15"/>
                                <w:szCs w:val="15"/>
                              </w:rPr>
                            </w:pPr>
                            <w:r>
                              <w:rPr>
                                <w:i/>
                                <w:color w:val="000000" w:themeColor="text1"/>
                                <w:w w:val="90"/>
                                <w:sz w:val="15"/>
                                <w:szCs w:val="15"/>
                              </w:rPr>
                              <w:t>Ministries for environment, fisheries, economy in three countries</w:t>
                            </w:r>
                          </w:p>
                          <w:p w14:paraId="680923EC" w14:textId="77777777" w:rsidR="00CF33D9" w:rsidRDefault="00E3332A">
                            <w:pPr>
                              <w:pStyle w:val="TableParagraph"/>
                              <w:ind w:left="6" w:right="11"/>
                              <w:contextualSpacing/>
                              <w:jc w:val="center"/>
                              <w:rPr>
                                <w:i/>
                                <w:color w:val="000000" w:themeColor="text1"/>
                                <w:sz w:val="15"/>
                                <w:szCs w:val="15"/>
                              </w:rPr>
                            </w:pPr>
                            <w:r>
                              <w:rPr>
                                <w:i/>
                                <w:color w:val="000000" w:themeColor="text1"/>
                                <w:sz w:val="15"/>
                                <w:szCs w:val="15"/>
                              </w:rPr>
                              <w:t>Coastal communities</w:t>
                            </w:r>
                          </w:p>
                          <w:p w14:paraId="680923ED" w14:textId="77777777" w:rsidR="00CF33D9" w:rsidRDefault="00E3332A">
                            <w:pPr>
                              <w:pStyle w:val="TableParagraph"/>
                              <w:ind w:left="6" w:right="11"/>
                              <w:contextualSpacing/>
                              <w:jc w:val="center"/>
                              <w:rPr>
                                <w:i/>
                                <w:color w:val="000000" w:themeColor="text1"/>
                                <w:sz w:val="13"/>
                                <w:szCs w:val="13"/>
                              </w:rPr>
                            </w:pPr>
                            <w:r>
                              <w:rPr>
                                <w:i/>
                                <w:color w:val="000000" w:themeColor="text1"/>
                                <w:sz w:val="15"/>
                                <w:szCs w:val="15"/>
                              </w:rPr>
                              <w:t>Private sector representatives</w:t>
                            </w:r>
                          </w:p>
                          <w:p w14:paraId="680923EE" w14:textId="77777777" w:rsidR="00CF33D9" w:rsidRDefault="00CF33D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D5" id="Rectangle 3" o:spid="_x0000_s1086" style="position:absolute;left:0;text-align:left;margin-left:271.7pt;margin-top:36.5pt;width:111.3pt;height:99.6pt;z-index:251824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" fillcolor="#ffc000" strokecolor="#091723 [484]" strokeweight="1pt">
                <v:textbox>
                  <w:txbxContent>
                    <w:p w14:paraId="680923E9" w14:textId="77777777" w:rsidR="00CF33D9" w:rsidRDefault="00E3332A">
                      <w:pPr>
                        <w:pStyle w:val="TableParagraph"/>
                        <w:ind w:left="9" w:right="6"/>
                        <w:contextualSpacing/>
                        <w:jc w:val="center"/>
                        <w:rPr>
                          <w:b/>
                          <w:color w:val="362A00"/>
                          <w:spacing w:val="-2"/>
                          <w:sz w:val="18"/>
                          <w:szCs w:val="18"/>
                        </w:rPr>
                      </w:pPr>
                      <w:r>
                        <w:rPr>
                          <w:b/>
                          <w:color w:val="362A00"/>
                          <w:spacing w:val="2"/>
                          <w:w w:val="85"/>
                          <w:sz w:val="18"/>
                          <w:szCs w:val="18"/>
                        </w:rPr>
                        <w:t>Benefic</w:t>
                      </w:r>
                      <w:r>
                        <w:rPr>
                          <w:b/>
                          <w:spacing w:val="2"/>
                          <w:w w:val="85"/>
                          <w:sz w:val="18"/>
                          <w:szCs w:val="18"/>
                        </w:rPr>
                        <w:t>i</w:t>
                      </w:r>
                      <w:r>
                        <w:rPr>
                          <w:b/>
                          <w:color w:val="231A00"/>
                          <w:spacing w:val="2"/>
                          <w:w w:val="85"/>
                          <w:sz w:val="18"/>
                          <w:szCs w:val="18"/>
                        </w:rPr>
                        <w:t>ary</w:t>
                      </w:r>
                      <w:r>
                        <w:rPr>
                          <w:b/>
                          <w:color w:val="231A00"/>
                          <w:spacing w:val="-11"/>
                          <w:w w:val="85"/>
                          <w:sz w:val="18"/>
                          <w:szCs w:val="18"/>
                        </w:rPr>
                        <w:t xml:space="preserve"> </w:t>
                      </w:r>
                      <w:r>
                        <w:rPr>
                          <w:b/>
                          <w:color w:val="362A00"/>
                          <w:spacing w:val="-2"/>
                          <w:sz w:val="18"/>
                          <w:szCs w:val="18"/>
                        </w:rPr>
                        <w:t>Representatives</w:t>
                      </w:r>
                    </w:p>
                    <w:p w14:paraId="680923EA" w14:textId="77777777" w:rsidR="00CF33D9" w:rsidRDefault="00E3332A">
                      <w:pPr>
                        <w:pStyle w:val="TableParagraph"/>
                        <w:ind w:left="6" w:right="11"/>
                        <w:contextualSpacing/>
                        <w:jc w:val="center"/>
                        <w:rPr>
                          <w:i/>
                          <w:color w:val="000000" w:themeColor="text1"/>
                          <w:w w:val="90"/>
                          <w:sz w:val="15"/>
                          <w:szCs w:val="15"/>
                        </w:rPr>
                      </w:pPr>
                      <w:r>
                        <w:rPr>
                          <w:i/>
                          <w:color w:val="000000" w:themeColor="text1"/>
                          <w:w w:val="90"/>
                          <w:sz w:val="15"/>
                          <w:szCs w:val="15"/>
                        </w:rPr>
                        <w:t>BCC Commissioners from Angola, Namibia and South Africa</w:t>
                      </w:r>
                    </w:p>
                    <w:p w14:paraId="680923EB" w14:textId="77777777" w:rsidR="00CF33D9" w:rsidRDefault="00E3332A">
                      <w:pPr>
                        <w:pStyle w:val="TableParagraph"/>
                        <w:ind w:left="6" w:right="11"/>
                        <w:contextualSpacing/>
                        <w:jc w:val="center"/>
                        <w:rPr>
                          <w:i/>
                          <w:color w:val="000000" w:themeColor="text1"/>
                          <w:w w:val="90"/>
                          <w:sz w:val="15"/>
                          <w:szCs w:val="15"/>
                        </w:rPr>
                      </w:pPr>
                      <w:r>
                        <w:rPr>
                          <w:i/>
                          <w:color w:val="000000" w:themeColor="text1"/>
                          <w:w w:val="90"/>
                          <w:sz w:val="15"/>
                          <w:szCs w:val="15"/>
                        </w:rPr>
                        <w:t>Ministries for environment, fisheries, economy in three countries</w:t>
                      </w:r>
                    </w:p>
                    <w:p w14:paraId="680923EC" w14:textId="77777777" w:rsidR="00CF33D9" w:rsidRDefault="00E3332A">
                      <w:pPr>
                        <w:pStyle w:val="TableParagraph"/>
                        <w:ind w:left="6" w:right="11"/>
                        <w:contextualSpacing/>
                        <w:jc w:val="center"/>
                        <w:rPr>
                          <w:i/>
                          <w:color w:val="000000" w:themeColor="text1"/>
                          <w:sz w:val="15"/>
                          <w:szCs w:val="15"/>
                        </w:rPr>
                      </w:pPr>
                      <w:r>
                        <w:rPr>
                          <w:i/>
                          <w:color w:val="000000" w:themeColor="text1"/>
                          <w:sz w:val="15"/>
                          <w:szCs w:val="15"/>
                        </w:rPr>
                        <w:t>Coastal communities</w:t>
                      </w:r>
                    </w:p>
                    <w:p w14:paraId="680923ED" w14:textId="77777777" w:rsidR="00CF33D9" w:rsidRDefault="00E3332A">
                      <w:pPr>
                        <w:pStyle w:val="TableParagraph"/>
                        <w:ind w:left="6" w:right="11"/>
                        <w:contextualSpacing/>
                        <w:jc w:val="center"/>
                        <w:rPr>
                          <w:i/>
                          <w:color w:val="000000" w:themeColor="text1"/>
                          <w:sz w:val="13"/>
                          <w:szCs w:val="13"/>
                        </w:rPr>
                      </w:pPr>
                      <w:r>
                        <w:rPr>
                          <w:i/>
                          <w:color w:val="000000" w:themeColor="text1"/>
                          <w:sz w:val="15"/>
                          <w:szCs w:val="15"/>
                        </w:rPr>
                        <w:t>Private sector representatives</w:t>
                      </w:r>
                    </w:p>
                    <w:p w14:paraId="680923EE" w14:textId="77777777" w:rsidR="00CF33D9" w:rsidRDefault="00CF33D9">
                      <w:pPr>
                        <w:jc w:val="center"/>
                      </w:pPr>
                    </w:p>
                  </w:txbxContent>
                </v:textbox>
              </v:rect>
            </w:pict>
          </mc:Fallback>
        </mc:AlternateContent>
      </w:r>
      <w:r>
        <w:rPr>
          <w:rFonts w:ascii="Calibri" w:hAnsi="Calibri" w:cs="Calibri"/>
          <w:noProof/>
          <w:sz w:val="20"/>
          <w:szCs w:val="20"/>
        </w:rPr>
        <mc:AlternateContent>
          <mc:Choice Requires="wps">
            <w:drawing>
              <wp:anchor distT="0" distB="0" distL="114300" distR="114300" simplePos="0" relativeHeight="251821568" behindDoc="0" locked="0" layoutInCell="1" allowOverlap="1" wp14:anchorId="680922D7" wp14:editId="680922D8">
                <wp:simplePos x="0" y="0"/>
                <wp:positionH relativeFrom="column">
                  <wp:posOffset>987425</wp:posOffset>
                </wp:positionH>
                <wp:positionV relativeFrom="paragraph">
                  <wp:posOffset>144780</wp:posOffset>
                </wp:positionV>
                <wp:extent cx="3877945" cy="321945"/>
                <wp:effectExtent l="0" t="0" r="8255" b="8255"/>
                <wp:wrapNone/>
                <wp:docPr id="1723203824" name="Rectangle 1"/>
                <wp:cNvGraphicFramePr/>
                <a:graphic xmlns:a="http://schemas.openxmlformats.org/drawingml/2006/main">
                  <a:graphicData uri="http://schemas.microsoft.com/office/word/2010/wordprocessingShape">
                    <wps:wsp>
                      <wps:cNvSpPr/>
                      <wps:spPr>
                        <a:xfrm>
                          <a:off x="0" y="0"/>
                          <a:ext cx="3877945" cy="321945"/>
                        </a:xfrm>
                        <a:prstGeom prst="rect">
                          <a:avLst/>
                        </a:prstGeom>
                        <a:solidFill>
                          <a:schemeClr val="accent6">
                            <a:lumMod val="75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0923EF" w14:textId="77777777" w:rsidR="00CF33D9" w:rsidRDefault="00E3332A">
                            <w:pPr>
                              <w:jc w:val="center"/>
                              <w:rPr>
                                <w:rFonts w:ascii="Calibri" w:hAnsi="Calibri" w:cs="Calibri"/>
                                <w:b/>
                                <w:bCs/>
                                <w:color w:val="000000" w:themeColor="text1"/>
                                <w:sz w:val="22"/>
                                <w:szCs w:val="22"/>
                              </w:rPr>
                            </w:pPr>
                            <w:r>
                              <w:rPr>
                                <w:rFonts w:ascii="Calibri" w:hAnsi="Calibri" w:cs="Calibri"/>
                                <w:b/>
                                <w:bCs/>
                                <w:color w:val="000000" w:themeColor="text1"/>
                                <w:sz w:val="22"/>
                                <w:szCs w:val="22"/>
                              </w:rPr>
                              <w:t>Project Steering Committee</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D7" id="Rectangle 1" o:spid="_x0000_s1087" style="position:absolute;left:0;text-align:left;margin-left:77.75pt;margin-top:11.4pt;width:305.35pt;height:25.35pt;z-index:251821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" fillcolor="#538135 [2409]" strokecolor="black [3213]" strokeweight="1pt">
                <v:textbox>
                  <w:txbxContent>
                    <w:p w14:paraId="680923EF" w14:textId="77777777" w:rsidR="00CF33D9" w:rsidRDefault="00E3332A">
                      <w:pPr>
                        <w:jc w:val="center"/>
                        <w:rPr>
                          <w:rFonts w:ascii="Calibri" w:hAnsi="Calibri" w:cs="Calibri"/>
                          <w:b/>
                          <w:bCs/>
                          <w:color w:val="000000" w:themeColor="text1"/>
                          <w:sz w:val="22"/>
                          <w:szCs w:val="22"/>
                        </w:rPr>
                      </w:pPr>
                      <w:r>
                        <w:rPr>
                          <w:rFonts w:ascii="Calibri" w:hAnsi="Calibri" w:cs="Calibri"/>
                          <w:b/>
                          <w:bCs/>
                          <w:color w:val="000000" w:themeColor="text1"/>
                          <w:sz w:val="22"/>
                          <w:szCs w:val="22"/>
                        </w:rPr>
                        <w:t>Project Steering Committee</w:t>
                      </w:r>
                    </w:p>
                  </w:txbxContent>
                </v:textbox>
              </v:rect>
            </w:pict>
          </mc:Fallback>
        </mc:AlternateContent>
      </w:r>
      <w:r>
        <w:rPr>
          <w:rFonts w:ascii="Calibri" w:hAnsi="Calibri" w:cs="Calibri"/>
          <w:noProof/>
          <w:sz w:val="20"/>
          <w:szCs w:val="20"/>
        </w:rPr>
        <mc:AlternateContent>
          <mc:Choice Requires="wps">
            <w:drawing>
              <wp:anchor distT="0" distB="0" distL="114300" distR="114300" simplePos="0" relativeHeight="251830784" behindDoc="0" locked="0" layoutInCell="1" allowOverlap="1" wp14:anchorId="680922D9" wp14:editId="680922DA">
                <wp:simplePos x="0" y="0"/>
                <wp:positionH relativeFrom="column">
                  <wp:posOffset>2179320</wp:posOffset>
                </wp:positionH>
                <wp:positionV relativeFrom="paragraph">
                  <wp:posOffset>463550</wp:posOffset>
                </wp:positionV>
                <wp:extent cx="1263650" cy="1264920"/>
                <wp:effectExtent l="0" t="0" r="19050" b="17780"/>
                <wp:wrapNone/>
                <wp:docPr id="248083447" name="Rectangle 3"/>
                <wp:cNvGraphicFramePr/>
                <a:graphic xmlns:a="http://schemas.openxmlformats.org/drawingml/2006/main">
                  <a:graphicData uri="http://schemas.microsoft.com/office/word/2010/wordprocessingShape">
                    <wps:wsp>
                      <wps:cNvSpPr/>
                      <wps:spPr>
                        <a:xfrm>
                          <a:off x="0" y="0"/>
                          <a:ext cx="1263650" cy="1264920"/>
                        </a:xfrm>
                        <a:prstGeom prst="rect">
                          <a:avLst/>
                        </a:prstGeom>
                        <a:solidFill>
                          <a:srgbClr val="FFC000"/>
                        </a:solidFill>
                      </wps:spPr>
                      <wps:style>
                        <a:lnRef idx="2">
                          <a:schemeClr val="accent1">
                            <a:shade val="15000"/>
                          </a:schemeClr>
                        </a:lnRef>
                        <a:fillRef idx="1">
                          <a:schemeClr val="accent1"/>
                        </a:fillRef>
                        <a:effectRef idx="0">
                          <a:schemeClr val="accent1"/>
                        </a:effectRef>
                        <a:fontRef idx="minor">
                          <a:schemeClr val="lt1"/>
                        </a:fontRef>
                      </wps:style>
                      <wps:txbx>
                        <w:txbxContent>
                          <w:p w14:paraId="680923F0" w14:textId="77777777" w:rsidR="00CF33D9" w:rsidRDefault="00E3332A">
                            <w:pPr>
                              <w:pStyle w:val="TableParagraph"/>
                              <w:ind w:right="147"/>
                              <w:contextualSpacing/>
                              <w:jc w:val="center"/>
                              <w:rPr>
                                <w:b/>
                                <w:color w:val="362A00"/>
                                <w:spacing w:val="40"/>
                                <w:sz w:val="18"/>
                                <w:szCs w:val="18"/>
                              </w:rPr>
                            </w:pPr>
                            <w:r>
                              <w:rPr>
                                <w:b/>
                                <w:color w:val="362A00"/>
                                <w:sz w:val="18"/>
                                <w:szCs w:val="18"/>
                              </w:rPr>
                              <w:t>Project</w:t>
                            </w:r>
                            <w:r>
                              <w:rPr>
                                <w:b/>
                                <w:color w:val="362A00"/>
                                <w:spacing w:val="-14"/>
                                <w:sz w:val="18"/>
                                <w:szCs w:val="18"/>
                              </w:rPr>
                              <w:t xml:space="preserve"> </w:t>
                            </w:r>
                            <w:r>
                              <w:rPr>
                                <w:b/>
                                <w:color w:val="362A00"/>
                                <w:sz w:val="18"/>
                                <w:szCs w:val="18"/>
                              </w:rPr>
                              <w:t>Executive</w:t>
                            </w:r>
                          </w:p>
                          <w:p w14:paraId="680923F1" w14:textId="77777777" w:rsidR="00CF33D9" w:rsidRDefault="00CF33D9">
                            <w:pPr>
                              <w:pStyle w:val="TableParagraph"/>
                              <w:ind w:left="113" w:right="147" w:firstLine="13"/>
                              <w:contextualSpacing/>
                              <w:rPr>
                                <w:rFonts w:asciiTheme="minorHAnsi" w:hAnsiTheme="minorHAnsi" w:cstheme="minorHAnsi"/>
                                <w:b/>
                                <w:color w:val="362A00"/>
                                <w:spacing w:val="40"/>
                                <w:sz w:val="13"/>
                              </w:rPr>
                            </w:pPr>
                          </w:p>
                          <w:p w14:paraId="680923F2" w14:textId="77777777" w:rsidR="00CF33D9" w:rsidRDefault="00E3332A">
                            <w:pPr>
                              <w:contextualSpacing/>
                              <w:jc w:val="center"/>
                              <w:rPr>
                                <w:rFonts w:ascii="Calibri" w:hAnsi="Calibri" w:cs="Calibri"/>
                                <w:sz w:val="16"/>
                                <w:szCs w:val="16"/>
                              </w:rPr>
                            </w:pPr>
                            <w:r>
                              <w:rPr>
                                <w:rFonts w:ascii="Calibri" w:hAnsi="Calibri" w:cs="Calibri"/>
                                <w:i/>
                                <w:color w:val="362A00"/>
                                <w:sz w:val="16"/>
                                <w:szCs w:val="16"/>
                              </w:rPr>
                              <w:t>Chairs of the Benguela Current Commission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D9" id="_x0000_s1088" style="position:absolute;left:0;text-align:left;margin-left:171.6pt;margin-top:36.5pt;width:99.5pt;height:99.6pt;z-index:251830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" fillcolor="#ffc000" strokecolor="#091723 [484]" strokeweight="1pt">
                <v:textbox>
                  <w:txbxContent>
                    <w:p w14:paraId="680923F0" w14:textId="77777777" w:rsidR="00CF33D9" w:rsidRDefault="00E3332A">
                      <w:pPr>
                        <w:pStyle w:val="TableParagraph"/>
                        <w:ind w:right="147"/>
                        <w:contextualSpacing/>
                        <w:jc w:val="center"/>
                        <w:rPr>
                          <w:b/>
                          <w:color w:val="362A00"/>
                          <w:spacing w:val="40"/>
                          <w:sz w:val="18"/>
                          <w:szCs w:val="18"/>
                        </w:rPr>
                      </w:pPr>
                      <w:r>
                        <w:rPr>
                          <w:b/>
                          <w:color w:val="362A00"/>
                          <w:sz w:val="18"/>
                          <w:szCs w:val="18"/>
                        </w:rPr>
                        <w:t>Project</w:t>
                      </w:r>
                      <w:r>
                        <w:rPr>
                          <w:b/>
                          <w:color w:val="362A00"/>
                          <w:spacing w:val="-14"/>
                          <w:sz w:val="18"/>
                          <w:szCs w:val="18"/>
                        </w:rPr>
                        <w:t xml:space="preserve"> </w:t>
                      </w:r>
                      <w:r>
                        <w:rPr>
                          <w:b/>
                          <w:color w:val="362A00"/>
                          <w:sz w:val="18"/>
                          <w:szCs w:val="18"/>
                        </w:rPr>
                        <w:t>Executive</w:t>
                      </w:r>
                    </w:p>
                    <w:p w14:paraId="680923F1" w14:textId="77777777" w:rsidR="00CF33D9" w:rsidRDefault="00CF33D9">
                      <w:pPr>
                        <w:pStyle w:val="TableParagraph"/>
                        <w:ind w:left="113" w:right="147" w:firstLine="13"/>
                        <w:contextualSpacing/>
                        <w:rPr>
                          <w:rFonts w:asciiTheme="minorHAnsi" w:hAnsiTheme="minorHAnsi" w:cstheme="minorHAnsi"/>
                          <w:b/>
                          <w:color w:val="362A00"/>
                          <w:spacing w:val="40"/>
                          <w:sz w:val="13"/>
                        </w:rPr>
                      </w:pPr>
                    </w:p>
                    <w:p w14:paraId="680923F2" w14:textId="77777777" w:rsidR="00CF33D9" w:rsidRDefault="00E3332A">
                      <w:pPr>
                        <w:contextualSpacing/>
                        <w:jc w:val="center"/>
                        <w:rPr>
                          <w:rFonts w:ascii="Calibri" w:hAnsi="Calibri" w:cs="Calibri"/>
                          <w:sz w:val="16"/>
                          <w:szCs w:val="16"/>
                        </w:rPr>
                      </w:pPr>
                      <w:r>
                        <w:rPr>
                          <w:rFonts w:ascii="Calibri" w:hAnsi="Calibri" w:cs="Calibri"/>
                          <w:i/>
                          <w:color w:val="362A00"/>
                          <w:sz w:val="16"/>
                          <w:szCs w:val="16"/>
                        </w:rPr>
                        <w:t>Chairs of the Benguela Current Commission</w:t>
                      </w:r>
                    </w:p>
                  </w:txbxContent>
                </v:textbox>
              </v:rect>
            </w:pict>
          </mc:Fallback>
        </mc:AlternateContent>
      </w:r>
      <w:r>
        <w:rPr>
          <w:rFonts w:ascii="Calibri" w:hAnsi="Calibri" w:cs="Calibri"/>
          <w:noProof/>
          <w:sz w:val="20"/>
          <w:szCs w:val="20"/>
        </w:rPr>
        <mc:AlternateContent>
          <mc:Choice Requires="wps">
            <w:drawing>
              <wp:anchor distT="0" distB="0" distL="114300" distR="114300" simplePos="0" relativeHeight="251827712" behindDoc="0" locked="0" layoutInCell="1" allowOverlap="1" wp14:anchorId="680922DB" wp14:editId="680922DC">
                <wp:simplePos x="0" y="0"/>
                <wp:positionH relativeFrom="column">
                  <wp:posOffset>987425</wp:posOffset>
                </wp:positionH>
                <wp:positionV relativeFrom="paragraph">
                  <wp:posOffset>463550</wp:posOffset>
                </wp:positionV>
                <wp:extent cx="1191260" cy="1264920"/>
                <wp:effectExtent l="0" t="0" r="15240" b="17780"/>
                <wp:wrapNone/>
                <wp:docPr id="1739630635" name="Rectangle 3"/>
                <wp:cNvGraphicFramePr/>
                <a:graphic xmlns:a="http://schemas.openxmlformats.org/drawingml/2006/main">
                  <a:graphicData uri="http://schemas.microsoft.com/office/word/2010/wordprocessingShape">
                    <wps:wsp>
                      <wps:cNvSpPr/>
                      <wps:spPr>
                        <a:xfrm>
                          <a:off x="0" y="0"/>
                          <a:ext cx="1191260" cy="1264920"/>
                        </a:xfrm>
                        <a:prstGeom prst="rect">
                          <a:avLst/>
                        </a:prstGeom>
                        <a:solidFill>
                          <a:srgbClr val="FFC000"/>
                        </a:solidFill>
                      </wps:spPr>
                      <wps:style>
                        <a:lnRef idx="2">
                          <a:schemeClr val="accent1">
                            <a:shade val="15000"/>
                          </a:schemeClr>
                        </a:lnRef>
                        <a:fillRef idx="1">
                          <a:schemeClr val="accent1"/>
                        </a:fillRef>
                        <a:effectRef idx="0">
                          <a:schemeClr val="accent1"/>
                        </a:effectRef>
                        <a:fontRef idx="minor">
                          <a:schemeClr val="lt1"/>
                        </a:fontRef>
                      </wps:style>
                      <wps:txbx>
                        <w:txbxContent>
                          <w:p w14:paraId="680923F3" w14:textId="77777777" w:rsidR="00CF33D9" w:rsidRDefault="00E3332A">
                            <w:pPr>
                              <w:pStyle w:val="TableParagraph"/>
                              <w:ind w:left="96" w:right="63"/>
                              <w:contextualSpacing/>
                              <w:jc w:val="center"/>
                              <w:rPr>
                                <w:b/>
                                <w:color w:val="362A00"/>
                                <w:spacing w:val="-10"/>
                                <w:sz w:val="18"/>
                                <w:szCs w:val="18"/>
                              </w:rPr>
                            </w:pPr>
                            <w:r>
                              <w:rPr>
                                <w:b/>
                                <w:color w:val="362A00"/>
                                <w:spacing w:val="-2"/>
                                <w:sz w:val="18"/>
                                <w:szCs w:val="18"/>
                              </w:rPr>
                              <w:t>Developm</w:t>
                            </w:r>
                            <w:r>
                              <w:rPr>
                                <w:b/>
                                <w:color w:val="110F0C"/>
                                <w:spacing w:val="-2"/>
                                <w:sz w:val="18"/>
                                <w:szCs w:val="18"/>
                              </w:rPr>
                              <w:t>e</w:t>
                            </w:r>
                            <w:r>
                              <w:rPr>
                                <w:b/>
                                <w:color w:val="362A00"/>
                                <w:spacing w:val="-2"/>
                                <w:sz w:val="18"/>
                                <w:szCs w:val="18"/>
                              </w:rPr>
                              <w:t>nt</w:t>
                            </w:r>
                            <w:r>
                              <w:rPr>
                                <w:b/>
                                <w:color w:val="362A00"/>
                                <w:spacing w:val="-17"/>
                                <w:sz w:val="18"/>
                                <w:szCs w:val="18"/>
                              </w:rPr>
                              <w:t xml:space="preserve"> </w:t>
                            </w:r>
                            <w:r>
                              <w:rPr>
                                <w:b/>
                                <w:color w:val="362A00"/>
                                <w:spacing w:val="-2"/>
                                <w:sz w:val="18"/>
                                <w:szCs w:val="18"/>
                              </w:rPr>
                              <w:t>Partner</w:t>
                            </w:r>
                          </w:p>
                          <w:p w14:paraId="680923F4" w14:textId="77777777" w:rsidR="00CF33D9" w:rsidRDefault="00CF33D9">
                            <w:pPr>
                              <w:pStyle w:val="TableParagraph"/>
                              <w:ind w:left="96" w:right="63"/>
                              <w:contextualSpacing/>
                              <w:rPr>
                                <w:b/>
                                <w:color w:val="362A00"/>
                                <w:spacing w:val="-10"/>
                                <w:sz w:val="13"/>
                              </w:rPr>
                            </w:pPr>
                          </w:p>
                          <w:p w14:paraId="156B507A" w14:textId="77777777" w:rsidR="004651EB" w:rsidRDefault="004651EB" w:rsidP="004651EB">
                            <w:pPr>
                              <w:contextualSpacing/>
                              <w:jc w:val="center"/>
                              <w:rPr>
                                <w:rFonts w:ascii="Calibri" w:hAnsi="Calibri" w:cs="Calibri"/>
                                <w:sz w:val="16"/>
                                <w:szCs w:val="16"/>
                              </w:rPr>
                            </w:pPr>
                            <w:r>
                              <w:rPr>
                                <w:rFonts w:ascii="Calibri" w:hAnsi="Calibri" w:cs="Calibri"/>
                                <w:i/>
                                <w:iCs/>
                                <w:color w:val="000000" w:themeColor="text1"/>
                                <w:spacing w:val="-2"/>
                                <w:sz w:val="16"/>
                                <w:szCs w:val="16"/>
                              </w:rPr>
                              <w:t>UNDP Resident Representative</w:t>
                            </w:r>
                            <w:r>
                              <w:rPr>
                                <w:rFonts w:ascii="Calibri" w:hAnsi="Calibri" w:cs="Calibri"/>
                                <w:i/>
                                <w:iCs/>
                                <w:color w:val="FF1805"/>
                                <w:spacing w:val="-23"/>
                                <w:sz w:val="16"/>
                                <w:szCs w:val="16"/>
                              </w:rPr>
                              <w:t xml:space="preserve">  </w:t>
                            </w:r>
                          </w:p>
                          <w:p w14:paraId="680923F6" w14:textId="77777777" w:rsidR="00CF33D9" w:rsidRDefault="00CF33D9" w:rsidP="00D41F06"/>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DB" id="_x0000_s1089" style="position:absolute;left:0;text-align:left;margin-left:77.75pt;margin-top:36.5pt;width:93.8pt;height:99.6pt;z-index:2518277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" fillcolor="#ffc000" strokecolor="#091723 [484]" strokeweight="1pt">
                <v:textbox>
                  <w:txbxContent>
                    <w:p w14:paraId="680923F3" w14:textId="77777777" w:rsidR="00CF33D9" w:rsidRDefault="00E3332A">
                      <w:pPr>
                        <w:pStyle w:val="TableParagraph"/>
                        <w:ind w:left="96" w:right="63"/>
                        <w:contextualSpacing/>
                        <w:jc w:val="center"/>
                        <w:rPr>
                          <w:b/>
                          <w:color w:val="362A00"/>
                          <w:spacing w:val="-10"/>
                          <w:sz w:val="18"/>
                          <w:szCs w:val="18"/>
                        </w:rPr>
                      </w:pPr>
                      <w:r>
                        <w:rPr>
                          <w:b/>
                          <w:color w:val="362A00"/>
                          <w:spacing w:val="-2"/>
                          <w:sz w:val="18"/>
                          <w:szCs w:val="18"/>
                        </w:rPr>
                        <w:t>Developm</w:t>
                      </w:r>
                      <w:r>
                        <w:rPr>
                          <w:b/>
                          <w:color w:val="110F0C"/>
                          <w:spacing w:val="-2"/>
                          <w:sz w:val="18"/>
                          <w:szCs w:val="18"/>
                        </w:rPr>
                        <w:t>e</w:t>
                      </w:r>
                      <w:r>
                        <w:rPr>
                          <w:b/>
                          <w:color w:val="362A00"/>
                          <w:spacing w:val="-2"/>
                          <w:sz w:val="18"/>
                          <w:szCs w:val="18"/>
                        </w:rPr>
                        <w:t>nt</w:t>
                      </w:r>
                      <w:r>
                        <w:rPr>
                          <w:b/>
                          <w:color w:val="362A00"/>
                          <w:spacing w:val="-17"/>
                          <w:sz w:val="18"/>
                          <w:szCs w:val="18"/>
                        </w:rPr>
                        <w:t xml:space="preserve"> </w:t>
                      </w:r>
                      <w:r>
                        <w:rPr>
                          <w:b/>
                          <w:color w:val="362A00"/>
                          <w:spacing w:val="-2"/>
                          <w:sz w:val="18"/>
                          <w:szCs w:val="18"/>
                        </w:rPr>
                        <w:t>Partner</w:t>
                      </w:r>
                    </w:p>
                    <w:p w14:paraId="680923F4" w14:textId="77777777" w:rsidR="00CF33D9" w:rsidRDefault="00CF33D9">
                      <w:pPr>
                        <w:pStyle w:val="TableParagraph"/>
                        <w:ind w:left="96" w:right="63"/>
                        <w:contextualSpacing/>
                        <w:rPr>
                          <w:b/>
                          <w:color w:val="362A00"/>
                          <w:spacing w:val="-10"/>
                          <w:sz w:val="13"/>
                        </w:rPr>
                      </w:pPr>
                    </w:p>
                    <w:p w14:paraId="156B507A" w14:textId="77777777" w:rsidR="004651EB" w:rsidRDefault="004651EB" w:rsidP="004651EB">
                      <w:pPr>
                        <w:contextualSpacing/>
                        <w:jc w:val="center"/>
                        <w:rPr>
                          <w:rFonts w:ascii="Calibri" w:hAnsi="Calibri" w:cs="Calibri"/>
                          <w:sz w:val="16"/>
                          <w:szCs w:val="16"/>
                        </w:rPr>
                      </w:pPr>
                      <w:r>
                        <w:rPr>
                          <w:rFonts w:ascii="Calibri" w:hAnsi="Calibri" w:cs="Calibri"/>
                          <w:i/>
                          <w:iCs/>
                          <w:color w:val="000000" w:themeColor="text1"/>
                          <w:spacing w:val="-2"/>
                          <w:sz w:val="16"/>
                          <w:szCs w:val="16"/>
                        </w:rPr>
                        <w:t>UNDP Resident Representative</w:t>
                      </w:r>
                      <w:r>
                        <w:rPr>
                          <w:rFonts w:ascii="Calibri" w:hAnsi="Calibri" w:cs="Calibri"/>
                          <w:i/>
                          <w:iCs/>
                          <w:color w:val="FF1805"/>
                          <w:spacing w:val="-23"/>
                          <w:sz w:val="16"/>
                          <w:szCs w:val="16"/>
                        </w:rPr>
                        <w:t xml:space="preserve">  </w:t>
                      </w:r>
                    </w:p>
                    <w:p w14:paraId="680923F6" w14:textId="77777777" w:rsidR="00CF33D9" w:rsidRDefault="00CF33D9" w:rsidP="00D41F06"/>
                  </w:txbxContent>
                </v:textbox>
              </v:rect>
            </w:pict>
          </mc:Fallback>
        </mc:AlternateContent>
      </w:r>
    </w:p>
    <w:p w14:paraId="6808FDDF" w14:textId="77777777" w:rsidR="00CF33D9" w:rsidRDefault="00CF33D9">
      <w:pPr>
        <w:jc w:val="center"/>
        <w:rPr>
          <w:rFonts w:ascii="Calibri" w:eastAsia="Calibri" w:hAnsi="Calibri" w:cs="Calibri"/>
          <w:b/>
          <w:sz w:val="20"/>
          <w:szCs w:val="20"/>
        </w:rPr>
      </w:pPr>
    </w:p>
    <w:p w14:paraId="6808FDE0" w14:textId="77777777" w:rsidR="00CF33D9" w:rsidRDefault="00E3332A">
      <w:pPr>
        <w:jc w:val="center"/>
        <w:rPr>
          <w:rFonts w:ascii="Calibri" w:eastAsia="Calibri" w:hAnsi="Calibri" w:cs="Calibri"/>
          <w:b/>
          <w:sz w:val="20"/>
          <w:szCs w:val="20"/>
        </w:rPr>
      </w:pPr>
      <w:r>
        <w:rPr>
          <w:rFonts w:ascii="Calibri" w:hAnsi="Calibri" w:cs="Calibri"/>
          <w:sz w:val="20"/>
          <w:szCs w:val="20"/>
        </w:rPr>
        <w:t xml:space="preserve"> </w:t>
      </w:r>
    </w:p>
    <w:p w14:paraId="6808FDE1" w14:textId="77777777" w:rsidR="00CF33D9" w:rsidRDefault="00E3332A">
      <w:pPr>
        <w:jc w:val="center"/>
        <w:rPr>
          <w:rFonts w:ascii="Calibri" w:eastAsia="Calibri" w:hAnsi="Calibri" w:cs="Calibri"/>
          <w:bCs/>
          <w:sz w:val="20"/>
          <w:szCs w:val="20"/>
        </w:rPr>
      </w:pPr>
      <w:r>
        <w:rPr>
          <w:rFonts w:ascii="Calibri" w:eastAsia="Calibri" w:hAnsi="Calibri" w:cs="Calibri"/>
          <w:bCs/>
          <w:sz w:val="20"/>
          <w:szCs w:val="20"/>
        </w:rPr>
        <w:t>Figure 9: Project organisation structure</w:t>
      </w:r>
    </w:p>
    <w:p w14:paraId="6808FDE2" w14:textId="77777777" w:rsidR="00CF33D9" w:rsidRDefault="00CF33D9">
      <w:pPr>
        <w:spacing w:after="60"/>
        <w:jc w:val="both"/>
        <w:rPr>
          <w:rFonts w:ascii="Calibri" w:eastAsia="Calibri" w:hAnsi="Calibri" w:cs="Calibri"/>
          <w:sz w:val="20"/>
          <w:szCs w:val="20"/>
        </w:rPr>
      </w:pPr>
    </w:p>
    <w:p w14:paraId="6808FDE3" w14:textId="77777777" w:rsidR="00CF33D9" w:rsidRDefault="00CF33D9">
      <w:pPr>
        <w:spacing w:after="60"/>
        <w:jc w:val="both"/>
        <w:rPr>
          <w:rFonts w:ascii="Calibri" w:eastAsia="Calibri" w:hAnsi="Calibri" w:cs="Calibri"/>
          <w:sz w:val="20"/>
          <w:szCs w:val="20"/>
        </w:rPr>
      </w:pPr>
    </w:p>
    <w:p w14:paraId="6808FDE4" w14:textId="77777777" w:rsidR="00CF33D9" w:rsidRDefault="00CF33D9">
      <w:pPr>
        <w:spacing w:after="60"/>
        <w:jc w:val="both"/>
        <w:rPr>
          <w:rFonts w:ascii="Calibri" w:eastAsia="Calibri" w:hAnsi="Calibri" w:cs="Calibri"/>
          <w:sz w:val="20"/>
          <w:szCs w:val="20"/>
        </w:rPr>
      </w:pPr>
    </w:p>
    <w:p w14:paraId="6808FDE5" w14:textId="77777777" w:rsidR="00CF33D9" w:rsidRDefault="00CF33D9">
      <w:pPr>
        <w:spacing w:after="60"/>
        <w:jc w:val="both"/>
        <w:rPr>
          <w:rFonts w:ascii="Calibri" w:eastAsia="Calibri" w:hAnsi="Calibri" w:cs="Calibri"/>
          <w:sz w:val="20"/>
          <w:szCs w:val="20"/>
        </w:rPr>
      </w:pPr>
    </w:p>
    <w:p w14:paraId="6808FDE6" w14:textId="77777777" w:rsidR="00CF33D9" w:rsidRDefault="00CF33D9">
      <w:pPr>
        <w:spacing w:after="60"/>
        <w:jc w:val="both"/>
        <w:rPr>
          <w:rFonts w:ascii="Calibri" w:eastAsia="Calibri" w:hAnsi="Calibri" w:cs="Calibri"/>
          <w:sz w:val="20"/>
          <w:szCs w:val="20"/>
        </w:rPr>
      </w:pPr>
    </w:p>
    <w:p w14:paraId="6808FDE7" w14:textId="77777777" w:rsidR="00CF33D9" w:rsidRDefault="00E3332A">
      <w:pPr>
        <w:spacing w:after="60"/>
        <w:jc w:val="both"/>
        <w:rPr>
          <w:rFonts w:ascii="Calibri" w:eastAsia="Calibri" w:hAnsi="Calibri" w:cs="Calibri"/>
          <w:sz w:val="20"/>
          <w:szCs w:val="20"/>
        </w:rPr>
      </w:pPr>
      <w:r>
        <w:rPr>
          <w:rFonts w:ascii="Calibri" w:hAnsi="Calibri" w:cs="Calibri"/>
          <w:noProof/>
          <w:sz w:val="20"/>
          <w:szCs w:val="20"/>
        </w:rPr>
        <mc:AlternateContent>
          <mc:Choice Requires="wps">
            <w:drawing>
              <wp:anchor distT="0" distB="0" distL="114300" distR="114300" simplePos="0" relativeHeight="251809280" behindDoc="0" locked="0" layoutInCell="1" allowOverlap="1" wp14:anchorId="680922DD" wp14:editId="680922DE">
                <wp:simplePos x="0" y="0"/>
                <wp:positionH relativeFrom="column">
                  <wp:posOffset>2930525</wp:posOffset>
                </wp:positionH>
                <wp:positionV relativeFrom="paragraph">
                  <wp:posOffset>144780</wp:posOffset>
                </wp:positionV>
                <wp:extent cx="0" cy="631825"/>
                <wp:effectExtent l="0" t="0" r="12700" b="15875"/>
                <wp:wrapNone/>
                <wp:docPr id="954190581" name="Straight Connector 2"/>
                <wp:cNvGraphicFramePr/>
                <a:graphic xmlns:a="http://schemas.openxmlformats.org/drawingml/2006/main">
                  <a:graphicData uri="http://schemas.microsoft.com/office/word/2010/wordprocessingShape">
                    <wps:wsp>
                      <wps:cNvCnPr/>
                      <wps:spPr>
                        <a:xfrm>
                          <a:off x="0" y="0"/>
                          <a:ext cx="0" cy="6318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C90FB08" id="Straight Connector 2" o:spid="_x0000_s1026" style="position:absolute;z-index:251809280;visibility:visible;mso-wrap-style:square;mso-wrap-distance-left:9pt;mso-wrap-distance-top:0;mso-wrap-distance-right:9pt;mso-wrap-distance-bottom:0;mso-position-horizontal:absolute;mso-position-horizontal-relative:text;mso-position-vertical:absolute;mso-position-vertical-relative:text" from="230.75pt,11.4pt" to="230.75pt,6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" strokecolor="black [3213]" strokeweight=".5pt">
                <v:stroke joinstyle="miter"/>
              </v:line>
            </w:pict>
          </mc:Fallback>
        </mc:AlternateContent>
      </w:r>
    </w:p>
    <w:p w14:paraId="6808FDE8" w14:textId="77777777" w:rsidR="00CF33D9" w:rsidRDefault="00E3332A">
      <w:pPr>
        <w:spacing w:after="60"/>
        <w:jc w:val="both"/>
        <w:rPr>
          <w:rFonts w:ascii="Calibri" w:eastAsia="Calibri" w:hAnsi="Calibri" w:cs="Calibri"/>
          <w:sz w:val="20"/>
          <w:szCs w:val="20"/>
        </w:rPr>
      </w:pPr>
      <w:r>
        <w:rPr>
          <w:rFonts w:ascii="Calibri" w:hAnsi="Calibri" w:cs="Calibri"/>
          <w:noProof/>
          <w:sz w:val="20"/>
          <w:szCs w:val="20"/>
        </w:rPr>
        <mc:AlternateContent>
          <mc:Choice Requires="wps">
            <w:drawing>
              <wp:anchor distT="0" distB="0" distL="114300" distR="114300" simplePos="0" relativeHeight="251812352" behindDoc="0" locked="0" layoutInCell="1" allowOverlap="1" wp14:anchorId="680922DF" wp14:editId="680922E0">
                <wp:simplePos x="0" y="0"/>
                <wp:positionH relativeFrom="column">
                  <wp:posOffset>2070100</wp:posOffset>
                </wp:positionH>
                <wp:positionV relativeFrom="paragraph">
                  <wp:posOffset>472440</wp:posOffset>
                </wp:positionV>
                <wp:extent cx="861060" cy="0"/>
                <wp:effectExtent l="0" t="0" r="15240" b="12700"/>
                <wp:wrapNone/>
                <wp:docPr id="1722524414" name="Straight Connector 2"/>
                <wp:cNvGraphicFramePr/>
                <a:graphic xmlns:a="http://schemas.openxmlformats.org/drawingml/2006/main">
                  <a:graphicData uri="http://schemas.microsoft.com/office/word/2010/wordprocessingShape">
                    <wps:wsp>
                      <wps:cNvCnPr/>
                      <wps:spPr>
                        <a:xfrm flipH="1" flipV="1">
                          <a:off x="0" y="0"/>
                          <a:ext cx="8610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ABA11D7" id="Straight Connector 2" o:spid="_x0000_s1026" style="position:absolute;flip:x y;z-index:251812352;visibility:visible;mso-wrap-style:square;mso-wrap-distance-left:9pt;mso-wrap-distance-top:0;mso-wrap-distance-right:9pt;mso-wrap-distance-bottom:0;mso-position-horizontal:absolute;mso-position-horizontal-relative:text;mso-position-vertical:absolute;mso-position-vertical-relative:text" from="163pt,37.2pt" to="230.8pt,3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" strokecolor="black [3213]" strokeweight=".5pt">
                <v:stroke joinstyle="miter"/>
              </v:line>
            </w:pict>
          </mc:Fallback>
        </mc:AlternateContent>
      </w:r>
    </w:p>
    <w:p w14:paraId="6808FDE9" w14:textId="77777777" w:rsidR="00CF33D9" w:rsidRDefault="00E3332A">
      <w:pPr>
        <w:spacing w:after="60"/>
        <w:jc w:val="both"/>
        <w:rPr>
          <w:rFonts w:ascii="Calibri" w:eastAsia="Calibri" w:hAnsi="Calibri" w:cs="Calibri"/>
          <w:sz w:val="20"/>
          <w:szCs w:val="20"/>
        </w:rPr>
      </w:pPr>
      <w:r>
        <w:rPr>
          <w:rFonts w:ascii="Calibri" w:hAnsi="Calibri" w:cs="Calibri"/>
          <w:noProof/>
          <w:sz w:val="20"/>
          <w:szCs w:val="20"/>
        </w:rPr>
        <mc:AlternateContent>
          <mc:Choice Requires="wps">
            <w:drawing>
              <wp:anchor distT="0" distB="0" distL="114300" distR="114300" simplePos="0" relativeHeight="251803136" behindDoc="0" locked="0" layoutInCell="1" allowOverlap="1" wp14:anchorId="680922E1" wp14:editId="680922E2">
                <wp:simplePos x="0" y="0"/>
                <wp:positionH relativeFrom="margin">
                  <wp:align>right</wp:align>
                </wp:positionH>
                <wp:positionV relativeFrom="paragraph">
                  <wp:posOffset>36830</wp:posOffset>
                </wp:positionV>
                <wp:extent cx="2044700" cy="1273175"/>
                <wp:effectExtent l="0" t="0" r="12700" b="22225"/>
                <wp:wrapNone/>
                <wp:docPr id="756297456" name="Rectangle 1"/>
                <wp:cNvGraphicFramePr/>
                <a:graphic xmlns:a="http://schemas.openxmlformats.org/drawingml/2006/main">
                  <a:graphicData uri="http://schemas.microsoft.com/office/word/2010/wordprocessingShape">
                    <wps:wsp>
                      <wps:cNvSpPr/>
                      <wps:spPr>
                        <a:xfrm>
                          <a:off x="0" y="0"/>
                          <a:ext cx="2044700" cy="1273175"/>
                        </a:xfrm>
                        <a:prstGeom prst="rect">
                          <a:avLst/>
                        </a:prstGeom>
                        <a:solidFill>
                          <a:schemeClr val="accent2">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680923F7" w14:textId="77777777" w:rsidR="00CF33D9" w:rsidRDefault="00E3332A">
                            <w:pPr>
                              <w:jc w:val="center"/>
                              <w:rPr>
                                <w:rFonts w:ascii="Calibri" w:hAnsi="Calibri" w:cs="Calibri"/>
                                <w:b/>
                                <w:bCs/>
                                <w:color w:val="000000" w:themeColor="text1"/>
                                <w:sz w:val="18"/>
                                <w:szCs w:val="18"/>
                              </w:rPr>
                            </w:pPr>
                            <w:r>
                              <w:rPr>
                                <w:rFonts w:ascii="Calibri" w:hAnsi="Calibri" w:cs="Calibri"/>
                                <w:b/>
                                <w:bCs/>
                                <w:color w:val="000000" w:themeColor="text1"/>
                                <w:sz w:val="18"/>
                                <w:szCs w:val="18"/>
                              </w:rPr>
                              <w:t>Project Support (Project Coordination Unit)</w:t>
                            </w:r>
                          </w:p>
                          <w:p w14:paraId="680923F8" w14:textId="77777777" w:rsidR="00CF33D9" w:rsidRDefault="00E3332A">
                            <w:pPr>
                              <w:jc w:val="center"/>
                              <w:rPr>
                                <w:rFonts w:ascii="Calibri" w:hAnsi="Calibri" w:cs="Calibri"/>
                                <w:i/>
                                <w:iCs/>
                                <w:color w:val="000000" w:themeColor="text1"/>
                                <w:sz w:val="16"/>
                                <w:szCs w:val="16"/>
                              </w:rPr>
                            </w:pPr>
                            <w:r>
                              <w:rPr>
                                <w:rFonts w:ascii="Calibri" w:hAnsi="Calibri" w:cs="Calibri"/>
                                <w:i/>
                                <w:iCs/>
                                <w:color w:val="000000" w:themeColor="text1"/>
                                <w:sz w:val="16"/>
                                <w:szCs w:val="16"/>
                              </w:rPr>
                              <w:t>Project Coordinator, Chief Technical Advisor, National Coordinators, Financial and Administrative Assistant, Gender and Safeguards Officer, Monitoring and Evaluation Officer</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E1" id="_x0000_s1090" style="position:absolute;left:0;text-align:left;margin-left:109.8pt;margin-top:2.9pt;width:161pt;height:100.25pt;z-index:251803136;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" fillcolor="#f7caac [1301]" strokecolor="#091723 [484]" strokeweight="1pt">
                <v:textbox>
                  <w:txbxContent>
                    <w:p w14:paraId="680923F7" w14:textId="77777777" w:rsidR="00CF33D9" w:rsidRDefault="00E3332A">
                      <w:pPr>
                        <w:jc w:val="center"/>
                        <w:rPr>
                          <w:rFonts w:ascii="Calibri" w:hAnsi="Calibri" w:cs="Calibri"/>
                          <w:b/>
                          <w:bCs/>
                          <w:color w:val="000000" w:themeColor="text1"/>
                          <w:sz w:val="18"/>
                          <w:szCs w:val="18"/>
                        </w:rPr>
                      </w:pPr>
                      <w:r>
                        <w:rPr>
                          <w:rFonts w:ascii="Calibri" w:hAnsi="Calibri" w:cs="Calibri"/>
                          <w:b/>
                          <w:bCs/>
                          <w:color w:val="000000" w:themeColor="text1"/>
                          <w:sz w:val="18"/>
                          <w:szCs w:val="18"/>
                        </w:rPr>
                        <w:t>Project Support (Project Coordination Unit)</w:t>
                      </w:r>
                    </w:p>
                    <w:p w14:paraId="680923F8" w14:textId="77777777" w:rsidR="00CF33D9" w:rsidRDefault="00E3332A">
                      <w:pPr>
                        <w:jc w:val="center"/>
                        <w:rPr>
                          <w:rFonts w:ascii="Calibri" w:hAnsi="Calibri" w:cs="Calibri"/>
                          <w:i/>
                          <w:iCs/>
                          <w:color w:val="000000" w:themeColor="text1"/>
                          <w:sz w:val="16"/>
                          <w:szCs w:val="16"/>
                        </w:rPr>
                      </w:pPr>
                      <w:r>
                        <w:rPr>
                          <w:rFonts w:ascii="Calibri" w:hAnsi="Calibri" w:cs="Calibri"/>
                          <w:i/>
                          <w:iCs/>
                          <w:color w:val="000000" w:themeColor="text1"/>
                          <w:sz w:val="16"/>
                          <w:szCs w:val="16"/>
                        </w:rPr>
                        <w:t>Project Coordinator, Chief Technical Advisor, National Coordinators, Financial and Administrative Assistant, Gender and Safeguards Officer, Monitoring and Evaluation Officer</w:t>
                      </w:r>
                    </w:p>
                  </w:txbxContent>
                </v:textbox>
                <w10:wrap anchorx="margin"/>
              </v:rect>
            </w:pict>
          </mc:Fallback>
        </mc:AlternateContent>
      </w:r>
      <w:r>
        <w:rPr>
          <w:rFonts w:ascii="Calibri" w:hAnsi="Calibri" w:cs="Calibri"/>
          <w:noProof/>
          <w:sz w:val="20"/>
          <w:szCs w:val="20"/>
        </w:rPr>
        <mc:AlternateContent>
          <mc:Choice Requires="wps">
            <w:drawing>
              <wp:anchor distT="0" distB="0" distL="114300" distR="114300" simplePos="0" relativeHeight="251796992" behindDoc="0" locked="0" layoutInCell="1" allowOverlap="1" wp14:anchorId="680922E3" wp14:editId="680922E4">
                <wp:simplePos x="0" y="0"/>
                <wp:positionH relativeFrom="column">
                  <wp:posOffset>798830</wp:posOffset>
                </wp:positionH>
                <wp:positionV relativeFrom="paragraph">
                  <wp:posOffset>32385</wp:posOffset>
                </wp:positionV>
                <wp:extent cx="1269365" cy="744220"/>
                <wp:effectExtent l="0" t="0" r="13335" b="17780"/>
                <wp:wrapNone/>
                <wp:docPr id="887457499" name="Rectangle 1"/>
                <wp:cNvGraphicFramePr/>
                <a:graphic xmlns:a="http://schemas.openxmlformats.org/drawingml/2006/main">
                  <a:graphicData uri="http://schemas.microsoft.com/office/word/2010/wordprocessingShape">
                    <wps:wsp>
                      <wps:cNvSpPr/>
                      <wps:spPr>
                        <a:xfrm>
                          <a:off x="0" y="0"/>
                          <a:ext cx="1269365" cy="744220"/>
                        </a:xfrm>
                        <a:prstGeom prst="rect">
                          <a:avLst/>
                        </a:prstGeom>
                        <a:solidFill>
                          <a:srgbClr val="FFC000"/>
                        </a:solidFill>
                      </wps:spPr>
                      <wps:style>
                        <a:lnRef idx="2">
                          <a:schemeClr val="accent1">
                            <a:shade val="15000"/>
                          </a:schemeClr>
                        </a:lnRef>
                        <a:fillRef idx="1">
                          <a:schemeClr val="accent1"/>
                        </a:fillRef>
                        <a:effectRef idx="0">
                          <a:schemeClr val="accent1"/>
                        </a:effectRef>
                        <a:fontRef idx="minor">
                          <a:schemeClr val="lt1"/>
                        </a:fontRef>
                      </wps:style>
                      <wps:txbx>
                        <w:txbxContent>
                          <w:p w14:paraId="680923F9" w14:textId="77777777" w:rsidR="00CF33D9" w:rsidRDefault="00E3332A">
                            <w:pPr>
                              <w:contextualSpacing/>
                              <w:jc w:val="center"/>
                              <w:rPr>
                                <w:rFonts w:ascii="Calibri" w:hAnsi="Calibri" w:cs="Calibri"/>
                                <w:b/>
                                <w:bCs/>
                                <w:color w:val="000000" w:themeColor="text1"/>
                                <w:sz w:val="18"/>
                                <w:szCs w:val="18"/>
                              </w:rPr>
                            </w:pPr>
                            <w:r>
                              <w:rPr>
                                <w:rFonts w:ascii="Calibri" w:hAnsi="Calibri" w:cs="Calibri"/>
                                <w:b/>
                                <w:bCs/>
                                <w:color w:val="000000" w:themeColor="text1"/>
                                <w:sz w:val="18"/>
                                <w:szCs w:val="18"/>
                              </w:rPr>
                              <w:t>Project Assurance</w:t>
                            </w:r>
                          </w:p>
                          <w:p w14:paraId="680923FA" w14:textId="77777777" w:rsidR="00CF33D9" w:rsidRDefault="00CF33D9">
                            <w:pPr>
                              <w:contextualSpacing/>
                              <w:jc w:val="center"/>
                              <w:rPr>
                                <w:rFonts w:ascii="Calibri" w:hAnsi="Calibri" w:cs="Calibri"/>
                                <w:b/>
                                <w:bCs/>
                                <w:color w:val="000000" w:themeColor="text1"/>
                                <w:sz w:val="13"/>
                                <w:szCs w:val="13"/>
                              </w:rPr>
                            </w:pPr>
                          </w:p>
                          <w:p w14:paraId="680923FB" w14:textId="77777777" w:rsidR="00CF33D9" w:rsidRDefault="00E3332A">
                            <w:pPr>
                              <w:contextualSpacing/>
                              <w:jc w:val="center"/>
                              <w:rPr>
                                <w:rFonts w:ascii="Calibri" w:hAnsi="Calibri" w:cs="Calibri"/>
                                <w:i/>
                                <w:iCs/>
                                <w:color w:val="000000" w:themeColor="text1"/>
                                <w:sz w:val="16"/>
                                <w:szCs w:val="16"/>
                              </w:rPr>
                            </w:pPr>
                            <w:r>
                              <w:rPr>
                                <w:rFonts w:ascii="Calibri" w:hAnsi="Calibri" w:cs="Calibri"/>
                                <w:i/>
                                <w:iCs/>
                                <w:color w:val="000000" w:themeColor="text1"/>
                                <w:sz w:val="16"/>
                                <w:szCs w:val="16"/>
                              </w:rPr>
                              <w:t>UNDP RTA</w:t>
                            </w:r>
                          </w:p>
                          <w:p w14:paraId="680923FC" w14:textId="77777777" w:rsidR="00CF33D9" w:rsidRDefault="00E3332A">
                            <w:pPr>
                              <w:contextualSpacing/>
                              <w:jc w:val="center"/>
                              <w:rPr>
                                <w:rFonts w:ascii="Calibri" w:hAnsi="Calibri" w:cs="Calibri"/>
                                <w:i/>
                                <w:iCs/>
                                <w:color w:val="000000" w:themeColor="text1"/>
                                <w:sz w:val="16"/>
                                <w:szCs w:val="16"/>
                              </w:rPr>
                            </w:pPr>
                            <w:r>
                              <w:rPr>
                                <w:rFonts w:ascii="Calibri" w:hAnsi="Calibri" w:cs="Calibri"/>
                                <w:i/>
                                <w:iCs/>
                                <w:color w:val="000000" w:themeColor="text1"/>
                                <w:sz w:val="16"/>
                                <w:szCs w:val="16"/>
                              </w:rPr>
                              <w:t>UNDP Namibia Environment Focal Point</w:t>
                            </w:r>
                          </w:p>
                          <w:p w14:paraId="680923FD" w14:textId="77777777" w:rsidR="00CF33D9" w:rsidRDefault="00CF33D9">
                            <w:pPr>
                              <w:contextualSpacing/>
                              <w:jc w:val="center"/>
                              <w:rPr>
                                <w:rFonts w:ascii="Calibri" w:hAnsi="Calibri" w:cs="Calibri"/>
                                <w:b/>
                                <w:bCs/>
                                <w:color w:val="000000" w:themeColor="text1"/>
                                <w:sz w:val="13"/>
                                <w:szCs w:val="13"/>
                              </w:rPr>
                            </w:pPr>
                          </w:p>
                          <w:p w14:paraId="680923FE" w14:textId="77777777" w:rsidR="00CF33D9" w:rsidRDefault="00CF33D9">
                            <w:pPr>
                              <w:contextualSpacing/>
                              <w:jc w:val="center"/>
                              <w:rPr>
                                <w:rFonts w:ascii="Calibri" w:hAnsi="Calibri" w:cs="Calibri"/>
                                <w:b/>
                                <w:bCs/>
                                <w:color w:val="000000" w:themeColor="text1"/>
                                <w:sz w:val="13"/>
                                <w:szCs w:val="13"/>
                              </w:rPr>
                            </w:pPr>
                          </w:p>
                          <w:p w14:paraId="680923FF" w14:textId="77777777" w:rsidR="00CF33D9" w:rsidRDefault="00CF33D9">
                            <w:pPr>
                              <w:contextualSpacing/>
                              <w:rPr>
                                <w:rFonts w:ascii="Calibri" w:hAnsi="Calibri" w:cs="Calibri"/>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rect w14:anchorId="680922E3" id="_x0000_s1091" style="position:absolute;left:0;text-align:left;margin-left:62.9pt;margin-top:2.55pt;width:99.95pt;height:58.6pt;z-index:251796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" fillcolor="#ffc000" strokecolor="#091723 [484]" strokeweight="1pt">
                <v:textbox>
                  <w:txbxContent>
                    <w:p w14:paraId="680923F9" w14:textId="77777777" w:rsidR="00CF33D9" w:rsidRDefault="00E3332A">
                      <w:pPr>
                        <w:contextualSpacing/>
                        <w:jc w:val="center"/>
                        <w:rPr>
                          <w:rFonts w:ascii="Calibri" w:hAnsi="Calibri" w:cs="Calibri"/>
                          <w:b/>
                          <w:bCs/>
                          <w:color w:val="000000" w:themeColor="text1"/>
                          <w:sz w:val="18"/>
                          <w:szCs w:val="18"/>
                        </w:rPr>
                      </w:pPr>
                      <w:r>
                        <w:rPr>
                          <w:rFonts w:ascii="Calibri" w:hAnsi="Calibri" w:cs="Calibri"/>
                          <w:b/>
                          <w:bCs/>
                          <w:color w:val="000000" w:themeColor="text1"/>
                          <w:sz w:val="18"/>
                          <w:szCs w:val="18"/>
                        </w:rPr>
                        <w:t>Project Assurance</w:t>
                      </w:r>
                    </w:p>
                    <w:p w14:paraId="680923FA" w14:textId="77777777" w:rsidR="00CF33D9" w:rsidRDefault="00CF33D9">
                      <w:pPr>
                        <w:contextualSpacing/>
                        <w:jc w:val="center"/>
                        <w:rPr>
                          <w:rFonts w:ascii="Calibri" w:hAnsi="Calibri" w:cs="Calibri"/>
                          <w:b/>
                          <w:bCs/>
                          <w:color w:val="000000" w:themeColor="text1"/>
                          <w:sz w:val="13"/>
                          <w:szCs w:val="13"/>
                        </w:rPr>
                      </w:pPr>
                    </w:p>
                    <w:p w14:paraId="680923FB" w14:textId="77777777" w:rsidR="00CF33D9" w:rsidRDefault="00E3332A">
                      <w:pPr>
                        <w:contextualSpacing/>
                        <w:jc w:val="center"/>
                        <w:rPr>
                          <w:rFonts w:ascii="Calibri" w:hAnsi="Calibri" w:cs="Calibri"/>
                          <w:i/>
                          <w:iCs/>
                          <w:color w:val="000000" w:themeColor="text1"/>
                          <w:sz w:val="16"/>
                          <w:szCs w:val="16"/>
                        </w:rPr>
                      </w:pPr>
                      <w:r>
                        <w:rPr>
                          <w:rFonts w:ascii="Calibri" w:hAnsi="Calibri" w:cs="Calibri"/>
                          <w:i/>
                          <w:iCs/>
                          <w:color w:val="000000" w:themeColor="text1"/>
                          <w:sz w:val="16"/>
                          <w:szCs w:val="16"/>
                        </w:rPr>
                        <w:t>UNDP RTA</w:t>
                      </w:r>
                    </w:p>
                    <w:p w14:paraId="680923FC" w14:textId="77777777" w:rsidR="00CF33D9" w:rsidRDefault="00E3332A">
                      <w:pPr>
                        <w:contextualSpacing/>
                        <w:jc w:val="center"/>
                        <w:rPr>
                          <w:rFonts w:ascii="Calibri" w:hAnsi="Calibri" w:cs="Calibri"/>
                          <w:i/>
                          <w:iCs/>
                          <w:color w:val="000000" w:themeColor="text1"/>
                          <w:sz w:val="16"/>
                          <w:szCs w:val="16"/>
                        </w:rPr>
                      </w:pPr>
                      <w:r>
                        <w:rPr>
                          <w:rFonts w:ascii="Calibri" w:hAnsi="Calibri" w:cs="Calibri"/>
                          <w:i/>
                          <w:iCs/>
                          <w:color w:val="000000" w:themeColor="text1"/>
                          <w:sz w:val="16"/>
                          <w:szCs w:val="16"/>
                        </w:rPr>
                        <w:t>UNDP Namibia Environment Focal Point</w:t>
                      </w:r>
                    </w:p>
                    <w:p w14:paraId="680923FD" w14:textId="77777777" w:rsidR="00CF33D9" w:rsidRDefault="00CF33D9">
                      <w:pPr>
                        <w:contextualSpacing/>
                        <w:jc w:val="center"/>
                        <w:rPr>
                          <w:rFonts w:ascii="Calibri" w:hAnsi="Calibri" w:cs="Calibri"/>
                          <w:b/>
                          <w:bCs/>
                          <w:color w:val="000000" w:themeColor="text1"/>
                          <w:sz w:val="13"/>
                          <w:szCs w:val="13"/>
                        </w:rPr>
                      </w:pPr>
                    </w:p>
                    <w:p w14:paraId="680923FE" w14:textId="77777777" w:rsidR="00CF33D9" w:rsidRDefault="00CF33D9">
                      <w:pPr>
                        <w:contextualSpacing/>
                        <w:jc w:val="center"/>
                        <w:rPr>
                          <w:rFonts w:ascii="Calibri" w:hAnsi="Calibri" w:cs="Calibri"/>
                          <w:b/>
                          <w:bCs/>
                          <w:color w:val="000000" w:themeColor="text1"/>
                          <w:sz w:val="13"/>
                          <w:szCs w:val="13"/>
                        </w:rPr>
                      </w:pPr>
                    </w:p>
                    <w:p w14:paraId="680923FF" w14:textId="77777777" w:rsidR="00CF33D9" w:rsidRDefault="00CF33D9">
                      <w:pPr>
                        <w:contextualSpacing/>
                        <w:rPr>
                          <w:rFonts w:ascii="Calibri" w:hAnsi="Calibri" w:cs="Calibri"/>
                        </w:rPr>
                      </w:pPr>
                    </w:p>
                  </w:txbxContent>
                </v:textbox>
              </v:rect>
            </w:pict>
          </mc:Fallback>
        </mc:AlternateContent>
      </w:r>
    </w:p>
    <w:p w14:paraId="6808FDEA" w14:textId="77777777" w:rsidR="00CF33D9" w:rsidRDefault="00CF33D9">
      <w:pPr>
        <w:spacing w:after="60"/>
        <w:jc w:val="both"/>
        <w:rPr>
          <w:rFonts w:ascii="Calibri" w:eastAsia="Calibri" w:hAnsi="Calibri" w:cs="Calibri"/>
          <w:sz w:val="20"/>
          <w:szCs w:val="20"/>
        </w:rPr>
      </w:pPr>
    </w:p>
    <w:p w14:paraId="6808FDEB" w14:textId="77777777" w:rsidR="00CF33D9" w:rsidRDefault="00E3332A">
      <w:pPr>
        <w:spacing w:after="60"/>
        <w:jc w:val="both"/>
        <w:rPr>
          <w:rFonts w:ascii="Calibri" w:eastAsia="Calibri" w:hAnsi="Calibri" w:cs="Calibri"/>
          <w:sz w:val="20"/>
          <w:szCs w:val="20"/>
        </w:rPr>
      </w:pPr>
      <w:r>
        <w:rPr>
          <w:rFonts w:ascii="Calibri" w:hAnsi="Calibri" w:cs="Calibri"/>
          <w:noProof/>
          <w:sz w:val="20"/>
          <w:szCs w:val="20"/>
        </w:rPr>
        <mc:AlternateContent>
          <mc:Choice Requires="wps">
            <w:drawing>
              <wp:anchor distT="0" distB="0" distL="114300" distR="114300" simplePos="0" relativeHeight="251800064" behindDoc="0" locked="0" layoutInCell="1" allowOverlap="1" wp14:anchorId="680922E5" wp14:editId="680922E6">
                <wp:simplePos x="0" y="0"/>
                <wp:positionH relativeFrom="column">
                  <wp:posOffset>2367280</wp:posOffset>
                </wp:positionH>
                <wp:positionV relativeFrom="paragraph">
                  <wp:posOffset>26035</wp:posOffset>
                </wp:positionV>
                <wp:extent cx="1184910" cy="628650"/>
                <wp:effectExtent l="0" t="0" r="8890" b="19050"/>
                <wp:wrapNone/>
                <wp:docPr id="1272860825" name="Rectangle 1"/>
                <wp:cNvGraphicFramePr/>
                <a:graphic xmlns:a="http://schemas.openxmlformats.org/drawingml/2006/main">
                  <a:graphicData uri="http://schemas.microsoft.com/office/word/2010/wordprocessingShape">
                    <wps:wsp>
                      <wps:cNvSpPr/>
                      <wps:spPr>
                        <a:xfrm>
                          <a:off x="0" y="0"/>
                          <a:ext cx="1184910" cy="628650"/>
                        </a:xfrm>
                        <a:prstGeom prst="rect">
                          <a:avLst/>
                        </a:prstGeom>
                        <a:solidFill>
                          <a:schemeClr val="accent2">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68092400" w14:textId="77777777" w:rsidR="00CF33D9" w:rsidRDefault="00E3332A">
                            <w:pPr>
                              <w:jc w:val="center"/>
                              <w:rPr>
                                <w:rFonts w:ascii="Calibri" w:hAnsi="Calibri" w:cs="Calibri"/>
                                <w:b/>
                                <w:bCs/>
                                <w:color w:val="000000" w:themeColor="text1"/>
                                <w:sz w:val="18"/>
                                <w:szCs w:val="18"/>
                              </w:rPr>
                            </w:pPr>
                            <w:r>
                              <w:rPr>
                                <w:rFonts w:ascii="Calibri" w:hAnsi="Calibri" w:cs="Calibri"/>
                                <w:b/>
                                <w:bCs/>
                                <w:color w:val="000000" w:themeColor="text1"/>
                                <w:sz w:val="18"/>
                                <w:szCs w:val="18"/>
                              </w:rPr>
                              <w:t>Implementing Partner</w:t>
                            </w:r>
                          </w:p>
                          <w:p w14:paraId="68092401" w14:textId="77777777" w:rsidR="00CF33D9" w:rsidRDefault="00E3332A">
                            <w:pPr>
                              <w:jc w:val="center"/>
                              <w:rPr>
                                <w:rFonts w:ascii="Calibri" w:hAnsi="Calibri" w:cs="Calibri"/>
                                <w:i/>
                                <w:iCs/>
                                <w:color w:val="000000" w:themeColor="text1"/>
                                <w:sz w:val="16"/>
                                <w:szCs w:val="16"/>
                              </w:rPr>
                            </w:pPr>
                            <w:r>
                              <w:rPr>
                                <w:rFonts w:ascii="Calibri" w:hAnsi="Calibri" w:cs="Calibri"/>
                                <w:i/>
                                <w:iCs/>
                                <w:color w:val="000000" w:themeColor="text1"/>
                                <w:sz w:val="16"/>
                                <w:szCs w:val="16"/>
                              </w:rPr>
                              <w:t>Benguela Current Commission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E5" id="_x0000_s1092" style="position:absolute;left:0;text-align:left;margin-left:186.4pt;margin-top:2.05pt;width:93.3pt;height:49.5pt;z-index:251800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" fillcolor="#f7caac [1301]" strokecolor="#091723 [484]" strokeweight="1pt">
                <v:textbox>
                  <w:txbxContent>
                    <w:p w14:paraId="68092400" w14:textId="77777777" w:rsidR="00CF33D9" w:rsidRDefault="00E3332A">
                      <w:pPr>
                        <w:jc w:val="center"/>
                        <w:rPr>
                          <w:rFonts w:ascii="Calibri" w:hAnsi="Calibri" w:cs="Calibri"/>
                          <w:b/>
                          <w:bCs/>
                          <w:color w:val="000000" w:themeColor="text1"/>
                          <w:sz w:val="18"/>
                          <w:szCs w:val="18"/>
                        </w:rPr>
                      </w:pPr>
                      <w:r>
                        <w:rPr>
                          <w:rFonts w:ascii="Calibri" w:hAnsi="Calibri" w:cs="Calibri"/>
                          <w:b/>
                          <w:bCs/>
                          <w:color w:val="000000" w:themeColor="text1"/>
                          <w:sz w:val="18"/>
                          <w:szCs w:val="18"/>
                        </w:rPr>
                        <w:t>Implementing Partner</w:t>
                      </w:r>
                    </w:p>
                    <w:p w14:paraId="68092401" w14:textId="77777777" w:rsidR="00CF33D9" w:rsidRDefault="00E3332A">
                      <w:pPr>
                        <w:jc w:val="center"/>
                        <w:rPr>
                          <w:rFonts w:ascii="Calibri" w:hAnsi="Calibri" w:cs="Calibri"/>
                          <w:i/>
                          <w:iCs/>
                          <w:color w:val="000000" w:themeColor="text1"/>
                          <w:sz w:val="16"/>
                          <w:szCs w:val="16"/>
                        </w:rPr>
                      </w:pPr>
                      <w:r>
                        <w:rPr>
                          <w:rFonts w:ascii="Calibri" w:hAnsi="Calibri" w:cs="Calibri"/>
                          <w:i/>
                          <w:iCs/>
                          <w:color w:val="000000" w:themeColor="text1"/>
                          <w:sz w:val="16"/>
                          <w:szCs w:val="16"/>
                        </w:rPr>
                        <w:t>Benguela Current Commission</w:t>
                      </w:r>
                    </w:p>
                  </w:txbxContent>
                </v:textbox>
              </v:rect>
            </w:pict>
          </mc:Fallback>
        </mc:AlternateContent>
      </w:r>
    </w:p>
    <w:p w14:paraId="6808FDEC" w14:textId="77777777" w:rsidR="00CF33D9" w:rsidRDefault="00E3332A">
      <w:pPr>
        <w:spacing w:after="60"/>
        <w:jc w:val="both"/>
        <w:rPr>
          <w:rFonts w:ascii="Calibri" w:eastAsia="Calibri" w:hAnsi="Calibri" w:cs="Calibri"/>
          <w:sz w:val="20"/>
          <w:szCs w:val="20"/>
        </w:rPr>
      </w:pPr>
      <w:r>
        <w:rPr>
          <w:rFonts w:ascii="Calibri" w:hAnsi="Calibri" w:cs="Calibri"/>
          <w:noProof/>
          <w:sz w:val="20"/>
          <w:szCs w:val="20"/>
        </w:rPr>
        <mc:AlternateContent>
          <mc:Choice Requires="wps">
            <w:drawing>
              <wp:anchor distT="0" distB="0" distL="114300" distR="114300" simplePos="0" relativeHeight="251815424" behindDoc="0" locked="0" layoutInCell="1" allowOverlap="1" wp14:anchorId="680922E7" wp14:editId="680922E8">
                <wp:simplePos x="0" y="0"/>
                <wp:positionH relativeFrom="column">
                  <wp:posOffset>3552190</wp:posOffset>
                </wp:positionH>
                <wp:positionV relativeFrom="paragraph">
                  <wp:posOffset>104140</wp:posOffset>
                </wp:positionV>
                <wp:extent cx="332740" cy="0"/>
                <wp:effectExtent l="0" t="0" r="10160" b="12700"/>
                <wp:wrapNone/>
                <wp:docPr id="758211685" name="Straight Connector 2"/>
                <wp:cNvGraphicFramePr/>
                <a:graphic xmlns:a="http://schemas.openxmlformats.org/drawingml/2006/main">
                  <a:graphicData uri="http://schemas.microsoft.com/office/word/2010/wordprocessingShape">
                    <wps:wsp>
                      <wps:cNvCnPr/>
                      <wps:spPr>
                        <a:xfrm flipH="1">
                          <a:off x="0" y="0"/>
                          <a:ext cx="3327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BC01A0F" id="Straight Connector 2" o:spid="_x0000_s1026" style="position:absolute;flip:x;z-index:251815424;visibility:visible;mso-wrap-style:square;mso-wrap-distance-left:9pt;mso-wrap-distance-top:0;mso-wrap-distance-right:9pt;mso-wrap-distance-bottom:0;mso-position-horizontal:absolute;mso-position-horizontal-relative:text;mso-position-vertical:absolute;mso-position-vertical-relative:text" from="279.7pt,8.2pt" to="305.9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" strokecolor="black [3213]" strokeweight=".5pt">
                <v:stroke joinstyle="miter"/>
              </v:line>
            </w:pict>
          </mc:Fallback>
        </mc:AlternateContent>
      </w:r>
    </w:p>
    <w:p w14:paraId="6808FDED" w14:textId="77777777" w:rsidR="00CF33D9" w:rsidRDefault="00CF33D9">
      <w:pPr>
        <w:spacing w:after="60"/>
        <w:jc w:val="both"/>
        <w:rPr>
          <w:rFonts w:ascii="Calibri" w:eastAsia="Calibri" w:hAnsi="Calibri" w:cs="Calibri"/>
          <w:sz w:val="20"/>
          <w:szCs w:val="20"/>
        </w:rPr>
      </w:pPr>
    </w:p>
    <w:p w14:paraId="6808FDEE" w14:textId="77777777" w:rsidR="00CF33D9" w:rsidRDefault="00E3332A">
      <w:pPr>
        <w:spacing w:after="60"/>
        <w:jc w:val="both"/>
        <w:rPr>
          <w:rFonts w:ascii="Calibri" w:eastAsia="Calibri" w:hAnsi="Calibri" w:cs="Calibri"/>
          <w:sz w:val="20"/>
          <w:szCs w:val="20"/>
        </w:rPr>
      </w:pPr>
      <w:r>
        <w:rPr>
          <w:rFonts w:ascii="Calibri" w:hAnsi="Calibri" w:cs="Calibri"/>
          <w:noProof/>
          <w:sz w:val="20"/>
          <w:szCs w:val="20"/>
        </w:rPr>
        <mc:AlternateContent>
          <mc:Choice Requires="wps">
            <w:drawing>
              <wp:anchor distT="0" distB="0" distL="114300" distR="114300" simplePos="0" relativeHeight="251818496" behindDoc="0" locked="0" layoutInCell="1" allowOverlap="1" wp14:anchorId="680922E9" wp14:editId="680922EA">
                <wp:simplePos x="0" y="0"/>
                <wp:positionH relativeFrom="column">
                  <wp:posOffset>2936240</wp:posOffset>
                </wp:positionH>
                <wp:positionV relativeFrom="paragraph">
                  <wp:posOffset>74295</wp:posOffset>
                </wp:positionV>
                <wp:extent cx="10160" cy="520700"/>
                <wp:effectExtent l="0" t="0" r="27940" b="31750"/>
                <wp:wrapNone/>
                <wp:docPr id="1151751279" name="Straight Connector 2"/>
                <wp:cNvGraphicFramePr/>
                <a:graphic xmlns:a="http://schemas.openxmlformats.org/drawingml/2006/main">
                  <a:graphicData uri="http://schemas.microsoft.com/office/word/2010/wordprocessingShape">
                    <wps:wsp>
                      <wps:cNvCnPr/>
                      <wps:spPr>
                        <a:xfrm>
                          <a:off x="0" y="0"/>
                          <a:ext cx="10160" cy="5207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26D3BD5" id="Straight Connector 2" o:spid="_x0000_s1026" style="position:absolute;z-index:251818496;visibility:visible;mso-wrap-style:square;mso-wrap-distance-left:9pt;mso-wrap-distance-top:0;mso-wrap-distance-right:9pt;mso-wrap-distance-bottom:0;mso-position-horizontal:absolute;mso-position-horizontal-relative:text;mso-position-vertical:absolute;mso-position-vertical-relative:text" from="231.2pt,5.85pt" to="232pt,4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" strokecolor="black [3213]" strokeweight=".5pt">
                <v:stroke joinstyle="miter"/>
              </v:line>
            </w:pict>
          </mc:Fallback>
        </mc:AlternateContent>
      </w:r>
    </w:p>
    <w:p w14:paraId="6808FDEF" w14:textId="77777777" w:rsidR="00CF33D9" w:rsidRDefault="00CF33D9">
      <w:pPr>
        <w:spacing w:after="60"/>
        <w:jc w:val="both"/>
        <w:rPr>
          <w:rFonts w:ascii="Calibri" w:eastAsia="Calibri" w:hAnsi="Calibri" w:cs="Calibri"/>
          <w:sz w:val="20"/>
          <w:szCs w:val="20"/>
        </w:rPr>
      </w:pPr>
    </w:p>
    <w:p w14:paraId="6808FDF0" w14:textId="77777777" w:rsidR="00CF33D9" w:rsidRDefault="00CF33D9">
      <w:pPr>
        <w:spacing w:after="60"/>
        <w:jc w:val="both"/>
        <w:rPr>
          <w:rFonts w:ascii="Calibri" w:eastAsia="Calibri" w:hAnsi="Calibri" w:cs="Calibri"/>
          <w:sz w:val="20"/>
          <w:szCs w:val="20"/>
        </w:rPr>
      </w:pPr>
    </w:p>
    <w:p w14:paraId="6808FDF1" w14:textId="77777777" w:rsidR="00CF33D9" w:rsidRDefault="00E3332A">
      <w:pPr>
        <w:spacing w:after="60"/>
        <w:jc w:val="both"/>
        <w:rPr>
          <w:rFonts w:ascii="Calibri" w:eastAsia="Calibri" w:hAnsi="Calibri" w:cs="Calibri"/>
          <w:sz w:val="20"/>
          <w:szCs w:val="20"/>
        </w:rPr>
      </w:pPr>
      <w:r>
        <w:rPr>
          <w:rFonts w:ascii="Calibri" w:hAnsi="Calibri" w:cs="Calibri"/>
          <w:noProof/>
          <w:sz w:val="20"/>
          <w:szCs w:val="20"/>
        </w:rPr>
        <mc:AlternateContent>
          <mc:Choice Requires="wps">
            <w:drawing>
              <wp:anchor distT="0" distB="0" distL="114300" distR="114300" simplePos="0" relativeHeight="251806208" behindDoc="0" locked="0" layoutInCell="1" allowOverlap="1" wp14:anchorId="680922EB" wp14:editId="680922EC">
                <wp:simplePos x="0" y="0"/>
                <wp:positionH relativeFrom="column">
                  <wp:posOffset>2110740</wp:posOffset>
                </wp:positionH>
                <wp:positionV relativeFrom="paragraph">
                  <wp:posOffset>6350</wp:posOffset>
                </wp:positionV>
                <wp:extent cx="1640840" cy="758825"/>
                <wp:effectExtent l="0" t="0" r="10160" b="16510"/>
                <wp:wrapNone/>
                <wp:docPr id="2086840634" name="Rectangle 1"/>
                <wp:cNvGraphicFramePr/>
                <a:graphic xmlns:a="http://schemas.openxmlformats.org/drawingml/2006/main">
                  <a:graphicData uri="http://schemas.microsoft.com/office/word/2010/wordprocessingShape">
                    <wps:wsp>
                      <wps:cNvSpPr/>
                      <wps:spPr>
                        <a:xfrm>
                          <a:off x="0" y="0"/>
                          <a:ext cx="1640840" cy="758757"/>
                        </a:xfrm>
                        <a:prstGeom prst="rect">
                          <a:avLst/>
                        </a:prstGeom>
                        <a:solidFill>
                          <a:schemeClr val="accent3">
                            <a:lumMod val="60000"/>
                            <a:lumOff val="4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68092402" w14:textId="77777777" w:rsidR="00CF33D9" w:rsidRDefault="00E3332A">
                            <w:pPr>
                              <w:jc w:val="center"/>
                              <w:rPr>
                                <w:rFonts w:ascii="Calibri" w:hAnsi="Calibri" w:cs="Calibri"/>
                                <w:b/>
                                <w:bCs/>
                                <w:color w:val="000000" w:themeColor="text1"/>
                                <w:sz w:val="18"/>
                                <w:szCs w:val="18"/>
                              </w:rPr>
                            </w:pPr>
                            <w:r>
                              <w:rPr>
                                <w:rFonts w:ascii="Calibri" w:hAnsi="Calibri" w:cs="Calibri"/>
                                <w:b/>
                                <w:bCs/>
                                <w:color w:val="000000" w:themeColor="text1"/>
                                <w:sz w:val="18"/>
                                <w:szCs w:val="18"/>
                              </w:rPr>
                              <w:t>Other project parties</w:t>
                            </w:r>
                          </w:p>
                          <w:p w14:paraId="68092403" w14:textId="77777777" w:rsidR="00CF33D9" w:rsidRDefault="00E3332A">
                            <w:pPr>
                              <w:contextualSpacing/>
                              <w:jc w:val="center"/>
                              <w:rPr>
                                <w:rFonts w:ascii="Calibri" w:hAnsi="Calibri" w:cs="Calibri"/>
                                <w:i/>
                                <w:iCs/>
                                <w:color w:val="000000" w:themeColor="text1"/>
                                <w:sz w:val="16"/>
                                <w:szCs w:val="16"/>
                              </w:rPr>
                            </w:pPr>
                            <w:r>
                              <w:rPr>
                                <w:rFonts w:ascii="Calibri" w:hAnsi="Calibri" w:cs="Calibri"/>
                                <w:i/>
                                <w:iCs/>
                                <w:color w:val="000000" w:themeColor="text1"/>
                                <w:sz w:val="16"/>
                                <w:szCs w:val="16"/>
                              </w:rPr>
                              <w:t>UNCTAD</w:t>
                            </w:r>
                          </w:p>
                          <w:p w14:paraId="68092404" w14:textId="77777777" w:rsidR="00CF33D9" w:rsidRDefault="00E3332A">
                            <w:pPr>
                              <w:contextualSpacing/>
                              <w:jc w:val="center"/>
                              <w:rPr>
                                <w:rFonts w:ascii="Calibri" w:hAnsi="Calibri" w:cs="Calibri"/>
                                <w:i/>
                                <w:iCs/>
                                <w:color w:val="000000" w:themeColor="text1"/>
                                <w:sz w:val="16"/>
                                <w:szCs w:val="16"/>
                              </w:rPr>
                            </w:pPr>
                            <w:r>
                              <w:rPr>
                                <w:rFonts w:ascii="Calibri" w:hAnsi="Calibri" w:cs="Calibri"/>
                                <w:i/>
                                <w:iCs/>
                                <w:color w:val="000000" w:themeColor="text1"/>
                                <w:sz w:val="16"/>
                                <w:szCs w:val="16"/>
                              </w:rPr>
                              <w:t>Potential other partners to be identified during the Inception Phase</w:t>
                            </w:r>
                          </w:p>
                          <w:p w14:paraId="68092405" w14:textId="77777777" w:rsidR="00CF33D9" w:rsidRDefault="00CF33D9">
                            <w:pPr>
                              <w:contextualSpacing/>
                              <w:jc w:val="center"/>
                              <w:rPr>
                                <w:rFonts w:ascii="Calibri" w:hAnsi="Calibri" w:cs="Calibri"/>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0922EB" id="_x0000_s1093" style="position:absolute;left:0;text-align:left;margin-left:166.2pt;margin-top:.5pt;width:129.2pt;height:59.75pt;z-index:251806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" fillcolor="#c9c9c9 [1942]" strokecolor="#091723 [484]" strokeweight="1pt">
                <v:textbox>
                  <w:txbxContent>
                    <w:p w14:paraId="68092402" w14:textId="77777777" w:rsidR="00CF33D9" w:rsidRDefault="00E3332A">
                      <w:pPr>
                        <w:jc w:val="center"/>
                        <w:rPr>
                          <w:rFonts w:ascii="Calibri" w:hAnsi="Calibri" w:cs="Calibri"/>
                          <w:b/>
                          <w:bCs/>
                          <w:color w:val="000000" w:themeColor="text1"/>
                          <w:sz w:val="18"/>
                          <w:szCs w:val="18"/>
                        </w:rPr>
                      </w:pPr>
                      <w:r>
                        <w:rPr>
                          <w:rFonts w:ascii="Calibri" w:hAnsi="Calibri" w:cs="Calibri"/>
                          <w:b/>
                          <w:bCs/>
                          <w:color w:val="000000" w:themeColor="text1"/>
                          <w:sz w:val="18"/>
                          <w:szCs w:val="18"/>
                        </w:rPr>
                        <w:t>Other project parties</w:t>
                      </w:r>
                    </w:p>
                    <w:p w14:paraId="68092403" w14:textId="77777777" w:rsidR="00CF33D9" w:rsidRDefault="00E3332A">
                      <w:pPr>
                        <w:contextualSpacing/>
                        <w:jc w:val="center"/>
                        <w:rPr>
                          <w:rFonts w:ascii="Calibri" w:hAnsi="Calibri" w:cs="Calibri"/>
                          <w:i/>
                          <w:iCs/>
                          <w:color w:val="000000" w:themeColor="text1"/>
                          <w:sz w:val="16"/>
                          <w:szCs w:val="16"/>
                        </w:rPr>
                      </w:pPr>
                      <w:r>
                        <w:rPr>
                          <w:rFonts w:ascii="Calibri" w:hAnsi="Calibri" w:cs="Calibri"/>
                          <w:i/>
                          <w:iCs/>
                          <w:color w:val="000000" w:themeColor="text1"/>
                          <w:sz w:val="16"/>
                          <w:szCs w:val="16"/>
                        </w:rPr>
                        <w:t>UNCTAD</w:t>
                      </w:r>
                    </w:p>
                    <w:p w14:paraId="68092404" w14:textId="77777777" w:rsidR="00CF33D9" w:rsidRDefault="00E3332A">
                      <w:pPr>
                        <w:contextualSpacing/>
                        <w:jc w:val="center"/>
                        <w:rPr>
                          <w:rFonts w:ascii="Calibri" w:hAnsi="Calibri" w:cs="Calibri"/>
                          <w:i/>
                          <w:iCs/>
                          <w:color w:val="000000" w:themeColor="text1"/>
                          <w:sz w:val="16"/>
                          <w:szCs w:val="16"/>
                        </w:rPr>
                      </w:pPr>
                      <w:r>
                        <w:rPr>
                          <w:rFonts w:ascii="Calibri" w:hAnsi="Calibri" w:cs="Calibri"/>
                          <w:i/>
                          <w:iCs/>
                          <w:color w:val="000000" w:themeColor="text1"/>
                          <w:sz w:val="16"/>
                          <w:szCs w:val="16"/>
                        </w:rPr>
                        <w:t>Potential other partners to be identified during the Inception Phase</w:t>
                      </w:r>
                    </w:p>
                    <w:p w14:paraId="68092405" w14:textId="77777777" w:rsidR="00CF33D9" w:rsidRDefault="00CF33D9">
                      <w:pPr>
                        <w:contextualSpacing/>
                        <w:jc w:val="center"/>
                        <w:rPr>
                          <w:rFonts w:ascii="Calibri" w:hAnsi="Calibri" w:cs="Calibri"/>
                        </w:rPr>
                      </w:pPr>
                    </w:p>
                  </w:txbxContent>
                </v:textbox>
              </v:rect>
            </w:pict>
          </mc:Fallback>
        </mc:AlternateContent>
      </w:r>
    </w:p>
    <w:p w14:paraId="6808FDF2" w14:textId="77777777" w:rsidR="00CF33D9" w:rsidRDefault="00CF33D9">
      <w:pPr>
        <w:spacing w:after="60"/>
        <w:jc w:val="both"/>
        <w:rPr>
          <w:rFonts w:ascii="Calibri" w:eastAsia="Calibri" w:hAnsi="Calibri" w:cs="Calibri"/>
          <w:sz w:val="20"/>
          <w:szCs w:val="20"/>
        </w:rPr>
      </w:pPr>
    </w:p>
    <w:p w14:paraId="6808FDF3" w14:textId="77777777" w:rsidR="00CF33D9" w:rsidRDefault="00CF33D9">
      <w:pPr>
        <w:spacing w:after="60"/>
        <w:jc w:val="both"/>
        <w:rPr>
          <w:rFonts w:ascii="Calibri" w:eastAsia="Calibri" w:hAnsi="Calibri" w:cs="Calibri"/>
          <w:sz w:val="20"/>
          <w:szCs w:val="20"/>
        </w:rPr>
      </w:pPr>
    </w:p>
    <w:p w14:paraId="6808FDF4" w14:textId="77777777" w:rsidR="00CF33D9" w:rsidRDefault="00CF33D9">
      <w:pPr>
        <w:spacing w:after="60"/>
        <w:jc w:val="both"/>
        <w:rPr>
          <w:rFonts w:ascii="Calibri" w:eastAsia="Calibri" w:hAnsi="Calibri" w:cs="Calibri"/>
          <w:sz w:val="20"/>
          <w:szCs w:val="20"/>
        </w:rPr>
      </w:pPr>
    </w:p>
    <w:p w14:paraId="6808FDF5" w14:textId="77777777" w:rsidR="00CF33D9" w:rsidRDefault="00CF33D9">
      <w:pPr>
        <w:spacing w:after="60"/>
        <w:jc w:val="center"/>
        <w:rPr>
          <w:rFonts w:ascii="Calibri" w:eastAsia="Calibri" w:hAnsi="Calibri" w:cs="Calibri"/>
          <w:sz w:val="20"/>
          <w:szCs w:val="20"/>
        </w:rPr>
      </w:pPr>
    </w:p>
    <w:p w14:paraId="6808FDF6" w14:textId="77777777" w:rsidR="00CF33D9" w:rsidRDefault="00E3332A">
      <w:pPr>
        <w:spacing w:after="60"/>
        <w:jc w:val="center"/>
        <w:rPr>
          <w:rFonts w:ascii="Calibri" w:eastAsia="Calibri" w:hAnsi="Calibri" w:cs="Calibri"/>
          <w:sz w:val="20"/>
          <w:szCs w:val="20"/>
        </w:rPr>
      </w:pPr>
      <w:r>
        <w:rPr>
          <w:rFonts w:ascii="Calibri" w:eastAsia="Calibri" w:hAnsi="Calibri" w:cs="Calibri"/>
          <w:sz w:val="20"/>
          <w:szCs w:val="20"/>
        </w:rPr>
        <w:t xml:space="preserve">Figure 9: Project </w:t>
      </w:r>
      <w:r>
        <w:rPr>
          <w:rFonts w:ascii="Calibri" w:eastAsia="Calibri" w:hAnsi="Calibri" w:cs="Calibri"/>
          <w:sz w:val="20"/>
          <w:szCs w:val="20"/>
          <w:lang w:val="en-US"/>
        </w:rPr>
        <w:t>O</w:t>
      </w:r>
      <w:r>
        <w:rPr>
          <w:rFonts w:ascii="Calibri" w:eastAsia="Calibri" w:hAnsi="Calibri" w:cs="Calibri"/>
          <w:sz w:val="20"/>
          <w:szCs w:val="20"/>
        </w:rPr>
        <w:t>rganisation structure</w:t>
      </w:r>
    </w:p>
    <w:p w14:paraId="6808FDF7" w14:textId="77777777" w:rsidR="00CF33D9" w:rsidRDefault="00CF33D9">
      <w:pPr>
        <w:spacing w:after="60"/>
        <w:jc w:val="both"/>
        <w:rPr>
          <w:rFonts w:ascii="Calibri" w:eastAsia="Calibri" w:hAnsi="Calibri" w:cs="Calibri"/>
          <w:sz w:val="20"/>
          <w:szCs w:val="20"/>
        </w:rPr>
      </w:pPr>
    </w:p>
    <w:p w14:paraId="1DF9485C" w14:textId="77777777" w:rsidR="0072771F" w:rsidRDefault="0072771F" w:rsidP="0072771F">
      <w:pPr>
        <w:spacing w:after="60"/>
        <w:jc w:val="both"/>
        <w:rPr>
          <w:rFonts w:ascii="Calibri" w:eastAsia="Calibri" w:hAnsi="Calibri" w:cs="Calibri"/>
          <w:color w:val="000000"/>
          <w:sz w:val="20"/>
          <w:szCs w:val="20"/>
        </w:rPr>
      </w:pPr>
      <w:r>
        <w:rPr>
          <w:rFonts w:ascii="Calibri" w:eastAsia="Calibri" w:hAnsi="Calibri" w:cs="Calibri"/>
          <w:sz w:val="20"/>
          <w:szCs w:val="20"/>
        </w:rPr>
        <w:t xml:space="preserve">The UNDP Resident Representative assumes full </w:t>
      </w:r>
      <w:r>
        <w:rPr>
          <w:rFonts w:ascii="Calibri" w:eastAsia="Calibri" w:hAnsi="Calibri" w:cs="Calibri"/>
          <w:color w:val="000000"/>
          <w:sz w:val="20"/>
          <w:szCs w:val="20"/>
        </w:rPr>
        <w:t>responsibility and accountability for oversight and quality assurance of this Project and ensures its timely implementation in compliance with the GEF-specific requirements and UNDP’s Programme and Operations Policies and Procedures (POPP), its Financial Regulations and Rules and Internal Control Framework.</w:t>
      </w:r>
      <w:r>
        <w:rPr>
          <w:rFonts w:ascii="Calibri" w:eastAsia="Calibri" w:hAnsi="Calibri" w:cs="Calibri"/>
          <w:sz w:val="20"/>
          <w:szCs w:val="20"/>
        </w:rPr>
        <w:t xml:space="preserve"> A representative of the UNDP Country Office will assume the assurance role and will present assurance findings to the PSC, and therefore attends PSC meetings as a non-voting member. </w:t>
      </w:r>
    </w:p>
    <w:p w14:paraId="467F3821" w14:textId="77777777" w:rsidR="007D4170" w:rsidRDefault="007D4170">
      <w:pPr>
        <w:spacing w:after="60"/>
        <w:jc w:val="both"/>
        <w:rPr>
          <w:rFonts w:ascii="Calibri" w:eastAsia="Calibri" w:hAnsi="Calibri" w:cs="Calibri"/>
          <w:sz w:val="20"/>
          <w:szCs w:val="20"/>
        </w:rPr>
      </w:pPr>
    </w:p>
    <w:p w14:paraId="25677204" w14:textId="77777777" w:rsidR="007D4170" w:rsidRDefault="007D4170">
      <w:pPr>
        <w:spacing w:after="60"/>
        <w:jc w:val="both"/>
        <w:rPr>
          <w:rFonts w:ascii="Calibri" w:eastAsia="Calibri" w:hAnsi="Calibri" w:cs="Calibri"/>
          <w:sz w:val="20"/>
          <w:szCs w:val="20"/>
          <w:u w:val="single"/>
        </w:rPr>
      </w:pPr>
    </w:p>
    <w:p w14:paraId="6808FDF9" w14:textId="77777777" w:rsidR="00CF33D9" w:rsidRDefault="00CF33D9">
      <w:pPr>
        <w:jc w:val="both"/>
        <w:rPr>
          <w:rFonts w:ascii="Calibri" w:eastAsia="Calibri" w:hAnsi="Calibri" w:cs="Calibri"/>
          <w:color w:val="000000"/>
          <w:sz w:val="20"/>
          <w:szCs w:val="20"/>
        </w:rPr>
      </w:pPr>
    </w:p>
    <w:p w14:paraId="6808FDFA" w14:textId="77777777" w:rsidR="00CF33D9" w:rsidRDefault="00E3332A">
      <w:pPr>
        <w:jc w:val="both"/>
        <w:rPr>
          <w:rFonts w:ascii="Calibri" w:eastAsia="Calibri" w:hAnsi="Calibri" w:cs="Calibri"/>
          <w:b/>
          <w:sz w:val="20"/>
          <w:szCs w:val="20"/>
        </w:rPr>
      </w:pPr>
      <w:r>
        <w:rPr>
          <w:rFonts w:ascii="Calibri" w:eastAsia="Calibri" w:hAnsi="Calibri" w:cs="Calibri"/>
          <w:b/>
          <w:sz w:val="20"/>
          <w:szCs w:val="20"/>
        </w:rPr>
        <w:t>Section 3: Segregation of duties and firewalls vis-à-vis UNDP representation on the PSC:</w:t>
      </w:r>
    </w:p>
    <w:p w14:paraId="6808FDFB" w14:textId="77777777" w:rsidR="00CF33D9" w:rsidRDefault="00CF33D9">
      <w:pPr>
        <w:jc w:val="both"/>
        <w:rPr>
          <w:rFonts w:ascii="Calibri" w:eastAsia="Calibri" w:hAnsi="Calibri" w:cs="Calibri"/>
          <w:b/>
          <w:sz w:val="20"/>
          <w:szCs w:val="20"/>
        </w:rPr>
      </w:pPr>
    </w:p>
    <w:p w14:paraId="6808FDFC"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 xml:space="preserve">As noted in the </w:t>
      </w:r>
      <w:hyperlink r:id="rId33">
        <w:r>
          <w:rPr>
            <w:rFonts w:ascii="Calibri" w:eastAsia="Calibri" w:hAnsi="Calibri" w:cs="Calibri"/>
            <w:color w:val="0000FF"/>
            <w:sz w:val="20"/>
            <w:szCs w:val="20"/>
            <w:u w:val="single"/>
          </w:rPr>
          <w:t>Minimum Fiduciary Standards for GEF Partner Agencies</w:t>
        </w:r>
      </w:hyperlink>
      <w:r>
        <w:rPr>
          <w:rFonts w:ascii="Calibri" w:eastAsia="Calibri" w:hAnsi="Calibri" w:cs="Calibri"/>
          <w:sz w:val="20"/>
          <w:szCs w:val="20"/>
        </w:rPr>
        <w:t>, in cases where a GEF Partner Agency (i.e. UNDP) carries out both implementation oversight and execution of a project, the GEF Partner Agency (i.e. UNDP) must separate its project implementation oversight and execution duties, and describe in the relevant project document a: 1) Satisfactory institutional arrangement for the separation of implementation oversight and executing functions in different departments of the GEF Partner Agency; and 2) Clear lines of responsibility, reporting and accountability within the GEF Partner Agency between the project implementation oversight and</w:t>
      </w:r>
    </w:p>
    <w:p w14:paraId="6808FDFD"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execution functions.</w:t>
      </w:r>
    </w:p>
    <w:p w14:paraId="6808FDFE" w14:textId="77777777" w:rsidR="00CF33D9" w:rsidRDefault="00CF33D9">
      <w:pPr>
        <w:jc w:val="both"/>
        <w:rPr>
          <w:rFonts w:ascii="Calibri" w:eastAsia="Calibri" w:hAnsi="Calibri" w:cs="Calibri"/>
          <w:sz w:val="20"/>
          <w:szCs w:val="20"/>
        </w:rPr>
      </w:pPr>
    </w:p>
    <w:p w14:paraId="6808FDFF" w14:textId="77777777" w:rsidR="00CF33D9" w:rsidRDefault="00E3332A">
      <w:pPr>
        <w:jc w:val="both"/>
        <w:rPr>
          <w:rFonts w:ascii="Calibri" w:eastAsia="Calibri" w:hAnsi="Calibri" w:cs="Calibri"/>
          <w:i/>
          <w:sz w:val="20"/>
          <w:szCs w:val="20"/>
          <w:highlight w:val="yellow"/>
        </w:rPr>
      </w:pPr>
      <w:r>
        <w:rPr>
          <w:rFonts w:ascii="Calibri" w:eastAsia="Calibri" w:hAnsi="Calibri" w:cs="Calibri"/>
          <w:sz w:val="20"/>
          <w:szCs w:val="20"/>
        </w:rPr>
        <w:lastRenderedPageBreak/>
        <w:t xml:space="preserve">In this case, UNDP’s implementation oversight role in the project – as represented in the PSC and via the project assurance function – is performed by </w:t>
      </w:r>
      <w:r>
        <w:rPr>
          <w:rFonts w:ascii="Calibri" w:eastAsia="Calibri" w:hAnsi="Calibri" w:cs="Calibri"/>
          <w:color w:val="000000" w:themeColor="text1"/>
          <w:sz w:val="20"/>
          <w:szCs w:val="20"/>
        </w:rPr>
        <w:t>UNDP Resident Representative</w:t>
      </w:r>
      <w:r>
        <w:rPr>
          <w:rFonts w:ascii="Calibri" w:eastAsia="Calibri" w:hAnsi="Calibri" w:cs="Calibri"/>
          <w:color w:val="FF0000"/>
          <w:sz w:val="20"/>
          <w:szCs w:val="20"/>
        </w:rPr>
        <w:t xml:space="preserve">. </w:t>
      </w:r>
      <w:r>
        <w:rPr>
          <w:rFonts w:ascii="Calibri" w:eastAsia="Calibri" w:hAnsi="Calibri" w:cs="Calibri"/>
          <w:sz w:val="20"/>
          <w:szCs w:val="20"/>
        </w:rPr>
        <w:t xml:space="preserve">UNDP’s execution role in the project (as requested by the implementing partner and approved by the GEF) is performed by </w:t>
      </w:r>
      <w:r>
        <w:rPr>
          <w:rFonts w:ascii="Calibri" w:eastAsia="Calibri" w:hAnsi="Calibri" w:cs="Calibri"/>
          <w:sz w:val="20"/>
          <w:szCs w:val="20"/>
          <w:lang w:val="en-US"/>
        </w:rPr>
        <w:t>the Chief Technical Advisor to be recruited by UNDP Namibia,</w:t>
      </w:r>
      <w:r>
        <w:rPr>
          <w:rFonts w:ascii="Calibri" w:eastAsia="Calibri" w:hAnsi="Calibri" w:cs="Calibri"/>
          <w:sz w:val="20"/>
          <w:szCs w:val="20"/>
        </w:rPr>
        <w:t>who will report to</w:t>
      </w:r>
      <w:r>
        <w:rPr>
          <w:rFonts w:ascii="Calibri" w:eastAsia="Calibri" w:hAnsi="Calibri" w:cs="Calibri"/>
          <w:bCs/>
          <w:sz w:val="20"/>
          <w:szCs w:val="20"/>
        </w:rPr>
        <w:t xml:space="preserve"> </w:t>
      </w:r>
      <w:r>
        <w:rPr>
          <w:rFonts w:ascii="Calibri" w:eastAsia="Calibri" w:hAnsi="Calibri" w:cs="Calibri"/>
          <w:bCs/>
          <w:sz w:val="20"/>
          <w:szCs w:val="20"/>
          <w:lang w:val="en-US"/>
        </w:rPr>
        <w:t xml:space="preserve">the UNDP Deputy Resident Representative. </w:t>
      </w:r>
    </w:p>
    <w:p w14:paraId="6808FE00" w14:textId="77777777" w:rsidR="00CF33D9" w:rsidRDefault="00CF33D9">
      <w:pPr>
        <w:shd w:val="clear" w:color="auto" w:fill="FFFFFF"/>
        <w:jc w:val="both"/>
        <w:rPr>
          <w:rFonts w:ascii="Calibri" w:eastAsia="Calibri" w:hAnsi="Calibri" w:cs="Calibri"/>
          <w:b/>
          <w:sz w:val="20"/>
          <w:szCs w:val="20"/>
          <w:u w:val="single"/>
        </w:rPr>
      </w:pPr>
    </w:p>
    <w:p w14:paraId="6808FE01" w14:textId="77777777" w:rsidR="00CF33D9" w:rsidRDefault="00E3332A">
      <w:pPr>
        <w:shd w:val="clear" w:color="auto" w:fill="FFFFFF"/>
        <w:jc w:val="both"/>
        <w:rPr>
          <w:rFonts w:ascii="Calibri" w:eastAsia="Calibri" w:hAnsi="Calibri" w:cs="Calibri"/>
          <w:b/>
          <w:sz w:val="20"/>
          <w:szCs w:val="20"/>
        </w:rPr>
      </w:pPr>
      <w:r>
        <w:rPr>
          <w:rFonts w:ascii="Calibri" w:eastAsia="Calibri" w:hAnsi="Calibri" w:cs="Calibri"/>
          <w:b/>
          <w:sz w:val="20"/>
          <w:szCs w:val="20"/>
          <w:u w:val="single"/>
        </w:rPr>
        <w:t>Section 4: Roles and Responsibilities of the Project Organization Structure:</w:t>
      </w:r>
      <w:r>
        <w:rPr>
          <w:rFonts w:ascii="Calibri" w:eastAsia="Calibri" w:hAnsi="Calibri" w:cs="Calibri"/>
          <w:b/>
          <w:sz w:val="20"/>
          <w:szCs w:val="20"/>
        </w:rPr>
        <w:t xml:space="preserve"> </w:t>
      </w:r>
    </w:p>
    <w:p w14:paraId="6808FE02" w14:textId="77777777" w:rsidR="00CF33D9" w:rsidRDefault="00CF33D9">
      <w:pPr>
        <w:shd w:val="clear" w:color="auto" w:fill="FFFFFF"/>
        <w:jc w:val="both"/>
        <w:rPr>
          <w:rFonts w:ascii="Calibri" w:eastAsia="Calibri" w:hAnsi="Calibri" w:cs="Calibri"/>
          <w:sz w:val="20"/>
          <w:szCs w:val="20"/>
        </w:rPr>
      </w:pPr>
    </w:p>
    <w:p w14:paraId="6808FE03" w14:textId="77777777" w:rsidR="00CF33D9" w:rsidRDefault="00E3332A">
      <w:pPr>
        <w:numPr>
          <w:ilvl w:val="0"/>
          <w:numId w:val="58"/>
        </w:numPr>
        <w:shd w:val="clear" w:color="auto" w:fill="FFFFFF"/>
        <w:jc w:val="both"/>
        <w:rPr>
          <w:rFonts w:ascii="Calibri" w:eastAsia="Calibri" w:hAnsi="Calibri" w:cs="Calibri"/>
          <w:b/>
          <w:sz w:val="20"/>
          <w:szCs w:val="20"/>
        </w:rPr>
      </w:pPr>
      <w:r>
        <w:rPr>
          <w:rFonts w:ascii="Calibri" w:eastAsia="Calibri" w:hAnsi="Calibri" w:cs="Calibri"/>
          <w:b/>
          <w:sz w:val="20"/>
          <w:szCs w:val="20"/>
        </w:rPr>
        <w:t xml:space="preserve">Project Steering Committee (PSC): </w:t>
      </w:r>
      <w:r>
        <w:rPr>
          <w:rFonts w:ascii="Calibri" w:eastAsia="Calibri" w:hAnsi="Calibri" w:cs="Calibri"/>
          <w:sz w:val="20"/>
          <w:szCs w:val="20"/>
        </w:rPr>
        <w:t xml:space="preserve">All UNDP projects must be governed by a multi-stakeholder committee established to review performance based on monitoring and evaluation, and implementation issues to ensure quality delivery of results. The PSC  is the most senior, dedicated oversight body for a project. </w:t>
      </w:r>
    </w:p>
    <w:p w14:paraId="6808FE04" w14:textId="77777777" w:rsidR="00CF33D9" w:rsidRDefault="00CF33D9">
      <w:pPr>
        <w:shd w:val="clear" w:color="auto" w:fill="FFFFFF"/>
        <w:jc w:val="both"/>
        <w:rPr>
          <w:rFonts w:ascii="Calibri" w:eastAsia="Calibri" w:hAnsi="Calibri" w:cs="Calibri"/>
          <w:sz w:val="20"/>
          <w:szCs w:val="20"/>
        </w:rPr>
      </w:pPr>
    </w:p>
    <w:p w14:paraId="6808FE05" w14:textId="77777777" w:rsidR="00CF33D9" w:rsidRDefault="00E3332A">
      <w:pPr>
        <w:shd w:val="clear" w:color="auto" w:fill="FFFFFF"/>
        <w:jc w:val="both"/>
        <w:rPr>
          <w:rFonts w:ascii="Calibri" w:eastAsia="Calibri" w:hAnsi="Calibri" w:cs="Calibri"/>
          <w:sz w:val="20"/>
          <w:szCs w:val="20"/>
        </w:rPr>
      </w:pPr>
      <w:r>
        <w:rPr>
          <w:rFonts w:ascii="Calibri" w:eastAsia="Calibri" w:hAnsi="Calibri" w:cs="Calibri"/>
          <w:sz w:val="20"/>
          <w:szCs w:val="20"/>
        </w:rPr>
        <w:t>The two main (mandatory) roles of the PSC are as follows:</w:t>
      </w:r>
    </w:p>
    <w:p w14:paraId="6808FE06" w14:textId="77777777" w:rsidR="00CF33D9" w:rsidRDefault="00CF33D9">
      <w:pPr>
        <w:shd w:val="clear" w:color="auto" w:fill="FFFFFF"/>
        <w:jc w:val="both"/>
        <w:rPr>
          <w:rFonts w:ascii="Calibri" w:eastAsia="Calibri" w:hAnsi="Calibri" w:cs="Calibri"/>
          <w:sz w:val="20"/>
          <w:szCs w:val="20"/>
        </w:rPr>
      </w:pPr>
    </w:p>
    <w:p w14:paraId="6808FE07" w14:textId="77777777" w:rsidR="00CF33D9" w:rsidRDefault="00E3332A">
      <w:pPr>
        <w:numPr>
          <w:ilvl w:val="0"/>
          <w:numId w:val="59"/>
        </w:numPr>
        <w:shd w:val="clear" w:color="auto" w:fill="FFFFFF"/>
        <w:jc w:val="both"/>
        <w:rPr>
          <w:rFonts w:ascii="Calibri" w:eastAsia="Calibri" w:hAnsi="Calibri" w:cs="Calibri"/>
          <w:sz w:val="20"/>
          <w:szCs w:val="20"/>
        </w:rPr>
      </w:pPr>
      <w:r>
        <w:rPr>
          <w:rFonts w:ascii="Calibri" w:eastAsia="Calibri" w:hAnsi="Calibri" w:cs="Calibri"/>
          <w:b/>
          <w:sz w:val="20"/>
          <w:szCs w:val="20"/>
        </w:rPr>
        <w:t>High-level oversight of the execution of the project by the Implementing Partner</w:t>
      </w:r>
      <w:r>
        <w:rPr>
          <w:rFonts w:ascii="Calibri" w:eastAsia="Calibri" w:hAnsi="Calibri" w:cs="Calibri"/>
          <w:sz w:val="20"/>
          <w:szCs w:val="20"/>
        </w:rPr>
        <w:t xml:space="preserve"> (as explained in the </w:t>
      </w:r>
      <w:hyperlink r:id="rId34">
        <w:r>
          <w:rPr>
            <w:rFonts w:ascii="Calibri" w:eastAsia="Calibri" w:hAnsi="Calibri" w:cs="Calibri"/>
            <w:color w:val="0000FF"/>
            <w:sz w:val="20"/>
            <w:szCs w:val="20"/>
            <w:u w:val="single"/>
          </w:rPr>
          <w:t>“Provide Oversight”</w:t>
        </w:r>
      </w:hyperlink>
      <w:r>
        <w:rPr>
          <w:rFonts w:ascii="Calibri" w:eastAsia="Calibri" w:hAnsi="Calibri" w:cs="Calibri"/>
          <w:sz w:val="20"/>
          <w:szCs w:val="20"/>
        </w:rPr>
        <w:t xml:space="preserve"> section of the POPP). This is the primary function of the PSC and includes annual (and as-needed) assessments of any major risks to the project, and decisions/agreements on any management actions or remedial measures to address them effectively. The PSC reviews evidence of project performance based on monitoring, evaluation and reporting, including progress reports, evaluations, risk logs and the combined delivery report.</w:t>
      </w:r>
      <w:r>
        <w:rPr>
          <w:rFonts w:ascii="Calibri" w:hAnsi="Calibri" w:cs="Calibri"/>
          <w:sz w:val="20"/>
          <w:szCs w:val="20"/>
        </w:rPr>
        <w:t xml:space="preserve"> </w:t>
      </w:r>
      <w:r>
        <w:rPr>
          <w:rFonts w:ascii="Calibri" w:eastAsia="Calibri" w:hAnsi="Calibri" w:cs="Calibri"/>
          <w:sz w:val="20"/>
          <w:szCs w:val="20"/>
        </w:rPr>
        <w:t>The PSC is responsible for taking corrective action as needed to ensure the project achieves the desired results.</w:t>
      </w:r>
    </w:p>
    <w:p w14:paraId="6808FE08" w14:textId="77777777" w:rsidR="00CF33D9" w:rsidRDefault="00E3332A">
      <w:pPr>
        <w:numPr>
          <w:ilvl w:val="0"/>
          <w:numId w:val="59"/>
        </w:numPr>
        <w:shd w:val="clear" w:color="auto" w:fill="FFFFFF"/>
        <w:jc w:val="both"/>
        <w:rPr>
          <w:rFonts w:ascii="Calibri" w:hAnsi="Calibri" w:cs="Calibri"/>
          <w:sz w:val="20"/>
          <w:szCs w:val="20"/>
        </w:rPr>
      </w:pPr>
      <w:r>
        <w:rPr>
          <w:rFonts w:ascii="Calibri" w:eastAsia="Calibri" w:hAnsi="Calibri" w:cs="Calibri"/>
          <w:b/>
          <w:sz w:val="20"/>
          <w:szCs w:val="20"/>
        </w:rPr>
        <w:t xml:space="preserve">Approval of strategic project execution decisions of the Implementing Partner </w:t>
      </w:r>
      <w:r>
        <w:rPr>
          <w:rFonts w:ascii="Calibri" w:eastAsia="Calibri" w:hAnsi="Calibri" w:cs="Calibri"/>
          <w:sz w:val="20"/>
          <w:szCs w:val="20"/>
        </w:rPr>
        <w:t>with a view to assess and manage risks, monitor and ensure the overall achievement of projected results and impacts and ensure long term sustainability of project execution decisions of the Implementing Partner</w:t>
      </w:r>
      <w:r>
        <w:rPr>
          <w:rFonts w:ascii="Calibri" w:eastAsia="Calibri" w:hAnsi="Calibri" w:cs="Calibri"/>
          <w:b/>
          <w:sz w:val="20"/>
          <w:szCs w:val="20"/>
        </w:rPr>
        <w:t xml:space="preserve"> </w:t>
      </w:r>
      <w:r>
        <w:rPr>
          <w:rFonts w:ascii="Calibri" w:eastAsia="Calibri" w:hAnsi="Calibri" w:cs="Calibri"/>
          <w:sz w:val="20"/>
          <w:szCs w:val="20"/>
        </w:rPr>
        <w:t xml:space="preserve">(as explained in the </w:t>
      </w:r>
      <w:hyperlink r:id="rId35">
        <w:r>
          <w:rPr>
            <w:rFonts w:ascii="Calibri" w:eastAsia="Calibri" w:hAnsi="Calibri" w:cs="Calibri"/>
            <w:color w:val="0000FF"/>
            <w:sz w:val="20"/>
            <w:szCs w:val="20"/>
            <w:u w:val="single"/>
          </w:rPr>
          <w:t>“Manage Change”</w:t>
        </w:r>
      </w:hyperlink>
      <w:r>
        <w:rPr>
          <w:rFonts w:ascii="Calibri" w:eastAsia="Calibri" w:hAnsi="Calibri" w:cs="Calibri"/>
          <w:sz w:val="20"/>
          <w:szCs w:val="20"/>
        </w:rPr>
        <w:t xml:space="preserve"> section of the POPP). </w:t>
      </w:r>
    </w:p>
    <w:p w14:paraId="6808FE09" w14:textId="77777777" w:rsidR="00CF33D9" w:rsidRDefault="00CF33D9">
      <w:pPr>
        <w:shd w:val="clear" w:color="auto" w:fill="FFFFFF"/>
        <w:jc w:val="both"/>
        <w:rPr>
          <w:rFonts w:ascii="Calibri" w:eastAsia="Calibri" w:hAnsi="Calibri" w:cs="Calibri"/>
          <w:sz w:val="20"/>
          <w:szCs w:val="20"/>
        </w:rPr>
      </w:pPr>
    </w:p>
    <w:p w14:paraId="6808FE0A" w14:textId="77777777" w:rsidR="00CF33D9" w:rsidRDefault="00E3332A">
      <w:pPr>
        <w:shd w:val="clear" w:color="auto" w:fill="FFFFFF"/>
        <w:jc w:val="both"/>
        <w:rPr>
          <w:rFonts w:ascii="Calibri" w:eastAsia="Calibri" w:hAnsi="Calibri" w:cs="Calibri"/>
          <w:sz w:val="20"/>
          <w:szCs w:val="20"/>
        </w:rPr>
      </w:pPr>
      <w:r>
        <w:rPr>
          <w:rFonts w:ascii="Calibri" w:eastAsia="Calibri" w:hAnsi="Calibri" w:cs="Calibri"/>
          <w:b/>
          <w:sz w:val="20"/>
          <w:szCs w:val="20"/>
        </w:rPr>
        <w:t>Requirements to serve on the PSC</w:t>
      </w:r>
      <w:r>
        <w:rPr>
          <w:rFonts w:ascii="Calibri" w:eastAsia="Calibri" w:hAnsi="Calibri" w:cs="Calibri"/>
          <w:sz w:val="20"/>
          <w:szCs w:val="20"/>
        </w:rPr>
        <w:t xml:space="preserve">: </w:t>
      </w:r>
    </w:p>
    <w:p w14:paraId="6808FE0B" w14:textId="77777777" w:rsidR="00CF33D9" w:rsidRDefault="00CF33D9">
      <w:pPr>
        <w:shd w:val="clear" w:color="auto" w:fill="FFFFFF"/>
        <w:jc w:val="both"/>
        <w:rPr>
          <w:rFonts w:ascii="Calibri" w:eastAsia="Calibri" w:hAnsi="Calibri" w:cs="Calibri"/>
          <w:sz w:val="20"/>
          <w:szCs w:val="20"/>
        </w:rPr>
      </w:pPr>
    </w:p>
    <w:p w14:paraId="6808FE0C" w14:textId="77777777" w:rsidR="00CF33D9" w:rsidRDefault="00E3332A">
      <w:pPr>
        <w:numPr>
          <w:ilvl w:val="0"/>
          <w:numId w:val="60"/>
        </w:numPr>
        <w:shd w:val="clear" w:color="auto" w:fill="FFFFFF"/>
        <w:jc w:val="both"/>
        <w:rPr>
          <w:rFonts w:ascii="Calibri" w:eastAsia="Calibri" w:hAnsi="Calibri" w:cs="Calibri"/>
          <w:sz w:val="20"/>
          <w:szCs w:val="20"/>
        </w:rPr>
      </w:pPr>
      <w:r>
        <w:rPr>
          <w:rFonts w:ascii="Calibri" w:eastAsia="Calibri" w:hAnsi="Calibri" w:cs="Calibri"/>
          <w:sz w:val="20"/>
          <w:szCs w:val="20"/>
        </w:rPr>
        <w:t>Agree to the Terms of Reference of the PSC and the rules on protocols, quorum and minuting.</w:t>
      </w:r>
    </w:p>
    <w:p w14:paraId="6808FE0D" w14:textId="77777777" w:rsidR="00CF33D9" w:rsidRDefault="00E3332A">
      <w:pPr>
        <w:numPr>
          <w:ilvl w:val="0"/>
          <w:numId w:val="60"/>
        </w:numPr>
        <w:shd w:val="clear" w:color="auto" w:fill="FFFFFF"/>
        <w:jc w:val="both"/>
        <w:rPr>
          <w:rFonts w:ascii="Calibri" w:eastAsia="Calibri" w:hAnsi="Calibri" w:cs="Calibri"/>
          <w:sz w:val="20"/>
          <w:szCs w:val="20"/>
        </w:rPr>
      </w:pPr>
      <w:r>
        <w:rPr>
          <w:rFonts w:ascii="Calibri" w:eastAsia="Calibri" w:hAnsi="Calibri" w:cs="Calibri"/>
          <w:sz w:val="20"/>
          <w:szCs w:val="20"/>
        </w:rPr>
        <w:t>Meet annually; at least once.</w:t>
      </w:r>
    </w:p>
    <w:p w14:paraId="6808FE0E" w14:textId="77777777" w:rsidR="00CF33D9" w:rsidRDefault="00E3332A">
      <w:pPr>
        <w:numPr>
          <w:ilvl w:val="0"/>
          <w:numId w:val="60"/>
        </w:numPr>
        <w:jc w:val="both"/>
        <w:rPr>
          <w:rFonts w:ascii="Calibri" w:eastAsia="Calibri" w:hAnsi="Calibri" w:cs="Calibri"/>
          <w:sz w:val="20"/>
          <w:szCs w:val="20"/>
        </w:rPr>
      </w:pPr>
      <w:r>
        <w:rPr>
          <w:rFonts w:ascii="Calibri" w:eastAsia="Calibri" w:hAnsi="Calibri" w:cs="Calibri"/>
          <w:sz w:val="20"/>
          <w:szCs w:val="20"/>
        </w:rPr>
        <w:t>Disclose any conflict of interest in performing the functions of a PSC member and take all measures to avoid any real or perceived conflicts of interest. This disclosure must be documented and kept on record by UNDP.</w:t>
      </w:r>
    </w:p>
    <w:p w14:paraId="6808FE0F" w14:textId="77777777" w:rsidR="00CF33D9" w:rsidRDefault="00E3332A">
      <w:pPr>
        <w:numPr>
          <w:ilvl w:val="0"/>
          <w:numId w:val="60"/>
        </w:numPr>
        <w:shd w:val="clear" w:color="auto" w:fill="FFFFFF"/>
        <w:jc w:val="both"/>
        <w:rPr>
          <w:rFonts w:ascii="Calibri" w:eastAsia="Calibri" w:hAnsi="Calibri" w:cs="Calibri"/>
          <w:sz w:val="20"/>
          <w:szCs w:val="20"/>
        </w:rPr>
      </w:pPr>
      <w:r>
        <w:rPr>
          <w:rFonts w:ascii="Calibri" w:eastAsia="Calibri" w:hAnsi="Calibri" w:cs="Calibri"/>
          <w:sz w:val="20"/>
          <w:szCs w:val="20"/>
        </w:rPr>
        <w:t>Discharge the functions of the PSC in accordance with UNDP policies and procedures.</w:t>
      </w:r>
    </w:p>
    <w:p w14:paraId="6808FE10" w14:textId="77777777" w:rsidR="00CF33D9" w:rsidRDefault="00E3332A">
      <w:pPr>
        <w:numPr>
          <w:ilvl w:val="0"/>
          <w:numId w:val="60"/>
        </w:numPr>
        <w:shd w:val="clear" w:color="auto" w:fill="FFFFFF"/>
        <w:jc w:val="both"/>
        <w:rPr>
          <w:rFonts w:ascii="Calibri" w:eastAsia="Calibri" w:hAnsi="Calibri" w:cs="Calibri"/>
          <w:sz w:val="20"/>
          <w:szCs w:val="20"/>
        </w:rPr>
      </w:pPr>
      <w:r>
        <w:rPr>
          <w:rFonts w:ascii="Calibri" w:eastAsia="Calibri" w:hAnsi="Calibri" w:cs="Calibri"/>
          <w:sz w:val="20"/>
          <w:szCs w:val="20"/>
        </w:rPr>
        <w:t>Ensure highest levels of transparency and ensure PSC meeting minutes are recorded and shared with project stakeholders.</w:t>
      </w:r>
    </w:p>
    <w:p w14:paraId="6808FE11" w14:textId="77777777" w:rsidR="00CF33D9" w:rsidRDefault="00CF33D9">
      <w:pPr>
        <w:shd w:val="clear" w:color="auto" w:fill="FFFFFF"/>
        <w:jc w:val="both"/>
        <w:rPr>
          <w:rFonts w:ascii="Calibri" w:eastAsia="Calibri" w:hAnsi="Calibri" w:cs="Calibri"/>
          <w:b/>
          <w:sz w:val="20"/>
          <w:szCs w:val="20"/>
        </w:rPr>
      </w:pPr>
    </w:p>
    <w:p w14:paraId="6808FE12" w14:textId="77777777" w:rsidR="00CF33D9" w:rsidRDefault="00E3332A">
      <w:pPr>
        <w:shd w:val="clear" w:color="auto" w:fill="FFFFFF"/>
        <w:jc w:val="both"/>
        <w:rPr>
          <w:rFonts w:ascii="Calibri" w:eastAsia="Calibri" w:hAnsi="Calibri" w:cs="Calibri"/>
          <w:sz w:val="20"/>
          <w:szCs w:val="20"/>
        </w:rPr>
      </w:pPr>
      <w:r>
        <w:rPr>
          <w:rFonts w:ascii="Calibri" w:eastAsia="Calibri" w:hAnsi="Calibri" w:cs="Calibri"/>
          <w:b/>
          <w:sz w:val="20"/>
          <w:szCs w:val="20"/>
        </w:rPr>
        <w:t>Responsibilities of the PSC</w:t>
      </w:r>
      <w:r>
        <w:rPr>
          <w:rFonts w:ascii="Calibri" w:eastAsia="Calibri" w:hAnsi="Calibri" w:cs="Calibri"/>
          <w:sz w:val="20"/>
          <w:szCs w:val="20"/>
        </w:rPr>
        <w:t xml:space="preserve">: </w:t>
      </w:r>
    </w:p>
    <w:p w14:paraId="6808FE13" w14:textId="77777777" w:rsidR="00CF33D9" w:rsidRDefault="00CF33D9">
      <w:pPr>
        <w:shd w:val="clear" w:color="auto" w:fill="FFFFFF"/>
        <w:jc w:val="both"/>
        <w:rPr>
          <w:rFonts w:ascii="Calibri" w:eastAsia="Calibri" w:hAnsi="Calibri" w:cs="Calibri"/>
          <w:sz w:val="20"/>
          <w:szCs w:val="20"/>
        </w:rPr>
      </w:pPr>
    </w:p>
    <w:p w14:paraId="6808FE14" w14:textId="77777777" w:rsidR="00CF33D9" w:rsidRDefault="00E3332A">
      <w:pPr>
        <w:numPr>
          <w:ilvl w:val="0"/>
          <w:numId w:val="61"/>
        </w:numPr>
        <w:shd w:val="clear" w:color="auto" w:fill="FFFFFF"/>
        <w:jc w:val="both"/>
        <w:rPr>
          <w:rFonts w:ascii="Calibri" w:eastAsia="Calibri" w:hAnsi="Calibri" w:cs="Calibri"/>
          <w:sz w:val="20"/>
          <w:szCs w:val="20"/>
        </w:rPr>
      </w:pPr>
      <w:r>
        <w:rPr>
          <w:rFonts w:ascii="Calibri" w:eastAsia="Calibri" w:hAnsi="Calibri" w:cs="Calibri"/>
          <w:sz w:val="20"/>
          <w:szCs w:val="20"/>
        </w:rPr>
        <w:t>Consensus decision making:</w:t>
      </w:r>
    </w:p>
    <w:p w14:paraId="6808FE15" w14:textId="77777777" w:rsidR="00CF33D9" w:rsidRDefault="00E3332A">
      <w:pPr>
        <w:numPr>
          <w:ilvl w:val="1"/>
          <w:numId w:val="61"/>
        </w:numPr>
        <w:shd w:val="clear" w:color="auto" w:fill="FFFFFF"/>
        <w:jc w:val="both"/>
        <w:rPr>
          <w:rFonts w:ascii="Calibri" w:eastAsia="Calibri" w:hAnsi="Calibri" w:cs="Calibri"/>
          <w:sz w:val="20"/>
          <w:szCs w:val="20"/>
        </w:rPr>
      </w:pPr>
      <w:r>
        <w:rPr>
          <w:rFonts w:ascii="Calibri" w:eastAsia="Calibri" w:hAnsi="Calibri" w:cs="Calibri"/>
          <w:sz w:val="20"/>
          <w:szCs w:val="20"/>
        </w:rPr>
        <w:t xml:space="preserve">The PSC provides overall guidance and direction to the project, ensuring it remains within any specified constraints, and providing overall oversight of the project implementation. </w:t>
      </w:r>
    </w:p>
    <w:p w14:paraId="6808FE16" w14:textId="77777777" w:rsidR="00CF33D9" w:rsidRDefault="00E3332A">
      <w:pPr>
        <w:numPr>
          <w:ilvl w:val="1"/>
          <w:numId w:val="61"/>
        </w:numPr>
        <w:shd w:val="clear" w:color="auto" w:fill="FFFFFF"/>
        <w:jc w:val="both"/>
        <w:rPr>
          <w:rFonts w:ascii="Calibri" w:eastAsia="Calibri" w:hAnsi="Calibri" w:cs="Calibri"/>
          <w:sz w:val="20"/>
          <w:szCs w:val="20"/>
        </w:rPr>
      </w:pPr>
      <w:r>
        <w:rPr>
          <w:rFonts w:ascii="Calibri" w:eastAsia="Calibri" w:hAnsi="Calibri" w:cs="Calibri"/>
          <w:sz w:val="20"/>
          <w:szCs w:val="20"/>
        </w:rPr>
        <w:t>Review project performance based on monitoring, evaluation and reporting, including progress reports, risk logs and the combined delivery report;</w:t>
      </w:r>
    </w:p>
    <w:p w14:paraId="6808FE17" w14:textId="77777777" w:rsidR="00CF33D9" w:rsidRDefault="00E3332A">
      <w:pPr>
        <w:numPr>
          <w:ilvl w:val="1"/>
          <w:numId w:val="61"/>
        </w:numPr>
        <w:shd w:val="clear" w:color="auto" w:fill="FFFFFF"/>
        <w:jc w:val="both"/>
        <w:rPr>
          <w:rFonts w:ascii="Calibri" w:eastAsia="Calibri" w:hAnsi="Calibri" w:cs="Calibri"/>
          <w:sz w:val="20"/>
          <w:szCs w:val="20"/>
        </w:rPr>
      </w:pPr>
      <w:r>
        <w:rPr>
          <w:rFonts w:ascii="Calibri" w:eastAsia="Calibri" w:hAnsi="Calibri" w:cs="Calibri"/>
          <w:sz w:val="20"/>
          <w:szCs w:val="20"/>
        </w:rPr>
        <w:t xml:space="preserve">The PSC is responsible for making management decisions by consensus. </w:t>
      </w:r>
    </w:p>
    <w:p w14:paraId="6808FE18" w14:textId="77777777" w:rsidR="00CF33D9" w:rsidRDefault="00E3332A">
      <w:pPr>
        <w:numPr>
          <w:ilvl w:val="1"/>
          <w:numId w:val="61"/>
        </w:numPr>
        <w:shd w:val="clear" w:color="auto" w:fill="FFFFFF"/>
        <w:jc w:val="both"/>
        <w:rPr>
          <w:rFonts w:ascii="Calibri" w:eastAsia="Calibri" w:hAnsi="Calibri" w:cs="Calibri"/>
          <w:sz w:val="20"/>
          <w:szCs w:val="20"/>
        </w:rPr>
      </w:pPr>
      <w:r>
        <w:rPr>
          <w:rFonts w:ascii="Calibri" w:eastAsia="Calibri" w:hAnsi="Calibri" w:cs="Calibri"/>
          <w:sz w:val="20"/>
          <w:szCs w:val="20"/>
        </w:rPr>
        <w:t xml:space="preserve">In order to ensure UNDP’s ultimate accountability, PSC decisions should be made in accordance with standards that shall ensure management for development results, best value money, fairness, integrity, transparency and effective international competition. </w:t>
      </w:r>
    </w:p>
    <w:p w14:paraId="6808FE19" w14:textId="77777777" w:rsidR="00CF33D9" w:rsidRDefault="00E3332A">
      <w:pPr>
        <w:numPr>
          <w:ilvl w:val="1"/>
          <w:numId w:val="61"/>
        </w:numPr>
        <w:shd w:val="clear" w:color="auto" w:fill="FFFFFF"/>
        <w:jc w:val="both"/>
        <w:rPr>
          <w:rFonts w:ascii="Calibri" w:eastAsia="Calibri" w:hAnsi="Calibri" w:cs="Calibri"/>
          <w:sz w:val="20"/>
          <w:szCs w:val="20"/>
        </w:rPr>
      </w:pPr>
      <w:r>
        <w:rPr>
          <w:rFonts w:ascii="Calibri" w:eastAsia="Calibri" w:hAnsi="Calibri" w:cs="Calibri"/>
          <w:sz w:val="20"/>
          <w:szCs w:val="20"/>
        </w:rPr>
        <w:t>In case consensus cannot be reached within the PSC, the UNDP representative on the PSC will mediate to find consensus and, if this cannot be found, will take the final decision to ensure project implementation is not unduly delayed.</w:t>
      </w:r>
    </w:p>
    <w:p w14:paraId="6808FE1A" w14:textId="77777777" w:rsidR="00CF33D9" w:rsidRDefault="00E3332A">
      <w:pPr>
        <w:numPr>
          <w:ilvl w:val="0"/>
          <w:numId w:val="61"/>
        </w:numPr>
        <w:shd w:val="clear" w:color="auto" w:fill="FFFFFF"/>
        <w:jc w:val="both"/>
        <w:rPr>
          <w:rFonts w:ascii="Calibri" w:eastAsia="Calibri" w:hAnsi="Calibri" w:cs="Calibri"/>
          <w:sz w:val="20"/>
          <w:szCs w:val="20"/>
        </w:rPr>
      </w:pPr>
      <w:r>
        <w:rPr>
          <w:rFonts w:ascii="Calibri" w:eastAsia="Calibri" w:hAnsi="Calibri" w:cs="Calibri"/>
          <w:sz w:val="20"/>
          <w:szCs w:val="20"/>
        </w:rPr>
        <w:t xml:space="preserve">Oversee project execution: </w:t>
      </w:r>
    </w:p>
    <w:p w14:paraId="6808FE1B" w14:textId="77777777" w:rsidR="00CF33D9" w:rsidRDefault="00E3332A">
      <w:pPr>
        <w:numPr>
          <w:ilvl w:val="1"/>
          <w:numId w:val="61"/>
        </w:numPr>
        <w:ind w:hanging="306"/>
        <w:jc w:val="both"/>
        <w:rPr>
          <w:rFonts w:ascii="Calibri" w:eastAsia="Calibri" w:hAnsi="Calibri" w:cs="Calibri"/>
          <w:sz w:val="20"/>
          <w:szCs w:val="20"/>
        </w:rPr>
      </w:pPr>
      <w:r>
        <w:rPr>
          <w:rFonts w:ascii="Calibri" w:eastAsia="Calibri" w:hAnsi="Calibri" w:cs="Calibri"/>
          <w:sz w:val="20"/>
          <w:szCs w:val="20"/>
        </w:rPr>
        <w:lastRenderedPageBreak/>
        <w:t>Agree on project manager’s tolerances as required, within the parameters outlined in the project document, and provide direction and advice for exceptional situations when the project manager’s tolerances are exceeded.</w:t>
      </w:r>
    </w:p>
    <w:p w14:paraId="6808FE1C" w14:textId="77777777" w:rsidR="00CF33D9" w:rsidRDefault="00E3332A">
      <w:pPr>
        <w:numPr>
          <w:ilvl w:val="0"/>
          <w:numId w:val="62"/>
        </w:numPr>
        <w:ind w:left="1418" w:hanging="306"/>
        <w:jc w:val="both"/>
        <w:rPr>
          <w:rFonts w:ascii="Calibri" w:eastAsia="Calibri" w:hAnsi="Calibri" w:cs="Calibri"/>
          <w:color w:val="000000"/>
          <w:sz w:val="20"/>
          <w:szCs w:val="20"/>
        </w:rPr>
      </w:pPr>
      <w:r>
        <w:rPr>
          <w:rFonts w:ascii="Calibri" w:eastAsia="Calibri" w:hAnsi="Calibri" w:cs="Calibri"/>
          <w:sz w:val="20"/>
          <w:szCs w:val="20"/>
        </w:rPr>
        <w:t>Appraise annual work plans prepared by the Implementing Partner for the Project; r</w:t>
      </w:r>
      <w:r>
        <w:rPr>
          <w:rFonts w:ascii="Calibri" w:eastAsia="Calibri" w:hAnsi="Calibri" w:cs="Calibri"/>
          <w:color w:val="000000"/>
          <w:sz w:val="20"/>
          <w:szCs w:val="20"/>
        </w:rPr>
        <w:t>eview combined delivery reports prior to certification by the implementing partner.</w:t>
      </w:r>
    </w:p>
    <w:p w14:paraId="6808FE1D" w14:textId="77777777" w:rsidR="00CF33D9" w:rsidRDefault="00E3332A">
      <w:pPr>
        <w:numPr>
          <w:ilvl w:val="0"/>
          <w:numId w:val="62"/>
        </w:numPr>
        <w:ind w:left="1418" w:hanging="306"/>
        <w:jc w:val="both"/>
        <w:rPr>
          <w:rFonts w:ascii="Calibri" w:eastAsia="Calibri" w:hAnsi="Calibri" w:cs="Calibri"/>
          <w:sz w:val="20"/>
          <w:szCs w:val="20"/>
        </w:rPr>
      </w:pPr>
      <w:r>
        <w:rPr>
          <w:rFonts w:ascii="Calibri" w:eastAsia="Calibri" w:hAnsi="Calibri" w:cs="Calibri"/>
          <w:sz w:val="20"/>
          <w:szCs w:val="20"/>
        </w:rPr>
        <w:t>Address any high-level project issues as raised by the project manager and project assurance;</w:t>
      </w:r>
    </w:p>
    <w:p w14:paraId="6808FE1E" w14:textId="77777777" w:rsidR="00CF33D9" w:rsidRDefault="00E3332A">
      <w:pPr>
        <w:numPr>
          <w:ilvl w:val="0"/>
          <w:numId w:val="62"/>
        </w:numPr>
        <w:ind w:left="1418" w:hanging="306"/>
        <w:jc w:val="both"/>
        <w:rPr>
          <w:rFonts w:ascii="Calibri" w:eastAsia="Calibri" w:hAnsi="Calibri" w:cs="Calibri"/>
          <w:sz w:val="20"/>
          <w:szCs w:val="20"/>
        </w:rPr>
      </w:pPr>
      <w:r>
        <w:rPr>
          <w:rFonts w:ascii="Calibri" w:eastAsia="Calibri" w:hAnsi="Calibri" w:cs="Calibri"/>
          <w:sz w:val="20"/>
          <w:szCs w:val="20"/>
        </w:rPr>
        <w:t>Advise on major and minor amendments to the project within the parameters set by UNDP and the donor and refer such proposed major and minor amendments to the UNDP BPPS Nature, Climate and Energy Executive Coordinator (and the GEF, as required by GEF policies);</w:t>
      </w:r>
    </w:p>
    <w:p w14:paraId="6808FE1F" w14:textId="77777777" w:rsidR="00CF33D9" w:rsidRDefault="00E3332A">
      <w:pPr>
        <w:numPr>
          <w:ilvl w:val="0"/>
          <w:numId w:val="62"/>
        </w:numPr>
        <w:ind w:left="1418" w:hanging="306"/>
        <w:jc w:val="both"/>
        <w:rPr>
          <w:rFonts w:ascii="Calibri" w:eastAsia="Calibri" w:hAnsi="Calibri" w:cs="Calibri"/>
          <w:sz w:val="20"/>
          <w:szCs w:val="20"/>
        </w:rPr>
      </w:pPr>
      <w:r>
        <w:rPr>
          <w:rFonts w:ascii="Calibri" w:eastAsia="Calibri" w:hAnsi="Calibri" w:cs="Calibri"/>
          <w:sz w:val="20"/>
          <w:szCs w:val="20"/>
        </w:rPr>
        <w:t>Provide high-level direction and recommendations to the project management unit to ensure that the agreed deliverables are produced satisfactorily and according to plans.</w:t>
      </w:r>
    </w:p>
    <w:p w14:paraId="6808FE20" w14:textId="77777777" w:rsidR="00CF33D9" w:rsidRDefault="00E3332A">
      <w:pPr>
        <w:numPr>
          <w:ilvl w:val="0"/>
          <w:numId w:val="62"/>
        </w:numPr>
        <w:ind w:left="1418" w:hanging="306"/>
        <w:jc w:val="both"/>
        <w:rPr>
          <w:rFonts w:ascii="Calibri" w:eastAsia="Calibri" w:hAnsi="Calibri" w:cs="Calibri"/>
          <w:sz w:val="20"/>
          <w:szCs w:val="20"/>
        </w:rPr>
      </w:pPr>
      <w:r>
        <w:rPr>
          <w:rFonts w:ascii="Calibri" w:eastAsia="Calibri" w:hAnsi="Calibri" w:cs="Calibri"/>
          <w:sz w:val="20"/>
          <w:szCs w:val="20"/>
        </w:rPr>
        <w:t xml:space="preserve">Track and monitor co-financed activities and realisation of co-financing amounts of this project. </w:t>
      </w:r>
    </w:p>
    <w:p w14:paraId="6808FE21" w14:textId="77777777" w:rsidR="00CF33D9" w:rsidRDefault="00E3332A">
      <w:pPr>
        <w:numPr>
          <w:ilvl w:val="0"/>
          <w:numId w:val="62"/>
        </w:numPr>
        <w:ind w:left="1418" w:hanging="306"/>
        <w:jc w:val="both"/>
        <w:rPr>
          <w:rFonts w:ascii="Calibri" w:eastAsia="Calibri" w:hAnsi="Calibri" w:cs="Calibri"/>
          <w:sz w:val="20"/>
          <w:szCs w:val="20"/>
        </w:rPr>
      </w:pPr>
      <w:r>
        <w:rPr>
          <w:rFonts w:ascii="Calibri" w:eastAsia="Calibri" w:hAnsi="Calibri" w:cs="Calibri"/>
          <w:sz w:val="20"/>
          <w:szCs w:val="20"/>
        </w:rPr>
        <w:t>Approve the Inception Report, GEF annual project implementation reports, mid-term review and terminal evaluation reports.</w:t>
      </w:r>
    </w:p>
    <w:p w14:paraId="6808FE22" w14:textId="77777777" w:rsidR="00CF33D9" w:rsidRDefault="00E3332A">
      <w:pPr>
        <w:numPr>
          <w:ilvl w:val="0"/>
          <w:numId w:val="62"/>
        </w:numPr>
        <w:ind w:left="1418" w:hanging="306"/>
        <w:jc w:val="both"/>
        <w:rPr>
          <w:rFonts w:ascii="Calibri" w:eastAsia="Calibri" w:hAnsi="Calibri" w:cs="Calibri"/>
          <w:sz w:val="20"/>
          <w:szCs w:val="20"/>
        </w:rPr>
      </w:pPr>
      <w:r>
        <w:rPr>
          <w:rFonts w:ascii="Calibri" w:eastAsia="Calibri" w:hAnsi="Calibri" w:cs="Calibri"/>
          <w:sz w:val="20"/>
          <w:szCs w:val="20"/>
        </w:rPr>
        <w:t xml:space="preserve">Ensure commitment of human resources to support project implementation, arbitrating any issues within the project. </w:t>
      </w:r>
    </w:p>
    <w:p w14:paraId="6808FE23" w14:textId="77777777" w:rsidR="00CF33D9" w:rsidRDefault="00E3332A">
      <w:pPr>
        <w:numPr>
          <w:ilvl w:val="0"/>
          <w:numId w:val="61"/>
        </w:numPr>
        <w:shd w:val="clear" w:color="auto" w:fill="FFFFFF"/>
        <w:jc w:val="both"/>
        <w:rPr>
          <w:rFonts w:ascii="Calibri" w:eastAsia="Calibri" w:hAnsi="Calibri" w:cs="Calibri"/>
          <w:sz w:val="20"/>
          <w:szCs w:val="20"/>
        </w:rPr>
      </w:pPr>
      <w:r>
        <w:rPr>
          <w:rFonts w:ascii="Calibri" w:eastAsia="Calibri" w:hAnsi="Calibri" w:cs="Calibri"/>
          <w:sz w:val="20"/>
          <w:szCs w:val="20"/>
        </w:rPr>
        <w:t>Risk Management:</w:t>
      </w:r>
    </w:p>
    <w:p w14:paraId="6808FE24" w14:textId="77777777" w:rsidR="00CF33D9" w:rsidRDefault="00E3332A">
      <w:pPr>
        <w:numPr>
          <w:ilvl w:val="1"/>
          <w:numId w:val="61"/>
        </w:numPr>
        <w:shd w:val="clear" w:color="auto" w:fill="FFFFFF"/>
        <w:jc w:val="both"/>
        <w:rPr>
          <w:rFonts w:ascii="Calibri" w:eastAsia="Calibri" w:hAnsi="Calibri" w:cs="Calibri"/>
          <w:sz w:val="20"/>
          <w:szCs w:val="20"/>
        </w:rPr>
      </w:pPr>
      <w:r>
        <w:rPr>
          <w:rFonts w:ascii="Calibri" w:eastAsia="Calibri" w:hAnsi="Calibri" w:cs="Calibri"/>
          <w:sz w:val="20"/>
          <w:szCs w:val="20"/>
        </w:rPr>
        <w:t xml:space="preserve">Provide guidance on evolving or materialized project risks and agree on possible mitigation and management actions to address specific risks. </w:t>
      </w:r>
    </w:p>
    <w:p w14:paraId="6808FE25" w14:textId="77777777" w:rsidR="00CF33D9" w:rsidRDefault="00E3332A">
      <w:pPr>
        <w:numPr>
          <w:ilvl w:val="1"/>
          <w:numId w:val="61"/>
        </w:numPr>
        <w:shd w:val="clear" w:color="auto" w:fill="FFFFFF"/>
        <w:jc w:val="both"/>
        <w:rPr>
          <w:rFonts w:ascii="Calibri" w:eastAsia="Calibri" w:hAnsi="Calibri" w:cs="Calibri"/>
          <w:sz w:val="20"/>
          <w:szCs w:val="20"/>
        </w:rPr>
      </w:pPr>
      <w:r>
        <w:rPr>
          <w:rFonts w:ascii="Calibri" w:eastAsia="Calibri" w:hAnsi="Calibri" w:cs="Calibri"/>
          <w:sz w:val="20"/>
          <w:szCs w:val="20"/>
        </w:rPr>
        <w:t xml:space="preserve">Review and update the project risk register and associated management plans based on the information prepared by the Implementing Partner. This includes risks related that can be directly managed by this project, as well as contextual risks that may affect project delivery or continued UNDP compliance and reputation but are outside of the control of the project. For example, social and environmental risks associated with co-financed activities or activities taking place in the project’s area of influence that have implications for the project. </w:t>
      </w:r>
    </w:p>
    <w:p w14:paraId="6808FE26" w14:textId="77777777" w:rsidR="00CF33D9" w:rsidRDefault="00E3332A">
      <w:pPr>
        <w:numPr>
          <w:ilvl w:val="1"/>
          <w:numId w:val="61"/>
        </w:numPr>
        <w:shd w:val="clear" w:color="auto" w:fill="FFFFFF"/>
        <w:jc w:val="both"/>
        <w:rPr>
          <w:rFonts w:ascii="Calibri" w:eastAsia="Calibri" w:hAnsi="Calibri" w:cs="Calibri"/>
          <w:sz w:val="20"/>
          <w:szCs w:val="20"/>
        </w:rPr>
      </w:pPr>
      <w:r>
        <w:rPr>
          <w:rFonts w:ascii="Calibri" w:eastAsia="Calibri" w:hAnsi="Calibri" w:cs="Calibri"/>
          <w:sz w:val="20"/>
          <w:szCs w:val="20"/>
        </w:rPr>
        <w:t>Address project-level grievances.</w:t>
      </w:r>
    </w:p>
    <w:p w14:paraId="6808FE27" w14:textId="77777777" w:rsidR="00CF33D9" w:rsidRDefault="00E3332A">
      <w:pPr>
        <w:numPr>
          <w:ilvl w:val="0"/>
          <w:numId w:val="63"/>
        </w:numPr>
        <w:jc w:val="both"/>
        <w:rPr>
          <w:rFonts w:ascii="Calibri" w:eastAsia="Calibri" w:hAnsi="Calibri" w:cs="Calibri"/>
          <w:sz w:val="20"/>
          <w:szCs w:val="20"/>
        </w:rPr>
      </w:pPr>
      <w:r>
        <w:rPr>
          <w:rFonts w:ascii="Calibri" w:eastAsia="Calibri" w:hAnsi="Calibri" w:cs="Calibri"/>
          <w:sz w:val="20"/>
          <w:szCs w:val="20"/>
        </w:rPr>
        <w:t>Coordination:</w:t>
      </w:r>
    </w:p>
    <w:p w14:paraId="6808FE28" w14:textId="77777777" w:rsidR="00CF33D9" w:rsidRDefault="00E3332A">
      <w:pPr>
        <w:numPr>
          <w:ilvl w:val="1"/>
          <w:numId w:val="64"/>
        </w:numPr>
        <w:jc w:val="both"/>
        <w:rPr>
          <w:rFonts w:ascii="Calibri" w:eastAsia="Calibri" w:hAnsi="Calibri" w:cs="Calibri"/>
          <w:sz w:val="20"/>
          <w:szCs w:val="20"/>
        </w:rPr>
      </w:pPr>
      <w:r>
        <w:rPr>
          <w:rFonts w:ascii="Calibri" w:eastAsia="Calibri" w:hAnsi="Calibri" w:cs="Calibri"/>
          <w:sz w:val="20"/>
          <w:szCs w:val="20"/>
        </w:rPr>
        <w:t xml:space="preserve">Ensure coordination between various donor and government-funded projects and programmes. </w:t>
      </w:r>
    </w:p>
    <w:p w14:paraId="6808FE29" w14:textId="77777777" w:rsidR="00CF33D9" w:rsidRDefault="00E3332A">
      <w:pPr>
        <w:numPr>
          <w:ilvl w:val="1"/>
          <w:numId w:val="64"/>
        </w:numPr>
        <w:jc w:val="both"/>
        <w:rPr>
          <w:rFonts w:ascii="Calibri" w:eastAsia="Calibri" w:hAnsi="Calibri" w:cs="Calibri"/>
          <w:sz w:val="20"/>
          <w:szCs w:val="20"/>
        </w:rPr>
      </w:pPr>
      <w:r>
        <w:rPr>
          <w:rFonts w:ascii="Calibri" w:eastAsia="Calibri" w:hAnsi="Calibri" w:cs="Calibri"/>
          <w:sz w:val="20"/>
          <w:szCs w:val="20"/>
        </w:rPr>
        <w:t xml:space="preserve">Ensure coordination with various government agencies and their participation in project activities. </w:t>
      </w:r>
    </w:p>
    <w:p w14:paraId="6808FE2A" w14:textId="77777777" w:rsidR="00CF33D9" w:rsidRDefault="00CF33D9">
      <w:pPr>
        <w:shd w:val="clear" w:color="auto" w:fill="FFFFFF"/>
        <w:jc w:val="both"/>
        <w:rPr>
          <w:rFonts w:ascii="Calibri" w:eastAsia="Calibri" w:hAnsi="Calibri" w:cs="Calibri"/>
          <w:sz w:val="20"/>
          <w:szCs w:val="20"/>
        </w:rPr>
      </w:pPr>
    </w:p>
    <w:p w14:paraId="6808FE2B" w14:textId="77777777" w:rsidR="00CF33D9" w:rsidRDefault="00E3332A">
      <w:pPr>
        <w:shd w:val="clear" w:color="auto" w:fill="FFFFFF"/>
        <w:jc w:val="both"/>
        <w:rPr>
          <w:rFonts w:ascii="Calibri" w:eastAsia="Calibri" w:hAnsi="Calibri" w:cs="Calibri"/>
          <w:sz w:val="20"/>
          <w:szCs w:val="20"/>
        </w:rPr>
      </w:pPr>
      <w:r>
        <w:rPr>
          <w:rFonts w:ascii="Calibri" w:eastAsia="Calibri" w:hAnsi="Calibri" w:cs="Calibri"/>
          <w:b/>
          <w:sz w:val="20"/>
          <w:szCs w:val="20"/>
        </w:rPr>
        <w:t>Composition of the PSC</w:t>
      </w:r>
      <w:r>
        <w:rPr>
          <w:rFonts w:ascii="Calibri" w:eastAsia="Calibri" w:hAnsi="Calibri" w:cs="Calibri"/>
          <w:sz w:val="20"/>
          <w:szCs w:val="20"/>
        </w:rPr>
        <w:t xml:space="preserve">: The composition of the PSC must include individuals assigned to the following three roles: </w:t>
      </w:r>
    </w:p>
    <w:p w14:paraId="6808FE2C" w14:textId="77777777" w:rsidR="00CF33D9" w:rsidRDefault="00CF33D9">
      <w:pPr>
        <w:jc w:val="both"/>
        <w:rPr>
          <w:rFonts w:ascii="Calibri" w:eastAsia="Calibri" w:hAnsi="Calibri" w:cs="Calibri"/>
          <w:sz w:val="20"/>
          <w:szCs w:val="20"/>
        </w:rPr>
      </w:pPr>
    </w:p>
    <w:p w14:paraId="6808FE2D" w14:textId="77777777" w:rsidR="00CF33D9" w:rsidRDefault="00E3332A">
      <w:pPr>
        <w:numPr>
          <w:ilvl w:val="0"/>
          <w:numId w:val="65"/>
        </w:numPr>
        <w:jc w:val="both"/>
        <w:rPr>
          <w:rFonts w:ascii="Calibri" w:eastAsia="Calibri" w:hAnsi="Calibri" w:cs="Calibri"/>
          <w:iCs/>
          <w:color w:val="000000" w:themeColor="text1"/>
          <w:sz w:val="20"/>
          <w:szCs w:val="20"/>
        </w:rPr>
      </w:pPr>
      <w:r>
        <w:rPr>
          <w:rFonts w:ascii="Calibri" w:eastAsia="Calibri" w:hAnsi="Calibri" w:cs="Calibri"/>
          <w:b/>
          <w:sz w:val="20"/>
          <w:szCs w:val="20"/>
        </w:rPr>
        <w:t>Project Executive:</w:t>
      </w:r>
      <w:r>
        <w:rPr>
          <w:rFonts w:ascii="Calibri" w:eastAsia="Calibri" w:hAnsi="Calibri" w:cs="Calibri"/>
          <w:sz w:val="20"/>
          <w:szCs w:val="20"/>
        </w:rPr>
        <w:t xml:space="preserve"> This is an individual who represents ownership of the project and chairs (or co-chairs) the PSC. The Executive usually is the senior national counterpart for nationally implemented projects (typically from the same entity as the Implementing Partner), and it must be UNDP for projects that are direct implementation (DIM). In exceptional cases, two individuals from different entities can co-share this role and/or co-chair the PSC. If the project executive co-chairs the PSC with representatives of another category, it typically does so with a development partner representative. The Project Executive is: </w:t>
      </w:r>
      <w:r>
        <w:rPr>
          <w:rFonts w:ascii="Calibri" w:eastAsia="Calibri" w:hAnsi="Calibri" w:cs="Calibri"/>
          <w:iCs/>
          <w:color w:val="000000" w:themeColor="text1"/>
          <w:sz w:val="20"/>
          <w:szCs w:val="20"/>
        </w:rPr>
        <w:t>Benguela Current Commission which incorporates the PCU.</w:t>
      </w:r>
    </w:p>
    <w:p w14:paraId="6808FE2E" w14:textId="77777777" w:rsidR="00CF33D9" w:rsidRDefault="00E3332A">
      <w:pPr>
        <w:numPr>
          <w:ilvl w:val="0"/>
          <w:numId w:val="65"/>
        </w:numPr>
        <w:jc w:val="both"/>
        <w:rPr>
          <w:rFonts w:ascii="Calibri" w:eastAsia="Calibri" w:hAnsi="Calibri" w:cs="Calibri"/>
          <w:i/>
          <w:sz w:val="20"/>
          <w:szCs w:val="20"/>
        </w:rPr>
      </w:pPr>
      <w:r>
        <w:rPr>
          <w:rFonts w:ascii="Calibri" w:eastAsia="Calibri" w:hAnsi="Calibri" w:cs="Calibri"/>
          <w:b/>
          <w:sz w:val="20"/>
          <w:szCs w:val="20"/>
        </w:rPr>
        <w:t>Beneficiary Representative(s):</w:t>
      </w:r>
      <w:r>
        <w:rPr>
          <w:rFonts w:ascii="Calibri" w:eastAsia="Calibri" w:hAnsi="Calibri" w:cs="Calibri"/>
          <w:sz w:val="20"/>
          <w:szCs w:val="20"/>
        </w:rPr>
        <w:t xml:space="preserve"> Individuals or groups representing the interests of those groups of stakeholders who will ultimately benefit from the project. Their primary function within the PSC is to ensure the realization of project results from the perspective of project beneficiaries. Often representatives from civil society, industry associations, or other government entities benefiting from the project can fulfil this role. There can be multiple beneficiary representatives in a PSC. The Beneficiary representatives are: </w:t>
      </w:r>
      <w:r>
        <w:rPr>
          <w:rFonts w:ascii="Calibri" w:eastAsia="Calibri" w:hAnsi="Calibri" w:cs="Calibri"/>
          <w:iCs/>
          <w:color w:val="000000" w:themeColor="text1"/>
          <w:sz w:val="20"/>
          <w:szCs w:val="20"/>
        </w:rPr>
        <w:t>National Focal Points and representatives of major stakeholders and the private sector.</w:t>
      </w:r>
    </w:p>
    <w:p w14:paraId="6808FE2F" w14:textId="7838FD2F" w:rsidR="00CF33D9" w:rsidRPr="00E3332A" w:rsidRDefault="00E3332A">
      <w:pPr>
        <w:numPr>
          <w:ilvl w:val="0"/>
          <w:numId w:val="65"/>
        </w:numPr>
        <w:jc w:val="both"/>
        <w:rPr>
          <w:rFonts w:ascii="Calibri" w:eastAsia="Calibri" w:hAnsi="Calibri" w:cs="Calibri"/>
          <w:sz w:val="20"/>
          <w:szCs w:val="20"/>
        </w:rPr>
      </w:pPr>
      <w:r>
        <w:rPr>
          <w:rFonts w:ascii="Calibri" w:eastAsia="Calibri" w:hAnsi="Calibri" w:cs="Calibri"/>
          <w:b/>
          <w:sz w:val="20"/>
          <w:szCs w:val="20"/>
        </w:rPr>
        <w:t>Development Partner(s):</w:t>
      </w:r>
      <w:r>
        <w:rPr>
          <w:rFonts w:ascii="Calibri" w:eastAsia="Calibri" w:hAnsi="Calibri" w:cs="Calibri"/>
          <w:sz w:val="20"/>
          <w:szCs w:val="20"/>
        </w:rPr>
        <w:t xml:space="preserve"> Individuals or groups representing the interests of the parties concerned that provide funding, strategic guidance and/or technical expertise to the project. The Development Partner is </w:t>
      </w:r>
      <w:r w:rsidR="001338C4" w:rsidRPr="00E3332A">
        <w:rPr>
          <w:rFonts w:ascii="Calibri" w:eastAsia="Calibri" w:hAnsi="Calibri" w:cs="Calibri"/>
          <w:sz w:val="20"/>
          <w:szCs w:val="20"/>
        </w:rPr>
        <w:t>UNDP BPPS NCE</w:t>
      </w:r>
      <w:r>
        <w:rPr>
          <w:rFonts w:ascii="Calibri" w:eastAsia="Calibri" w:hAnsi="Calibri" w:cs="Calibri"/>
          <w:sz w:val="20"/>
          <w:szCs w:val="20"/>
        </w:rPr>
        <w:t xml:space="preserve">. </w:t>
      </w:r>
    </w:p>
    <w:p w14:paraId="6808FE30" w14:textId="77777777" w:rsidR="00CF33D9" w:rsidRDefault="00CF33D9">
      <w:pPr>
        <w:spacing w:after="60"/>
        <w:jc w:val="both"/>
        <w:rPr>
          <w:rFonts w:ascii="Calibri" w:eastAsia="Calibri" w:hAnsi="Calibri" w:cs="Calibri"/>
          <w:sz w:val="20"/>
          <w:szCs w:val="20"/>
          <w:u w:val="single"/>
        </w:rPr>
      </w:pPr>
    </w:p>
    <w:p w14:paraId="6808FE31" w14:textId="77777777" w:rsidR="00CF33D9" w:rsidRDefault="00E3332A">
      <w:pPr>
        <w:numPr>
          <w:ilvl w:val="0"/>
          <w:numId w:val="58"/>
        </w:numPr>
        <w:jc w:val="both"/>
        <w:rPr>
          <w:rFonts w:ascii="Calibri" w:eastAsia="Calibri" w:hAnsi="Calibri" w:cs="Calibri"/>
          <w:sz w:val="20"/>
          <w:szCs w:val="20"/>
        </w:rPr>
      </w:pPr>
      <w:r>
        <w:rPr>
          <w:rFonts w:ascii="Calibri" w:eastAsia="Calibri" w:hAnsi="Calibri" w:cs="Calibri"/>
          <w:b/>
          <w:sz w:val="20"/>
          <w:szCs w:val="20"/>
          <w:u w:val="single"/>
        </w:rPr>
        <w:t xml:space="preserve">Project Assurance: </w:t>
      </w:r>
      <w:r>
        <w:rPr>
          <w:rFonts w:ascii="Calibri" w:eastAsia="Calibri" w:hAnsi="Calibri" w:cs="Calibri"/>
          <w:sz w:val="20"/>
          <w:szCs w:val="20"/>
        </w:rPr>
        <w:t xml:space="preserve">Project assurance is the responsibility of each PSC member; however, UNDP has a distinct assurance role for all UNDP projects in carrying out objective and independent project oversight and monitoring </w:t>
      </w:r>
      <w:r>
        <w:rPr>
          <w:rFonts w:ascii="Calibri" w:eastAsia="Calibri" w:hAnsi="Calibri" w:cs="Calibri"/>
          <w:sz w:val="20"/>
          <w:szCs w:val="20"/>
        </w:rPr>
        <w:lastRenderedPageBreak/>
        <w:t>functions. UNDP performs quality assurance and supports the PSC (and Project Management Unit) by carrying out objective and independent project oversight and monitoring functions, including compliance with the risk management and social and environmental standards of UNDP. The PSC cannot delegate any of its quality assurance responsibilities to the Project Manager. Project assurance is totally independent of project execution.</w:t>
      </w:r>
    </w:p>
    <w:p w14:paraId="6808FE32" w14:textId="77777777" w:rsidR="00CF33D9" w:rsidRDefault="00CF33D9">
      <w:pPr>
        <w:spacing w:after="60"/>
        <w:jc w:val="both"/>
        <w:rPr>
          <w:rFonts w:ascii="Calibri" w:eastAsia="Calibri" w:hAnsi="Calibri" w:cs="Calibri"/>
          <w:sz w:val="20"/>
          <w:szCs w:val="20"/>
        </w:rPr>
      </w:pPr>
    </w:p>
    <w:p w14:paraId="6808FE33" w14:textId="77777777" w:rsidR="00CF33D9" w:rsidRDefault="00E3332A">
      <w:pPr>
        <w:spacing w:after="60"/>
        <w:jc w:val="both"/>
        <w:rPr>
          <w:rFonts w:ascii="Calibri" w:eastAsia="Calibri" w:hAnsi="Calibri" w:cs="Calibri"/>
          <w:sz w:val="20"/>
          <w:szCs w:val="20"/>
        </w:rPr>
      </w:pPr>
      <w:r>
        <w:rPr>
          <w:rFonts w:ascii="Calibri" w:eastAsia="Calibri" w:hAnsi="Calibri" w:cs="Calibri"/>
          <w:sz w:val="20"/>
          <w:szCs w:val="20"/>
        </w:rPr>
        <w:t xml:space="preserve">A designated representative of UNDP playing the project assurance role is expected to attend all PSC meetings and support PSC processes as a non-voting representative. It should be noted that while in certain cases UNDP’s project assurance role across the project may encompass activities happening at several levels (e.g. global, regional), at least one UNDP representative playing that function must, as part of their duties, </w:t>
      </w:r>
      <w:r>
        <w:rPr>
          <w:rFonts w:ascii="Calibri" w:eastAsia="Calibri" w:hAnsi="Calibri" w:cs="Calibri"/>
          <w:sz w:val="20"/>
          <w:szCs w:val="20"/>
          <w:u w:val="single"/>
        </w:rPr>
        <w:t xml:space="preserve">specifically </w:t>
      </w:r>
      <w:r>
        <w:rPr>
          <w:rFonts w:ascii="Calibri" w:eastAsia="Calibri" w:hAnsi="Calibri" w:cs="Calibri"/>
          <w:sz w:val="20"/>
          <w:szCs w:val="20"/>
        </w:rPr>
        <w:t>attend PSC meeting and provide PSC members with the required documentation required to perform their duties. The UNDP representative playing the main project assurance function is</w:t>
      </w:r>
      <w:r>
        <w:rPr>
          <w:rFonts w:ascii="Calibri" w:eastAsia="Calibri" w:hAnsi="Calibri" w:cs="Calibri"/>
          <w:sz w:val="20"/>
          <w:szCs w:val="20"/>
          <w:lang w:val="en-US"/>
        </w:rPr>
        <w:t xml:space="preserve"> the Head of Environment Unit at UNDP Namibia. </w:t>
      </w:r>
    </w:p>
    <w:p w14:paraId="6808FE34" w14:textId="77777777" w:rsidR="00CF33D9" w:rsidRDefault="00CF33D9">
      <w:pPr>
        <w:spacing w:after="60"/>
        <w:jc w:val="both"/>
        <w:rPr>
          <w:rFonts w:ascii="Calibri" w:eastAsia="Calibri" w:hAnsi="Calibri" w:cs="Calibri"/>
          <w:sz w:val="20"/>
          <w:szCs w:val="20"/>
        </w:rPr>
      </w:pPr>
    </w:p>
    <w:p w14:paraId="6808FE35" w14:textId="77777777" w:rsidR="00CF33D9" w:rsidRDefault="00E3332A">
      <w:pPr>
        <w:numPr>
          <w:ilvl w:val="0"/>
          <w:numId w:val="58"/>
        </w:numPr>
        <w:jc w:val="both"/>
        <w:rPr>
          <w:rFonts w:ascii="Calibri" w:eastAsia="Calibri" w:hAnsi="Calibri" w:cs="Calibri"/>
          <w:sz w:val="20"/>
          <w:szCs w:val="20"/>
        </w:rPr>
      </w:pPr>
      <w:r>
        <w:rPr>
          <w:rFonts w:ascii="Calibri" w:eastAsia="Calibri" w:hAnsi="Calibri" w:cs="Calibri"/>
          <w:b/>
          <w:sz w:val="20"/>
          <w:szCs w:val="20"/>
          <w:u w:val="single"/>
        </w:rPr>
        <w:t xml:space="preserve">Project Management – Execution of the Project: </w:t>
      </w:r>
      <w:r>
        <w:rPr>
          <w:rFonts w:ascii="Calibri" w:eastAsia="Calibri" w:hAnsi="Calibri" w:cs="Calibri"/>
          <w:sz w:val="20"/>
          <w:szCs w:val="20"/>
        </w:rPr>
        <w:t xml:space="preserve">The Project Manager (PM) is the senior most representative of the Project Coordination Unit (PCU) and is responsible for the overall day-to-day management of the project </w:t>
      </w:r>
      <w:r>
        <w:rPr>
          <w:rFonts w:ascii="Calibri" w:eastAsia="Calibri" w:hAnsi="Calibri" w:cs="Calibri"/>
          <w:sz w:val="20"/>
          <w:szCs w:val="20"/>
          <w:u w:val="single"/>
        </w:rPr>
        <w:t>on behalf of the Implementing Partner</w:t>
      </w:r>
      <w:r>
        <w:rPr>
          <w:rFonts w:ascii="Calibri" w:eastAsia="Calibri" w:hAnsi="Calibri" w:cs="Calibri"/>
          <w:sz w:val="20"/>
          <w:szCs w:val="20"/>
        </w:rPr>
        <w:t xml:space="preserve">, including the mobilization of all project inputs, supervision over project staff, responsible parties, consultants and sub-contractors. The project manager typically presents key deliverables and documents to the PSC for their review and approval, including progress reports, annual work plans, adjustments to tolerance levels and risk registers. </w:t>
      </w:r>
    </w:p>
    <w:p w14:paraId="6808FE36" w14:textId="77777777" w:rsidR="00CF33D9" w:rsidRDefault="00CF33D9">
      <w:pPr>
        <w:ind w:left="360"/>
        <w:jc w:val="both"/>
        <w:rPr>
          <w:rFonts w:ascii="Calibri" w:eastAsia="Calibri" w:hAnsi="Calibri" w:cs="Calibri"/>
          <w:b/>
          <w:sz w:val="20"/>
          <w:szCs w:val="20"/>
          <w:u w:val="single"/>
        </w:rPr>
      </w:pPr>
    </w:p>
    <w:p w14:paraId="6808FE37" w14:textId="77777777" w:rsidR="00CF33D9" w:rsidRDefault="00E3332A">
      <w:pPr>
        <w:ind w:left="360"/>
        <w:jc w:val="both"/>
        <w:rPr>
          <w:rFonts w:ascii="Calibri" w:eastAsia="Calibri" w:hAnsi="Calibri" w:cs="Calibri"/>
          <w:sz w:val="20"/>
          <w:szCs w:val="20"/>
        </w:rPr>
      </w:pPr>
      <w:r>
        <w:rPr>
          <w:rFonts w:ascii="Calibri" w:eastAsia="Calibri" w:hAnsi="Calibri" w:cs="Calibri"/>
          <w:sz w:val="20"/>
          <w:szCs w:val="20"/>
        </w:rPr>
        <w:t xml:space="preserve">A designated representative of the PCU is expected to attend all PSC meetings and support PSC processes as a non-voting representative. </w:t>
      </w:r>
    </w:p>
    <w:p w14:paraId="6808FE38" w14:textId="77777777" w:rsidR="00CF33D9" w:rsidRDefault="00CF33D9">
      <w:pPr>
        <w:ind w:left="360"/>
        <w:jc w:val="both"/>
        <w:rPr>
          <w:rFonts w:ascii="Calibri" w:eastAsia="Calibri" w:hAnsi="Calibri" w:cs="Calibri"/>
          <w:sz w:val="20"/>
          <w:szCs w:val="20"/>
        </w:rPr>
      </w:pPr>
    </w:p>
    <w:p w14:paraId="6808FE39" w14:textId="77777777" w:rsidR="00CF33D9" w:rsidRDefault="00E3332A">
      <w:pPr>
        <w:ind w:left="360"/>
        <w:jc w:val="both"/>
        <w:rPr>
          <w:rFonts w:ascii="Calibri" w:eastAsia="Calibri" w:hAnsi="Calibri" w:cs="Calibri"/>
          <w:sz w:val="20"/>
          <w:szCs w:val="20"/>
        </w:rPr>
      </w:pPr>
      <w:r>
        <w:rPr>
          <w:rFonts w:ascii="Calibri" w:eastAsia="Calibri" w:hAnsi="Calibri" w:cs="Calibri"/>
          <w:sz w:val="20"/>
          <w:szCs w:val="20"/>
        </w:rPr>
        <w:t>The primary PCU representative attending PSC meetings will be confirmed once the PCU team is hired.</w:t>
      </w:r>
    </w:p>
    <w:p w14:paraId="6808FE3A" w14:textId="77777777" w:rsidR="00CF33D9" w:rsidRDefault="00CF33D9">
      <w:pPr>
        <w:shd w:val="clear" w:color="auto" w:fill="FFFFFF"/>
        <w:jc w:val="both"/>
        <w:rPr>
          <w:rFonts w:ascii="Calibri" w:eastAsia="Calibri" w:hAnsi="Calibri" w:cs="Calibri"/>
          <w:i/>
          <w:sz w:val="20"/>
          <w:szCs w:val="20"/>
          <w:highlight w:val="yellow"/>
        </w:rPr>
      </w:pPr>
    </w:p>
    <w:p w14:paraId="6808FE3B" w14:textId="77777777" w:rsidR="00CF33D9" w:rsidRDefault="00CF33D9">
      <w:pPr>
        <w:jc w:val="both"/>
        <w:rPr>
          <w:rFonts w:ascii="Calibri" w:eastAsia="Calibri" w:hAnsi="Calibri" w:cs="Calibri"/>
          <w:sz w:val="20"/>
          <w:szCs w:val="20"/>
        </w:rPr>
      </w:pPr>
    </w:p>
    <w:p w14:paraId="6808FE3C" w14:textId="77777777" w:rsidR="00CF33D9" w:rsidRDefault="00E3332A">
      <w:pPr>
        <w:pStyle w:val="Heading1"/>
        <w:rPr>
          <w:rFonts w:ascii="Calibri" w:hAnsi="Calibri" w:cs="Calibri"/>
          <w:sz w:val="20"/>
          <w:szCs w:val="20"/>
        </w:rPr>
      </w:pPr>
      <w:bookmarkStart w:id="26" w:name="_Toc169739165"/>
      <w:r>
        <w:rPr>
          <w:rFonts w:ascii="Calibri" w:hAnsi="Calibri" w:cs="Calibri"/>
          <w:sz w:val="20"/>
          <w:szCs w:val="20"/>
        </w:rPr>
        <w:t>VIII</w:t>
      </w:r>
      <w:r>
        <w:rPr>
          <w:rFonts w:ascii="Calibri" w:hAnsi="Calibri" w:cs="Calibri"/>
          <w:sz w:val="20"/>
          <w:szCs w:val="20"/>
        </w:rPr>
        <w:tab/>
        <w:t>Financial Planning and Management</w:t>
      </w:r>
      <w:bookmarkEnd w:id="26"/>
      <w:r>
        <w:rPr>
          <w:rFonts w:ascii="Calibri" w:hAnsi="Calibri" w:cs="Calibri"/>
          <w:sz w:val="20"/>
          <w:szCs w:val="20"/>
        </w:rPr>
        <w:t xml:space="preserve"> </w:t>
      </w:r>
    </w:p>
    <w:p w14:paraId="6808FE3D" w14:textId="77777777" w:rsidR="00CF33D9" w:rsidRDefault="00CF33D9">
      <w:pPr>
        <w:jc w:val="both"/>
        <w:rPr>
          <w:rFonts w:ascii="Calibri" w:eastAsia="Calibri" w:hAnsi="Calibri" w:cs="Calibri"/>
          <w:b/>
          <w:i/>
          <w:color w:val="000000"/>
          <w:sz w:val="20"/>
          <w:szCs w:val="20"/>
        </w:rPr>
      </w:pPr>
    </w:p>
    <w:p w14:paraId="6808FE3E" w14:textId="2715C7B2" w:rsidR="00CF33D9" w:rsidRDefault="00E3332A">
      <w:pPr>
        <w:jc w:val="both"/>
        <w:rPr>
          <w:rFonts w:ascii="Calibri" w:eastAsia="Calibri" w:hAnsi="Calibri" w:cs="Calibri"/>
          <w:color w:val="000000"/>
          <w:sz w:val="20"/>
          <w:szCs w:val="20"/>
        </w:rPr>
      </w:pPr>
      <w:r>
        <w:rPr>
          <w:rFonts w:ascii="Calibri" w:eastAsia="Calibri" w:hAnsi="Calibri" w:cs="Calibri"/>
          <w:color w:val="000000"/>
          <w:sz w:val="20"/>
          <w:szCs w:val="20"/>
        </w:rPr>
        <w:t xml:space="preserve">The total cost of the project is </w:t>
      </w:r>
      <w:r>
        <w:rPr>
          <w:rFonts w:ascii="Calibri" w:eastAsia="Calibri" w:hAnsi="Calibri" w:cs="Calibri"/>
          <w:iCs/>
          <w:color w:val="000000" w:themeColor="text1"/>
          <w:sz w:val="20"/>
          <w:szCs w:val="20"/>
        </w:rPr>
        <w:t>USD 66,045,958.52</w:t>
      </w:r>
      <w:r>
        <w:rPr>
          <w:rFonts w:ascii="Calibri" w:eastAsia="Calibri" w:hAnsi="Calibri" w:cs="Calibri"/>
          <w:iCs/>
          <w:color w:val="FF0000"/>
          <w:sz w:val="20"/>
          <w:szCs w:val="20"/>
        </w:rPr>
        <w:t>.</w:t>
      </w:r>
      <w:r>
        <w:rPr>
          <w:rFonts w:ascii="Calibri" w:eastAsia="Calibri" w:hAnsi="Calibri" w:cs="Calibri"/>
          <w:i/>
          <w:color w:val="FF0000"/>
          <w:sz w:val="20"/>
          <w:szCs w:val="20"/>
        </w:rPr>
        <w:t xml:space="preserve"> </w:t>
      </w:r>
      <w:r>
        <w:rPr>
          <w:rFonts w:ascii="Calibri" w:eastAsia="Calibri" w:hAnsi="Calibri" w:cs="Calibri"/>
          <w:color w:val="000000"/>
          <w:sz w:val="20"/>
          <w:szCs w:val="20"/>
        </w:rPr>
        <w:t xml:space="preserve">This is financed through a </w:t>
      </w:r>
      <w:r>
        <w:rPr>
          <w:rFonts w:ascii="Calibri" w:eastAsia="Calibri" w:hAnsi="Calibri" w:cs="Calibri"/>
          <w:color w:val="000000" w:themeColor="text1"/>
          <w:sz w:val="20"/>
          <w:szCs w:val="20"/>
        </w:rPr>
        <w:t xml:space="preserve">GEF grant of </w:t>
      </w:r>
      <w:r>
        <w:rPr>
          <w:rFonts w:ascii="Calibri" w:eastAsia="Calibri" w:hAnsi="Calibri" w:cs="Calibri"/>
          <w:iCs/>
          <w:color w:val="000000" w:themeColor="text1"/>
          <w:sz w:val="20"/>
          <w:szCs w:val="20"/>
        </w:rPr>
        <w:t xml:space="preserve">USD 10,484,931 administered by UNDP, </w:t>
      </w:r>
      <w:r>
        <w:rPr>
          <w:rFonts w:ascii="Calibri" w:eastAsia="Calibri" w:hAnsi="Calibri" w:cs="Calibri"/>
          <w:color w:val="000000"/>
          <w:sz w:val="20"/>
          <w:szCs w:val="20"/>
        </w:rPr>
        <w:t xml:space="preserve">in cash co-financing to be administered by UNDP and additional support of USD 55,561,027.52. UNDP, as the GEF Implementing Agency, is responsible for the oversight of the GEF resources and the cash co-financing transferred to UNDP bank account only. </w:t>
      </w:r>
    </w:p>
    <w:p w14:paraId="6808FE3F" w14:textId="77777777" w:rsidR="00CF33D9" w:rsidRDefault="00CF33D9">
      <w:pPr>
        <w:jc w:val="both"/>
        <w:rPr>
          <w:rFonts w:ascii="Calibri" w:eastAsia="Calibri" w:hAnsi="Calibri" w:cs="Calibri"/>
          <w:color w:val="000000"/>
          <w:sz w:val="20"/>
          <w:szCs w:val="20"/>
          <w:u w:val="single"/>
        </w:rPr>
      </w:pPr>
    </w:p>
    <w:p w14:paraId="6808FE40" w14:textId="77777777" w:rsidR="00CF33D9" w:rsidRDefault="00E3332A">
      <w:pPr>
        <w:jc w:val="both"/>
        <w:rPr>
          <w:rFonts w:ascii="Calibri" w:eastAsia="Calibri" w:hAnsi="Calibri" w:cs="Calibri"/>
          <w:color w:val="000000"/>
          <w:sz w:val="20"/>
          <w:szCs w:val="20"/>
        </w:rPr>
      </w:pPr>
      <w:r>
        <w:rPr>
          <w:rFonts w:ascii="Calibri" w:eastAsia="Calibri" w:hAnsi="Calibri" w:cs="Calibri"/>
          <w:b/>
          <w:color w:val="000000"/>
          <w:sz w:val="20"/>
          <w:szCs w:val="20"/>
          <w:u w:val="single"/>
        </w:rPr>
        <w:t>Co-financing</w:t>
      </w:r>
      <w:r>
        <w:rPr>
          <w:rFonts w:ascii="Calibri" w:eastAsia="Calibri" w:hAnsi="Calibri" w:cs="Calibri"/>
          <w:color w:val="000000"/>
          <w:sz w:val="20"/>
          <w:szCs w:val="20"/>
        </w:rPr>
        <w:t xml:space="preserve">: The actual realization of project co-financing amounts will be monitored by the UNDP Country Office and the PMU on an annual basis in the GEF PIF and will be reported to the GEF during the </w:t>
      </w:r>
      <w:r>
        <w:rPr>
          <w:rFonts w:ascii="Calibri" w:eastAsia="Calibri" w:hAnsi="Calibri" w:cs="Calibri"/>
          <w:iCs/>
          <w:color w:val="000000"/>
          <w:sz w:val="20"/>
          <w:szCs w:val="20"/>
        </w:rPr>
        <w:t>mid-term review</w:t>
      </w:r>
      <w:r>
        <w:rPr>
          <w:rFonts w:ascii="Calibri" w:eastAsia="Calibri" w:hAnsi="Calibri" w:cs="Calibri"/>
          <w:color w:val="000000"/>
          <w:sz w:val="20"/>
          <w:szCs w:val="20"/>
        </w:rPr>
        <w:t xml:space="preserve"> and terminal evaluation process as follows:</w:t>
      </w:r>
    </w:p>
    <w:p w14:paraId="6808FE41" w14:textId="77777777" w:rsidR="00CF33D9" w:rsidRDefault="00CF33D9">
      <w:pPr>
        <w:jc w:val="both"/>
        <w:rPr>
          <w:rFonts w:ascii="Calibri" w:eastAsia="Calibri" w:hAnsi="Calibri" w:cs="Calibri"/>
          <w:color w:val="000000"/>
          <w:sz w:val="20"/>
          <w:szCs w:val="20"/>
        </w:rPr>
      </w:pPr>
    </w:p>
    <w:p w14:paraId="6808FE42" w14:textId="77777777" w:rsidR="00CF33D9" w:rsidRDefault="00CF33D9">
      <w:pPr>
        <w:jc w:val="both"/>
        <w:rPr>
          <w:rFonts w:ascii="Calibri" w:eastAsia="Calibri" w:hAnsi="Calibri" w:cs="Calibri"/>
          <w:color w:val="000000"/>
          <w:sz w:val="20"/>
          <w:szCs w:val="20"/>
        </w:rPr>
      </w:pPr>
    </w:p>
    <w:p w14:paraId="6808FE43" w14:textId="77777777" w:rsidR="00CF33D9" w:rsidRDefault="00CF33D9">
      <w:pPr>
        <w:jc w:val="both"/>
        <w:rPr>
          <w:rFonts w:ascii="Calibri" w:eastAsia="Calibri" w:hAnsi="Calibri" w:cs="Calibri"/>
          <w:color w:val="000000"/>
          <w:sz w:val="20"/>
          <w:szCs w:val="20"/>
        </w:rPr>
      </w:pPr>
    </w:p>
    <w:p w14:paraId="6808FE44" w14:textId="77777777" w:rsidR="00CF33D9" w:rsidRDefault="00CF33D9">
      <w:pPr>
        <w:jc w:val="both"/>
        <w:rPr>
          <w:rFonts w:ascii="Calibri" w:eastAsia="Calibri" w:hAnsi="Calibri" w:cs="Calibri"/>
          <w:color w:val="000000"/>
          <w:sz w:val="20"/>
          <w:szCs w:val="20"/>
        </w:rPr>
      </w:pPr>
    </w:p>
    <w:tbl>
      <w:tblPr>
        <w:tblW w:w="9860" w:type="dxa"/>
        <w:tblLook w:val="04A0" w:firstRow="1" w:lastRow="0" w:firstColumn="1" w:lastColumn="0" w:noHBand="0" w:noVBand="1"/>
      </w:tblPr>
      <w:tblGrid>
        <w:gridCol w:w="1840"/>
        <w:gridCol w:w="2860"/>
        <w:gridCol w:w="1160"/>
        <w:gridCol w:w="2320"/>
        <w:gridCol w:w="1680"/>
      </w:tblGrid>
      <w:tr w:rsidR="00CF33D9" w14:paraId="6808FE4A" w14:textId="77777777">
        <w:trPr>
          <w:trHeight w:val="300"/>
        </w:trPr>
        <w:tc>
          <w:tcPr>
            <w:tcW w:w="1840" w:type="dxa"/>
            <w:vMerge w:val="restart"/>
            <w:tcBorders>
              <w:top w:val="single" w:sz="8" w:space="0" w:color="auto"/>
              <w:left w:val="single" w:sz="8" w:space="0" w:color="auto"/>
              <w:bottom w:val="nil"/>
              <w:right w:val="single" w:sz="8" w:space="0" w:color="auto"/>
            </w:tcBorders>
            <w:shd w:val="clear" w:color="000000" w:fill="DDEBF7"/>
            <w:vAlign w:val="center"/>
          </w:tcPr>
          <w:p w14:paraId="6808FE45" w14:textId="77777777" w:rsidR="00CF33D9" w:rsidRDefault="00E3332A">
            <w:pPr>
              <w:jc w:val="center"/>
              <w:rPr>
                <w:rFonts w:ascii="Calibri" w:hAnsi="Calibri" w:cs="Calibri"/>
                <w:b/>
                <w:bCs/>
                <w:color w:val="000000"/>
                <w:sz w:val="20"/>
                <w:szCs w:val="20"/>
                <w:lang w:val="zh-CN"/>
              </w:rPr>
            </w:pPr>
            <w:r>
              <w:rPr>
                <w:rFonts w:ascii="Calibri" w:hAnsi="Calibri" w:cs="Calibri"/>
                <w:b/>
                <w:bCs/>
                <w:color w:val="000000"/>
                <w:sz w:val="20"/>
                <w:szCs w:val="20"/>
                <w:lang w:val="zh-CN"/>
              </w:rPr>
              <w:t xml:space="preserve">Sources of Co-financing </w:t>
            </w:r>
          </w:p>
        </w:tc>
        <w:tc>
          <w:tcPr>
            <w:tcW w:w="2860" w:type="dxa"/>
            <w:vMerge w:val="restart"/>
            <w:tcBorders>
              <w:top w:val="single" w:sz="8" w:space="0" w:color="auto"/>
              <w:left w:val="single" w:sz="8" w:space="0" w:color="auto"/>
              <w:bottom w:val="nil"/>
              <w:right w:val="single" w:sz="8" w:space="0" w:color="auto"/>
            </w:tcBorders>
            <w:shd w:val="clear" w:color="000000" w:fill="DDEBF7"/>
            <w:vAlign w:val="center"/>
          </w:tcPr>
          <w:p w14:paraId="6808FE46" w14:textId="77777777" w:rsidR="00CF33D9" w:rsidRDefault="00E3332A">
            <w:pPr>
              <w:jc w:val="center"/>
              <w:rPr>
                <w:rFonts w:ascii="Calibri" w:hAnsi="Calibri" w:cs="Calibri"/>
                <w:b/>
                <w:bCs/>
                <w:color w:val="000000"/>
                <w:sz w:val="20"/>
                <w:szCs w:val="20"/>
                <w:lang w:val="zh-CN"/>
              </w:rPr>
            </w:pPr>
            <w:r>
              <w:rPr>
                <w:rFonts w:ascii="Calibri" w:hAnsi="Calibri" w:cs="Calibri"/>
                <w:b/>
                <w:bCs/>
                <w:color w:val="000000"/>
                <w:sz w:val="20"/>
                <w:szCs w:val="20"/>
                <w:lang w:val="zh-CN"/>
              </w:rPr>
              <w:t>Name of Co-financier</w:t>
            </w:r>
          </w:p>
        </w:tc>
        <w:tc>
          <w:tcPr>
            <w:tcW w:w="1160" w:type="dxa"/>
            <w:vMerge w:val="restart"/>
            <w:tcBorders>
              <w:top w:val="single" w:sz="8" w:space="0" w:color="auto"/>
              <w:left w:val="single" w:sz="8" w:space="0" w:color="auto"/>
              <w:bottom w:val="nil"/>
              <w:right w:val="single" w:sz="8" w:space="0" w:color="auto"/>
            </w:tcBorders>
            <w:shd w:val="clear" w:color="000000" w:fill="DDEBF7"/>
            <w:vAlign w:val="center"/>
          </w:tcPr>
          <w:p w14:paraId="6808FE47" w14:textId="77777777" w:rsidR="00CF33D9" w:rsidRDefault="00E3332A">
            <w:pPr>
              <w:jc w:val="center"/>
              <w:rPr>
                <w:rFonts w:ascii="Calibri" w:hAnsi="Calibri" w:cs="Calibri"/>
                <w:b/>
                <w:bCs/>
                <w:color w:val="000000"/>
                <w:sz w:val="20"/>
                <w:szCs w:val="20"/>
                <w:lang w:val="zh-CN"/>
              </w:rPr>
            </w:pPr>
            <w:r>
              <w:rPr>
                <w:rFonts w:ascii="Calibri" w:hAnsi="Calibri" w:cs="Calibri"/>
                <w:b/>
                <w:bCs/>
                <w:color w:val="000000"/>
                <w:sz w:val="20"/>
                <w:szCs w:val="20"/>
                <w:lang w:val="zh-CN"/>
              </w:rPr>
              <w:t>Type of Co-financing</w:t>
            </w:r>
          </w:p>
        </w:tc>
        <w:tc>
          <w:tcPr>
            <w:tcW w:w="2320" w:type="dxa"/>
            <w:tcBorders>
              <w:top w:val="single" w:sz="8" w:space="0" w:color="auto"/>
              <w:left w:val="nil"/>
              <w:bottom w:val="nil"/>
              <w:right w:val="single" w:sz="8" w:space="0" w:color="auto"/>
            </w:tcBorders>
            <w:shd w:val="clear" w:color="000000" w:fill="DDEBF7"/>
            <w:vAlign w:val="center"/>
          </w:tcPr>
          <w:p w14:paraId="6808FE48" w14:textId="77777777" w:rsidR="00CF33D9" w:rsidRDefault="00E3332A">
            <w:pPr>
              <w:jc w:val="center"/>
              <w:rPr>
                <w:rFonts w:ascii="Calibri" w:hAnsi="Calibri" w:cs="Calibri"/>
                <w:b/>
                <w:bCs/>
                <w:color w:val="000000"/>
                <w:sz w:val="20"/>
                <w:szCs w:val="20"/>
                <w:lang w:val="zh-CN"/>
              </w:rPr>
            </w:pPr>
            <w:r>
              <w:rPr>
                <w:rFonts w:ascii="Calibri" w:hAnsi="Calibri" w:cs="Calibri"/>
                <w:b/>
                <w:bCs/>
                <w:color w:val="000000"/>
                <w:sz w:val="20"/>
                <w:szCs w:val="20"/>
                <w:lang w:val="zh-CN"/>
              </w:rPr>
              <w:t>Investment</w:t>
            </w:r>
          </w:p>
        </w:tc>
        <w:tc>
          <w:tcPr>
            <w:tcW w:w="1680" w:type="dxa"/>
            <w:vMerge w:val="restart"/>
            <w:tcBorders>
              <w:top w:val="single" w:sz="8" w:space="0" w:color="auto"/>
              <w:left w:val="single" w:sz="8" w:space="0" w:color="auto"/>
              <w:bottom w:val="nil"/>
              <w:right w:val="single" w:sz="8" w:space="0" w:color="auto"/>
            </w:tcBorders>
            <w:shd w:val="clear" w:color="000000" w:fill="DDEBF7"/>
            <w:vAlign w:val="center"/>
          </w:tcPr>
          <w:p w14:paraId="6808FE49" w14:textId="77777777" w:rsidR="00CF33D9" w:rsidRDefault="00E3332A">
            <w:pPr>
              <w:jc w:val="center"/>
              <w:rPr>
                <w:rFonts w:ascii="Calibri" w:hAnsi="Calibri" w:cs="Calibri"/>
                <w:b/>
                <w:bCs/>
                <w:color w:val="000000"/>
                <w:sz w:val="20"/>
                <w:szCs w:val="20"/>
                <w:lang w:val="zh-CN"/>
              </w:rPr>
            </w:pPr>
            <w:r>
              <w:rPr>
                <w:rFonts w:ascii="Calibri" w:hAnsi="Calibri" w:cs="Calibri"/>
                <w:b/>
                <w:bCs/>
                <w:color w:val="000000"/>
                <w:sz w:val="20"/>
                <w:szCs w:val="20"/>
                <w:lang w:val="zh-CN"/>
              </w:rPr>
              <w:t>Amount ($)</w:t>
            </w:r>
          </w:p>
        </w:tc>
      </w:tr>
      <w:tr w:rsidR="00CF33D9" w14:paraId="6808FE50" w14:textId="77777777">
        <w:trPr>
          <w:trHeight w:val="320"/>
        </w:trPr>
        <w:tc>
          <w:tcPr>
            <w:tcW w:w="1840" w:type="dxa"/>
            <w:vMerge/>
            <w:tcBorders>
              <w:top w:val="single" w:sz="8" w:space="0" w:color="auto"/>
              <w:left w:val="single" w:sz="8" w:space="0" w:color="auto"/>
              <w:bottom w:val="nil"/>
              <w:right w:val="single" w:sz="8" w:space="0" w:color="auto"/>
            </w:tcBorders>
            <w:vAlign w:val="center"/>
          </w:tcPr>
          <w:p w14:paraId="6808FE4B" w14:textId="77777777" w:rsidR="00CF33D9" w:rsidRDefault="00CF33D9">
            <w:pPr>
              <w:rPr>
                <w:rFonts w:ascii="Calibri" w:hAnsi="Calibri" w:cs="Calibri"/>
                <w:b/>
                <w:bCs/>
                <w:color w:val="000000"/>
                <w:sz w:val="20"/>
                <w:szCs w:val="20"/>
                <w:lang w:val="zh-CN"/>
              </w:rPr>
            </w:pPr>
          </w:p>
        </w:tc>
        <w:tc>
          <w:tcPr>
            <w:tcW w:w="2860" w:type="dxa"/>
            <w:vMerge/>
            <w:tcBorders>
              <w:top w:val="single" w:sz="8" w:space="0" w:color="auto"/>
              <w:left w:val="single" w:sz="8" w:space="0" w:color="auto"/>
              <w:bottom w:val="nil"/>
              <w:right w:val="single" w:sz="8" w:space="0" w:color="auto"/>
            </w:tcBorders>
            <w:vAlign w:val="center"/>
          </w:tcPr>
          <w:p w14:paraId="6808FE4C" w14:textId="77777777" w:rsidR="00CF33D9" w:rsidRDefault="00CF33D9">
            <w:pPr>
              <w:rPr>
                <w:rFonts w:ascii="Calibri" w:hAnsi="Calibri" w:cs="Calibri"/>
                <w:b/>
                <w:bCs/>
                <w:color w:val="000000"/>
                <w:sz w:val="20"/>
                <w:szCs w:val="20"/>
                <w:lang w:val="zh-CN"/>
              </w:rPr>
            </w:pPr>
          </w:p>
        </w:tc>
        <w:tc>
          <w:tcPr>
            <w:tcW w:w="1160" w:type="dxa"/>
            <w:vMerge/>
            <w:tcBorders>
              <w:top w:val="single" w:sz="8" w:space="0" w:color="auto"/>
              <w:left w:val="single" w:sz="8" w:space="0" w:color="auto"/>
              <w:bottom w:val="nil"/>
              <w:right w:val="single" w:sz="8" w:space="0" w:color="auto"/>
            </w:tcBorders>
            <w:vAlign w:val="center"/>
          </w:tcPr>
          <w:p w14:paraId="6808FE4D" w14:textId="77777777" w:rsidR="00CF33D9" w:rsidRDefault="00CF33D9">
            <w:pPr>
              <w:rPr>
                <w:rFonts w:ascii="Calibri" w:hAnsi="Calibri" w:cs="Calibri"/>
                <w:b/>
                <w:bCs/>
                <w:color w:val="000000"/>
                <w:sz w:val="20"/>
                <w:szCs w:val="20"/>
                <w:lang w:val="zh-CN"/>
              </w:rPr>
            </w:pPr>
          </w:p>
        </w:tc>
        <w:tc>
          <w:tcPr>
            <w:tcW w:w="2320" w:type="dxa"/>
            <w:tcBorders>
              <w:top w:val="nil"/>
              <w:left w:val="nil"/>
              <w:bottom w:val="nil"/>
              <w:right w:val="single" w:sz="8" w:space="0" w:color="auto"/>
            </w:tcBorders>
            <w:shd w:val="clear" w:color="000000" w:fill="DDEBF7"/>
            <w:vAlign w:val="center"/>
          </w:tcPr>
          <w:p w14:paraId="6808FE4E" w14:textId="77777777" w:rsidR="00CF33D9" w:rsidRDefault="00E3332A">
            <w:pPr>
              <w:jc w:val="center"/>
              <w:rPr>
                <w:rFonts w:ascii="Calibri" w:hAnsi="Calibri" w:cs="Calibri"/>
                <w:b/>
                <w:bCs/>
                <w:color w:val="000000"/>
                <w:sz w:val="20"/>
                <w:szCs w:val="20"/>
                <w:lang w:val="zh-CN"/>
              </w:rPr>
            </w:pPr>
            <w:r>
              <w:rPr>
                <w:rFonts w:ascii="Calibri" w:hAnsi="Calibri" w:cs="Calibri"/>
                <w:b/>
                <w:bCs/>
                <w:color w:val="000000"/>
                <w:sz w:val="20"/>
                <w:szCs w:val="20"/>
                <w:lang w:val="zh-CN"/>
              </w:rPr>
              <w:t>Mobilized</w:t>
            </w:r>
          </w:p>
        </w:tc>
        <w:tc>
          <w:tcPr>
            <w:tcW w:w="1680" w:type="dxa"/>
            <w:vMerge/>
            <w:tcBorders>
              <w:top w:val="single" w:sz="8" w:space="0" w:color="auto"/>
              <w:left w:val="single" w:sz="8" w:space="0" w:color="auto"/>
              <w:bottom w:val="nil"/>
              <w:right w:val="single" w:sz="8" w:space="0" w:color="auto"/>
            </w:tcBorders>
            <w:vAlign w:val="center"/>
          </w:tcPr>
          <w:p w14:paraId="6808FE4F" w14:textId="77777777" w:rsidR="00CF33D9" w:rsidRDefault="00CF33D9">
            <w:pPr>
              <w:rPr>
                <w:rFonts w:ascii="Calibri" w:hAnsi="Calibri" w:cs="Calibri"/>
                <w:b/>
                <w:bCs/>
                <w:color w:val="000000"/>
                <w:sz w:val="20"/>
                <w:szCs w:val="20"/>
                <w:lang w:val="zh-CN"/>
              </w:rPr>
            </w:pPr>
          </w:p>
        </w:tc>
      </w:tr>
      <w:tr w:rsidR="00CF33D9" w14:paraId="6808FE56" w14:textId="77777777">
        <w:trPr>
          <w:trHeight w:val="680"/>
        </w:trPr>
        <w:tc>
          <w:tcPr>
            <w:tcW w:w="1840" w:type="dxa"/>
            <w:tcBorders>
              <w:top w:val="single" w:sz="8" w:space="0" w:color="auto"/>
              <w:left w:val="single" w:sz="8" w:space="0" w:color="auto"/>
              <w:bottom w:val="nil"/>
              <w:right w:val="single" w:sz="8" w:space="0" w:color="auto"/>
            </w:tcBorders>
            <w:shd w:val="clear" w:color="000000" w:fill="DDEBF7"/>
            <w:vAlign w:val="center"/>
          </w:tcPr>
          <w:p w14:paraId="6808FE51" w14:textId="77777777" w:rsidR="00CF33D9" w:rsidRDefault="00E3332A">
            <w:pPr>
              <w:jc w:val="center"/>
              <w:rPr>
                <w:rFonts w:ascii="Calibri" w:hAnsi="Calibri" w:cs="Calibri"/>
                <w:b/>
                <w:bCs/>
                <w:color w:val="000000"/>
                <w:sz w:val="20"/>
                <w:szCs w:val="20"/>
                <w:lang w:val="zh-CN"/>
              </w:rPr>
            </w:pPr>
            <w:r>
              <w:rPr>
                <w:rFonts w:ascii="Calibri" w:hAnsi="Calibri" w:cs="Calibri"/>
                <w:b/>
                <w:bCs/>
                <w:color w:val="000000"/>
                <w:sz w:val="20"/>
                <w:szCs w:val="20"/>
                <w:lang w:val="zh-CN"/>
              </w:rPr>
              <w:t>Government of Angola</w:t>
            </w:r>
          </w:p>
        </w:tc>
        <w:tc>
          <w:tcPr>
            <w:tcW w:w="2860" w:type="dxa"/>
            <w:tcBorders>
              <w:top w:val="single" w:sz="8" w:space="0" w:color="auto"/>
              <w:left w:val="nil"/>
              <w:bottom w:val="single" w:sz="8" w:space="0" w:color="auto"/>
              <w:right w:val="single" w:sz="4" w:space="0" w:color="auto"/>
            </w:tcBorders>
            <w:shd w:val="clear" w:color="auto" w:fill="auto"/>
            <w:vAlign w:val="center"/>
          </w:tcPr>
          <w:p w14:paraId="6808FE52" w14:textId="77777777" w:rsidR="00CF33D9" w:rsidRDefault="00E3332A">
            <w:pPr>
              <w:rPr>
                <w:rFonts w:ascii="Calibri" w:hAnsi="Calibri" w:cs="Calibri"/>
                <w:color w:val="000000"/>
                <w:sz w:val="20"/>
                <w:szCs w:val="20"/>
                <w:lang w:val="zh-CN"/>
              </w:rPr>
            </w:pPr>
            <w:r>
              <w:rPr>
                <w:rFonts w:ascii="Calibri" w:hAnsi="Calibri" w:cs="Calibri"/>
                <w:color w:val="000000"/>
                <w:sz w:val="20"/>
                <w:szCs w:val="20"/>
                <w:lang w:val="zh-CN"/>
              </w:rPr>
              <w:t>Ministry of Fisheries and Natural Resources</w:t>
            </w:r>
          </w:p>
        </w:tc>
        <w:tc>
          <w:tcPr>
            <w:tcW w:w="1160" w:type="dxa"/>
            <w:tcBorders>
              <w:top w:val="single" w:sz="8" w:space="0" w:color="auto"/>
              <w:left w:val="nil"/>
              <w:bottom w:val="single" w:sz="12" w:space="0" w:color="auto"/>
              <w:right w:val="single" w:sz="8" w:space="0" w:color="auto"/>
            </w:tcBorders>
            <w:shd w:val="clear" w:color="auto" w:fill="auto"/>
            <w:vAlign w:val="center"/>
          </w:tcPr>
          <w:p w14:paraId="6808FE53" w14:textId="77777777" w:rsidR="00CF33D9" w:rsidRDefault="00E3332A">
            <w:pPr>
              <w:rPr>
                <w:rFonts w:ascii="Calibri" w:hAnsi="Calibri" w:cs="Calibri"/>
                <w:color w:val="000000"/>
                <w:sz w:val="20"/>
                <w:szCs w:val="20"/>
                <w:lang w:val="zh-CN"/>
              </w:rPr>
            </w:pPr>
            <w:r>
              <w:rPr>
                <w:rFonts w:ascii="Calibri" w:hAnsi="Calibri" w:cs="Calibri"/>
                <w:color w:val="000000"/>
                <w:sz w:val="20"/>
                <w:szCs w:val="20"/>
                <w:lang w:val="zh-CN"/>
              </w:rPr>
              <w:t>Grant</w:t>
            </w:r>
          </w:p>
        </w:tc>
        <w:tc>
          <w:tcPr>
            <w:tcW w:w="2320" w:type="dxa"/>
            <w:tcBorders>
              <w:top w:val="single" w:sz="8" w:space="0" w:color="auto"/>
              <w:left w:val="nil"/>
              <w:bottom w:val="single" w:sz="8" w:space="0" w:color="auto"/>
              <w:right w:val="nil"/>
            </w:tcBorders>
            <w:shd w:val="clear" w:color="auto" w:fill="auto"/>
            <w:vAlign w:val="center"/>
          </w:tcPr>
          <w:p w14:paraId="6808FE54" w14:textId="77777777" w:rsidR="00CF33D9" w:rsidRDefault="00E3332A">
            <w:pPr>
              <w:jc w:val="center"/>
              <w:rPr>
                <w:rFonts w:ascii="Calibri" w:hAnsi="Calibri" w:cs="Calibri"/>
                <w:color w:val="000000"/>
                <w:sz w:val="20"/>
                <w:szCs w:val="20"/>
                <w:lang w:val="zh-CN"/>
              </w:rPr>
            </w:pPr>
            <w:r>
              <w:rPr>
                <w:rFonts w:ascii="Calibri" w:hAnsi="Calibri" w:cs="Calibri"/>
                <w:color w:val="000000"/>
                <w:sz w:val="20"/>
                <w:szCs w:val="20"/>
                <w:lang w:val="zh-CN"/>
              </w:rPr>
              <w:t>Investment mobilised</w:t>
            </w:r>
          </w:p>
        </w:tc>
        <w:tc>
          <w:tcPr>
            <w:tcW w:w="1680" w:type="dxa"/>
            <w:tcBorders>
              <w:top w:val="single" w:sz="8" w:space="0" w:color="auto"/>
              <w:left w:val="single" w:sz="8" w:space="0" w:color="auto"/>
              <w:bottom w:val="single" w:sz="8" w:space="0" w:color="auto"/>
              <w:right w:val="single" w:sz="12" w:space="0" w:color="auto"/>
            </w:tcBorders>
            <w:shd w:val="clear" w:color="auto" w:fill="auto"/>
            <w:vAlign w:val="center"/>
          </w:tcPr>
          <w:p w14:paraId="6808FE55" w14:textId="77777777" w:rsidR="00CF33D9" w:rsidRDefault="00E3332A">
            <w:pPr>
              <w:jc w:val="right"/>
              <w:rPr>
                <w:rFonts w:ascii="Calibri" w:hAnsi="Calibri" w:cs="Calibri"/>
                <w:color w:val="000000"/>
                <w:sz w:val="20"/>
                <w:szCs w:val="20"/>
                <w:lang w:val="zh-CN"/>
              </w:rPr>
            </w:pPr>
            <w:r>
              <w:rPr>
                <w:rFonts w:ascii="Calibri" w:hAnsi="Calibri" w:cs="Calibri"/>
                <w:color w:val="000000"/>
                <w:sz w:val="20"/>
                <w:szCs w:val="20"/>
                <w:lang w:val="zh-CN"/>
              </w:rPr>
              <w:t>4</w:t>
            </w:r>
            <w:r>
              <w:rPr>
                <w:rFonts w:ascii="Calibri" w:hAnsi="Calibri" w:cs="Calibri"/>
                <w:color w:val="000000"/>
                <w:sz w:val="20"/>
                <w:szCs w:val="20"/>
                <w:lang w:val="hr-HR"/>
              </w:rPr>
              <w:t>,</w:t>
            </w:r>
            <w:r>
              <w:rPr>
                <w:rFonts w:ascii="Calibri" w:hAnsi="Calibri" w:cs="Calibri"/>
                <w:color w:val="000000"/>
                <w:sz w:val="20"/>
                <w:szCs w:val="20"/>
                <w:lang w:val="zh-CN"/>
              </w:rPr>
              <w:t>535</w:t>
            </w:r>
            <w:r>
              <w:rPr>
                <w:rFonts w:ascii="Calibri" w:hAnsi="Calibri" w:cs="Calibri"/>
                <w:color w:val="000000"/>
                <w:sz w:val="20"/>
                <w:szCs w:val="20"/>
                <w:lang w:val="zh-CN" w:eastAsia="zh-CN"/>
              </w:rPr>
              <w:t>,</w:t>
            </w:r>
            <w:r>
              <w:rPr>
                <w:rFonts w:ascii="Calibri" w:hAnsi="Calibri" w:cs="Calibri"/>
                <w:color w:val="000000"/>
                <w:sz w:val="20"/>
                <w:szCs w:val="20"/>
                <w:lang w:val="zh-CN"/>
              </w:rPr>
              <w:t>580</w:t>
            </w:r>
            <w:r>
              <w:rPr>
                <w:rFonts w:ascii="Calibri" w:hAnsi="Calibri" w:cs="Calibri"/>
                <w:color w:val="000000"/>
                <w:sz w:val="20"/>
                <w:szCs w:val="20"/>
                <w:lang w:val="zh-CN" w:eastAsia="zh-CN"/>
              </w:rPr>
              <w:t>.</w:t>
            </w:r>
            <w:r>
              <w:rPr>
                <w:rFonts w:ascii="Calibri" w:hAnsi="Calibri" w:cs="Calibri"/>
                <w:color w:val="000000"/>
                <w:sz w:val="20"/>
                <w:szCs w:val="20"/>
                <w:lang w:val="zh-CN"/>
              </w:rPr>
              <w:t>12</w:t>
            </w:r>
          </w:p>
        </w:tc>
      </w:tr>
      <w:tr w:rsidR="00CF33D9" w14:paraId="6808FE5C" w14:textId="77777777">
        <w:trPr>
          <w:trHeight w:val="740"/>
        </w:trPr>
        <w:tc>
          <w:tcPr>
            <w:tcW w:w="1840" w:type="dxa"/>
            <w:vMerge w:val="restart"/>
            <w:tcBorders>
              <w:top w:val="single" w:sz="8" w:space="0" w:color="auto"/>
              <w:left w:val="single" w:sz="8" w:space="0" w:color="auto"/>
              <w:bottom w:val="single" w:sz="8" w:space="0" w:color="auto"/>
              <w:right w:val="single" w:sz="8" w:space="0" w:color="auto"/>
            </w:tcBorders>
            <w:shd w:val="clear" w:color="000000" w:fill="DDEBF7"/>
            <w:vAlign w:val="center"/>
          </w:tcPr>
          <w:p w14:paraId="6808FE57" w14:textId="77777777" w:rsidR="00CF33D9" w:rsidRDefault="00E3332A">
            <w:pPr>
              <w:jc w:val="center"/>
              <w:rPr>
                <w:rFonts w:ascii="Calibri" w:hAnsi="Calibri" w:cs="Calibri"/>
                <w:b/>
                <w:bCs/>
                <w:color w:val="000000"/>
                <w:sz w:val="20"/>
                <w:szCs w:val="20"/>
                <w:lang w:val="zh-CN"/>
              </w:rPr>
            </w:pPr>
            <w:r>
              <w:rPr>
                <w:rFonts w:ascii="Calibri" w:hAnsi="Calibri" w:cs="Calibri"/>
                <w:b/>
                <w:bCs/>
                <w:color w:val="000000"/>
                <w:sz w:val="20"/>
                <w:szCs w:val="20"/>
                <w:lang w:val="zh-CN"/>
              </w:rPr>
              <w:t>Government of Namibia</w:t>
            </w:r>
          </w:p>
        </w:tc>
        <w:tc>
          <w:tcPr>
            <w:tcW w:w="2860" w:type="dxa"/>
            <w:tcBorders>
              <w:top w:val="nil"/>
              <w:left w:val="nil"/>
              <w:bottom w:val="single" w:sz="12" w:space="0" w:color="auto"/>
              <w:right w:val="single" w:sz="8" w:space="0" w:color="auto"/>
            </w:tcBorders>
            <w:shd w:val="clear" w:color="auto" w:fill="auto"/>
            <w:vAlign w:val="center"/>
          </w:tcPr>
          <w:p w14:paraId="6808FE58" w14:textId="77777777" w:rsidR="00CF33D9" w:rsidRDefault="00E3332A">
            <w:pPr>
              <w:rPr>
                <w:rFonts w:ascii="Calibri" w:hAnsi="Calibri" w:cs="Calibri"/>
                <w:color w:val="000000"/>
                <w:sz w:val="20"/>
                <w:szCs w:val="20"/>
                <w:lang w:val="zh-CN"/>
              </w:rPr>
            </w:pPr>
            <w:r>
              <w:rPr>
                <w:rFonts w:ascii="Calibri" w:hAnsi="Calibri" w:cs="Calibri"/>
                <w:color w:val="000000"/>
                <w:sz w:val="20"/>
                <w:szCs w:val="20"/>
                <w:lang w:val="zh-CN"/>
              </w:rPr>
              <w:t>Ministry of Agriculture, Water and Land Reform</w:t>
            </w:r>
          </w:p>
        </w:tc>
        <w:tc>
          <w:tcPr>
            <w:tcW w:w="1160" w:type="dxa"/>
            <w:tcBorders>
              <w:top w:val="nil"/>
              <w:left w:val="nil"/>
              <w:bottom w:val="single" w:sz="8" w:space="0" w:color="auto"/>
              <w:right w:val="single" w:sz="8" w:space="0" w:color="auto"/>
            </w:tcBorders>
            <w:shd w:val="clear" w:color="auto" w:fill="auto"/>
            <w:vAlign w:val="center"/>
          </w:tcPr>
          <w:p w14:paraId="6808FE59" w14:textId="77777777" w:rsidR="00CF33D9" w:rsidRDefault="00E3332A">
            <w:pPr>
              <w:ind w:firstLineChars="100" w:firstLine="200"/>
              <w:rPr>
                <w:rFonts w:ascii="Calibri" w:hAnsi="Calibri" w:cs="Calibri"/>
                <w:color w:val="000000"/>
                <w:sz w:val="20"/>
                <w:szCs w:val="20"/>
                <w:lang w:val="zh-CN"/>
              </w:rPr>
            </w:pPr>
            <w:r>
              <w:rPr>
                <w:rFonts w:ascii="Calibri" w:hAnsi="Calibri" w:cs="Calibri"/>
                <w:color w:val="000000"/>
                <w:sz w:val="20"/>
                <w:szCs w:val="20"/>
                <w:lang w:val="zh-CN"/>
              </w:rPr>
              <w:t>In-kind</w:t>
            </w:r>
          </w:p>
        </w:tc>
        <w:tc>
          <w:tcPr>
            <w:tcW w:w="2320" w:type="dxa"/>
            <w:tcBorders>
              <w:top w:val="nil"/>
              <w:left w:val="nil"/>
              <w:bottom w:val="single" w:sz="8" w:space="0" w:color="auto"/>
              <w:right w:val="single" w:sz="8" w:space="0" w:color="auto"/>
            </w:tcBorders>
            <w:shd w:val="clear" w:color="auto" w:fill="auto"/>
            <w:vAlign w:val="center"/>
          </w:tcPr>
          <w:p w14:paraId="6808FE5A" w14:textId="77777777" w:rsidR="00CF33D9" w:rsidRDefault="00E3332A">
            <w:pPr>
              <w:jc w:val="center"/>
              <w:rPr>
                <w:rFonts w:ascii="Calibri" w:hAnsi="Calibri" w:cs="Calibri"/>
                <w:color w:val="000000"/>
                <w:sz w:val="20"/>
                <w:szCs w:val="20"/>
                <w:lang w:val="zh-CN"/>
              </w:rPr>
            </w:pPr>
            <w:r>
              <w:rPr>
                <w:rFonts w:ascii="Calibri" w:hAnsi="Calibri" w:cs="Calibri"/>
                <w:color w:val="000000"/>
                <w:sz w:val="20"/>
                <w:szCs w:val="20"/>
                <w:lang w:val="zh-CN"/>
              </w:rPr>
              <w:t>Recurrent expenditures</w:t>
            </w:r>
          </w:p>
        </w:tc>
        <w:tc>
          <w:tcPr>
            <w:tcW w:w="1680" w:type="dxa"/>
            <w:tcBorders>
              <w:top w:val="nil"/>
              <w:left w:val="nil"/>
              <w:bottom w:val="single" w:sz="8" w:space="0" w:color="auto"/>
              <w:right w:val="single" w:sz="8" w:space="0" w:color="auto"/>
            </w:tcBorders>
            <w:shd w:val="clear" w:color="auto" w:fill="auto"/>
            <w:vAlign w:val="center"/>
          </w:tcPr>
          <w:p w14:paraId="6808FE5B" w14:textId="77777777" w:rsidR="00CF33D9" w:rsidRDefault="00E3332A">
            <w:pPr>
              <w:jc w:val="right"/>
              <w:rPr>
                <w:rFonts w:ascii="Calibri" w:hAnsi="Calibri" w:cs="Calibri"/>
                <w:color w:val="000000"/>
                <w:sz w:val="20"/>
                <w:szCs w:val="20"/>
                <w:lang w:val="zh-CN"/>
              </w:rPr>
            </w:pPr>
            <w:r>
              <w:rPr>
                <w:rFonts w:ascii="Calibri" w:hAnsi="Calibri" w:cs="Calibri"/>
                <w:color w:val="000000"/>
                <w:sz w:val="20"/>
                <w:szCs w:val="20"/>
                <w:lang w:val="zh-CN"/>
              </w:rPr>
              <w:t xml:space="preserve">       100</w:t>
            </w:r>
            <w:r>
              <w:rPr>
                <w:rFonts w:ascii="Calibri" w:hAnsi="Calibri" w:cs="Calibri"/>
                <w:color w:val="000000"/>
                <w:sz w:val="20"/>
                <w:szCs w:val="20"/>
                <w:lang w:val="zh-CN" w:eastAsia="zh-CN"/>
              </w:rPr>
              <w:t>,</w:t>
            </w:r>
            <w:r>
              <w:rPr>
                <w:rFonts w:ascii="Calibri" w:hAnsi="Calibri" w:cs="Calibri"/>
                <w:color w:val="000000"/>
                <w:sz w:val="20"/>
                <w:szCs w:val="20"/>
                <w:lang w:val="zh-CN"/>
              </w:rPr>
              <w:t>000</w:t>
            </w:r>
            <w:r>
              <w:rPr>
                <w:rFonts w:ascii="Calibri" w:hAnsi="Calibri" w:cs="Calibri"/>
                <w:color w:val="000000"/>
                <w:sz w:val="20"/>
                <w:szCs w:val="20"/>
                <w:lang w:val="zh-CN" w:eastAsia="zh-CN"/>
              </w:rPr>
              <w:t>.</w:t>
            </w:r>
            <w:r>
              <w:rPr>
                <w:rFonts w:ascii="Calibri" w:hAnsi="Calibri" w:cs="Calibri"/>
                <w:color w:val="000000"/>
                <w:sz w:val="20"/>
                <w:szCs w:val="20"/>
                <w:lang w:val="zh-CN"/>
              </w:rPr>
              <w:t xml:space="preserve">00 </w:t>
            </w:r>
          </w:p>
        </w:tc>
      </w:tr>
      <w:tr w:rsidR="00CF33D9" w14:paraId="6808FE62" w14:textId="77777777">
        <w:trPr>
          <w:trHeight w:val="700"/>
        </w:trPr>
        <w:tc>
          <w:tcPr>
            <w:tcW w:w="1840" w:type="dxa"/>
            <w:vMerge/>
            <w:tcBorders>
              <w:top w:val="single" w:sz="8" w:space="0" w:color="auto"/>
              <w:left w:val="single" w:sz="8" w:space="0" w:color="auto"/>
              <w:bottom w:val="single" w:sz="8" w:space="0" w:color="auto"/>
              <w:right w:val="single" w:sz="8" w:space="0" w:color="auto"/>
            </w:tcBorders>
            <w:vAlign w:val="center"/>
          </w:tcPr>
          <w:p w14:paraId="6808FE5D" w14:textId="77777777" w:rsidR="00CF33D9" w:rsidRDefault="00CF33D9">
            <w:pPr>
              <w:rPr>
                <w:rFonts w:ascii="Calibri" w:hAnsi="Calibri" w:cs="Calibri"/>
                <w:b/>
                <w:bCs/>
                <w:color w:val="000000"/>
                <w:sz w:val="20"/>
                <w:szCs w:val="20"/>
                <w:lang w:val="zh-CN"/>
              </w:rPr>
            </w:pPr>
          </w:p>
        </w:tc>
        <w:tc>
          <w:tcPr>
            <w:tcW w:w="2860" w:type="dxa"/>
            <w:tcBorders>
              <w:top w:val="nil"/>
              <w:left w:val="nil"/>
              <w:bottom w:val="single" w:sz="8" w:space="0" w:color="auto"/>
              <w:right w:val="single" w:sz="8" w:space="0" w:color="auto"/>
            </w:tcBorders>
            <w:shd w:val="clear" w:color="auto" w:fill="auto"/>
            <w:vAlign w:val="center"/>
          </w:tcPr>
          <w:p w14:paraId="6808FE5E" w14:textId="77777777" w:rsidR="00CF33D9" w:rsidRDefault="00E3332A">
            <w:pPr>
              <w:rPr>
                <w:rFonts w:ascii="Calibri" w:hAnsi="Calibri" w:cs="Calibri"/>
                <w:color w:val="000000"/>
                <w:sz w:val="20"/>
                <w:szCs w:val="20"/>
                <w:lang w:val="zh-CN"/>
              </w:rPr>
            </w:pPr>
            <w:r>
              <w:rPr>
                <w:rFonts w:ascii="Calibri" w:hAnsi="Calibri" w:cs="Calibri"/>
                <w:color w:val="000000"/>
                <w:sz w:val="20"/>
                <w:szCs w:val="20"/>
                <w:lang w:val="zh-CN"/>
              </w:rPr>
              <w:t>Ministry of Fisheries and Marine Resources</w:t>
            </w:r>
          </w:p>
        </w:tc>
        <w:tc>
          <w:tcPr>
            <w:tcW w:w="1160" w:type="dxa"/>
            <w:tcBorders>
              <w:top w:val="nil"/>
              <w:left w:val="nil"/>
              <w:bottom w:val="single" w:sz="8" w:space="0" w:color="auto"/>
              <w:right w:val="single" w:sz="8" w:space="0" w:color="auto"/>
            </w:tcBorders>
            <w:shd w:val="clear" w:color="auto" w:fill="auto"/>
            <w:vAlign w:val="center"/>
          </w:tcPr>
          <w:p w14:paraId="6808FE5F" w14:textId="77777777" w:rsidR="00CF33D9" w:rsidRDefault="00E3332A">
            <w:pPr>
              <w:ind w:firstLineChars="100" w:firstLine="200"/>
              <w:rPr>
                <w:rFonts w:ascii="Calibri" w:hAnsi="Calibri" w:cs="Calibri"/>
                <w:color w:val="000000"/>
                <w:sz w:val="20"/>
                <w:szCs w:val="20"/>
                <w:lang w:val="zh-CN"/>
              </w:rPr>
            </w:pPr>
            <w:r>
              <w:rPr>
                <w:rFonts w:ascii="Calibri" w:hAnsi="Calibri" w:cs="Calibri"/>
                <w:color w:val="000000"/>
                <w:sz w:val="20"/>
                <w:szCs w:val="20"/>
                <w:lang w:val="zh-CN"/>
              </w:rPr>
              <w:t>Grant</w:t>
            </w:r>
          </w:p>
        </w:tc>
        <w:tc>
          <w:tcPr>
            <w:tcW w:w="2320" w:type="dxa"/>
            <w:tcBorders>
              <w:top w:val="nil"/>
              <w:left w:val="nil"/>
              <w:bottom w:val="single" w:sz="8" w:space="0" w:color="auto"/>
              <w:right w:val="single" w:sz="8" w:space="0" w:color="auto"/>
            </w:tcBorders>
            <w:shd w:val="clear" w:color="auto" w:fill="auto"/>
            <w:vAlign w:val="center"/>
          </w:tcPr>
          <w:p w14:paraId="6808FE60" w14:textId="77777777" w:rsidR="00CF33D9" w:rsidRDefault="00E3332A">
            <w:pPr>
              <w:jc w:val="center"/>
              <w:rPr>
                <w:rFonts w:ascii="Calibri" w:hAnsi="Calibri" w:cs="Calibri"/>
                <w:color w:val="000000"/>
                <w:sz w:val="20"/>
                <w:szCs w:val="20"/>
                <w:lang w:val="zh-CN"/>
              </w:rPr>
            </w:pPr>
            <w:r>
              <w:rPr>
                <w:rFonts w:ascii="Calibri" w:hAnsi="Calibri" w:cs="Calibri"/>
                <w:color w:val="000000"/>
                <w:sz w:val="20"/>
                <w:szCs w:val="20"/>
                <w:lang w:val="zh-CN"/>
              </w:rPr>
              <w:t>Investment mobilised</w:t>
            </w:r>
          </w:p>
        </w:tc>
        <w:tc>
          <w:tcPr>
            <w:tcW w:w="1680" w:type="dxa"/>
            <w:tcBorders>
              <w:top w:val="nil"/>
              <w:left w:val="nil"/>
              <w:bottom w:val="single" w:sz="8" w:space="0" w:color="auto"/>
              <w:right w:val="single" w:sz="8" w:space="0" w:color="auto"/>
            </w:tcBorders>
            <w:shd w:val="clear" w:color="auto" w:fill="auto"/>
            <w:vAlign w:val="center"/>
          </w:tcPr>
          <w:p w14:paraId="6808FE61" w14:textId="77777777" w:rsidR="00CF33D9" w:rsidRDefault="00E3332A">
            <w:pPr>
              <w:jc w:val="right"/>
              <w:rPr>
                <w:rFonts w:ascii="Calibri" w:hAnsi="Calibri" w:cs="Calibri"/>
                <w:color w:val="000000"/>
                <w:sz w:val="20"/>
                <w:szCs w:val="20"/>
                <w:lang w:val="zh-CN"/>
              </w:rPr>
            </w:pPr>
            <w:r>
              <w:rPr>
                <w:rFonts w:ascii="Calibri" w:hAnsi="Calibri" w:cs="Calibri"/>
                <w:color w:val="000000"/>
                <w:sz w:val="20"/>
                <w:szCs w:val="20"/>
                <w:lang w:val="zh-CN"/>
              </w:rPr>
              <w:t xml:space="preserve">    9</w:t>
            </w:r>
            <w:r>
              <w:rPr>
                <w:rFonts w:ascii="Calibri" w:hAnsi="Calibri" w:cs="Calibri"/>
                <w:color w:val="000000"/>
                <w:sz w:val="20"/>
                <w:szCs w:val="20"/>
                <w:lang w:val="zh-CN" w:eastAsia="zh-CN"/>
              </w:rPr>
              <w:t>,</w:t>
            </w:r>
            <w:r>
              <w:rPr>
                <w:rFonts w:ascii="Calibri" w:hAnsi="Calibri" w:cs="Calibri"/>
                <w:color w:val="000000"/>
                <w:sz w:val="20"/>
                <w:szCs w:val="20"/>
                <w:lang w:val="zh-CN"/>
              </w:rPr>
              <w:t>109</w:t>
            </w:r>
            <w:r>
              <w:rPr>
                <w:rFonts w:ascii="Calibri" w:hAnsi="Calibri" w:cs="Calibri"/>
                <w:color w:val="000000"/>
                <w:sz w:val="20"/>
                <w:szCs w:val="20"/>
                <w:lang w:val="zh-CN" w:eastAsia="zh-CN"/>
              </w:rPr>
              <w:t>,</w:t>
            </w:r>
            <w:r>
              <w:rPr>
                <w:rFonts w:ascii="Calibri" w:hAnsi="Calibri" w:cs="Calibri"/>
                <w:color w:val="000000"/>
                <w:sz w:val="20"/>
                <w:szCs w:val="20"/>
                <w:lang w:val="zh-CN"/>
              </w:rPr>
              <w:t>310</w:t>
            </w:r>
            <w:r>
              <w:rPr>
                <w:rFonts w:ascii="Calibri" w:hAnsi="Calibri" w:cs="Calibri"/>
                <w:color w:val="000000"/>
                <w:sz w:val="20"/>
                <w:szCs w:val="20"/>
                <w:lang w:val="hr-HR"/>
              </w:rPr>
              <w:t>.</w:t>
            </w:r>
            <w:r>
              <w:rPr>
                <w:rFonts w:ascii="Calibri" w:hAnsi="Calibri" w:cs="Calibri"/>
                <w:color w:val="000000"/>
                <w:sz w:val="20"/>
                <w:szCs w:val="20"/>
                <w:lang w:val="zh-CN"/>
              </w:rPr>
              <w:t xml:space="preserve">00 </w:t>
            </w:r>
          </w:p>
        </w:tc>
      </w:tr>
      <w:tr w:rsidR="00CF33D9" w14:paraId="6808FE68" w14:textId="77777777">
        <w:trPr>
          <w:trHeight w:val="940"/>
        </w:trPr>
        <w:tc>
          <w:tcPr>
            <w:tcW w:w="1840" w:type="dxa"/>
            <w:vMerge w:val="restart"/>
            <w:tcBorders>
              <w:top w:val="nil"/>
              <w:left w:val="single" w:sz="8" w:space="0" w:color="auto"/>
              <w:bottom w:val="single" w:sz="4" w:space="0" w:color="000000"/>
              <w:right w:val="single" w:sz="8" w:space="0" w:color="auto"/>
            </w:tcBorders>
            <w:shd w:val="clear" w:color="000000" w:fill="DDEBF7"/>
            <w:vAlign w:val="center"/>
          </w:tcPr>
          <w:p w14:paraId="6808FE63" w14:textId="77777777" w:rsidR="00CF33D9" w:rsidRDefault="00E3332A">
            <w:pPr>
              <w:jc w:val="center"/>
              <w:rPr>
                <w:rFonts w:ascii="Calibri" w:hAnsi="Calibri" w:cs="Calibri"/>
                <w:b/>
                <w:bCs/>
                <w:color w:val="000000"/>
                <w:sz w:val="20"/>
                <w:szCs w:val="20"/>
                <w:lang w:val="zh-CN"/>
              </w:rPr>
            </w:pPr>
            <w:r>
              <w:rPr>
                <w:rFonts w:ascii="Calibri" w:hAnsi="Calibri" w:cs="Calibri"/>
                <w:b/>
                <w:bCs/>
                <w:color w:val="000000"/>
                <w:sz w:val="20"/>
                <w:szCs w:val="20"/>
                <w:lang w:val="zh-CN"/>
              </w:rPr>
              <w:t>Government of South Africa</w:t>
            </w:r>
          </w:p>
        </w:tc>
        <w:tc>
          <w:tcPr>
            <w:tcW w:w="2860" w:type="dxa"/>
            <w:tcBorders>
              <w:top w:val="nil"/>
              <w:left w:val="nil"/>
              <w:bottom w:val="single" w:sz="8" w:space="0" w:color="auto"/>
              <w:right w:val="single" w:sz="8" w:space="0" w:color="auto"/>
            </w:tcBorders>
            <w:shd w:val="clear" w:color="auto" w:fill="auto"/>
            <w:vAlign w:val="center"/>
          </w:tcPr>
          <w:p w14:paraId="6808FE64" w14:textId="77777777" w:rsidR="00CF33D9" w:rsidRDefault="00E3332A">
            <w:pPr>
              <w:rPr>
                <w:rFonts w:ascii="Calibri" w:hAnsi="Calibri" w:cs="Calibri"/>
                <w:color w:val="000000"/>
                <w:sz w:val="20"/>
                <w:szCs w:val="20"/>
                <w:lang w:val="zh-CN"/>
              </w:rPr>
            </w:pPr>
            <w:r>
              <w:rPr>
                <w:rFonts w:ascii="Calibri" w:hAnsi="Calibri" w:cs="Calibri"/>
                <w:color w:val="000000"/>
                <w:sz w:val="20"/>
                <w:szCs w:val="20"/>
                <w:lang w:val="zh-CN"/>
              </w:rPr>
              <w:t>Department of Transport: South African Maritime Safety Authority (SAMSA)</w:t>
            </w:r>
          </w:p>
        </w:tc>
        <w:tc>
          <w:tcPr>
            <w:tcW w:w="1160" w:type="dxa"/>
            <w:tcBorders>
              <w:top w:val="nil"/>
              <w:left w:val="nil"/>
              <w:bottom w:val="single" w:sz="8" w:space="0" w:color="auto"/>
              <w:right w:val="single" w:sz="8" w:space="0" w:color="auto"/>
            </w:tcBorders>
            <w:shd w:val="clear" w:color="auto" w:fill="auto"/>
            <w:vAlign w:val="center"/>
          </w:tcPr>
          <w:p w14:paraId="6808FE65" w14:textId="77777777" w:rsidR="00CF33D9" w:rsidRDefault="00E3332A">
            <w:pPr>
              <w:ind w:firstLineChars="100" w:firstLine="200"/>
              <w:rPr>
                <w:rFonts w:ascii="Calibri" w:hAnsi="Calibri" w:cs="Calibri"/>
                <w:color w:val="000000"/>
                <w:sz w:val="20"/>
                <w:szCs w:val="20"/>
                <w:lang w:val="zh-CN"/>
              </w:rPr>
            </w:pPr>
            <w:r>
              <w:rPr>
                <w:rFonts w:ascii="Calibri" w:hAnsi="Calibri" w:cs="Calibri"/>
                <w:color w:val="000000"/>
                <w:sz w:val="20"/>
                <w:szCs w:val="20"/>
                <w:lang w:val="zh-CN"/>
              </w:rPr>
              <w:t>Grant</w:t>
            </w:r>
          </w:p>
        </w:tc>
        <w:tc>
          <w:tcPr>
            <w:tcW w:w="2320" w:type="dxa"/>
            <w:tcBorders>
              <w:top w:val="nil"/>
              <w:left w:val="nil"/>
              <w:bottom w:val="single" w:sz="8" w:space="0" w:color="auto"/>
              <w:right w:val="single" w:sz="8" w:space="0" w:color="auto"/>
            </w:tcBorders>
            <w:shd w:val="clear" w:color="auto" w:fill="auto"/>
            <w:vAlign w:val="center"/>
          </w:tcPr>
          <w:p w14:paraId="6808FE66" w14:textId="77777777" w:rsidR="00CF33D9" w:rsidRDefault="00E3332A">
            <w:pPr>
              <w:jc w:val="center"/>
              <w:rPr>
                <w:rFonts w:ascii="Calibri" w:hAnsi="Calibri" w:cs="Calibri"/>
                <w:color w:val="000000"/>
                <w:sz w:val="20"/>
                <w:szCs w:val="20"/>
                <w:lang w:val="zh-CN"/>
              </w:rPr>
            </w:pPr>
            <w:r>
              <w:rPr>
                <w:rFonts w:ascii="Calibri" w:hAnsi="Calibri" w:cs="Calibri"/>
                <w:color w:val="000000"/>
                <w:sz w:val="20"/>
                <w:szCs w:val="20"/>
                <w:lang w:val="zh-CN"/>
              </w:rPr>
              <w:t>Investment mobilised</w:t>
            </w:r>
          </w:p>
        </w:tc>
        <w:tc>
          <w:tcPr>
            <w:tcW w:w="1680" w:type="dxa"/>
            <w:tcBorders>
              <w:top w:val="nil"/>
              <w:left w:val="nil"/>
              <w:bottom w:val="single" w:sz="8" w:space="0" w:color="auto"/>
              <w:right w:val="single" w:sz="8" w:space="0" w:color="auto"/>
            </w:tcBorders>
            <w:shd w:val="clear" w:color="auto" w:fill="auto"/>
            <w:vAlign w:val="center"/>
          </w:tcPr>
          <w:p w14:paraId="6808FE67" w14:textId="77777777" w:rsidR="00CF33D9" w:rsidRDefault="00E3332A">
            <w:pPr>
              <w:jc w:val="right"/>
              <w:rPr>
                <w:rFonts w:ascii="Calibri" w:hAnsi="Calibri" w:cs="Calibri"/>
                <w:color w:val="000000"/>
                <w:sz w:val="20"/>
                <w:szCs w:val="20"/>
                <w:lang w:val="zh-CN"/>
              </w:rPr>
            </w:pPr>
            <w:r>
              <w:rPr>
                <w:rFonts w:ascii="Calibri" w:hAnsi="Calibri" w:cs="Calibri"/>
                <w:color w:val="000000"/>
                <w:sz w:val="20"/>
                <w:szCs w:val="20"/>
                <w:lang w:val="zh-CN"/>
              </w:rPr>
              <w:t xml:space="preserve">  26</w:t>
            </w:r>
            <w:r>
              <w:rPr>
                <w:rFonts w:ascii="Calibri" w:hAnsi="Calibri" w:cs="Calibri"/>
                <w:color w:val="000000"/>
                <w:sz w:val="20"/>
                <w:szCs w:val="20"/>
                <w:lang w:val="zh-CN" w:eastAsia="zh-CN"/>
              </w:rPr>
              <w:t>,</w:t>
            </w:r>
            <w:r>
              <w:rPr>
                <w:rFonts w:ascii="Calibri" w:hAnsi="Calibri" w:cs="Calibri"/>
                <w:color w:val="000000"/>
                <w:sz w:val="20"/>
                <w:szCs w:val="20"/>
                <w:lang w:val="zh-CN"/>
              </w:rPr>
              <w:t>000</w:t>
            </w:r>
            <w:r>
              <w:rPr>
                <w:rFonts w:ascii="Calibri" w:hAnsi="Calibri" w:cs="Calibri"/>
                <w:color w:val="000000"/>
                <w:sz w:val="20"/>
                <w:szCs w:val="20"/>
                <w:lang w:val="zh-CN" w:eastAsia="zh-CN"/>
              </w:rPr>
              <w:t>,</w:t>
            </w:r>
            <w:r>
              <w:rPr>
                <w:rFonts w:ascii="Calibri" w:hAnsi="Calibri" w:cs="Calibri"/>
                <w:color w:val="000000"/>
                <w:sz w:val="20"/>
                <w:szCs w:val="20"/>
                <w:lang w:val="zh-CN"/>
              </w:rPr>
              <w:t>000</w:t>
            </w:r>
            <w:r>
              <w:rPr>
                <w:rFonts w:ascii="Calibri" w:hAnsi="Calibri" w:cs="Calibri"/>
                <w:color w:val="000000"/>
                <w:sz w:val="20"/>
                <w:szCs w:val="20"/>
                <w:lang w:val="zh-CN" w:eastAsia="zh-CN"/>
              </w:rPr>
              <w:t>.</w:t>
            </w:r>
            <w:r>
              <w:rPr>
                <w:rFonts w:ascii="Calibri" w:hAnsi="Calibri" w:cs="Calibri"/>
                <w:color w:val="000000"/>
                <w:sz w:val="20"/>
                <w:szCs w:val="20"/>
                <w:lang w:val="zh-CN"/>
              </w:rPr>
              <w:t xml:space="preserve">00 </w:t>
            </w:r>
          </w:p>
        </w:tc>
      </w:tr>
      <w:tr w:rsidR="00CF33D9" w14:paraId="6808FE6E" w14:textId="77777777">
        <w:trPr>
          <w:trHeight w:val="740"/>
        </w:trPr>
        <w:tc>
          <w:tcPr>
            <w:tcW w:w="1840" w:type="dxa"/>
            <w:vMerge/>
            <w:tcBorders>
              <w:top w:val="nil"/>
              <w:left w:val="single" w:sz="8" w:space="0" w:color="auto"/>
              <w:bottom w:val="single" w:sz="4" w:space="0" w:color="000000"/>
              <w:right w:val="single" w:sz="8" w:space="0" w:color="auto"/>
            </w:tcBorders>
            <w:vAlign w:val="center"/>
          </w:tcPr>
          <w:p w14:paraId="6808FE69" w14:textId="77777777" w:rsidR="00CF33D9" w:rsidRDefault="00CF33D9">
            <w:pPr>
              <w:rPr>
                <w:rFonts w:ascii="Calibri" w:hAnsi="Calibri" w:cs="Calibri"/>
                <w:b/>
                <w:bCs/>
                <w:color w:val="000000"/>
                <w:sz w:val="20"/>
                <w:szCs w:val="20"/>
                <w:lang w:val="zh-CN"/>
              </w:rPr>
            </w:pPr>
          </w:p>
        </w:tc>
        <w:tc>
          <w:tcPr>
            <w:tcW w:w="2860" w:type="dxa"/>
            <w:tcBorders>
              <w:top w:val="nil"/>
              <w:left w:val="nil"/>
              <w:bottom w:val="single" w:sz="8" w:space="0" w:color="auto"/>
              <w:right w:val="single" w:sz="8" w:space="0" w:color="auto"/>
            </w:tcBorders>
            <w:shd w:val="clear" w:color="auto" w:fill="auto"/>
            <w:vAlign w:val="center"/>
          </w:tcPr>
          <w:p w14:paraId="6808FE6A" w14:textId="77777777" w:rsidR="00CF33D9" w:rsidRDefault="00E3332A">
            <w:pPr>
              <w:rPr>
                <w:rFonts w:ascii="Calibri" w:hAnsi="Calibri" w:cs="Calibri"/>
                <w:color w:val="000000"/>
                <w:sz w:val="20"/>
                <w:szCs w:val="20"/>
                <w:lang w:val="zh-CN"/>
              </w:rPr>
            </w:pPr>
            <w:r>
              <w:rPr>
                <w:rFonts w:ascii="Calibri" w:hAnsi="Calibri" w:cs="Calibri"/>
                <w:color w:val="000000"/>
                <w:sz w:val="20"/>
                <w:szCs w:val="20"/>
                <w:lang w:val="zh-CN"/>
              </w:rPr>
              <w:t>Department of Forestry, Fisheries and the Environment</w:t>
            </w:r>
          </w:p>
        </w:tc>
        <w:tc>
          <w:tcPr>
            <w:tcW w:w="1160" w:type="dxa"/>
            <w:tcBorders>
              <w:top w:val="nil"/>
              <w:left w:val="nil"/>
              <w:bottom w:val="single" w:sz="8" w:space="0" w:color="auto"/>
              <w:right w:val="single" w:sz="8" w:space="0" w:color="auto"/>
            </w:tcBorders>
            <w:shd w:val="clear" w:color="auto" w:fill="auto"/>
            <w:vAlign w:val="center"/>
          </w:tcPr>
          <w:p w14:paraId="6808FE6B" w14:textId="77777777" w:rsidR="00CF33D9" w:rsidRDefault="00E3332A">
            <w:pPr>
              <w:ind w:firstLineChars="100" w:firstLine="200"/>
              <w:rPr>
                <w:rFonts w:ascii="Calibri" w:hAnsi="Calibri" w:cs="Calibri"/>
                <w:color w:val="000000"/>
                <w:sz w:val="20"/>
                <w:szCs w:val="20"/>
                <w:lang w:val="zh-CN"/>
              </w:rPr>
            </w:pPr>
            <w:r>
              <w:rPr>
                <w:rFonts w:ascii="Calibri" w:hAnsi="Calibri" w:cs="Calibri"/>
                <w:color w:val="000000"/>
                <w:sz w:val="20"/>
                <w:szCs w:val="20"/>
                <w:lang w:val="zh-CN"/>
              </w:rPr>
              <w:t>Grant</w:t>
            </w:r>
          </w:p>
        </w:tc>
        <w:tc>
          <w:tcPr>
            <w:tcW w:w="2320" w:type="dxa"/>
            <w:tcBorders>
              <w:top w:val="nil"/>
              <w:left w:val="nil"/>
              <w:bottom w:val="single" w:sz="8" w:space="0" w:color="auto"/>
              <w:right w:val="single" w:sz="8" w:space="0" w:color="auto"/>
            </w:tcBorders>
            <w:shd w:val="clear" w:color="auto" w:fill="auto"/>
            <w:vAlign w:val="center"/>
          </w:tcPr>
          <w:p w14:paraId="6808FE6C" w14:textId="77777777" w:rsidR="00CF33D9" w:rsidRDefault="00E3332A">
            <w:pPr>
              <w:jc w:val="center"/>
              <w:rPr>
                <w:rFonts w:ascii="Calibri" w:hAnsi="Calibri" w:cs="Calibri"/>
                <w:color w:val="000000"/>
                <w:sz w:val="20"/>
                <w:szCs w:val="20"/>
                <w:lang w:val="zh-CN"/>
              </w:rPr>
            </w:pPr>
            <w:r>
              <w:rPr>
                <w:rFonts w:ascii="Calibri" w:hAnsi="Calibri" w:cs="Calibri"/>
                <w:color w:val="000000"/>
                <w:sz w:val="20"/>
                <w:szCs w:val="20"/>
                <w:lang w:val="zh-CN"/>
              </w:rPr>
              <w:t>Investment mobilised</w:t>
            </w:r>
          </w:p>
        </w:tc>
        <w:tc>
          <w:tcPr>
            <w:tcW w:w="1680" w:type="dxa"/>
            <w:tcBorders>
              <w:top w:val="nil"/>
              <w:left w:val="nil"/>
              <w:bottom w:val="single" w:sz="8" w:space="0" w:color="auto"/>
              <w:right w:val="single" w:sz="8" w:space="0" w:color="auto"/>
            </w:tcBorders>
            <w:shd w:val="clear" w:color="auto" w:fill="auto"/>
            <w:vAlign w:val="center"/>
          </w:tcPr>
          <w:p w14:paraId="6808FE6D" w14:textId="77777777" w:rsidR="00CF33D9" w:rsidRDefault="00E3332A">
            <w:pPr>
              <w:jc w:val="right"/>
              <w:rPr>
                <w:rFonts w:ascii="Calibri" w:hAnsi="Calibri" w:cs="Calibri"/>
                <w:color w:val="000000"/>
                <w:sz w:val="20"/>
                <w:szCs w:val="20"/>
                <w:lang w:val="zh-CN"/>
              </w:rPr>
            </w:pPr>
            <w:r>
              <w:rPr>
                <w:rFonts w:ascii="Calibri" w:hAnsi="Calibri" w:cs="Calibri"/>
                <w:color w:val="000000"/>
                <w:sz w:val="20"/>
                <w:szCs w:val="20"/>
                <w:lang w:val="zh-CN"/>
              </w:rPr>
              <w:t xml:space="preserve">  12</w:t>
            </w:r>
            <w:r>
              <w:rPr>
                <w:rFonts w:ascii="Calibri" w:hAnsi="Calibri" w:cs="Calibri"/>
                <w:color w:val="000000"/>
                <w:sz w:val="20"/>
                <w:szCs w:val="20"/>
                <w:lang w:val="hr-HR"/>
              </w:rPr>
              <w:t>,</w:t>
            </w:r>
            <w:r>
              <w:rPr>
                <w:rFonts w:ascii="Calibri" w:hAnsi="Calibri" w:cs="Calibri"/>
                <w:color w:val="000000"/>
                <w:sz w:val="20"/>
                <w:szCs w:val="20"/>
                <w:lang w:val="zh-CN"/>
              </w:rPr>
              <w:t>666</w:t>
            </w:r>
            <w:r>
              <w:rPr>
                <w:rFonts w:ascii="Calibri" w:hAnsi="Calibri" w:cs="Calibri"/>
                <w:color w:val="000000"/>
                <w:sz w:val="20"/>
                <w:szCs w:val="20"/>
                <w:lang w:val="hr-HR"/>
              </w:rPr>
              <w:t>,</w:t>
            </w:r>
            <w:r>
              <w:rPr>
                <w:rFonts w:ascii="Calibri" w:hAnsi="Calibri" w:cs="Calibri"/>
                <w:color w:val="000000"/>
                <w:sz w:val="20"/>
                <w:szCs w:val="20"/>
                <w:lang w:val="zh-CN"/>
              </w:rPr>
              <w:t>137</w:t>
            </w:r>
            <w:r>
              <w:rPr>
                <w:rFonts w:ascii="Calibri" w:hAnsi="Calibri" w:cs="Calibri"/>
                <w:color w:val="000000"/>
                <w:sz w:val="20"/>
                <w:szCs w:val="20"/>
                <w:lang w:val="zh-CN" w:eastAsia="zh-CN"/>
              </w:rPr>
              <w:t>.</w:t>
            </w:r>
            <w:r>
              <w:rPr>
                <w:rFonts w:ascii="Calibri" w:hAnsi="Calibri" w:cs="Calibri"/>
                <w:color w:val="000000"/>
                <w:sz w:val="20"/>
                <w:szCs w:val="20"/>
                <w:lang w:val="zh-CN"/>
              </w:rPr>
              <w:t xml:space="preserve">40 </w:t>
            </w:r>
          </w:p>
        </w:tc>
      </w:tr>
      <w:tr w:rsidR="00CF33D9" w14:paraId="6808FE74" w14:textId="77777777">
        <w:trPr>
          <w:trHeight w:val="420"/>
        </w:trPr>
        <w:tc>
          <w:tcPr>
            <w:tcW w:w="1840" w:type="dxa"/>
            <w:tcBorders>
              <w:top w:val="nil"/>
              <w:left w:val="single" w:sz="8" w:space="0" w:color="auto"/>
              <w:bottom w:val="single" w:sz="4" w:space="0" w:color="auto"/>
              <w:right w:val="single" w:sz="8" w:space="0" w:color="auto"/>
            </w:tcBorders>
            <w:shd w:val="clear" w:color="000000" w:fill="DDEBF7"/>
            <w:vAlign w:val="center"/>
          </w:tcPr>
          <w:p w14:paraId="6808FE6F" w14:textId="77777777" w:rsidR="00CF33D9" w:rsidRDefault="00E3332A">
            <w:pPr>
              <w:rPr>
                <w:rFonts w:ascii="Calibri" w:hAnsi="Calibri" w:cs="Calibri"/>
                <w:b/>
                <w:bCs/>
                <w:color w:val="000000"/>
                <w:sz w:val="20"/>
                <w:szCs w:val="20"/>
                <w:lang w:val="zh-CN"/>
              </w:rPr>
            </w:pPr>
            <w:r>
              <w:rPr>
                <w:rFonts w:ascii="Calibri" w:hAnsi="Calibri" w:cs="Calibri"/>
                <w:b/>
                <w:bCs/>
                <w:color w:val="000000"/>
                <w:sz w:val="20"/>
                <w:szCs w:val="20"/>
                <w:lang w:val="zh-CN"/>
              </w:rPr>
              <w:t>Local Authority</w:t>
            </w:r>
          </w:p>
        </w:tc>
        <w:tc>
          <w:tcPr>
            <w:tcW w:w="2860" w:type="dxa"/>
            <w:tcBorders>
              <w:top w:val="nil"/>
              <w:left w:val="nil"/>
              <w:bottom w:val="single" w:sz="8" w:space="0" w:color="auto"/>
              <w:right w:val="single" w:sz="8" w:space="0" w:color="auto"/>
            </w:tcBorders>
            <w:shd w:val="clear" w:color="auto" w:fill="auto"/>
            <w:vAlign w:val="center"/>
          </w:tcPr>
          <w:p w14:paraId="6808FE70" w14:textId="77777777" w:rsidR="00CF33D9" w:rsidRDefault="00E3332A">
            <w:pPr>
              <w:rPr>
                <w:rFonts w:ascii="Calibri" w:hAnsi="Calibri" w:cs="Calibri"/>
                <w:color w:val="000000"/>
                <w:sz w:val="20"/>
                <w:szCs w:val="20"/>
                <w:lang w:val="zh-CN"/>
              </w:rPr>
            </w:pPr>
            <w:r>
              <w:rPr>
                <w:rFonts w:ascii="Calibri" w:hAnsi="Calibri" w:cs="Calibri"/>
                <w:color w:val="000000"/>
                <w:sz w:val="20"/>
                <w:szCs w:val="20"/>
                <w:lang w:val="zh-CN"/>
              </w:rPr>
              <w:t>Municipality of Walvis Bay</w:t>
            </w:r>
          </w:p>
        </w:tc>
        <w:tc>
          <w:tcPr>
            <w:tcW w:w="1160" w:type="dxa"/>
            <w:tcBorders>
              <w:top w:val="nil"/>
              <w:left w:val="nil"/>
              <w:bottom w:val="single" w:sz="8" w:space="0" w:color="auto"/>
              <w:right w:val="single" w:sz="8" w:space="0" w:color="auto"/>
            </w:tcBorders>
            <w:shd w:val="clear" w:color="auto" w:fill="auto"/>
            <w:vAlign w:val="center"/>
          </w:tcPr>
          <w:p w14:paraId="6808FE71" w14:textId="77777777" w:rsidR="00CF33D9" w:rsidRDefault="00E3332A">
            <w:pPr>
              <w:ind w:firstLineChars="100" w:firstLine="200"/>
              <w:rPr>
                <w:rFonts w:ascii="Calibri" w:hAnsi="Calibri" w:cs="Calibri"/>
                <w:color w:val="000000"/>
                <w:sz w:val="20"/>
                <w:szCs w:val="20"/>
                <w:lang w:val="zh-CN"/>
              </w:rPr>
            </w:pPr>
            <w:r>
              <w:rPr>
                <w:rFonts w:ascii="Calibri" w:hAnsi="Calibri" w:cs="Calibri"/>
                <w:color w:val="000000"/>
                <w:sz w:val="20"/>
                <w:szCs w:val="20"/>
                <w:lang w:val="zh-CN"/>
              </w:rPr>
              <w:t>In-kind</w:t>
            </w:r>
          </w:p>
        </w:tc>
        <w:tc>
          <w:tcPr>
            <w:tcW w:w="2320" w:type="dxa"/>
            <w:tcBorders>
              <w:top w:val="nil"/>
              <w:left w:val="nil"/>
              <w:bottom w:val="single" w:sz="8" w:space="0" w:color="auto"/>
              <w:right w:val="single" w:sz="8" w:space="0" w:color="auto"/>
            </w:tcBorders>
            <w:shd w:val="clear" w:color="auto" w:fill="auto"/>
            <w:vAlign w:val="center"/>
          </w:tcPr>
          <w:p w14:paraId="6808FE72" w14:textId="77777777" w:rsidR="00CF33D9" w:rsidRDefault="00E3332A">
            <w:pPr>
              <w:jc w:val="center"/>
              <w:rPr>
                <w:rFonts w:ascii="Calibri" w:hAnsi="Calibri" w:cs="Calibri"/>
                <w:color w:val="000000"/>
                <w:sz w:val="20"/>
                <w:szCs w:val="20"/>
                <w:lang w:val="zh-CN"/>
              </w:rPr>
            </w:pPr>
            <w:r>
              <w:rPr>
                <w:rFonts w:ascii="Calibri" w:hAnsi="Calibri" w:cs="Calibri"/>
                <w:color w:val="000000"/>
                <w:sz w:val="20"/>
                <w:szCs w:val="20"/>
                <w:lang w:val="zh-CN"/>
              </w:rPr>
              <w:t>Recurrent expenditures</w:t>
            </w:r>
          </w:p>
        </w:tc>
        <w:tc>
          <w:tcPr>
            <w:tcW w:w="1680" w:type="dxa"/>
            <w:tcBorders>
              <w:top w:val="nil"/>
              <w:left w:val="nil"/>
              <w:bottom w:val="single" w:sz="8" w:space="0" w:color="auto"/>
              <w:right w:val="single" w:sz="8" w:space="0" w:color="auto"/>
            </w:tcBorders>
            <w:shd w:val="clear" w:color="auto" w:fill="auto"/>
            <w:vAlign w:val="center"/>
          </w:tcPr>
          <w:p w14:paraId="6808FE73" w14:textId="77777777" w:rsidR="00CF33D9" w:rsidRDefault="00E3332A">
            <w:pPr>
              <w:jc w:val="right"/>
              <w:rPr>
                <w:rFonts w:ascii="Calibri" w:hAnsi="Calibri" w:cs="Calibri"/>
                <w:color w:val="000000"/>
                <w:sz w:val="20"/>
                <w:szCs w:val="20"/>
                <w:lang w:val="zh-CN"/>
              </w:rPr>
            </w:pPr>
            <w:r>
              <w:rPr>
                <w:rFonts w:ascii="Calibri" w:hAnsi="Calibri" w:cs="Calibri"/>
                <w:color w:val="000000"/>
                <w:sz w:val="20"/>
                <w:szCs w:val="20"/>
                <w:lang w:val="zh-CN"/>
              </w:rPr>
              <w:t xml:space="preserve">       300</w:t>
            </w:r>
            <w:r>
              <w:rPr>
                <w:rFonts w:ascii="Calibri" w:hAnsi="Calibri" w:cs="Calibri"/>
                <w:color w:val="000000"/>
                <w:sz w:val="20"/>
                <w:szCs w:val="20"/>
                <w:lang w:val="zh-CN" w:eastAsia="zh-CN"/>
              </w:rPr>
              <w:t>,</w:t>
            </w:r>
            <w:r>
              <w:rPr>
                <w:rFonts w:ascii="Calibri" w:hAnsi="Calibri" w:cs="Calibri"/>
                <w:color w:val="000000"/>
                <w:sz w:val="20"/>
                <w:szCs w:val="20"/>
                <w:lang w:val="zh-CN"/>
              </w:rPr>
              <w:t>000</w:t>
            </w:r>
            <w:r>
              <w:rPr>
                <w:rFonts w:ascii="Calibri" w:hAnsi="Calibri" w:cs="Calibri"/>
                <w:color w:val="000000"/>
                <w:sz w:val="20"/>
                <w:szCs w:val="20"/>
                <w:lang w:val="zh-CN" w:eastAsia="zh-CN"/>
              </w:rPr>
              <w:t>.</w:t>
            </w:r>
            <w:r>
              <w:rPr>
                <w:rFonts w:ascii="Calibri" w:hAnsi="Calibri" w:cs="Calibri"/>
                <w:color w:val="000000"/>
                <w:sz w:val="20"/>
                <w:szCs w:val="20"/>
                <w:lang w:val="zh-CN"/>
              </w:rPr>
              <w:t xml:space="preserve">00 </w:t>
            </w:r>
          </w:p>
        </w:tc>
      </w:tr>
      <w:tr w:rsidR="00CF33D9" w14:paraId="6808FE7A" w14:textId="77777777">
        <w:trPr>
          <w:trHeight w:val="460"/>
        </w:trPr>
        <w:tc>
          <w:tcPr>
            <w:tcW w:w="1840" w:type="dxa"/>
            <w:vMerge w:val="restart"/>
            <w:tcBorders>
              <w:top w:val="nil"/>
              <w:left w:val="single" w:sz="8" w:space="0" w:color="auto"/>
              <w:bottom w:val="single" w:sz="8" w:space="0" w:color="000000"/>
              <w:right w:val="single" w:sz="8" w:space="0" w:color="auto"/>
            </w:tcBorders>
            <w:shd w:val="clear" w:color="000000" w:fill="DDEBF7"/>
            <w:vAlign w:val="center"/>
          </w:tcPr>
          <w:p w14:paraId="6808FE75" w14:textId="77777777" w:rsidR="00CF33D9" w:rsidRDefault="00E3332A">
            <w:pPr>
              <w:jc w:val="center"/>
              <w:rPr>
                <w:rFonts w:ascii="Calibri" w:hAnsi="Calibri" w:cs="Calibri"/>
                <w:b/>
                <w:bCs/>
                <w:color w:val="000000"/>
                <w:sz w:val="20"/>
                <w:szCs w:val="20"/>
                <w:lang w:val="zh-CN"/>
              </w:rPr>
            </w:pPr>
            <w:r>
              <w:rPr>
                <w:rFonts w:ascii="Calibri" w:hAnsi="Calibri" w:cs="Calibri"/>
                <w:b/>
                <w:bCs/>
                <w:color w:val="000000"/>
                <w:sz w:val="20"/>
                <w:szCs w:val="20"/>
                <w:lang w:val="zh-CN"/>
              </w:rPr>
              <w:t>International Organisations</w:t>
            </w:r>
          </w:p>
        </w:tc>
        <w:tc>
          <w:tcPr>
            <w:tcW w:w="2860" w:type="dxa"/>
            <w:tcBorders>
              <w:top w:val="nil"/>
              <w:left w:val="nil"/>
              <w:bottom w:val="single" w:sz="8" w:space="0" w:color="auto"/>
              <w:right w:val="single" w:sz="8" w:space="0" w:color="auto"/>
            </w:tcBorders>
            <w:shd w:val="clear" w:color="auto" w:fill="auto"/>
            <w:vAlign w:val="center"/>
          </w:tcPr>
          <w:p w14:paraId="6808FE76" w14:textId="77777777" w:rsidR="00CF33D9" w:rsidRDefault="00E3332A">
            <w:pPr>
              <w:rPr>
                <w:rFonts w:ascii="Calibri" w:hAnsi="Calibri" w:cs="Calibri"/>
                <w:color w:val="000000"/>
                <w:sz w:val="20"/>
                <w:szCs w:val="20"/>
                <w:lang w:val="zh-CN"/>
              </w:rPr>
            </w:pPr>
            <w:r>
              <w:rPr>
                <w:rFonts w:ascii="Calibri" w:hAnsi="Calibri" w:cs="Calibri"/>
                <w:color w:val="000000"/>
                <w:sz w:val="20"/>
                <w:szCs w:val="20"/>
                <w:lang w:val="zh-CN"/>
              </w:rPr>
              <w:t>The Nature Conservancy</w:t>
            </w:r>
          </w:p>
        </w:tc>
        <w:tc>
          <w:tcPr>
            <w:tcW w:w="1160" w:type="dxa"/>
            <w:tcBorders>
              <w:top w:val="nil"/>
              <w:left w:val="nil"/>
              <w:bottom w:val="single" w:sz="8" w:space="0" w:color="auto"/>
              <w:right w:val="single" w:sz="8" w:space="0" w:color="auto"/>
            </w:tcBorders>
            <w:shd w:val="clear" w:color="auto" w:fill="auto"/>
            <w:vAlign w:val="center"/>
          </w:tcPr>
          <w:p w14:paraId="6808FE77" w14:textId="77777777" w:rsidR="00CF33D9" w:rsidRDefault="00E3332A">
            <w:pPr>
              <w:ind w:firstLineChars="100" w:firstLine="200"/>
              <w:rPr>
                <w:rFonts w:ascii="Calibri" w:hAnsi="Calibri" w:cs="Calibri"/>
                <w:color w:val="000000"/>
                <w:sz w:val="20"/>
                <w:szCs w:val="20"/>
                <w:lang w:val="zh-CN"/>
              </w:rPr>
            </w:pPr>
            <w:r>
              <w:rPr>
                <w:rFonts w:ascii="Calibri" w:hAnsi="Calibri" w:cs="Calibri"/>
                <w:color w:val="000000"/>
                <w:sz w:val="20"/>
                <w:szCs w:val="20"/>
                <w:lang w:val="zh-CN"/>
              </w:rPr>
              <w:t>In-kind</w:t>
            </w:r>
          </w:p>
        </w:tc>
        <w:tc>
          <w:tcPr>
            <w:tcW w:w="2320" w:type="dxa"/>
            <w:tcBorders>
              <w:top w:val="nil"/>
              <w:left w:val="nil"/>
              <w:bottom w:val="single" w:sz="8" w:space="0" w:color="auto"/>
              <w:right w:val="single" w:sz="8" w:space="0" w:color="auto"/>
            </w:tcBorders>
            <w:shd w:val="clear" w:color="auto" w:fill="auto"/>
            <w:vAlign w:val="center"/>
          </w:tcPr>
          <w:p w14:paraId="6808FE78" w14:textId="77777777" w:rsidR="00CF33D9" w:rsidRDefault="00E3332A">
            <w:pPr>
              <w:jc w:val="center"/>
              <w:rPr>
                <w:rFonts w:ascii="Calibri" w:hAnsi="Calibri" w:cs="Calibri"/>
                <w:color w:val="000000"/>
                <w:sz w:val="20"/>
                <w:szCs w:val="20"/>
                <w:lang w:val="zh-CN"/>
              </w:rPr>
            </w:pPr>
            <w:r>
              <w:rPr>
                <w:rFonts w:ascii="Calibri" w:hAnsi="Calibri" w:cs="Calibri"/>
                <w:color w:val="000000"/>
                <w:sz w:val="20"/>
                <w:szCs w:val="20"/>
                <w:lang w:val="zh-CN"/>
              </w:rPr>
              <w:t>Recurrent expenditures</w:t>
            </w:r>
          </w:p>
        </w:tc>
        <w:tc>
          <w:tcPr>
            <w:tcW w:w="1680" w:type="dxa"/>
            <w:tcBorders>
              <w:top w:val="nil"/>
              <w:left w:val="nil"/>
              <w:bottom w:val="single" w:sz="8" w:space="0" w:color="auto"/>
              <w:right w:val="single" w:sz="8" w:space="0" w:color="auto"/>
            </w:tcBorders>
            <w:shd w:val="clear" w:color="auto" w:fill="auto"/>
            <w:vAlign w:val="center"/>
          </w:tcPr>
          <w:p w14:paraId="6808FE79" w14:textId="77777777" w:rsidR="00CF33D9" w:rsidRDefault="00E3332A">
            <w:pPr>
              <w:jc w:val="right"/>
              <w:rPr>
                <w:rFonts w:ascii="Calibri" w:hAnsi="Calibri" w:cs="Calibri"/>
                <w:color w:val="000000"/>
                <w:sz w:val="20"/>
                <w:szCs w:val="20"/>
                <w:lang w:val="zh-CN"/>
              </w:rPr>
            </w:pPr>
            <w:r>
              <w:rPr>
                <w:rFonts w:ascii="Calibri" w:hAnsi="Calibri" w:cs="Calibri"/>
                <w:color w:val="000000"/>
                <w:sz w:val="20"/>
                <w:szCs w:val="20"/>
                <w:lang w:val="zh-CN"/>
              </w:rPr>
              <w:t xml:space="preserve">       500</w:t>
            </w:r>
            <w:r>
              <w:rPr>
                <w:rFonts w:ascii="Calibri" w:hAnsi="Calibri" w:cs="Calibri"/>
                <w:color w:val="000000"/>
                <w:sz w:val="20"/>
                <w:szCs w:val="20"/>
                <w:lang w:val="zh-CN" w:eastAsia="zh-CN"/>
              </w:rPr>
              <w:t>,</w:t>
            </w:r>
            <w:r>
              <w:rPr>
                <w:rFonts w:ascii="Calibri" w:hAnsi="Calibri" w:cs="Calibri"/>
                <w:color w:val="000000"/>
                <w:sz w:val="20"/>
                <w:szCs w:val="20"/>
                <w:lang w:val="zh-CN"/>
              </w:rPr>
              <w:t>000</w:t>
            </w:r>
            <w:r>
              <w:rPr>
                <w:rFonts w:ascii="Calibri" w:hAnsi="Calibri" w:cs="Calibri"/>
                <w:color w:val="000000"/>
                <w:sz w:val="20"/>
                <w:szCs w:val="20"/>
                <w:lang w:val="zh-CN" w:eastAsia="zh-CN"/>
              </w:rPr>
              <w:t>.</w:t>
            </w:r>
            <w:r>
              <w:rPr>
                <w:rFonts w:ascii="Calibri" w:hAnsi="Calibri" w:cs="Calibri"/>
                <w:color w:val="000000"/>
                <w:sz w:val="20"/>
                <w:szCs w:val="20"/>
                <w:lang w:val="zh-CN"/>
              </w:rPr>
              <w:t xml:space="preserve">00 </w:t>
            </w:r>
          </w:p>
        </w:tc>
      </w:tr>
      <w:tr w:rsidR="00CF33D9" w14:paraId="6808FE80" w14:textId="77777777">
        <w:trPr>
          <w:trHeight w:val="920"/>
        </w:trPr>
        <w:tc>
          <w:tcPr>
            <w:tcW w:w="1840" w:type="dxa"/>
            <w:vMerge/>
            <w:tcBorders>
              <w:top w:val="nil"/>
              <w:left w:val="single" w:sz="8" w:space="0" w:color="auto"/>
              <w:bottom w:val="single" w:sz="8" w:space="0" w:color="000000"/>
              <w:right w:val="single" w:sz="8" w:space="0" w:color="auto"/>
            </w:tcBorders>
            <w:vAlign w:val="center"/>
          </w:tcPr>
          <w:p w14:paraId="6808FE7B" w14:textId="77777777" w:rsidR="00CF33D9" w:rsidRDefault="00CF33D9">
            <w:pPr>
              <w:rPr>
                <w:rFonts w:ascii="Calibri" w:hAnsi="Calibri" w:cs="Calibri"/>
                <w:b/>
                <w:bCs/>
                <w:color w:val="000000"/>
                <w:sz w:val="20"/>
                <w:szCs w:val="20"/>
                <w:lang w:val="zh-CN"/>
              </w:rPr>
            </w:pPr>
          </w:p>
        </w:tc>
        <w:tc>
          <w:tcPr>
            <w:tcW w:w="2860" w:type="dxa"/>
            <w:tcBorders>
              <w:top w:val="nil"/>
              <w:left w:val="nil"/>
              <w:bottom w:val="single" w:sz="8" w:space="0" w:color="auto"/>
              <w:right w:val="single" w:sz="8" w:space="0" w:color="auto"/>
            </w:tcBorders>
            <w:shd w:val="clear" w:color="auto" w:fill="auto"/>
            <w:vAlign w:val="center"/>
          </w:tcPr>
          <w:p w14:paraId="6808FE7C" w14:textId="77777777" w:rsidR="00CF33D9" w:rsidRDefault="00E3332A">
            <w:pPr>
              <w:rPr>
                <w:rFonts w:ascii="Calibri" w:hAnsi="Calibri" w:cs="Calibri"/>
                <w:color w:val="000000"/>
                <w:sz w:val="20"/>
                <w:szCs w:val="20"/>
                <w:lang w:val="zh-CN"/>
              </w:rPr>
            </w:pPr>
            <w:r>
              <w:rPr>
                <w:rFonts w:ascii="Calibri" w:hAnsi="Calibri" w:cs="Calibri"/>
                <w:color w:val="000000"/>
                <w:sz w:val="20"/>
                <w:szCs w:val="20"/>
                <w:lang w:val="zh-CN"/>
              </w:rPr>
              <w:t>United Nations Conference on Trade and Development (UNCTAD)</w:t>
            </w:r>
          </w:p>
        </w:tc>
        <w:tc>
          <w:tcPr>
            <w:tcW w:w="1160" w:type="dxa"/>
            <w:tcBorders>
              <w:top w:val="nil"/>
              <w:left w:val="nil"/>
              <w:bottom w:val="single" w:sz="8" w:space="0" w:color="auto"/>
              <w:right w:val="single" w:sz="8" w:space="0" w:color="auto"/>
            </w:tcBorders>
            <w:shd w:val="clear" w:color="auto" w:fill="auto"/>
            <w:vAlign w:val="center"/>
          </w:tcPr>
          <w:p w14:paraId="6808FE7D" w14:textId="77777777" w:rsidR="00CF33D9" w:rsidRDefault="00E3332A">
            <w:pPr>
              <w:ind w:firstLineChars="100" w:firstLine="200"/>
              <w:rPr>
                <w:rFonts w:ascii="Calibri" w:hAnsi="Calibri" w:cs="Calibri"/>
                <w:color w:val="000000"/>
                <w:sz w:val="20"/>
                <w:szCs w:val="20"/>
                <w:lang w:val="zh-CN"/>
              </w:rPr>
            </w:pPr>
            <w:r>
              <w:rPr>
                <w:rFonts w:ascii="Calibri" w:hAnsi="Calibri" w:cs="Calibri"/>
                <w:color w:val="000000"/>
                <w:sz w:val="20"/>
                <w:szCs w:val="20"/>
                <w:lang w:val="zh-CN"/>
              </w:rPr>
              <w:t>In-kind</w:t>
            </w:r>
          </w:p>
        </w:tc>
        <w:tc>
          <w:tcPr>
            <w:tcW w:w="2320" w:type="dxa"/>
            <w:tcBorders>
              <w:top w:val="nil"/>
              <w:left w:val="nil"/>
              <w:bottom w:val="single" w:sz="8" w:space="0" w:color="auto"/>
              <w:right w:val="single" w:sz="8" w:space="0" w:color="auto"/>
            </w:tcBorders>
            <w:shd w:val="clear" w:color="auto" w:fill="auto"/>
            <w:vAlign w:val="center"/>
          </w:tcPr>
          <w:p w14:paraId="6808FE7E" w14:textId="77777777" w:rsidR="00CF33D9" w:rsidRDefault="00E3332A">
            <w:pPr>
              <w:jc w:val="center"/>
              <w:rPr>
                <w:rFonts w:ascii="Calibri" w:hAnsi="Calibri" w:cs="Calibri"/>
                <w:color w:val="000000"/>
                <w:sz w:val="20"/>
                <w:szCs w:val="20"/>
                <w:lang w:val="zh-CN"/>
              </w:rPr>
            </w:pPr>
            <w:r>
              <w:rPr>
                <w:rFonts w:ascii="Calibri" w:hAnsi="Calibri" w:cs="Calibri"/>
                <w:color w:val="000000"/>
                <w:sz w:val="20"/>
                <w:szCs w:val="20"/>
                <w:lang w:val="zh-CN"/>
              </w:rPr>
              <w:t>Recurrent expenditures</w:t>
            </w:r>
          </w:p>
        </w:tc>
        <w:tc>
          <w:tcPr>
            <w:tcW w:w="1680" w:type="dxa"/>
            <w:tcBorders>
              <w:top w:val="nil"/>
              <w:left w:val="nil"/>
              <w:bottom w:val="single" w:sz="8" w:space="0" w:color="auto"/>
              <w:right w:val="single" w:sz="8" w:space="0" w:color="auto"/>
            </w:tcBorders>
            <w:shd w:val="clear" w:color="auto" w:fill="auto"/>
            <w:vAlign w:val="center"/>
          </w:tcPr>
          <w:p w14:paraId="6808FE7F" w14:textId="77777777" w:rsidR="00CF33D9" w:rsidRDefault="00E3332A">
            <w:pPr>
              <w:jc w:val="right"/>
              <w:rPr>
                <w:rFonts w:ascii="Calibri" w:hAnsi="Calibri" w:cs="Calibri"/>
                <w:color w:val="000000"/>
                <w:sz w:val="20"/>
                <w:szCs w:val="20"/>
                <w:lang w:val="zh-CN"/>
              </w:rPr>
            </w:pPr>
            <w:r>
              <w:rPr>
                <w:rFonts w:ascii="Calibri" w:hAnsi="Calibri" w:cs="Calibri"/>
                <w:color w:val="000000"/>
                <w:sz w:val="20"/>
                <w:szCs w:val="20"/>
                <w:lang w:val="zh-CN"/>
              </w:rPr>
              <w:t xml:space="preserve">    1</w:t>
            </w:r>
            <w:r>
              <w:rPr>
                <w:rFonts w:ascii="Calibri" w:hAnsi="Calibri" w:cs="Calibri"/>
                <w:color w:val="000000"/>
                <w:sz w:val="20"/>
                <w:szCs w:val="20"/>
                <w:lang w:val="zh-CN" w:eastAsia="zh-CN"/>
              </w:rPr>
              <w:t>,</w:t>
            </w:r>
            <w:r>
              <w:rPr>
                <w:rFonts w:ascii="Calibri" w:hAnsi="Calibri" w:cs="Calibri"/>
                <w:color w:val="000000"/>
                <w:sz w:val="20"/>
                <w:szCs w:val="20"/>
                <w:lang w:val="zh-CN"/>
              </w:rPr>
              <w:t>200</w:t>
            </w:r>
            <w:r>
              <w:rPr>
                <w:rFonts w:ascii="Calibri" w:hAnsi="Calibri" w:cs="Calibri"/>
                <w:color w:val="000000"/>
                <w:sz w:val="20"/>
                <w:szCs w:val="20"/>
                <w:lang w:val="zh-CN" w:eastAsia="zh-CN"/>
              </w:rPr>
              <w:t>,</w:t>
            </w:r>
            <w:r>
              <w:rPr>
                <w:rFonts w:ascii="Calibri" w:hAnsi="Calibri" w:cs="Calibri"/>
                <w:color w:val="000000"/>
                <w:sz w:val="20"/>
                <w:szCs w:val="20"/>
                <w:lang w:val="zh-CN"/>
              </w:rPr>
              <w:t>000</w:t>
            </w:r>
            <w:r>
              <w:rPr>
                <w:rFonts w:ascii="Calibri" w:hAnsi="Calibri" w:cs="Calibri"/>
                <w:color w:val="000000"/>
                <w:sz w:val="20"/>
                <w:szCs w:val="20"/>
                <w:lang w:val="zh-CN" w:eastAsia="zh-CN"/>
              </w:rPr>
              <w:t>.</w:t>
            </w:r>
            <w:r>
              <w:rPr>
                <w:rFonts w:ascii="Calibri" w:hAnsi="Calibri" w:cs="Calibri"/>
                <w:color w:val="000000"/>
                <w:sz w:val="20"/>
                <w:szCs w:val="20"/>
                <w:lang w:val="zh-CN"/>
              </w:rPr>
              <w:t xml:space="preserve">00 </w:t>
            </w:r>
          </w:p>
        </w:tc>
      </w:tr>
      <w:tr w:rsidR="00CF33D9" w14:paraId="6808FE86" w14:textId="77777777">
        <w:trPr>
          <w:trHeight w:val="420"/>
        </w:trPr>
        <w:tc>
          <w:tcPr>
            <w:tcW w:w="1840" w:type="dxa"/>
            <w:tcBorders>
              <w:top w:val="nil"/>
              <w:left w:val="single" w:sz="8" w:space="0" w:color="auto"/>
              <w:bottom w:val="nil"/>
              <w:right w:val="single" w:sz="8" w:space="0" w:color="auto"/>
            </w:tcBorders>
            <w:shd w:val="clear" w:color="000000" w:fill="DDEBF7"/>
            <w:vAlign w:val="center"/>
          </w:tcPr>
          <w:p w14:paraId="6808FE81" w14:textId="77777777" w:rsidR="00CF33D9" w:rsidRDefault="00E3332A">
            <w:pPr>
              <w:jc w:val="center"/>
              <w:rPr>
                <w:rFonts w:ascii="Calibri" w:hAnsi="Calibri" w:cs="Calibri"/>
                <w:b/>
                <w:bCs/>
                <w:color w:val="000000"/>
                <w:sz w:val="20"/>
                <w:szCs w:val="20"/>
                <w:lang w:val="zh-CN"/>
              </w:rPr>
            </w:pPr>
            <w:r>
              <w:rPr>
                <w:rFonts w:ascii="Calibri" w:hAnsi="Calibri" w:cs="Calibri"/>
                <w:b/>
                <w:bCs/>
                <w:color w:val="000000"/>
                <w:sz w:val="20"/>
                <w:szCs w:val="20"/>
                <w:lang w:val="zh-CN"/>
              </w:rPr>
              <w:t>NGO</w:t>
            </w:r>
          </w:p>
        </w:tc>
        <w:tc>
          <w:tcPr>
            <w:tcW w:w="2860" w:type="dxa"/>
            <w:tcBorders>
              <w:top w:val="nil"/>
              <w:left w:val="nil"/>
              <w:bottom w:val="single" w:sz="8" w:space="0" w:color="auto"/>
              <w:right w:val="single" w:sz="8" w:space="0" w:color="auto"/>
            </w:tcBorders>
            <w:shd w:val="clear" w:color="auto" w:fill="auto"/>
            <w:vAlign w:val="center"/>
          </w:tcPr>
          <w:p w14:paraId="6808FE82" w14:textId="77777777" w:rsidR="00CF33D9" w:rsidRDefault="00E3332A">
            <w:pPr>
              <w:rPr>
                <w:rFonts w:ascii="Calibri" w:hAnsi="Calibri" w:cs="Calibri"/>
                <w:color w:val="000000"/>
                <w:sz w:val="20"/>
                <w:szCs w:val="20"/>
                <w:lang w:val="zh-CN"/>
              </w:rPr>
            </w:pPr>
            <w:r>
              <w:rPr>
                <w:rFonts w:ascii="Calibri" w:hAnsi="Calibri" w:cs="Calibri"/>
                <w:color w:val="000000"/>
                <w:sz w:val="20"/>
                <w:szCs w:val="20"/>
                <w:lang w:val="zh-CN"/>
              </w:rPr>
              <w:t>Namibia Nature Foundation</w:t>
            </w:r>
          </w:p>
        </w:tc>
        <w:tc>
          <w:tcPr>
            <w:tcW w:w="1160" w:type="dxa"/>
            <w:tcBorders>
              <w:top w:val="nil"/>
              <w:left w:val="nil"/>
              <w:bottom w:val="single" w:sz="8" w:space="0" w:color="auto"/>
              <w:right w:val="single" w:sz="8" w:space="0" w:color="auto"/>
            </w:tcBorders>
            <w:shd w:val="clear" w:color="auto" w:fill="auto"/>
            <w:vAlign w:val="center"/>
          </w:tcPr>
          <w:p w14:paraId="6808FE83" w14:textId="77777777" w:rsidR="00CF33D9" w:rsidRDefault="00E3332A">
            <w:pPr>
              <w:ind w:firstLineChars="100" w:firstLine="200"/>
              <w:rPr>
                <w:rFonts w:ascii="Calibri" w:hAnsi="Calibri" w:cs="Calibri"/>
                <w:color w:val="000000"/>
                <w:sz w:val="20"/>
                <w:szCs w:val="20"/>
                <w:lang w:val="zh-CN"/>
              </w:rPr>
            </w:pPr>
            <w:r>
              <w:rPr>
                <w:rFonts w:ascii="Calibri" w:hAnsi="Calibri" w:cs="Calibri"/>
                <w:color w:val="000000"/>
                <w:sz w:val="20"/>
                <w:szCs w:val="20"/>
                <w:lang w:val="zh-CN"/>
              </w:rPr>
              <w:t> In-kind</w:t>
            </w:r>
          </w:p>
        </w:tc>
        <w:tc>
          <w:tcPr>
            <w:tcW w:w="2320" w:type="dxa"/>
            <w:tcBorders>
              <w:top w:val="nil"/>
              <w:left w:val="nil"/>
              <w:bottom w:val="single" w:sz="8" w:space="0" w:color="auto"/>
              <w:right w:val="single" w:sz="8" w:space="0" w:color="auto"/>
            </w:tcBorders>
            <w:shd w:val="clear" w:color="auto" w:fill="auto"/>
            <w:vAlign w:val="center"/>
          </w:tcPr>
          <w:p w14:paraId="6808FE84" w14:textId="77777777" w:rsidR="00CF33D9" w:rsidRDefault="00E3332A">
            <w:pPr>
              <w:jc w:val="center"/>
              <w:rPr>
                <w:rFonts w:ascii="Calibri" w:hAnsi="Calibri" w:cs="Calibri"/>
                <w:color w:val="000000"/>
                <w:sz w:val="20"/>
                <w:szCs w:val="20"/>
                <w:lang w:val="zh-CN"/>
              </w:rPr>
            </w:pPr>
            <w:r>
              <w:rPr>
                <w:rFonts w:ascii="Calibri" w:hAnsi="Calibri" w:cs="Calibri"/>
                <w:color w:val="000000"/>
                <w:sz w:val="20"/>
                <w:szCs w:val="20"/>
                <w:lang w:val="zh-CN"/>
              </w:rPr>
              <w:t>Recurrent expenditures</w:t>
            </w:r>
          </w:p>
        </w:tc>
        <w:tc>
          <w:tcPr>
            <w:tcW w:w="1680" w:type="dxa"/>
            <w:tcBorders>
              <w:top w:val="nil"/>
              <w:left w:val="nil"/>
              <w:bottom w:val="single" w:sz="8" w:space="0" w:color="auto"/>
              <w:right w:val="single" w:sz="8" w:space="0" w:color="auto"/>
            </w:tcBorders>
            <w:shd w:val="clear" w:color="auto" w:fill="auto"/>
            <w:vAlign w:val="center"/>
          </w:tcPr>
          <w:p w14:paraId="6808FE85" w14:textId="77777777" w:rsidR="00CF33D9" w:rsidRDefault="00E3332A">
            <w:pPr>
              <w:jc w:val="right"/>
              <w:rPr>
                <w:rFonts w:ascii="Calibri" w:hAnsi="Calibri" w:cs="Calibri"/>
                <w:color w:val="000000"/>
                <w:sz w:val="20"/>
                <w:szCs w:val="20"/>
                <w:lang w:val="zh-CN"/>
              </w:rPr>
            </w:pPr>
            <w:r>
              <w:rPr>
                <w:rFonts w:ascii="Calibri" w:hAnsi="Calibri" w:cs="Calibri"/>
                <w:color w:val="000000"/>
                <w:sz w:val="20"/>
                <w:szCs w:val="20"/>
                <w:lang w:val="zh-CN"/>
              </w:rPr>
              <w:t xml:space="preserve">       450</w:t>
            </w:r>
            <w:r>
              <w:rPr>
                <w:rFonts w:ascii="Calibri" w:hAnsi="Calibri" w:cs="Calibri"/>
                <w:color w:val="000000"/>
                <w:sz w:val="20"/>
                <w:szCs w:val="20"/>
                <w:lang w:val="zh-CN" w:eastAsia="zh-CN"/>
              </w:rPr>
              <w:t>,</w:t>
            </w:r>
            <w:r>
              <w:rPr>
                <w:rFonts w:ascii="Calibri" w:hAnsi="Calibri" w:cs="Calibri"/>
                <w:color w:val="000000"/>
                <w:sz w:val="20"/>
                <w:szCs w:val="20"/>
                <w:lang w:val="zh-CN"/>
              </w:rPr>
              <w:t>000</w:t>
            </w:r>
            <w:r>
              <w:rPr>
                <w:rFonts w:ascii="Calibri" w:hAnsi="Calibri" w:cs="Calibri"/>
                <w:color w:val="000000"/>
                <w:sz w:val="20"/>
                <w:szCs w:val="20"/>
                <w:lang w:val="zh-CN" w:eastAsia="zh-CN"/>
              </w:rPr>
              <w:t>.</w:t>
            </w:r>
            <w:r>
              <w:rPr>
                <w:rFonts w:ascii="Calibri" w:hAnsi="Calibri" w:cs="Calibri"/>
                <w:color w:val="000000"/>
                <w:sz w:val="20"/>
                <w:szCs w:val="20"/>
                <w:lang w:val="zh-CN"/>
              </w:rPr>
              <w:t xml:space="preserve">00 </w:t>
            </w:r>
          </w:p>
        </w:tc>
      </w:tr>
      <w:tr w:rsidR="00CF33D9" w14:paraId="6808FE8C" w14:textId="77777777">
        <w:trPr>
          <w:trHeight w:val="440"/>
        </w:trPr>
        <w:tc>
          <w:tcPr>
            <w:tcW w:w="1840" w:type="dxa"/>
            <w:vMerge w:val="restart"/>
            <w:tcBorders>
              <w:top w:val="single" w:sz="8" w:space="0" w:color="auto"/>
              <w:left w:val="single" w:sz="8" w:space="0" w:color="auto"/>
              <w:bottom w:val="single" w:sz="8" w:space="0" w:color="000000"/>
              <w:right w:val="single" w:sz="8" w:space="0" w:color="auto"/>
            </w:tcBorders>
            <w:shd w:val="clear" w:color="000000" w:fill="DDEBF7"/>
            <w:vAlign w:val="center"/>
          </w:tcPr>
          <w:p w14:paraId="6808FE87" w14:textId="77777777" w:rsidR="00CF33D9" w:rsidRDefault="00E3332A">
            <w:pPr>
              <w:jc w:val="center"/>
              <w:rPr>
                <w:rFonts w:ascii="Calibri" w:hAnsi="Calibri" w:cs="Calibri"/>
                <w:b/>
                <w:bCs/>
                <w:color w:val="000000"/>
                <w:sz w:val="20"/>
                <w:szCs w:val="20"/>
                <w:lang w:val="zh-CN"/>
              </w:rPr>
            </w:pPr>
            <w:r>
              <w:rPr>
                <w:rFonts w:ascii="Calibri" w:hAnsi="Calibri" w:cs="Calibri"/>
                <w:b/>
                <w:bCs/>
                <w:color w:val="000000"/>
                <w:sz w:val="20"/>
                <w:szCs w:val="20"/>
                <w:lang w:val="zh-CN"/>
              </w:rPr>
              <w:t>GEF Agency</w:t>
            </w:r>
          </w:p>
        </w:tc>
        <w:tc>
          <w:tcPr>
            <w:tcW w:w="2860" w:type="dxa"/>
            <w:tcBorders>
              <w:top w:val="nil"/>
              <w:left w:val="nil"/>
              <w:bottom w:val="single" w:sz="8" w:space="0" w:color="auto"/>
              <w:right w:val="single" w:sz="8" w:space="0" w:color="auto"/>
            </w:tcBorders>
            <w:shd w:val="clear" w:color="auto" w:fill="auto"/>
            <w:vAlign w:val="center"/>
          </w:tcPr>
          <w:p w14:paraId="6808FE88" w14:textId="77777777" w:rsidR="00CF33D9" w:rsidRDefault="00E3332A">
            <w:pPr>
              <w:rPr>
                <w:rFonts w:ascii="Calibri" w:hAnsi="Calibri" w:cs="Calibri"/>
                <w:color w:val="000000"/>
                <w:sz w:val="20"/>
                <w:szCs w:val="20"/>
                <w:lang w:val="zh-CN"/>
              </w:rPr>
            </w:pPr>
            <w:r>
              <w:rPr>
                <w:rFonts w:ascii="Calibri" w:hAnsi="Calibri" w:cs="Calibri"/>
                <w:color w:val="000000"/>
                <w:sz w:val="20"/>
                <w:szCs w:val="20"/>
                <w:lang w:val="zh-CN"/>
              </w:rPr>
              <w:t>UNDP Angola</w:t>
            </w:r>
          </w:p>
        </w:tc>
        <w:tc>
          <w:tcPr>
            <w:tcW w:w="1160" w:type="dxa"/>
            <w:tcBorders>
              <w:top w:val="nil"/>
              <w:left w:val="nil"/>
              <w:bottom w:val="single" w:sz="8" w:space="0" w:color="auto"/>
              <w:right w:val="single" w:sz="8" w:space="0" w:color="auto"/>
            </w:tcBorders>
            <w:shd w:val="clear" w:color="auto" w:fill="auto"/>
            <w:vAlign w:val="center"/>
          </w:tcPr>
          <w:p w14:paraId="6808FE89" w14:textId="77777777" w:rsidR="00CF33D9" w:rsidRDefault="00E3332A">
            <w:pPr>
              <w:ind w:firstLineChars="100" w:firstLine="200"/>
              <w:rPr>
                <w:rFonts w:ascii="Calibri" w:hAnsi="Calibri" w:cs="Calibri"/>
                <w:color w:val="000000"/>
                <w:sz w:val="20"/>
                <w:szCs w:val="20"/>
                <w:lang w:val="zh-CN"/>
              </w:rPr>
            </w:pPr>
            <w:r>
              <w:rPr>
                <w:rFonts w:ascii="Calibri" w:hAnsi="Calibri" w:cs="Calibri"/>
                <w:color w:val="000000"/>
                <w:sz w:val="20"/>
                <w:szCs w:val="20"/>
                <w:lang w:val="zh-CN"/>
              </w:rPr>
              <w:t>In-kind</w:t>
            </w:r>
          </w:p>
        </w:tc>
        <w:tc>
          <w:tcPr>
            <w:tcW w:w="2320" w:type="dxa"/>
            <w:tcBorders>
              <w:top w:val="nil"/>
              <w:left w:val="nil"/>
              <w:bottom w:val="single" w:sz="8" w:space="0" w:color="auto"/>
              <w:right w:val="single" w:sz="8" w:space="0" w:color="auto"/>
            </w:tcBorders>
            <w:shd w:val="clear" w:color="auto" w:fill="auto"/>
            <w:vAlign w:val="center"/>
          </w:tcPr>
          <w:p w14:paraId="6808FE8A" w14:textId="77777777" w:rsidR="00CF33D9" w:rsidRDefault="00E3332A">
            <w:pPr>
              <w:jc w:val="center"/>
              <w:rPr>
                <w:rFonts w:ascii="Calibri" w:hAnsi="Calibri" w:cs="Calibri"/>
                <w:color w:val="000000"/>
                <w:sz w:val="20"/>
                <w:szCs w:val="20"/>
                <w:lang w:val="zh-CN"/>
              </w:rPr>
            </w:pPr>
            <w:r>
              <w:rPr>
                <w:rFonts w:ascii="Calibri" w:hAnsi="Calibri" w:cs="Calibri"/>
                <w:color w:val="000000"/>
                <w:sz w:val="20"/>
                <w:szCs w:val="20"/>
                <w:lang w:val="zh-CN"/>
              </w:rPr>
              <w:t>Recurrent expenditures</w:t>
            </w:r>
          </w:p>
        </w:tc>
        <w:tc>
          <w:tcPr>
            <w:tcW w:w="1680" w:type="dxa"/>
            <w:tcBorders>
              <w:top w:val="nil"/>
              <w:left w:val="nil"/>
              <w:bottom w:val="single" w:sz="8" w:space="0" w:color="auto"/>
              <w:right w:val="single" w:sz="8" w:space="0" w:color="auto"/>
            </w:tcBorders>
            <w:shd w:val="clear" w:color="auto" w:fill="auto"/>
            <w:vAlign w:val="center"/>
          </w:tcPr>
          <w:p w14:paraId="6808FE8B" w14:textId="77777777" w:rsidR="00CF33D9" w:rsidRDefault="00E3332A">
            <w:pPr>
              <w:jc w:val="right"/>
              <w:rPr>
                <w:rFonts w:ascii="Calibri" w:hAnsi="Calibri" w:cs="Calibri"/>
                <w:color w:val="000000"/>
                <w:sz w:val="20"/>
                <w:szCs w:val="20"/>
                <w:lang w:val="zh-CN"/>
              </w:rPr>
            </w:pPr>
            <w:r>
              <w:rPr>
                <w:rFonts w:ascii="Calibri" w:hAnsi="Calibri" w:cs="Calibri"/>
                <w:color w:val="000000"/>
                <w:sz w:val="20"/>
                <w:szCs w:val="20"/>
                <w:lang w:val="zh-CN"/>
              </w:rPr>
              <w:t xml:space="preserve">       200</w:t>
            </w:r>
            <w:r>
              <w:rPr>
                <w:rFonts w:ascii="Calibri" w:hAnsi="Calibri" w:cs="Calibri"/>
                <w:color w:val="000000"/>
                <w:sz w:val="20"/>
                <w:szCs w:val="20"/>
                <w:lang w:val="zh-CN" w:eastAsia="zh-CN"/>
              </w:rPr>
              <w:t>,</w:t>
            </w:r>
            <w:r>
              <w:rPr>
                <w:rFonts w:ascii="Calibri" w:hAnsi="Calibri" w:cs="Calibri"/>
                <w:color w:val="000000"/>
                <w:sz w:val="20"/>
                <w:szCs w:val="20"/>
                <w:lang w:val="zh-CN"/>
              </w:rPr>
              <w:t>000</w:t>
            </w:r>
            <w:r>
              <w:rPr>
                <w:rFonts w:ascii="Calibri" w:hAnsi="Calibri" w:cs="Calibri"/>
                <w:color w:val="000000"/>
                <w:sz w:val="20"/>
                <w:szCs w:val="20"/>
                <w:lang w:val="zh-CN" w:eastAsia="zh-CN"/>
              </w:rPr>
              <w:t>.</w:t>
            </w:r>
            <w:r>
              <w:rPr>
                <w:rFonts w:ascii="Calibri" w:hAnsi="Calibri" w:cs="Calibri"/>
                <w:color w:val="000000"/>
                <w:sz w:val="20"/>
                <w:szCs w:val="20"/>
                <w:lang w:val="zh-CN"/>
              </w:rPr>
              <w:t xml:space="preserve">00 </w:t>
            </w:r>
          </w:p>
        </w:tc>
      </w:tr>
      <w:tr w:rsidR="00CF33D9" w14:paraId="6808FE92" w14:textId="77777777">
        <w:trPr>
          <w:trHeight w:val="440"/>
        </w:trPr>
        <w:tc>
          <w:tcPr>
            <w:tcW w:w="1840" w:type="dxa"/>
            <w:vMerge/>
            <w:tcBorders>
              <w:top w:val="single" w:sz="8" w:space="0" w:color="auto"/>
              <w:left w:val="single" w:sz="8" w:space="0" w:color="auto"/>
              <w:bottom w:val="single" w:sz="8" w:space="0" w:color="000000"/>
              <w:right w:val="single" w:sz="8" w:space="0" w:color="auto"/>
            </w:tcBorders>
            <w:vAlign w:val="center"/>
          </w:tcPr>
          <w:p w14:paraId="6808FE8D" w14:textId="77777777" w:rsidR="00CF33D9" w:rsidRDefault="00CF33D9">
            <w:pPr>
              <w:rPr>
                <w:rFonts w:ascii="Calibri" w:hAnsi="Calibri" w:cs="Calibri"/>
                <w:b/>
                <w:bCs/>
                <w:color w:val="000000"/>
                <w:sz w:val="20"/>
                <w:szCs w:val="20"/>
                <w:lang w:val="zh-CN"/>
              </w:rPr>
            </w:pPr>
          </w:p>
        </w:tc>
        <w:tc>
          <w:tcPr>
            <w:tcW w:w="2860" w:type="dxa"/>
            <w:tcBorders>
              <w:top w:val="nil"/>
              <w:left w:val="nil"/>
              <w:bottom w:val="single" w:sz="8" w:space="0" w:color="auto"/>
              <w:right w:val="single" w:sz="8" w:space="0" w:color="auto"/>
            </w:tcBorders>
            <w:shd w:val="clear" w:color="auto" w:fill="auto"/>
            <w:vAlign w:val="center"/>
          </w:tcPr>
          <w:p w14:paraId="6808FE8E" w14:textId="77777777" w:rsidR="00CF33D9" w:rsidRDefault="00E3332A">
            <w:pPr>
              <w:rPr>
                <w:rFonts w:ascii="Calibri" w:hAnsi="Calibri" w:cs="Calibri"/>
                <w:color w:val="000000"/>
                <w:sz w:val="20"/>
                <w:szCs w:val="20"/>
                <w:lang w:val="zh-CN"/>
              </w:rPr>
            </w:pPr>
            <w:r>
              <w:rPr>
                <w:rFonts w:ascii="Calibri" w:hAnsi="Calibri" w:cs="Calibri"/>
                <w:color w:val="000000"/>
                <w:sz w:val="20"/>
                <w:szCs w:val="20"/>
                <w:lang w:val="zh-CN"/>
              </w:rPr>
              <w:t>UNDP Namibia</w:t>
            </w:r>
          </w:p>
        </w:tc>
        <w:tc>
          <w:tcPr>
            <w:tcW w:w="1160" w:type="dxa"/>
            <w:tcBorders>
              <w:top w:val="nil"/>
              <w:left w:val="nil"/>
              <w:bottom w:val="single" w:sz="8" w:space="0" w:color="auto"/>
              <w:right w:val="single" w:sz="8" w:space="0" w:color="auto"/>
            </w:tcBorders>
            <w:shd w:val="clear" w:color="auto" w:fill="auto"/>
            <w:vAlign w:val="center"/>
          </w:tcPr>
          <w:p w14:paraId="6808FE8F" w14:textId="77777777" w:rsidR="00CF33D9" w:rsidRDefault="00E3332A">
            <w:pPr>
              <w:ind w:firstLineChars="100" w:firstLine="200"/>
              <w:rPr>
                <w:rFonts w:ascii="Calibri" w:hAnsi="Calibri" w:cs="Calibri"/>
                <w:color w:val="000000"/>
                <w:sz w:val="20"/>
                <w:szCs w:val="20"/>
                <w:lang w:val="zh-CN"/>
              </w:rPr>
            </w:pPr>
            <w:r>
              <w:rPr>
                <w:rFonts w:ascii="Calibri" w:hAnsi="Calibri" w:cs="Calibri"/>
                <w:color w:val="000000"/>
                <w:sz w:val="20"/>
                <w:szCs w:val="20"/>
                <w:lang w:val="zh-CN"/>
              </w:rPr>
              <w:t>In-kind</w:t>
            </w:r>
          </w:p>
        </w:tc>
        <w:tc>
          <w:tcPr>
            <w:tcW w:w="2320" w:type="dxa"/>
            <w:tcBorders>
              <w:top w:val="nil"/>
              <w:left w:val="nil"/>
              <w:bottom w:val="single" w:sz="8" w:space="0" w:color="auto"/>
              <w:right w:val="single" w:sz="8" w:space="0" w:color="auto"/>
            </w:tcBorders>
            <w:shd w:val="clear" w:color="auto" w:fill="auto"/>
            <w:vAlign w:val="center"/>
          </w:tcPr>
          <w:p w14:paraId="6808FE90" w14:textId="77777777" w:rsidR="00CF33D9" w:rsidRDefault="00E3332A">
            <w:pPr>
              <w:jc w:val="center"/>
              <w:rPr>
                <w:rFonts w:ascii="Calibri" w:hAnsi="Calibri" w:cs="Calibri"/>
                <w:color w:val="000000"/>
                <w:sz w:val="20"/>
                <w:szCs w:val="20"/>
                <w:lang w:val="zh-CN"/>
              </w:rPr>
            </w:pPr>
            <w:r>
              <w:rPr>
                <w:rFonts w:ascii="Calibri" w:hAnsi="Calibri" w:cs="Calibri"/>
                <w:color w:val="000000"/>
                <w:sz w:val="20"/>
                <w:szCs w:val="20"/>
                <w:lang w:val="zh-CN"/>
              </w:rPr>
              <w:t>Recurrent expenditures</w:t>
            </w:r>
          </w:p>
        </w:tc>
        <w:tc>
          <w:tcPr>
            <w:tcW w:w="1680" w:type="dxa"/>
            <w:tcBorders>
              <w:top w:val="nil"/>
              <w:left w:val="nil"/>
              <w:bottom w:val="single" w:sz="8" w:space="0" w:color="auto"/>
              <w:right w:val="single" w:sz="8" w:space="0" w:color="auto"/>
            </w:tcBorders>
            <w:shd w:val="clear" w:color="auto" w:fill="auto"/>
            <w:vAlign w:val="center"/>
          </w:tcPr>
          <w:p w14:paraId="6808FE91" w14:textId="77777777" w:rsidR="00CF33D9" w:rsidRDefault="00E3332A">
            <w:pPr>
              <w:jc w:val="right"/>
              <w:rPr>
                <w:rFonts w:ascii="Calibri" w:hAnsi="Calibri" w:cs="Calibri"/>
                <w:color w:val="000000"/>
                <w:sz w:val="20"/>
                <w:szCs w:val="20"/>
                <w:lang w:val="zh-CN"/>
              </w:rPr>
            </w:pPr>
            <w:r>
              <w:rPr>
                <w:rFonts w:ascii="Calibri" w:hAnsi="Calibri" w:cs="Calibri"/>
                <w:color w:val="000000"/>
                <w:sz w:val="20"/>
                <w:szCs w:val="20"/>
                <w:lang w:val="zh-CN"/>
              </w:rPr>
              <w:t xml:space="preserve">       300</w:t>
            </w:r>
            <w:r>
              <w:rPr>
                <w:rFonts w:ascii="Calibri" w:hAnsi="Calibri" w:cs="Calibri"/>
                <w:color w:val="000000"/>
                <w:sz w:val="20"/>
                <w:szCs w:val="20"/>
                <w:lang w:val="zh-CN" w:eastAsia="zh-CN"/>
              </w:rPr>
              <w:t>,</w:t>
            </w:r>
            <w:r>
              <w:rPr>
                <w:rFonts w:ascii="Calibri" w:hAnsi="Calibri" w:cs="Calibri"/>
                <w:color w:val="000000"/>
                <w:sz w:val="20"/>
                <w:szCs w:val="20"/>
                <w:lang w:val="zh-CN"/>
              </w:rPr>
              <w:t>000</w:t>
            </w:r>
            <w:r>
              <w:rPr>
                <w:rFonts w:ascii="Calibri" w:hAnsi="Calibri" w:cs="Calibri"/>
                <w:color w:val="000000"/>
                <w:sz w:val="20"/>
                <w:szCs w:val="20"/>
                <w:lang w:val="zh-CN" w:eastAsia="zh-CN"/>
              </w:rPr>
              <w:t>.</w:t>
            </w:r>
            <w:r>
              <w:rPr>
                <w:rFonts w:ascii="Calibri" w:hAnsi="Calibri" w:cs="Calibri"/>
                <w:color w:val="000000"/>
                <w:sz w:val="20"/>
                <w:szCs w:val="20"/>
                <w:lang w:val="zh-CN"/>
              </w:rPr>
              <w:t xml:space="preserve">00 </w:t>
            </w:r>
          </w:p>
        </w:tc>
      </w:tr>
      <w:tr w:rsidR="00CF33D9" w14:paraId="6808FE98" w14:textId="77777777">
        <w:trPr>
          <w:trHeight w:val="460"/>
        </w:trPr>
        <w:tc>
          <w:tcPr>
            <w:tcW w:w="1840" w:type="dxa"/>
            <w:vMerge/>
            <w:tcBorders>
              <w:top w:val="single" w:sz="8" w:space="0" w:color="auto"/>
              <w:left w:val="single" w:sz="8" w:space="0" w:color="auto"/>
              <w:bottom w:val="single" w:sz="8" w:space="0" w:color="000000"/>
              <w:right w:val="single" w:sz="8" w:space="0" w:color="auto"/>
            </w:tcBorders>
            <w:vAlign w:val="center"/>
          </w:tcPr>
          <w:p w14:paraId="6808FE93" w14:textId="77777777" w:rsidR="00CF33D9" w:rsidRDefault="00CF33D9">
            <w:pPr>
              <w:rPr>
                <w:rFonts w:ascii="Calibri" w:hAnsi="Calibri" w:cs="Calibri"/>
                <w:b/>
                <w:bCs/>
                <w:color w:val="000000"/>
                <w:sz w:val="20"/>
                <w:szCs w:val="20"/>
                <w:lang w:val="zh-CN"/>
              </w:rPr>
            </w:pPr>
          </w:p>
        </w:tc>
        <w:tc>
          <w:tcPr>
            <w:tcW w:w="2860" w:type="dxa"/>
            <w:tcBorders>
              <w:top w:val="nil"/>
              <w:left w:val="nil"/>
              <w:bottom w:val="single" w:sz="8" w:space="0" w:color="auto"/>
              <w:right w:val="single" w:sz="8" w:space="0" w:color="auto"/>
            </w:tcBorders>
            <w:shd w:val="clear" w:color="auto" w:fill="auto"/>
            <w:vAlign w:val="center"/>
          </w:tcPr>
          <w:p w14:paraId="6808FE94" w14:textId="77777777" w:rsidR="00CF33D9" w:rsidRDefault="00E3332A">
            <w:pPr>
              <w:rPr>
                <w:rFonts w:ascii="Calibri" w:hAnsi="Calibri" w:cs="Calibri"/>
                <w:color w:val="000000"/>
                <w:sz w:val="20"/>
                <w:szCs w:val="20"/>
                <w:lang w:val="zh-CN"/>
              </w:rPr>
            </w:pPr>
            <w:r>
              <w:rPr>
                <w:rFonts w:ascii="Calibri" w:hAnsi="Calibri" w:cs="Calibri"/>
                <w:color w:val="000000"/>
                <w:sz w:val="20"/>
                <w:szCs w:val="20"/>
                <w:lang w:val="zh-CN"/>
              </w:rPr>
              <w:t>UNDP South Africa</w:t>
            </w:r>
          </w:p>
        </w:tc>
        <w:tc>
          <w:tcPr>
            <w:tcW w:w="1160" w:type="dxa"/>
            <w:tcBorders>
              <w:top w:val="nil"/>
              <w:left w:val="nil"/>
              <w:bottom w:val="single" w:sz="8" w:space="0" w:color="auto"/>
              <w:right w:val="single" w:sz="8" w:space="0" w:color="auto"/>
            </w:tcBorders>
            <w:shd w:val="clear" w:color="auto" w:fill="auto"/>
            <w:vAlign w:val="center"/>
          </w:tcPr>
          <w:p w14:paraId="6808FE95" w14:textId="77777777" w:rsidR="00CF33D9" w:rsidRDefault="00E3332A">
            <w:pPr>
              <w:ind w:firstLineChars="100" w:firstLine="200"/>
              <w:rPr>
                <w:rFonts w:ascii="Calibri" w:hAnsi="Calibri" w:cs="Calibri"/>
                <w:color w:val="000000"/>
                <w:sz w:val="20"/>
                <w:szCs w:val="20"/>
                <w:lang w:val="zh-CN"/>
              </w:rPr>
            </w:pPr>
            <w:r>
              <w:rPr>
                <w:rFonts w:ascii="Calibri" w:hAnsi="Calibri" w:cs="Calibri"/>
                <w:color w:val="000000"/>
                <w:sz w:val="20"/>
                <w:szCs w:val="20"/>
                <w:lang w:val="zh-CN"/>
              </w:rPr>
              <w:t>In-kind</w:t>
            </w:r>
          </w:p>
        </w:tc>
        <w:tc>
          <w:tcPr>
            <w:tcW w:w="2320" w:type="dxa"/>
            <w:tcBorders>
              <w:top w:val="nil"/>
              <w:left w:val="nil"/>
              <w:bottom w:val="single" w:sz="8" w:space="0" w:color="auto"/>
              <w:right w:val="single" w:sz="8" w:space="0" w:color="auto"/>
            </w:tcBorders>
            <w:shd w:val="clear" w:color="auto" w:fill="auto"/>
            <w:vAlign w:val="center"/>
          </w:tcPr>
          <w:p w14:paraId="6808FE96" w14:textId="77777777" w:rsidR="00CF33D9" w:rsidRDefault="00E3332A">
            <w:pPr>
              <w:jc w:val="center"/>
              <w:rPr>
                <w:rFonts w:ascii="Calibri" w:hAnsi="Calibri" w:cs="Calibri"/>
                <w:color w:val="000000"/>
                <w:sz w:val="20"/>
                <w:szCs w:val="20"/>
                <w:lang w:val="zh-CN"/>
              </w:rPr>
            </w:pPr>
            <w:r>
              <w:rPr>
                <w:rFonts w:ascii="Calibri" w:hAnsi="Calibri" w:cs="Calibri"/>
                <w:color w:val="000000"/>
                <w:sz w:val="20"/>
                <w:szCs w:val="20"/>
                <w:lang w:val="zh-CN"/>
              </w:rPr>
              <w:t>Recurrent expenditures</w:t>
            </w:r>
          </w:p>
        </w:tc>
        <w:tc>
          <w:tcPr>
            <w:tcW w:w="1680" w:type="dxa"/>
            <w:tcBorders>
              <w:top w:val="nil"/>
              <w:left w:val="nil"/>
              <w:bottom w:val="single" w:sz="8" w:space="0" w:color="auto"/>
              <w:right w:val="single" w:sz="8" w:space="0" w:color="auto"/>
            </w:tcBorders>
            <w:shd w:val="clear" w:color="auto" w:fill="auto"/>
            <w:vAlign w:val="center"/>
          </w:tcPr>
          <w:p w14:paraId="6808FE97" w14:textId="77777777" w:rsidR="00CF33D9" w:rsidRDefault="00E3332A">
            <w:pPr>
              <w:jc w:val="right"/>
              <w:rPr>
                <w:rFonts w:ascii="Calibri" w:hAnsi="Calibri" w:cs="Calibri"/>
                <w:color w:val="000000"/>
                <w:sz w:val="20"/>
                <w:szCs w:val="20"/>
                <w:lang w:val="zh-CN"/>
              </w:rPr>
            </w:pPr>
            <w:r>
              <w:rPr>
                <w:rFonts w:ascii="Calibri" w:hAnsi="Calibri" w:cs="Calibri"/>
                <w:color w:val="000000"/>
                <w:sz w:val="20"/>
                <w:szCs w:val="20"/>
                <w:lang w:val="zh-CN"/>
              </w:rPr>
              <w:t xml:space="preserve">       200</w:t>
            </w:r>
            <w:r>
              <w:rPr>
                <w:rFonts w:ascii="Calibri" w:hAnsi="Calibri" w:cs="Calibri"/>
                <w:color w:val="000000"/>
                <w:sz w:val="20"/>
                <w:szCs w:val="20"/>
                <w:lang w:val="zh-CN" w:eastAsia="zh-CN"/>
              </w:rPr>
              <w:t>,</w:t>
            </w:r>
            <w:r>
              <w:rPr>
                <w:rFonts w:ascii="Calibri" w:hAnsi="Calibri" w:cs="Calibri"/>
                <w:color w:val="000000"/>
                <w:sz w:val="20"/>
                <w:szCs w:val="20"/>
                <w:lang w:val="zh-CN"/>
              </w:rPr>
              <w:t>000</w:t>
            </w:r>
            <w:r>
              <w:rPr>
                <w:rFonts w:ascii="Calibri" w:hAnsi="Calibri" w:cs="Calibri"/>
                <w:color w:val="000000"/>
                <w:sz w:val="20"/>
                <w:szCs w:val="20"/>
                <w:lang w:val="zh-CN" w:eastAsia="zh-CN"/>
              </w:rPr>
              <w:t>.</w:t>
            </w:r>
            <w:r>
              <w:rPr>
                <w:rFonts w:ascii="Calibri" w:hAnsi="Calibri" w:cs="Calibri"/>
                <w:color w:val="000000"/>
                <w:sz w:val="20"/>
                <w:szCs w:val="20"/>
                <w:lang w:val="zh-CN"/>
              </w:rPr>
              <w:t xml:space="preserve">00 </w:t>
            </w:r>
          </w:p>
        </w:tc>
      </w:tr>
      <w:tr w:rsidR="00CF33D9" w14:paraId="6808FE9B" w14:textId="77777777">
        <w:trPr>
          <w:trHeight w:val="480"/>
        </w:trPr>
        <w:tc>
          <w:tcPr>
            <w:tcW w:w="8180" w:type="dxa"/>
            <w:gridSpan w:val="4"/>
            <w:tcBorders>
              <w:top w:val="single" w:sz="8" w:space="0" w:color="auto"/>
              <w:left w:val="single" w:sz="8" w:space="0" w:color="auto"/>
              <w:bottom w:val="double" w:sz="6" w:space="0" w:color="auto"/>
              <w:right w:val="single" w:sz="8" w:space="0" w:color="000000"/>
            </w:tcBorders>
            <w:shd w:val="clear" w:color="000000" w:fill="DDEBF7"/>
            <w:vAlign w:val="center"/>
          </w:tcPr>
          <w:p w14:paraId="6808FE99" w14:textId="77777777" w:rsidR="00CF33D9" w:rsidRDefault="00E3332A">
            <w:pPr>
              <w:jc w:val="right"/>
              <w:rPr>
                <w:rFonts w:ascii="Calibri" w:hAnsi="Calibri" w:cs="Calibri"/>
                <w:b/>
                <w:bCs/>
                <w:color w:val="000000"/>
                <w:sz w:val="20"/>
                <w:szCs w:val="20"/>
                <w:lang w:val="zh-CN"/>
              </w:rPr>
            </w:pPr>
            <w:r>
              <w:rPr>
                <w:rFonts w:ascii="Calibri" w:hAnsi="Calibri" w:cs="Calibri"/>
                <w:b/>
                <w:bCs/>
                <w:color w:val="000000"/>
                <w:sz w:val="20"/>
                <w:szCs w:val="20"/>
                <w:lang w:val="zh-CN"/>
              </w:rPr>
              <w:t>Total Co-financing</w:t>
            </w:r>
          </w:p>
        </w:tc>
        <w:tc>
          <w:tcPr>
            <w:tcW w:w="1680" w:type="dxa"/>
            <w:tcBorders>
              <w:top w:val="nil"/>
              <w:left w:val="nil"/>
              <w:bottom w:val="double" w:sz="6" w:space="0" w:color="auto"/>
              <w:right w:val="single" w:sz="8" w:space="0" w:color="auto"/>
            </w:tcBorders>
            <w:shd w:val="clear" w:color="000000" w:fill="DDEBF7"/>
            <w:vAlign w:val="center"/>
          </w:tcPr>
          <w:p w14:paraId="6808FE9A" w14:textId="77777777" w:rsidR="00CF33D9" w:rsidRDefault="00E3332A">
            <w:pPr>
              <w:jc w:val="right"/>
              <w:rPr>
                <w:rFonts w:ascii="Calibri" w:hAnsi="Calibri" w:cs="Calibri"/>
                <w:b/>
                <w:bCs/>
                <w:color w:val="000000"/>
                <w:sz w:val="20"/>
                <w:szCs w:val="20"/>
                <w:lang w:val="zh-CN"/>
              </w:rPr>
            </w:pPr>
            <w:r>
              <w:rPr>
                <w:rFonts w:ascii="Calibri" w:hAnsi="Calibri" w:cs="Calibri"/>
                <w:b/>
                <w:bCs/>
                <w:color w:val="000000"/>
                <w:sz w:val="20"/>
                <w:szCs w:val="20"/>
                <w:lang w:val="zh-CN"/>
              </w:rPr>
              <w:t xml:space="preserve">  55</w:t>
            </w:r>
            <w:r>
              <w:rPr>
                <w:rFonts w:ascii="Calibri" w:hAnsi="Calibri" w:cs="Calibri"/>
                <w:b/>
                <w:bCs/>
                <w:color w:val="000000"/>
                <w:sz w:val="20"/>
                <w:szCs w:val="20"/>
                <w:lang w:val="zh-CN" w:eastAsia="zh-CN"/>
              </w:rPr>
              <w:t>,</w:t>
            </w:r>
            <w:r>
              <w:rPr>
                <w:rFonts w:ascii="Calibri" w:hAnsi="Calibri" w:cs="Calibri"/>
                <w:b/>
                <w:bCs/>
                <w:color w:val="000000"/>
                <w:sz w:val="20"/>
                <w:szCs w:val="20"/>
                <w:lang w:val="zh-CN"/>
              </w:rPr>
              <w:t>561</w:t>
            </w:r>
            <w:r>
              <w:rPr>
                <w:rFonts w:ascii="Calibri" w:hAnsi="Calibri" w:cs="Calibri"/>
                <w:b/>
                <w:bCs/>
                <w:color w:val="000000"/>
                <w:sz w:val="20"/>
                <w:szCs w:val="20"/>
                <w:lang w:val="zh-CN" w:eastAsia="zh-CN"/>
              </w:rPr>
              <w:t>,</w:t>
            </w:r>
            <w:r>
              <w:rPr>
                <w:rFonts w:ascii="Calibri" w:hAnsi="Calibri" w:cs="Calibri"/>
                <w:b/>
                <w:bCs/>
                <w:color w:val="000000"/>
                <w:sz w:val="20"/>
                <w:szCs w:val="20"/>
                <w:lang w:val="zh-CN"/>
              </w:rPr>
              <w:t>027</w:t>
            </w:r>
            <w:r>
              <w:rPr>
                <w:rFonts w:ascii="Calibri" w:hAnsi="Calibri" w:cs="Calibri"/>
                <w:b/>
                <w:bCs/>
                <w:color w:val="000000"/>
                <w:sz w:val="20"/>
                <w:szCs w:val="20"/>
                <w:lang w:val="zh-CN" w:eastAsia="zh-CN"/>
              </w:rPr>
              <w:t>.</w:t>
            </w:r>
            <w:r>
              <w:rPr>
                <w:rFonts w:ascii="Calibri" w:hAnsi="Calibri" w:cs="Calibri"/>
                <w:b/>
                <w:bCs/>
                <w:color w:val="000000"/>
                <w:sz w:val="20"/>
                <w:szCs w:val="20"/>
                <w:lang w:val="zh-CN"/>
              </w:rPr>
              <w:t xml:space="preserve">52 </w:t>
            </w:r>
          </w:p>
        </w:tc>
      </w:tr>
    </w:tbl>
    <w:p w14:paraId="6808FE9C" w14:textId="77777777" w:rsidR="00CF33D9" w:rsidRDefault="00CF33D9">
      <w:pPr>
        <w:ind w:left="720"/>
        <w:rPr>
          <w:rFonts w:ascii="Calibri" w:hAnsi="Calibri" w:cs="Calibri"/>
          <w:color w:val="000000"/>
          <w:sz w:val="20"/>
          <w:szCs w:val="20"/>
        </w:rPr>
      </w:pPr>
    </w:p>
    <w:p w14:paraId="6808FE9D" w14:textId="77777777" w:rsidR="00CF33D9" w:rsidRDefault="00E3332A">
      <w:pPr>
        <w:jc w:val="both"/>
        <w:rPr>
          <w:rFonts w:ascii="Calibri" w:eastAsia="Calibri" w:hAnsi="Calibri" w:cs="Calibri"/>
          <w:sz w:val="20"/>
          <w:szCs w:val="20"/>
        </w:rPr>
      </w:pPr>
      <w:r>
        <w:rPr>
          <w:rFonts w:ascii="Calibri" w:eastAsia="Calibri" w:hAnsi="Calibri" w:cs="Calibri"/>
          <w:b/>
          <w:sz w:val="20"/>
          <w:szCs w:val="20"/>
          <w:u w:val="single"/>
        </w:rPr>
        <w:t>Budget Revision and Tolerance</w:t>
      </w:r>
      <w:r>
        <w:rPr>
          <w:rFonts w:ascii="Calibri" w:eastAsia="Calibri" w:hAnsi="Calibri" w:cs="Calibri"/>
          <w:sz w:val="20"/>
          <w:szCs w:val="20"/>
        </w:rPr>
        <w:t>: As per UNDP POPP, the PSC may agree with the project manager on a tolerance level for each detailed plan under the overall multi-year workplan.</w:t>
      </w:r>
      <w:r>
        <w:rPr>
          <w:rFonts w:ascii="Calibri" w:hAnsi="Calibri" w:cs="Calibri"/>
          <w:sz w:val="20"/>
          <w:szCs w:val="20"/>
        </w:rPr>
        <w:t xml:space="preserve"> </w:t>
      </w:r>
      <w:r>
        <w:rPr>
          <w:rFonts w:ascii="Calibri" w:eastAsia="Calibri" w:hAnsi="Calibri" w:cs="Calibri"/>
          <w:sz w:val="20"/>
          <w:szCs w:val="20"/>
        </w:rPr>
        <w:t xml:space="preserve">The agreed tolerance should be written in the project document or approved PSC meeting minutes. It should normally not exceed 10 percent of the agreed annual budget at the activity level, but within the overall approved multi-year workplan at the activity level. Within the agreed tolerances, the project manager can operate without intervention from the PSC. Restrictions apply as follows: </w:t>
      </w:r>
    </w:p>
    <w:p w14:paraId="6808FE9E" w14:textId="77777777" w:rsidR="00CF33D9" w:rsidRDefault="00CF33D9">
      <w:pPr>
        <w:jc w:val="both"/>
        <w:rPr>
          <w:rFonts w:ascii="Calibri" w:eastAsia="Calibri" w:hAnsi="Calibri" w:cs="Calibri"/>
          <w:sz w:val="20"/>
          <w:szCs w:val="20"/>
        </w:rPr>
      </w:pPr>
    </w:p>
    <w:p w14:paraId="6808FE9F" w14:textId="77777777" w:rsidR="00CF33D9" w:rsidRDefault="00E3332A">
      <w:pPr>
        <w:spacing w:after="60"/>
        <w:jc w:val="both"/>
        <w:rPr>
          <w:rFonts w:ascii="Calibri" w:eastAsia="Calibri" w:hAnsi="Calibri" w:cs="Calibri"/>
          <w:sz w:val="20"/>
          <w:szCs w:val="20"/>
        </w:rPr>
      </w:pPr>
      <w:r>
        <w:rPr>
          <w:rFonts w:ascii="Calibri" w:eastAsia="Calibri" w:hAnsi="Calibri" w:cs="Calibri"/>
          <w:sz w:val="20"/>
          <w:szCs w:val="20"/>
        </w:rPr>
        <w:t xml:space="preserve">Should the following deviations occur, the Project Manager/IP through UNDP Country Office will seek the approval of the BPPS/NCE-VF team to ensure accurate reporting to the GEF. It is </w:t>
      </w:r>
      <w:r>
        <w:rPr>
          <w:rFonts w:ascii="Calibri" w:eastAsia="Calibri" w:hAnsi="Calibri" w:cs="Calibri"/>
          <w:b/>
          <w:sz w:val="20"/>
          <w:szCs w:val="20"/>
        </w:rPr>
        <w:t>strongly encouraged</w:t>
      </w:r>
      <w:r>
        <w:rPr>
          <w:rFonts w:ascii="Calibri" w:eastAsia="Calibri" w:hAnsi="Calibri" w:cs="Calibri"/>
          <w:sz w:val="20"/>
          <w:szCs w:val="20"/>
        </w:rPr>
        <w:t xml:space="preserve"> to maintain the expenditures within the approved budget at the budgetary account and at the component level:</w:t>
      </w:r>
    </w:p>
    <w:p w14:paraId="6808FEA0" w14:textId="77777777" w:rsidR="00CF33D9" w:rsidRDefault="00CF33D9">
      <w:pPr>
        <w:jc w:val="both"/>
        <w:rPr>
          <w:rFonts w:ascii="Calibri" w:eastAsia="Calibri" w:hAnsi="Calibri" w:cs="Calibri"/>
          <w:sz w:val="20"/>
          <w:szCs w:val="20"/>
        </w:rPr>
      </w:pPr>
    </w:p>
    <w:p w14:paraId="6808FEA1" w14:textId="77777777" w:rsidR="00CF33D9" w:rsidRDefault="00E3332A">
      <w:pPr>
        <w:numPr>
          <w:ilvl w:val="0"/>
          <w:numId w:val="66"/>
        </w:numPr>
        <w:jc w:val="both"/>
        <w:rPr>
          <w:rFonts w:ascii="Calibri" w:eastAsia="Calibri" w:hAnsi="Calibri" w:cs="Calibri"/>
          <w:sz w:val="20"/>
          <w:szCs w:val="20"/>
        </w:rPr>
      </w:pPr>
      <w:r>
        <w:rPr>
          <w:rFonts w:ascii="Calibri" w:eastAsia="Calibri" w:hAnsi="Calibri" w:cs="Calibri"/>
          <w:sz w:val="20"/>
          <w:szCs w:val="20"/>
        </w:rPr>
        <w:t>Budget reallocations must prove that the suggested changes in the budget will not lead to material changes in the results to be achieved by the project. A strong justification is required and will be approved on an exceptional basis. Budget re-allocations among the components (including PMC) of the approved Total Budget and Work Plans (TBWP) that represent a value greater than 10% of the total GEF grant.</w:t>
      </w:r>
    </w:p>
    <w:p w14:paraId="6808FEA2" w14:textId="77777777" w:rsidR="00CF33D9" w:rsidRDefault="00E3332A">
      <w:pPr>
        <w:numPr>
          <w:ilvl w:val="0"/>
          <w:numId w:val="66"/>
        </w:numPr>
        <w:jc w:val="both"/>
        <w:rPr>
          <w:rFonts w:ascii="Calibri" w:eastAsia="Calibri" w:hAnsi="Calibri" w:cs="Calibri"/>
          <w:sz w:val="20"/>
          <w:szCs w:val="20"/>
        </w:rPr>
      </w:pPr>
      <w:r>
        <w:rPr>
          <w:rFonts w:ascii="Calibri" w:eastAsia="Calibri" w:hAnsi="Calibri" w:cs="Calibri"/>
          <w:sz w:val="20"/>
          <w:szCs w:val="20"/>
        </w:rPr>
        <w:t>Introduction of new outputs/activities (i.e. budget items)</w:t>
      </w:r>
      <w:r>
        <w:rPr>
          <w:rFonts w:ascii="Calibri" w:hAnsi="Calibri" w:cs="Calibri"/>
          <w:sz w:val="20"/>
          <w:szCs w:val="20"/>
        </w:rPr>
        <w:t xml:space="preserve"> </w:t>
      </w:r>
      <w:r>
        <w:rPr>
          <w:rFonts w:ascii="Calibri" w:eastAsia="Calibri" w:hAnsi="Calibri" w:cs="Calibri"/>
          <w:sz w:val="20"/>
          <w:szCs w:val="20"/>
        </w:rPr>
        <w:t xml:space="preserve">that were not part of the agreed project document and TBWP that represent a value greater than 5% of the total GEF grant. The new budget items must be eligible as per the </w:t>
      </w:r>
      <w:hyperlink r:id="rId36">
        <w:r>
          <w:rPr>
            <w:rFonts w:ascii="Calibri" w:eastAsia="Calibri" w:hAnsi="Calibri" w:cs="Calibri"/>
            <w:color w:val="0000FF"/>
            <w:sz w:val="20"/>
            <w:szCs w:val="20"/>
            <w:u w:val="single"/>
          </w:rPr>
          <w:t>GEF and UNDP policies</w:t>
        </w:r>
      </w:hyperlink>
      <w:r>
        <w:rPr>
          <w:rFonts w:ascii="Calibri" w:eastAsia="Calibri" w:hAnsi="Calibri" w:cs="Calibri"/>
          <w:sz w:val="20"/>
          <w:szCs w:val="20"/>
        </w:rPr>
        <w:t xml:space="preserve">. </w:t>
      </w:r>
    </w:p>
    <w:p w14:paraId="6808FEA3" w14:textId="77777777" w:rsidR="00CF33D9" w:rsidRDefault="00E3332A">
      <w:pPr>
        <w:numPr>
          <w:ilvl w:val="0"/>
          <w:numId w:val="66"/>
        </w:numPr>
        <w:jc w:val="both"/>
        <w:rPr>
          <w:rFonts w:ascii="Calibri" w:eastAsia="Calibri" w:hAnsi="Calibri" w:cs="Calibri"/>
          <w:sz w:val="20"/>
          <w:szCs w:val="20"/>
        </w:rPr>
      </w:pPr>
      <w:r>
        <w:rPr>
          <w:rFonts w:ascii="Calibri" w:eastAsia="Calibri" w:hAnsi="Calibri" w:cs="Calibri"/>
          <w:sz w:val="20"/>
          <w:szCs w:val="20"/>
        </w:rPr>
        <w:t>Project management cost (PMC): budget under PMC component is capped and cannot be increased.</w:t>
      </w:r>
    </w:p>
    <w:p w14:paraId="6808FEA4" w14:textId="77777777" w:rsidR="00CF33D9" w:rsidRDefault="00CF33D9">
      <w:pPr>
        <w:jc w:val="both"/>
        <w:rPr>
          <w:rFonts w:ascii="Calibri" w:eastAsia="Calibri" w:hAnsi="Calibri" w:cs="Calibri"/>
          <w:sz w:val="20"/>
          <w:szCs w:val="20"/>
        </w:rPr>
      </w:pPr>
    </w:p>
    <w:p w14:paraId="6808FEA5" w14:textId="77777777" w:rsidR="00CF33D9" w:rsidRDefault="00E3332A">
      <w:pPr>
        <w:jc w:val="both"/>
        <w:rPr>
          <w:rFonts w:ascii="Calibri" w:eastAsia="Calibri" w:hAnsi="Calibri" w:cs="Calibri"/>
          <w:sz w:val="20"/>
          <w:szCs w:val="20"/>
          <w:u w:val="single"/>
        </w:rPr>
      </w:pPr>
      <w:r>
        <w:rPr>
          <w:rFonts w:ascii="Calibri" w:eastAsia="Calibri" w:hAnsi="Calibri" w:cs="Calibri"/>
          <w:sz w:val="20"/>
          <w:szCs w:val="20"/>
        </w:rPr>
        <w:t>UNDP is not in a position to increase the total budget above the amount approved by the donor; therefore any over-expenditure would have to be absorbed from non-GEF resources by the Implementing Partner (GEF Executing Entity)</w:t>
      </w:r>
    </w:p>
    <w:p w14:paraId="6808FEA6" w14:textId="77777777" w:rsidR="00CF33D9" w:rsidRDefault="00CF33D9">
      <w:pPr>
        <w:jc w:val="both"/>
        <w:rPr>
          <w:rFonts w:ascii="Calibri" w:eastAsia="Calibri" w:hAnsi="Calibri" w:cs="Calibri"/>
          <w:sz w:val="20"/>
          <w:szCs w:val="20"/>
          <w:u w:val="single"/>
        </w:rPr>
      </w:pPr>
    </w:p>
    <w:p w14:paraId="6808FEA7" w14:textId="77777777" w:rsidR="00CF33D9" w:rsidRDefault="00E3332A">
      <w:pPr>
        <w:jc w:val="both"/>
        <w:rPr>
          <w:rFonts w:ascii="Calibri" w:eastAsia="Calibri" w:hAnsi="Calibri" w:cs="Calibri"/>
          <w:color w:val="000000"/>
          <w:sz w:val="20"/>
          <w:szCs w:val="20"/>
          <w:highlight w:val="white"/>
        </w:rPr>
      </w:pPr>
      <w:r>
        <w:rPr>
          <w:rFonts w:ascii="Calibri" w:eastAsia="Calibri" w:hAnsi="Calibri" w:cs="Calibri"/>
          <w:b/>
          <w:sz w:val="20"/>
          <w:szCs w:val="20"/>
          <w:u w:val="single"/>
        </w:rPr>
        <w:lastRenderedPageBreak/>
        <w:t>Project extensions</w:t>
      </w:r>
      <w:r>
        <w:rPr>
          <w:rFonts w:ascii="Calibri" w:eastAsia="Calibri" w:hAnsi="Calibri" w:cs="Calibri"/>
          <w:b/>
          <w:sz w:val="20"/>
          <w:szCs w:val="20"/>
        </w:rPr>
        <w:t xml:space="preserve">: </w:t>
      </w:r>
      <w:r>
        <w:rPr>
          <w:rFonts w:ascii="Calibri" w:eastAsia="Calibri" w:hAnsi="Calibri" w:cs="Calibri"/>
          <w:color w:val="000000"/>
          <w:sz w:val="20"/>
          <w:szCs w:val="20"/>
          <w:highlight w:val="white"/>
        </w:rPr>
        <w:t>The UNDP-</w:t>
      </w:r>
      <w:r>
        <w:rPr>
          <w:rFonts w:ascii="Calibri" w:eastAsia="Calibri" w:hAnsi="Calibri" w:cs="Calibri"/>
          <w:color w:val="000000"/>
          <w:sz w:val="20"/>
          <w:szCs w:val="20"/>
        </w:rPr>
        <w:t xml:space="preserve">BPPS-NCE team </w:t>
      </w:r>
      <w:r>
        <w:rPr>
          <w:rFonts w:ascii="Calibri" w:eastAsia="Calibri" w:hAnsi="Calibri" w:cs="Calibri"/>
          <w:color w:val="000000"/>
          <w:sz w:val="20"/>
          <w:szCs w:val="20"/>
          <w:highlight w:val="white"/>
        </w:rPr>
        <w:t>Executive Coordinator must approve all requests for </w:t>
      </w:r>
      <w:r>
        <w:rPr>
          <w:rFonts w:ascii="Calibri" w:eastAsia="Calibri" w:hAnsi="Calibri" w:cs="Calibri"/>
          <w:color w:val="000000"/>
          <w:sz w:val="20"/>
          <w:szCs w:val="20"/>
        </w:rPr>
        <w:t>extension</w:t>
      </w:r>
      <w:r>
        <w:rPr>
          <w:rFonts w:ascii="Calibri" w:eastAsia="Calibri" w:hAnsi="Calibri" w:cs="Calibri"/>
          <w:color w:val="000000"/>
          <w:sz w:val="20"/>
          <w:szCs w:val="20"/>
          <w:highlight w:val="white"/>
        </w:rPr>
        <w:t> of the Project Completion Date and for other milestone </w:t>
      </w:r>
      <w:r>
        <w:rPr>
          <w:rFonts w:ascii="Calibri" w:eastAsia="Calibri" w:hAnsi="Calibri" w:cs="Calibri"/>
          <w:color w:val="000000"/>
          <w:sz w:val="20"/>
          <w:szCs w:val="20"/>
        </w:rPr>
        <w:t>extension</w:t>
      </w:r>
      <w:r>
        <w:rPr>
          <w:rFonts w:ascii="Calibri" w:eastAsia="Calibri" w:hAnsi="Calibri" w:cs="Calibri"/>
          <w:color w:val="000000"/>
          <w:sz w:val="20"/>
          <w:szCs w:val="20"/>
          <w:highlight w:val="white"/>
        </w:rPr>
        <w:t xml:space="preserve">s with hard deadlines. </w:t>
      </w:r>
      <w:r>
        <w:rPr>
          <w:rFonts w:ascii="Calibri" w:eastAsia="Calibri" w:hAnsi="Calibri" w:cs="Calibri"/>
          <w:color w:val="000000"/>
          <w:sz w:val="20"/>
          <w:szCs w:val="20"/>
        </w:rPr>
        <w:t>A</w:t>
      </w:r>
      <w:r>
        <w:rPr>
          <w:rFonts w:ascii="Calibri" w:eastAsia="Calibri" w:hAnsi="Calibri" w:cs="Calibri"/>
          <w:color w:val="000000"/>
          <w:sz w:val="20"/>
          <w:szCs w:val="20"/>
          <w:highlight w:val="white"/>
        </w:rPr>
        <w:t>ll </w:t>
      </w:r>
      <w:r>
        <w:rPr>
          <w:rFonts w:ascii="Calibri" w:eastAsia="Calibri" w:hAnsi="Calibri" w:cs="Calibri"/>
          <w:color w:val="000000"/>
          <w:sz w:val="20"/>
          <w:szCs w:val="20"/>
        </w:rPr>
        <w:t>extension</w:t>
      </w:r>
      <w:r>
        <w:rPr>
          <w:rFonts w:ascii="Calibri" w:eastAsia="Calibri" w:hAnsi="Calibri" w:cs="Calibri"/>
          <w:color w:val="000000"/>
          <w:sz w:val="20"/>
          <w:szCs w:val="20"/>
          <w:highlight w:val="white"/>
        </w:rPr>
        <w:t xml:space="preserve">s </w:t>
      </w:r>
      <w:r>
        <w:rPr>
          <w:rFonts w:ascii="Calibri" w:eastAsia="Calibri" w:hAnsi="Calibri" w:cs="Calibri"/>
          <w:color w:val="000000"/>
          <w:sz w:val="20"/>
          <w:szCs w:val="20"/>
        </w:rPr>
        <w:t xml:space="preserve">impose additional time and </w:t>
      </w:r>
      <w:r>
        <w:rPr>
          <w:rFonts w:ascii="Calibri" w:eastAsia="Calibri" w:hAnsi="Calibri" w:cs="Calibri"/>
          <w:color w:val="000000"/>
          <w:sz w:val="20"/>
          <w:szCs w:val="20"/>
          <w:highlight w:val="white"/>
        </w:rPr>
        <w:t>cost</w:t>
      </w:r>
      <w:r>
        <w:rPr>
          <w:rFonts w:ascii="Calibri" w:eastAsia="Calibri" w:hAnsi="Calibri" w:cs="Calibri"/>
          <w:color w:val="000000"/>
          <w:sz w:val="20"/>
          <w:szCs w:val="20"/>
        </w:rPr>
        <w:t xml:space="preserve"> burdens at all levels</w:t>
      </w:r>
      <w:r>
        <w:rPr>
          <w:rFonts w:ascii="Calibri" w:eastAsia="Calibri" w:hAnsi="Calibri" w:cs="Calibri"/>
          <w:color w:val="000000"/>
          <w:sz w:val="20"/>
          <w:szCs w:val="20"/>
          <w:highlight w:val="white"/>
        </w:rPr>
        <w:t xml:space="preserve"> and the GEF project budget cannot be increased</w:t>
      </w:r>
      <w:r>
        <w:rPr>
          <w:rFonts w:ascii="Calibri" w:eastAsia="Calibri" w:hAnsi="Calibri" w:cs="Calibri"/>
          <w:color w:val="000000"/>
          <w:sz w:val="20"/>
          <w:szCs w:val="20"/>
        </w:rPr>
        <w:t xml:space="preserve"> beyond its originally approved amount</w:t>
      </w:r>
      <w:r>
        <w:rPr>
          <w:rFonts w:ascii="Calibri" w:eastAsia="Calibri" w:hAnsi="Calibri" w:cs="Calibri"/>
          <w:color w:val="000000"/>
          <w:sz w:val="20"/>
          <w:szCs w:val="20"/>
          <w:highlight w:val="white"/>
        </w:rPr>
        <w:t>. A single </w:t>
      </w:r>
      <w:r>
        <w:rPr>
          <w:rFonts w:ascii="Calibri" w:eastAsia="Calibri" w:hAnsi="Calibri" w:cs="Calibri"/>
          <w:color w:val="000000"/>
          <w:sz w:val="20"/>
          <w:szCs w:val="20"/>
        </w:rPr>
        <w:t>extension</w:t>
      </w:r>
      <w:r>
        <w:rPr>
          <w:rFonts w:ascii="Calibri" w:eastAsia="Calibri" w:hAnsi="Calibri" w:cs="Calibri"/>
          <w:color w:val="000000"/>
          <w:sz w:val="20"/>
          <w:szCs w:val="20"/>
          <w:highlight w:val="white"/>
        </w:rPr>
        <w:t> may be granted on an exceptional basis and subject to the conditions and maximum durations set out in the UNDP POPP</w:t>
      </w:r>
      <w:r>
        <w:rPr>
          <w:rFonts w:ascii="Calibri" w:eastAsia="Calibri" w:hAnsi="Calibri" w:cs="Calibri"/>
          <w:color w:val="000000"/>
          <w:sz w:val="20"/>
          <w:szCs w:val="20"/>
        </w:rPr>
        <w:t xml:space="preserve">. The </w:t>
      </w:r>
      <w:r>
        <w:rPr>
          <w:rFonts w:ascii="Calibri" w:eastAsia="Calibri" w:hAnsi="Calibri" w:cs="Calibri"/>
          <w:color w:val="000000"/>
          <w:sz w:val="20"/>
          <w:szCs w:val="20"/>
          <w:highlight w:val="white"/>
        </w:rPr>
        <w:t>project management costs during the </w:t>
      </w:r>
      <w:r>
        <w:rPr>
          <w:rFonts w:ascii="Calibri" w:eastAsia="Calibri" w:hAnsi="Calibri" w:cs="Calibri"/>
          <w:color w:val="000000"/>
          <w:sz w:val="20"/>
          <w:szCs w:val="20"/>
        </w:rPr>
        <w:t>extension</w:t>
      </w:r>
      <w:r>
        <w:rPr>
          <w:rFonts w:ascii="Calibri" w:eastAsia="Calibri" w:hAnsi="Calibri" w:cs="Calibri"/>
          <w:color w:val="000000"/>
          <w:sz w:val="20"/>
          <w:szCs w:val="20"/>
          <w:highlight w:val="white"/>
        </w:rPr>
        <w:t xml:space="preserve"> period must remain within the originally approved amount, and any increase in PMC costs </w:t>
      </w:r>
      <w:r>
        <w:rPr>
          <w:rFonts w:ascii="Calibri" w:eastAsia="Calibri" w:hAnsi="Calibri" w:cs="Calibri"/>
          <w:color w:val="000000"/>
          <w:sz w:val="20"/>
          <w:szCs w:val="20"/>
        </w:rPr>
        <w:t xml:space="preserve">shall </w:t>
      </w:r>
      <w:r>
        <w:rPr>
          <w:rFonts w:ascii="Calibri" w:eastAsia="Calibri" w:hAnsi="Calibri" w:cs="Calibri"/>
          <w:color w:val="000000"/>
          <w:sz w:val="20"/>
          <w:szCs w:val="20"/>
          <w:highlight w:val="white"/>
        </w:rPr>
        <w:t>be covered by non-GEF resources; the additional UNDP oversight costs during the </w:t>
      </w:r>
      <w:r>
        <w:rPr>
          <w:rFonts w:ascii="Calibri" w:eastAsia="Calibri" w:hAnsi="Calibri" w:cs="Calibri"/>
          <w:color w:val="000000"/>
          <w:sz w:val="20"/>
          <w:szCs w:val="20"/>
        </w:rPr>
        <w:t>extension</w:t>
      </w:r>
      <w:r>
        <w:rPr>
          <w:rFonts w:ascii="Calibri" w:eastAsia="Calibri" w:hAnsi="Calibri" w:cs="Calibri"/>
          <w:color w:val="000000"/>
          <w:sz w:val="20"/>
          <w:szCs w:val="20"/>
          <w:highlight w:val="white"/>
        </w:rPr>
        <w:t xml:space="preserve"> period must be covered by non-GEF resources, in accordance with UNDP’s </w:t>
      </w:r>
      <w:r>
        <w:rPr>
          <w:rFonts w:ascii="Calibri" w:eastAsia="Calibri" w:hAnsi="Calibri" w:cs="Calibri"/>
          <w:color w:val="000000"/>
          <w:sz w:val="20"/>
          <w:szCs w:val="20"/>
        </w:rPr>
        <w:t xml:space="preserve">policy as </w:t>
      </w:r>
      <w:r>
        <w:rPr>
          <w:rFonts w:ascii="Calibri" w:eastAsia="Calibri" w:hAnsi="Calibri" w:cs="Calibri"/>
          <w:color w:val="000000"/>
          <w:sz w:val="20"/>
          <w:szCs w:val="20"/>
          <w:highlight w:val="white"/>
        </w:rPr>
        <w:t>set out in UNDP POPP.</w:t>
      </w:r>
    </w:p>
    <w:p w14:paraId="6808FEA8" w14:textId="77777777" w:rsidR="00CF33D9" w:rsidRDefault="00CF33D9">
      <w:pPr>
        <w:jc w:val="both"/>
        <w:rPr>
          <w:rFonts w:ascii="Calibri" w:eastAsia="Calibri" w:hAnsi="Calibri" w:cs="Calibri"/>
          <w:color w:val="000000"/>
          <w:sz w:val="20"/>
          <w:szCs w:val="20"/>
          <w:highlight w:val="white"/>
        </w:rPr>
      </w:pPr>
    </w:p>
    <w:p w14:paraId="6808FEA9"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For any extension request, UNDP CO and IP will consult and jointly present a clear plan indicating how and from which specific sources the additional oversight costs that will be incurred by UNDP will be covered during the extended period. The BPPS-NCE Executive Coordinator will consult the Regional Bureaux (RBX) and may reject the extension request if no (external co-financing by the IP or internal UNDP CO resources) can be identified.</w:t>
      </w:r>
    </w:p>
    <w:p w14:paraId="6808FEAA" w14:textId="77777777" w:rsidR="00CF33D9" w:rsidRDefault="00CF33D9">
      <w:pPr>
        <w:jc w:val="both"/>
        <w:rPr>
          <w:rFonts w:ascii="Calibri" w:eastAsia="Calibri" w:hAnsi="Calibri" w:cs="Calibri"/>
          <w:sz w:val="20"/>
          <w:szCs w:val="20"/>
        </w:rPr>
      </w:pPr>
    </w:p>
    <w:p w14:paraId="6808FEAB"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All extension requests, along with all supporting documentation, shall be submitted by the IP to the UNDP CO in line with the requirements and within the deadlines set out in the UNDP SOPs and policies in UNDP POPP.</w:t>
      </w:r>
    </w:p>
    <w:p w14:paraId="6808FEAC" w14:textId="77777777" w:rsidR="00CF33D9" w:rsidRDefault="00CF33D9">
      <w:pPr>
        <w:jc w:val="both"/>
        <w:rPr>
          <w:rFonts w:ascii="Calibri" w:eastAsia="Calibri" w:hAnsi="Calibri" w:cs="Calibri"/>
          <w:sz w:val="20"/>
          <w:szCs w:val="20"/>
        </w:rPr>
      </w:pPr>
    </w:p>
    <w:p w14:paraId="6808FEAD" w14:textId="77777777" w:rsidR="00CF33D9" w:rsidRDefault="00E3332A">
      <w:pPr>
        <w:jc w:val="both"/>
        <w:rPr>
          <w:rFonts w:ascii="Calibri" w:eastAsia="Calibri" w:hAnsi="Calibri" w:cs="Calibri"/>
          <w:sz w:val="20"/>
          <w:szCs w:val="20"/>
        </w:rPr>
      </w:pPr>
      <w:r>
        <w:rPr>
          <w:rFonts w:ascii="Calibri" w:eastAsia="Calibri" w:hAnsi="Calibri" w:cs="Calibri"/>
          <w:b/>
          <w:sz w:val="20"/>
          <w:szCs w:val="20"/>
          <w:u w:val="single"/>
        </w:rPr>
        <w:t>Audit</w:t>
      </w:r>
      <w:r>
        <w:rPr>
          <w:rFonts w:ascii="Calibri" w:eastAsia="Calibri" w:hAnsi="Calibri" w:cs="Calibri"/>
          <w:b/>
          <w:sz w:val="20"/>
          <w:szCs w:val="20"/>
        </w:rPr>
        <w:t>:</w:t>
      </w:r>
      <w:r>
        <w:rPr>
          <w:rFonts w:ascii="Calibri" w:eastAsia="Calibri" w:hAnsi="Calibri" w:cs="Calibri"/>
          <w:sz w:val="20"/>
          <w:szCs w:val="20"/>
        </w:rPr>
        <w:t xml:space="preserve"> The project will be audited as per UNDP Financial Regulations and Rules and applicable audit policies. Audit cycle and process must be discussed during the Inception workshop. If the Implementing Partner is an UN Agency, the project will be audited according to that Agencies applicable audit policies.</w:t>
      </w:r>
      <w:r>
        <w:rPr>
          <w:rFonts w:ascii="Calibri" w:eastAsia="Calibri" w:hAnsi="Calibri" w:cs="Calibri"/>
          <w:i/>
          <w:sz w:val="20"/>
          <w:szCs w:val="20"/>
        </w:rPr>
        <w:t xml:space="preserve"> </w:t>
      </w:r>
    </w:p>
    <w:p w14:paraId="6808FEAE" w14:textId="77777777" w:rsidR="00CF33D9" w:rsidRDefault="00CF33D9">
      <w:pPr>
        <w:jc w:val="both"/>
        <w:rPr>
          <w:rFonts w:ascii="Calibri" w:eastAsia="Calibri" w:hAnsi="Calibri" w:cs="Calibri"/>
          <w:sz w:val="20"/>
          <w:szCs w:val="20"/>
          <w:u w:val="single"/>
        </w:rPr>
      </w:pPr>
    </w:p>
    <w:p w14:paraId="6808FEAF" w14:textId="77777777" w:rsidR="00CF33D9" w:rsidRDefault="00E3332A">
      <w:pPr>
        <w:spacing w:after="60"/>
        <w:jc w:val="both"/>
        <w:rPr>
          <w:rFonts w:ascii="Calibri" w:eastAsia="Calibri" w:hAnsi="Calibri" w:cs="Calibri"/>
          <w:sz w:val="20"/>
          <w:szCs w:val="20"/>
        </w:rPr>
      </w:pPr>
      <w:r>
        <w:rPr>
          <w:rFonts w:ascii="Calibri" w:eastAsia="Calibri" w:hAnsi="Calibri" w:cs="Calibri"/>
          <w:b/>
          <w:sz w:val="20"/>
          <w:szCs w:val="20"/>
          <w:u w:val="single"/>
        </w:rPr>
        <w:t>Transfer or disposal of assets</w:t>
      </w:r>
      <w:r>
        <w:rPr>
          <w:rFonts w:ascii="Calibri" w:eastAsia="Calibri" w:hAnsi="Calibri" w:cs="Calibri"/>
          <w:sz w:val="20"/>
          <w:szCs w:val="20"/>
        </w:rPr>
        <w:t xml:space="preserve">: In consultation with the Implementing Partner and other parties of the project, UNDP is responsible for deciding on the transfer or other disposal of assets. Transfer or disposal of assets is recommended to be reviewed and endorsed by the PSC following UNDP rules and regulations. Assets may be transferred to the government for project activities managed by a national institution at any time during the life of a project, however </w:t>
      </w:r>
      <w:r>
        <w:rPr>
          <w:rFonts w:ascii="Calibri" w:eastAsia="Calibri" w:hAnsi="Calibri" w:cs="Calibri"/>
          <w:b/>
          <w:sz w:val="20"/>
          <w:szCs w:val="20"/>
        </w:rPr>
        <w:t>must be done before the operational closure date</w:t>
      </w:r>
      <w:r>
        <w:rPr>
          <w:rFonts w:ascii="Calibri" w:eastAsia="Calibri" w:hAnsi="Calibri" w:cs="Calibri"/>
          <w:sz w:val="20"/>
          <w:szCs w:val="20"/>
        </w:rPr>
        <w:t>. In all cases of transfer, a transfer document must be prepared and kept on file</w:t>
      </w:r>
      <w:r>
        <w:rPr>
          <w:rFonts w:ascii="Calibri" w:eastAsia="Calibri" w:hAnsi="Calibri" w:cs="Calibri"/>
          <w:sz w:val="20"/>
          <w:szCs w:val="20"/>
          <w:vertAlign w:val="superscript"/>
        </w:rPr>
        <w:footnoteReference w:id="8"/>
      </w:r>
      <w:r>
        <w:rPr>
          <w:rFonts w:ascii="Calibri" w:eastAsia="Calibri" w:hAnsi="Calibri" w:cs="Calibri"/>
          <w:sz w:val="20"/>
          <w:szCs w:val="20"/>
        </w:rPr>
        <w:t>. The transfer should be done before Project Management Unit complete their assignments.</w:t>
      </w:r>
    </w:p>
    <w:p w14:paraId="6808FEB0" w14:textId="77777777" w:rsidR="00CF33D9" w:rsidRDefault="00CF33D9">
      <w:pPr>
        <w:jc w:val="both"/>
        <w:rPr>
          <w:rFonts w:ascii="Calibri" w:eastAsia="Calibri" w:hAnsi="Calibri" w:cs="Calibri"/>
          <w:sz w:val="20"/>
          <w:szCs w:val="20"/>
        </w:rPr>
      </w:pPr>
    </w:p>
    <w:p w14:paraId="6808FEB1" w14:textId="77777777" w:rsidR="00CF33D9" w:rsidRDefault="00E3332A">
      <w:pPr>
        <w:jc w:val="both"/>
        <w:rPr>
          <w:rFonts w:ascii="Calibri" w:eastAsia="Calibri" w:hAnsi="Calibri" w:cs="Calibri"/>
          <w:sz w:val="20"/>
          <w:szCs w:val="20"/>
          <w:u w:val="single"/>
        </w:rPr>
      </w:pPr>
      <w:r>
        <w:rPr>
          <w:rFonts w:ascii="Calibri" w:eastAsia="Calibri" w:hAnsi="Calibri" w:cs="Calibri"/>
          <w:b/>
          <w:sz w:val="20"/>
          <w:szCs w:val="20"/>
          <w:u w:val="single"/>
        </w:rPr>
        <w:t xml:space="preserve">Completion Date: </w:t>
      </w:r>
      <w:r>
        <w:rPr>
          <w:rFonts w:ascii="Calibri" w:eastAsia="Calibri" w:hAnsi="Calibri" w:cs="Calibri"/>
          <w:sz w:val="20"/>
          <w:szCs w:val="20"/>
        </w:rPr>
        <w:t xml:space="preserve">The project completion date is the date of Project Document Signature plus project duration. This date can only be extended through a formal extension request. Prior to completion date, all UNDP-financed inputs must be provided and related activities for the Project completed. No activities, except for the final clearance of the Terminal Evaluation Report and the corresponding management response and the end-of-project review PSC Meeting should take place after the Completion Date. </w:t>
      </w:r>
    </w:p>
    <w:p w14:paraId="6808FEB2" w14:textId="77777777" w:rsidR="00CF33D9" w:rsidRDefault="00CF33D9">
      <w:pPr>
        <w:jc w:val="both"/>
        <w:rPr>
          <w:rFonts w:ascii="Calibri" w:eastAsia="Calibri" w:hAnsi="Calibri" w:cs="Calibri"/>
          <w:sz w:val="20"/>
          <w:szCs w:val="20"/>
          <w:u w:val="single"/>
        </w:rPr>
      </w:pPr>
    </w:p>
    <w:p w14:paraId="6808FEB3" w14:textId="77777777" w:rsidR="00CF33D9" w:rsidRDefault="00E3332A">
      <w:pPr>
        <w:jc w:val="both"/>
        <w:rPr>
          <w:rFonts w:ascii="Calibri" w:eastAsia="Calibri" w:hAnsi="Calibri" w:cs="Calibri"/>
          <w:sz w:val="20"/>
          <w:szCs w:val="20"/>
        </w:rPr>
      </w:pPr>
      <w:r>
        <w:rPr>
          <w:rFonts w:ascii="Calibri" w:eastAsia="Calibri" w:hAnsi="Calibri" w:cs="Calibri"/>
          <w:b/>
          <w:sz w:val="20"/>
          <w:szCs w:val="20"/>
          <w:u w:val="single"/>
        </w:rPr>
        <w:t>Project Closure</w:t>
      </w:r>
      <w:r>
        <w:rPr>
          <w:rFonts w:ascii="Calibri" w:eastAsia="Calibri" w:hAnsi="Calibri" w:cs="Calibri"/>
          <w:sz w:val="20"/>
          <w:szCs w:val="20"/>
        </w:rPr>
        <w:t xml:space="preserve">: Project closure will be conducted as per UNDP requirements outlined in the UNDP POPP. All costs incurred to close the project must be included in the project closure budget and reported as final project commitments presented to the PSC during the final project review. The only costs a project may incur following the final project review are those included in the project closure budget. </w:t>
      </w:r>
    </w:p>
    <w:p w14:paraId="6808FEB4" w14:textId="77777777" w:rsidR="00CF33D9" w:rsidRDefault="00CF33D9">
      <w:pPr>
        <w:jc w:val="both"/>
        <w:rPr>
          <w:rFonts w:ascii="Calibri" w:eastAsia="Calibri" w:hAnsi="Calibri" w:cs="Calibri"/>
          <w:sz w:val="20"/>
          <w:szCs w:val="20"/>
        </w:rPr>
      </w:pPr>
    </w:p>
    <w:p w14:paraId="6808FEB5" w14:textId="77777777" w:rsidR="00CF33D9" w:rsidRDefault="00E3332A">
      <w:pPr>
        <w:numPr>
          <w:ilvl w:val="0"/>
          <w:numId w:val="67"/>
        </w:numPr>
        <w:jc w:val="both"/>
        <w:rPr>
          <w:rFonts w:ascii="Calibri" w:eastAsia="Calibri" w:hAnsi="Calibri" w:cs="Calibri"/>
          <w:sz w:val="20"/>
          <w:szCs w:val="20"/>
        </w:rPr>
      </w:pPr>
      <w:r>
        <w:rPr>
          <w:rFonts w:ascii="Calibri" w:eastAsia="Calibri" w:hAnsi="Calibri" w:cs="Calibri"/>
          <w:b/>
          <w:sz w:val="20"/>
          <w:szCs w:val="20"/>
          <w:u w:val="single"/>
        </w:rPr>
        <w:t>Operational Closure</w:t>
      </w:r>
      <w:r>
        <w:rPr>
          <w:rFonts w:ascii="Calibri" w:eastAsia="Calibri" w:hAnsi="Calibri" w:cs="Calibri"/>
          <w:sz w:val="20"/>
          <w:szCs w:val="20"/>
        </w:rPr>
        <w:t xml:space="preserve">: </w:t>
      </w:r>
      <w:r>
        <w:rPr>
          <w:rFonts w:ascii="Calibri" w:eastAsia="Calibri" w:hAnsi="Calibri" w:cs="Calibri"/>
          <w:b/>
          <w:sz w:val="20"/>
          <w:szCs w:val="20"/>
        </w:rPr>
        <w:t xml:space="preserve">Operational closure must happen within 9 months from project completion date. </w:t>
      </w:r>
      <w:r>
        <w:rPr>
          <w:rFonts w:ascii="Calibri" w:eastAsia="Calibri" w:hAnsi="Calibri" w:cs="Calibri"/>
          <w:sz w:val="20"/>
          <w:szCs w:val="20"/>
        </w:rPr>
        <w:t xml:space="preserve">Prior to operational closure, the Terminal Evaluation must have been submitted and the corresponding TE management response and the end-of-project review PSC meeting must have been completed. The Implementing Partner through a PSC decision will notify the UNDP Country Office when operational closure has been completed. Before Operational Closure, the project must have completed the transfer or disposal of any equipment that is still the property of UNDP. </w:t>
      </w:r>
    </w:p>
    <w:p w14:paraId="6808FEB6" w14:textId="77777777" w:rsidR="00CF33D9" w:rsidRDefault="00E3332A">
      <w:pPr>
        <w:numPr>
          <w:ilvl w:val="0"/>
          <w:numId w:val="67"/>
        </w:numPr>
        <w:jc w:val="both"/>
        <w:rPr>
          <w:rFonts w:ascii="Calibri" w:eastAsia="Calibri" w:hAnsi="Calibri" w:cs="Calibri"/>
          <w:sz w:val="20"/>
          <w:szCs w:val="20"/>
        </w:rPr>
      </w:pPr>
      <w:r>
        <w:rPr>
          <w:rFonts w:ascii="Calibri" w:eastAsia="Calibri" w:hAnsi="Calibri" w:cs="Calibri"/>
          <w:b/>
          <w:sz w:val="20"/>
          <w:szCs w:val="20"/>
          <w:u w:val="single"/>
        </w:rPr>
        <w:t>Financial Closure</w:t>
      </w:r>
      <w:r>
        <w:rPr>
          <w:rFonts w:ascii="Calibri" w:eastAsia="Calibri" w:hAnsi="Calibri" w:cs="Calibri"/>
          <w:b/>
          <w:sz w:val="20"/>
          <w:szCs w:val="20"/>
        </w:rPr>
        <w:t>:</w:t>
      </w:r>
      <w:r>
        <w:rPr>
          <w:rFonts w:ascii="Calibri" w:eastAsia="Calibri" w:hAnsi="Calibri" w:cs="Calibri"/>
          <w:sz w:val="20"/>
          <w:szCs w:val="20"/>
        </w:rPr>
        <w:t xml:space="preserve"> </w:t>
      </w:r>
      <w:r>
        <w:rPr>
          <w:rFonts w:ascii="Calibri" w:eastAsia="Calibri" w:hAnsi="Calibri" w:cs="Calibri"/>
          <w:b/>
          <w:sz w:val="20"/>
          <w:szCs w:val="20"/>
        </w:rPr>
        <w:t>Financial closure must happen within 6 months of operational closure or after the date of cancellation.</w:t>
      </w:r>
      <w:r>
        <w:rPr>
          <w:rFonts w:ascii="Calibri" w:eastAsia="Calibri" w:hAnsi="Calibri" w:cs="Calibri"/>
          <w:sz w:val="20"/>
          <w:szCs w:val="20"/>
        </w:rPr>
        <w:t xml:space="preserve"> The project will be financially closed when the following conditions have been met: a) the project is operationally completed or has been cancelled; b) the Implementing Partner has reported all financial transactions to UNDP; c) UNDP has closed the accounts for the project; d) UNDP and the </w:t>
      </w:r>
      <w:r>
        <w:rPr>
          <w:rFonts w:ascii="Calibri" w:eastAsia="Calibri" w:hAnsi="Calibri" w:cs="Calibri"/>
          <w:sz w:val="20"/>
          <w:szCs w:val="20"/>
        </w:rPr>
        <w:lastRenderedPageBreak/>
        <w:t xml:space="preserve">Implementing Partner have certified a final Combined Delivery Report (which serves as final budget revision). </w:t>
      </w:r>
    </w:p>
    <w:p w14:paraId="6808FEB7" w14:textId="77777777" w:rsidR="00CF33D9" w:rsidRDefault="00E3332A">
      <w:pPr>
        <w:ind w:left="720"/>
        <w:rPr>
          <w:rFonts w:ascii="Calibri" w:eastAsia="Calibri" w:hAnsi="Calibri" w:cs="Calibri"/>
          <w:sz w:val="20"/>
          <w:szCs w:val="20"/>
        </w:rPr>
      </w:pPr>
      <w:r>
        <w:rPr>
          <w:rFonts w:ascii="Calibri" w:eastAsia="Calibri" w:hAnsi="Calibri" w:cs="Calibri"/>
          <w:sz w:val="20"/>
          <w:szCs w:val="20"/>
        </w:rPr>
        <w:t xml:space="preserve">Between operational and financial closure, the implementing partner will identify and settle all financial obligations and prepare a final expenditure report. The UNDP Country Office will send the final signed closure documents including confirmation of final cumulative expenditure and unspent balance to BPPS/NCE for confirmation before the project will be financially closed in Quantum by the UNDP Country Office. </w:t>
      </w:r>
    </w:p>
    <w:p w14:paraId="6808FEB8" w14:textId="77777777" w:rsidR="00CF33D9" w:rsidRDefault="00CF33D9">
      <w:pPr>
        <w:jc w:val="both"/>
        <w:rPr>
          <w:rFonts w:ascii="Calibri" w:eastAsia="Calibri" w:hAnsi="Calibri" w:cs="Calibri"/>
          <w:sz w:val="20"/>
          <w:szCs w:val="20"/>
        </w:rPr>
      </w:pPr>
    </w:p>
    <w:p w14:paraId="6808FEB9" w14:textId="77777777" w:rsidR="00CF33D9" w:rsidRDefault="00E3332A">
      <w:pPr>
        <w:jc w:val="both"/>
        <w:rPr>
          <w:rFonts w:ascii="Calibri" w:eastAsia="Calibri" w:hAnsi="Calibri" w:cs="Calibri"/>
          <w:sz w:val="20"/>
          <w:szCs w:val="20"/>
        </w:rPr>
      </w:pPr>
      <w:r>
        <w:rPr>
          <w:rFonts w:ascii="Calibri" w:eastAsia="Calibri" w:hAnsi="Calibri" w:cs="Calibri"/>
          <w:b/>
          <w:sz w:val="20"/>
          <w:szCs w:val="20"/>
          <w:u w:val="single"/>
        </w:rPr>
        <w:t>Cancellation and Suspension:</w:t>
      </w:r>
      <w:r>
        <w:rPr>
          <w:rFonts w:ascii="Calibri" w:eastAsia="Calibri" w:hAnsi="Calibri" w:cs="Calibri"/>
          <w:sz w:val="20"/>
          <w:szCs w:val="20"/>
        </w:rPr>
        <w:t xml:space="preserve"> All projects considering going through cancellation or suspension must follow UNDP and GEF requirements. Guidance can be found in the UNDP POPP (</w:t>
      </w:r>
      <w:hyperlink r:id="rId37">
        <w:r>
          <w:rPr>
            <w:rFonts w:ascii="Calibri" w:eastAsia="Calibri" w:hAnsi="Calibri" w:cs="Calibri"/>
            <w:color w:val="0000FF"/>
            <w:sz w:val="20"/>
            <w:szCs w:val="20"/>
            <w:u w:val="single"/>
          </w:rPr>
          <w:t>SOPs for management actions of Vertical Fund projects escalated to the Executive Coordinator</w:t>
        </w:r>
      </w:hyperlink>
      <w:r>
        <w:rPr>
          <w:rFonts w:ascii="Calibri" w:eastAsia="Calibri" w:hAnsi="Calibri" w:cs="Calibri"/>
          <w:sz w:val="20"/>
          <w:szCs w:val="20"/>
        </w:rPr>
        <w:t xml:space="preserve"> and </w:t>
      </w:r>
      <w:hyperlink r:id="rId38">
        <w:r>
          <w:rPr>
            <w:rFonts w:ascii="Calibri" w:eastAsia="Calibri" w:hAnsi="Calibri" w:cs="Calibri"/>
            <w:color w:val="0000FF"/>
            <w:sz w:val="20"/>
            <w:szCs w:val="20"/>
            <w:u w:val="single"/>
          </w:rPr>
          <w:t>Guidance for GEF project revisions</w:t>
        </w:r>
      </w:hyperlink>
      <w:r>
        <w:rPr>
          <w:rFonts w:ascii="Calibri" w:eastAsia="Calibri" w:hAnsi="Calibri" w:cs="Calibri"/>
          <w:sz w:val="20"/>
          <w:szCs w:val="20"/>
        </w:rPr>
        <w:t xml:space="preserve">). </w:t>
      </w:r>
    </w:p>
    <w:p w14:paraId="6808FEBA" w14:textId="77777777" w:rsidR="00CF33D9" w:rsidRDefault="00CF33D9">
      <w:pPr>
        <w:jc w:val="both"/>
        <w:rPr>
          <w:rFonts w:ascii="Calibri" w:eastAsia="Calibri" w:hAnsi="Calibri" w:cs="Calibri"/>
          <w:sz w:val="20"/>
          <w:szCs w:val="20"/>
        </w:rPr>
      </w:pPr>
    </w:p>
    <w:p w14:paraId="6808FEBB" w14:textId="77777777" w:rsidR="00CF33D9" w:rsidRDefault="00E3332A">
      <w:pPr>
        <w:jc w:val="both"/>
        <w:rPr>
          <w:rFonts w:ascii="Calibri" w:eastAsia="Calibri" w:hAnsi="Calibri" w:cs="Calibri"/>
          <w:sz w:val="20"/>
          <w:szCs w:val="20"/>
        </w:rPr>
      </w:pPr>
      <w:r>
        <w:rPr>
          <w:rFonts w:ascii="Calibri" w:eastAsia="Calibri" w:hAnsi="Calibri" w:cs="Calibri"/>
          <w:b/>
          <w:sz w:val="20"/>
          <w:szCs w:val="20"/>
          <w:u w:val="single"/>
        </w:rPr>
        <w:t>Refund to GEF:</w:t>
      </w:r>
      <w:r>
        <w:rPr>
          <w:rFonts w:ascii="Calibri" w:eastAsia="Calibri" w:hAnsi="Calibri" w:cs="Calibri"/>
          <w:sz w:val="20"/>
          <w:szCs w:val="20"/>
        </w:rPr>
        <w:t xml:space="preserve"> Should a refund of unspent funds to the GEF be necessary, this will be managed directly by the BPPS/NCE team Directorate in New York. No action is required by the UNDP Country Office on the actual refund from UNDP project to the GEF. Unspent project balance is not permitted to be transferred to any other projects. </w:t>
      </w:r>
    </w:p>
    <w:p w14:paraId="6808FEBC" w14:textId="77777777" w:rsidR="00CF33D9" w:rsidRDefault="00CF33D9">
      <w:pPr>
        <w:jc w:val="both"/>
        <w:rPr>
          <w:rFonts w:ascii="Calibri" w:eastAsia="Calibri" w:hAnsi="Calibri" w:cs="Calibri"/>
          <w:sz w:val="20"/>
          <w:szCs w:val="20"/>
        </w:rPr>
        <w:sectPr w:rsidR="00CF33D9">
          <w:pgSz w:w="12240" w:h="15840"/>
          <w:pgMar w:top="1440" w:right="1440" w:bottom="1440" w:left="1440" w:header="720" w:footer="432" w:gutter="0"/>
          <w:cols w:space="720"/>
          <w:titlePg/>
        </w:sectPr>
      </w:pPr>
    </w:p>
    <w:p w14:paraId="6808FEBD" w14:textId="77777777" w:rsidR="00CF33D9" w:rsidRDefault="00E3332A">
      <w:pPr>
        <w:pStyle w:val="Heading1"/>
        <w:rPr>
          <w:rFonts w:ascii="Calibri" w:hAnsi="Calibri" w:cs="Calibri"/>
          <w:sz w:val="20"/>
          <w:szCs w:val="20"/>
        </w:rPr>
      </w:pPr>
      <w:bookmarkStart w:id="27" w:name="_Toc169739166"/>
      <w:r>
        <w:rPr>
          <w:rFonts w:ascii="Calibri" w:hAnsi="Calibri" w:cs="Calibri"/>
          <w:sz w:val="20"/>
          <w:szCs w:val="20"/>
        </w:rPr>
        <w:lastRenderedPageBreak/>
        <w:t>IX</w:t>
      </w:r>
      <w:r>
        <w:rPr>
          <w:rFonts w:ascii="Calibri" w:hAnsi="Calibri" w:cs="Calibri"/>
          <w:sz w:val="20"/>
          <w:szCs w:val="20"/>
        </w:rPr>
        <w:tab/>
        <w:t>Total Budget and Work Plan</w:t>
      </w:r>
      <w:bookmarkEnd w:id="27"/>
    </w:p>
    <w:p w14:paraId="6808FEBE" w14:textId="77777777" w:rsidR="00CF33D9" w:rsidRDefault="00CF33D9">
      <w:pPr>
        <w:spacing w:after="60"/>
        <w:jc w:val="both"/>
        <w:rPr>
          <w:rFonts w:ascii="Calibri" w:eastAsia="Calibri" w:hAnsi="Calibri" w:cs="Calibri"/>
          <w:i/>
          <w:sz w:val="20"/>
          <w:szCs w:val="20"/>
        </w:rPr>
      </w:pPr>
    </w:p>
    <w:tbl>
      <w:tblPr>
        <w:tblStyle w:val="Style266"/>
        <w:tblW w:w="14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08"/>
        <w:gridCol w:w="2199"/>
        <w:gridCol w:w="1980"/>
        <w:gridCol w:w="7103"/>
      </w:tblGrid>
      <w:tr w:rsidR="00CF33D9" w14:paraId="6808FEC0" w14:textId="77777777">
        <w:trPr>
          <w:cantSplit/>
          <w:trHeight w:val="280"/>
        </w:trPr>
        <w:tc>
          <w:tcPr>
            <w:tcW w:w="14390" w:type="dxa"/>
            <w:gridSpan w:val="4"/>
            <w:shd w:val="clear" w:color="auto" w:fill="D9D9D9"/>
            <w:vAlign w:val="bottom"/>
          </w:tcPr>
          <w:p w14:paraId="6808FEBF" w14:textId="77777777" w:rsidR="00CF33D9" w:rsidRDefault="00E3332A">
            <w:pPr>
              <w:spacing w:after="60"/>
              <w:jc w:val="both"/>
              <w:rPr>
                <w:rFonts w:eastAsia="Calibri"/>
                <w:b/>
                <w:sz w:val="20"/>
                <w:szCs w:val="20"/>
              </w:rPr>
            </w:pPr>
            <w:r>
              <w:rPr>
                <w:rFonts w:eastAsia="Calibri"/>
                <w:b/>
                <w:sz w:val="20"/>
                <w:szCs w:val="20"/>
              </w:rPr>
              <w:t>Total Budget and Work Plan</w:t>
            </w:r>
          </w:p>
        </w:tc>
      </w:tr>
      <w:tr w:rsidR="00CF33D9" w14:paraId="6808FEC3" w14:textId="77777777">
        <w:trPr>
          <w:cantSplit/>
          <w:trHeight w:val="280"/>
        </w:trPr>
        <w:tc>
          <w:tcPr>
            <w:tcW w:w="3108" w:type="dxa"/>
            <w:shd w:val="clear" w:color="auto" w:fill="auto"/>
            <w:vAlign w:val="center"/>
          </w:tcPr>
          <w:p w14:paraId="6808FEC1" w14:textId="77777777" w:rsidR="00CF33D9" w:rsidRDefault="00E3332A">
            <w:pPr>
              <w:spacing w:after="60"/>
              <w:jc w:val="both"/>
              <w:rPr>
                <w:rFonts w:eastAsia="Calibri"/>
                <w:color w:val="000000"/>
                <w:sz w:val="20"/>
                <w:szCs w:val="20"/>
              </w:rPr>
            </w:pPr>
            <w:r>
              <w:rPr>
                <w:rFonts w:eastAsia="Calibri"/>
                <w:color w:val="000000"/>
                <w:sz w:val="20"/>
                <w:szCs w:val="20"/>
              </w:rPr>
              <w:t>Quantum Business Unit</w:t>
            </w:r>
          </w:p>
        </w:tc>
        <w:tc>
          <w:tcPr>
            <w:tcW w:w="11282" w:type="dxa"/>
            <w:gridSpan w:val="3"/>
            <w:shd w:val="clear" w:color="auto" w:fill="auto"/>
            <w:vAlign w:val="center"/>
          </w:tcPr>
          <w:p w14:paraId="6808FEC2" w14:textId="77777777" w:rsidR="00CF33D9" w:rsidRDefault="00E3332A">
            <w:pPr>
              <w:spacing w:after="60"/>
              <w:jc w:val="both"/>
              <w:rPr>
                <w:rFonts w:eastAsia="Calibri"/>
                <w:i/>
                <w:sz w:val="20"/>
                <w:szCs w:val="20"/>
              </w:rPr>
            </w:pPr>
            <w:r>
              <w:rPr>
                <w:rFonts w:eastAsia="Calibri"/>
                <w:color w:val="000000"/>
                <w:sz w:val="20"/>
                <w:szCs w:val="20"/>
              </w:rPr>
              <w:t>UN-NAM10</w:t>
            </w:r>
          </w:p>
        </w:tc>
      </w:tr>
      <w:tr w:rsidR="00CF33D9" w14:paraId="6808FEC8" w14:textId="77777777">
        <w:trPr>
          <w:cantSplit/>
          <w:trHeight w:val="280"/>
        </w:trPr>
        <w:tc>
          <w:tcPr>
            <w:tcW w:w="3108" w:type="dxa"/>
            <w:shd w:val="clear" w:color="auto" w:fill="auto"/>
            <w:vAlign w:val="bottom"/>
          </w:tcPr>
          <w:p w14:paraId="6808FEC4" w14:textId="77777777" w:rsidR="00CF33D9" w:rsidRDefault="00E3332A">
            <w:pPr>
              <w:spacing w:after="60"/>
              <w:jc w:val="both"/>
              <w:rPr>
                <w:rFonts w:eastAsia="Calibri"/>
                <w:b/>
                <w:sz w:val="20"/>
                <w:szCs w:val="20"/>
              </w:rPr>
            </w:pPr>
            <w:r>
              <w:rPr>
                <w:rFonts w:eastAsia="Calibri"/>
                <w:color w:val="000000"/>
                <w:sz w:val="20"/>
                <w:szCs w:val="20"/>
              </w:rPr>
              <w:t xml:space="preserve">Quantum Project ID: </w:t>
            </w:r>
          </w:p>
        </w:tc>
        <w:tc>
          <w:tcPr>
            <w:tcW w:w="2199" w:type="dxa"/>
            <w:shd w:val="clear" w:color="auto" w:fill="auto"/>
            <w:vAlign w:val="bottom"/>
          </w:tcPr>
          <w:p w14:paraId="6808FEC5" w14:textId="77777777" w:rsidR="00CF33D9" w:rsidRDefault="00E3332A">
            <w:pPr>
              <w:spacing w:after="60"/>
              <w:jc w:val="both"/>
              <w:rPr>
                <w:rFonts w:eastAsia="Calibri"/>
                <w:sz w:val="20"/>
                <w:szCs w:val="20"/>
              </w:rPr>
            </w:pPr>
            <w:r>
              <w:rPr>
                <w:rFonts w:eastAsia="Calibri"/>
                <w:sz w:val="20"/>
                <w:szCs w:val="20"/>
              </w:rPr>
              <w:t>01002649</w:t>
            </w:r>
          </w:p>
        </w:tc>
        <w:tc>
          <w:tcPr>
            <w:tcW w:w="1980" w:type="dxa"/>
            <w:shd w:val="clear" w:color="auto" w:fill="auto"/>
            <w:vAlign w:val="center"/>
          </w:tcPr>
          <w:p w14:paraId="6808FEC6" w14:textId="77777777" w:rsidR="00CF33D9" w:rsidRDefault="00E3332A">
            <w:pPr>
              <w:spacing w:after="60"/>
              <w:jc w:val="both"/>
              <w:rPr>
                <w:rFonts w:eastAsia="Calibri"/>
                <w:color w:val="000000"/>
                <w:sz w:val="20"/>
                <w:szCs w:val="20"/>
              </w:rPr>
            </w:pPr>
            <w:r>
              <w:rPr>
                <w:rFonts w:eastAsia="Calibri"/>
                <w:color w:val="000000"/>
                <w:sz w:val="20"/>
                <w:szCs w:val="20"/>
              </w:rPr>
              <w:t>Quantum Project Title:</w:t>
            </w:r>
          </w:p>
        </w:tc>
        <w:tc>
          <w:tcPr>
            <w:tcW w:w="7103" w:type="dxa"/>
            <w:shd w:val="clear" w:color="auto" w:fill="auto"/>
            <w:vAlign w:val="bottom"/>
          </w:tcPr>
          <w:p w14:paraId="6808FEC7" w14:textId="77777777" w:rsidR="00CF33D9" w:rsidRDefault="00E3332A">
            <w:pPr>
              <w:spacing w:after="60"/>
              <w:jc w:val="both"/>
              <w:rPr>
                <w:rFonts w:eastAsia="Calibri"/>
                <w:sz w:val="20"/>
                <w:szCs w:val="20"/>
              </w:rPr>
            </w:pPr>
            <w:r>
              <w:rPr>
                <w:rFonts w:eastAsia="Calibri"/>
                <w:sz w:val="20"/>
                <w:szCs w:val="20"/>
              </w:rPr>
              <w:t>Mainstreaming Climate-Resilient Blue Economy in the BCLME Region (BCLME IV Project)</w:t>
            </w:r>
          </w:p>
        </w:tc>
      </w:tr>
      <w:tr w:rsidR="00CF33D9" w14:paraId="6808FECD" w14:textId="77777777">
        <w:trPr>
          <w:cantSplit/>
          <w:trHeight w:val="212"/>
        </w:trPr>
        <w:tc>
          <w:tcPr>
            <w:tcW w:w="3108" w:type="dxa"/>
            <w:shd w:val="clear" w:color="auto" w:fill="auto"/>
            <w:vAlign w:val="bottom"/>
          </w:tcPr>
          <w:p w14:paraId="6808FEC9" w14:textId="77777777" w:rsidR="00CF33D9" w:rsidRDefault="00E3332A">
            <w:pPr>
              <w:spacing w:after="60"/>
              <w:jc w:val="both"/>
              <w:rPr>
                <w:rFonts w:eastAsia="Calibri"/>
                <w:color w:val="000000"/>
                <w:sz w:val="20"/>
                <w:szCs w:val="20"/>
              </w:rPr>
            </w:pPr>
            <w:r>
              <w:rPr>
                <w:rFonts w:eastAsia="Calibri"/>
                <w:color w:val="000000"/>
                <w:sz w:val="20"/>
                <w:szCs w:val="20"/>
              </w:rPr>
              <w:t>Quantum Award ID:</w:t>
            </w:r>
          </w:p>
        </w:tc>
        <w:tc>
          <w:tcPr>
            <w:tcW w:w="2199" w:type="dxa"/>
            <w:shd w:val="clear" w:color="auto" w:fill="auto"/>
            <w:vAlign w:val="bottom"/>
          </w:tcPr>
          <w:p w14:paraId="6808FECA" w14:textId="77777777" w:rsidR="00CF33D9" w:rsidRDefault="00E3332A">
            <w:pPr>
              <w:spacing w:after="60"/>
              <w:jc w:val="both"/>
              <w:rPr>
                <w:rFonts w:eastAsia="Calibri"/>
                <w:sz w:val="20"/>
                <w:szCs w:val="20"/>
              </w:rPr>
            </w:pPr>
            <w:r>
              <w:rPr>
                <w:rFonts w:eastAsia="Calibri"/>
                <w:sz w:val="20"/>
                <w:szCs w:val="20"/>
              </w:rPr>
              <w:t>1268924</w:t>
            </w:r>
          </w:p>
        </w:tc>
        <w:tc>
          <w:tcPr>
            <w:tcW w:w="1980" w:type="dxa"/>
            <w:shd w:val="clear" w:color="auto" w:fill="auto"/>
            <w:vAlign w:val="center"/>
          </w:tcPr>
          <w:p w14:paraId="6808FECB" w14:textId="77777777" w:rsidR="00CF33D9" w:rsidRDefault="00E3332A">
            <w:pPr>
              <w:spacing w:after="60"/>
              <w:jc w:val="both"/>
              <w:rPr>
                <w:rFonts w:eastAsia="Calibri"/>
                <w:color w:val="000000"/>
                <w:sz w:val="20"/>
                <w:szCs w:val="20"/>
              </w:rPr>
            </w:pPr>
            <w:r>
              <w:rPr>
                <w:rFonts w:eastAsia="Calibri"/>
                <w:color w:val="000000"/>
                <w:sz w:val="20"/>
                <w:szCs w:val="20"/>
              </w:rPr>
              <w:t>Quantum Award Title:</w:t>
            </w:r>
          </w:p>
        </w:tc>
        <w:tc>
          <w:tcPr>
            <w:tcW w:w="7103" w:type="dxa"/>
            <w:shd w:val="clear" w:color="auto" w:fill="auto"/>
            <w:vAlign w:val="bottom"/>
          </w:tcPr>
          <w:p w14:paraId="6808FECC" w14:textId="77777777" w:rsidR="00CF33D9" w:rsidRDefault="00E3332A">
            <w:pPr>
              <w:spacing w:after="60"/>
              <w:jc w:val="both"/>
              <w:rPr>
                <w:rFonts w:eastAsia="Calibri"/>
                <w:i/>
                <w:sz w:val="20"/>
                <w:szCs w:val="20"/>
              </w:rPr>
            </w:pPr>
            <w:r>
              <w:rPr>
                <w:rFonts w:eastAsia="Calibri"/>
                <w:i/>
                <w:sz w:val="20"/>
                <w:szCs w:val="20"/>
              </w:rPr>
              <w:t>As in Quantum</w:t>
            </w:r>
          </w:p>
        </w:tc>
      </w:tr>
      <w:tr w:rsidR="00CF33D9" w14:paraId="6808FED0" w14:textId="77777777">
        <w:trPr>
          <w:trHeight w:val="280"/>
        </w:trPr>
        <w:tc>
          <w:tcPr>
            <w:tcW w:w="3108" w:type="dxa"/>
            <w:tcBorders>
              <w:top w:val="nil"/>
              <w:left w:val="single" w:sz="4" w:space="0" w:color="000000"/>
              <w:bottom w:val="single" w:sz="4" w:space="0" w:color="000000"/>
              <w:right w:val="single" w:sz="4" w:space="0" w:color="000000"/>
            </w:tcBorders>
            <w:shd w:val="clear" w:color="auto" w:fill="auto"/>
            <w:vAlign w:val="center"/>
          </w:tcPr>
          <w:p w14:paraId="6808FECE" w14:textId="77777777" w:rsidR="00CF33D9" w:rsidRDefault="00E3332A">
            <w:pPr>
              <w:spacing w:after="60"/>
              <w:jc w:val="both"/>
              <w:rPr>
                <w:rFonts w:eastAsia="Calibri"/>
                <w:color w:val="000000"/>
                <w:sz w:val="20"/>
                <w:szCs w:val="20"/>
              </w:rPr>
            </w:pPr>
            <w:r>
              <w:rPr>
                <w:rFonts w:eastAsia="Calibri"/>
                <w:color w:val="000000"/>
                <w:sz w:val="20"/>
                <w:szCs w:val="20"/>
              </w:rPr>
              <w:t xml:space="preserve">UNDP-GEF PIMS No. </w:t>
            </w:r>
          </w:p>
        </w:tc>
        <w:tc>
          <w:tcPr>
            <w:tcW w:w="11282" w:type="dxa"/>
            <w:gridSpan w:val="3"/>
            <w:tcBorders>
              <w:top w:val="single" w:sz="4" w:space="0" w:color="000000"/>
              <w:left w:val="nil"/>
              <w:bottom w:val="single" w:sz="4" w:space="0" w:color="000000"/>
              <w:right w:val="single" w:sz="4" w:space="0" w:color="000000"/>
            </w:tcBorders>
            <w:shd w:val="clear" w:color="auto" w:fill="auto"/>
            <w:vAlign w:val="center"/>
          </w:tcPr>
          <w:p w14:paraId="6808FECF" w14:textId="77777777" w:rsidR="00CF33D9" w:rsidRDefault="00E3332A">
            <w:pPr>
              <w:spacing w:after="60"/>
              <w:jc w:val="both"/>
              <w:rPr>
                <w:rFonts w:eastAsia="Calibri"/>
                <w:color w:val="000000"/>
                <w:sz w:val="20"/>
                <w:szCs w:val="20"/>
              </w:rPr>
            </w:pPr>
            <w:r>
              <w:rPr>
                <w:rFonts w:eastAsia="Calibri"/>
                <w:color w:val="000000"/>
                <w:sz w:val="20"/>
                <w:szCs w:val="20"/>
              </w:rPr>
              <w:t>6732</w:t>
            </w:r>
          </w:p>
        </w:tc>
      </w:tr>
      <w:tr w:rsidR="00CF33D9" w14:paraId="6808FED3" w14:textId="77777777">
        <w:trPr>
          <w:trHeight w:val="280"/>
        </w:trPr>
        <w:tc>
          <w:tcPr>
            <w:tcW w:w="3108" w:type="dxa"/>
            <w:tcBorders>
              <w:top w:val="nil"/>
              <w:left w:val="single" w:sz="4" w:space="0" w:color="000000"/>
              <w:bottom w:val="single" w:sz="4" w:space="0" w:color="000000"/>
              <w:right w:val="single" w:sz="4" w:space="0" w:color="000000"/>
            </w:tcBorders>
            <w:shd w:val="clear" w:color="auto" w:fill="auto"/>
            <w:vAlign w:val="center"/>
          </w:tcPr>
          <w:p w14:paraId="6808FED1" w14:textId="77777777" w:rsidR="00CF33D9" w:rsidRDefault="00E3332A">
            <w:pPr>
              <w:spacing w:after="60"/>
              <w:jc w:val="both"/>
              <w:rPr>
                <w:rFonts w:eastAsia="Calibri"/>
                <w:color w:val="000000"/>
                <w:sz w:val="20"/>
                <w:szCs w:val="20"/>
              </w:rPr>
            </w:pPr>
            <w:r>
              <w:rPr>
                <w:rFonts w:eastAsia="Calibri"/>
                <w:color w:val="000000"/>
                <w:sz w:val="20"/>
                <w:szCs w:val="20"/>
              </w:rPr>
              <w:t xml:space="preserve">Implementing Partner </w:t>
            </w:r>
          </w:p>
        </w:tc>
        <w:tc>
          <w:tcPr>
            <w:tcW w:w="11282" w:type="dxa"/>
            <w:gridSpan w:val="3"/>
            <w:tcBorders>
              <w:top w:val="single" w:sz="4" w:space="0" w:color="000000"/>
              <w:left w:val="nil"/>
              <w:bottom w:val="single" w:sz="4" w:space="0" w:color="000000"/>
              <w:right w:val="single" w:sz="4" w:space="0" w:color="000000"/>
            </w:tcBorders>
            <w:shd w:val="clear" w:color="auto" w:fill="auto"/>
            <w:vAlign w:val="center"/>
          </w:tcPr>
          <w:p w14:paraId="6808FED2" w14:textId="77777777" w:rsidR="00CF33D9" w:rsidRDefault="00E3332A">
            <w:pPr>
              <w:spacing w:after="60"/>
              <w:jc w:val="both"/>
              <w:rPr>
                <w:rFonts w:eastAsia="Calibri"/>
                <w:iCs/>
                <w:color w:val="000000"/>
                <w:sz w:val="20"/>
                <w:szCs w:val="20"/>
              </w:rPr>
            </w:pPr>
            <w:r>
              <w:rPr>
                <w:rFonts w:eastAsia="Calibri"/>
                <w:iCs/>
                <w:color w:val="000000"/>
                <w:sz w:val="20"/>
                <w:szCs w:val="20"/>
              </w:rPr>
              <w:t>Benguela Current Commission</w:t>
            </w:r>
          </w:p>
        </w:tc>
      </w:tr>
    </w:tbl>
    <w:p w14:paraId="6808FED4" w14:textId="77777777" w:rsidR="00CF33D9" w:rsidRDefault="00CF33D9">
      <w:pPr>
        <w:spacing w:after="60"/>
        <w:jc w:val="both"/>
        <w:rPr>
          <w:rFonts w:ascii="Calibri" w:eastAsia="Calibri" w:hAnsi="Calibri" w:cs="Calibri"/>
          <w:sz w:val="20"/>
          <w:szCs w:val="20"/>
        </w:rPr>
      </w:pPr>
    </w:p>
    <w:p w14:paraId="3F88B375" w14:textId="77777777" w:rsidR="007A7FA3" w:rsidRDefault="007A7FA3">
      <w:pPr>
        <w:spacing w:after="60"/>
        <w:jc w:val="both"/>
        <w:rPr>
          <w:rFonts w:ascii="Calibri" w:eastAsia="Calibri" w:hAnsi="Calibri" w:cs="Calibri"/>
          <w:sz w:val="20"/>
          <w:szCs w:val="20"/>
        </w:rPr>
      </w:pPr>
    </w:p>
    <w:p w14:paraId="6D9900C3" w14:textId="77777777" w:rsidR="007A7FA3" w:rsidRDefault="007A7FA3">
      <w:pPr>
        <w:spacing w:after="60"/>
        <w:jc w:val="both"/>
        <w:rPr>
          <w:rFonts w:ascii="Calibri" w:eastAsia="Calibri" w:hAnsi="Calibri" w:cs="Calibri"/>
          <w:sz w:val="20"/>
          <w:szCs w:val="20"/>
        </w:rPr>
      </w:pPr>
    </w:p>
    <w:p w14:paraId="3B6747AA" w14:textId="77777777" w:rsidR="007A7FA3" w:rsidRDefault="007A7FA3">
      <w:pPr>
        <w:spacing w:after="60"/>
        <w:jc w:val="both"/>
        <w:rPr>
          <w:rFonts w:ascii="Calibri" w:eastAsia="Calibri" w:hAnsi="Calibri" w:cs="Calibri"/>
          <w:sz w:val="20"/>
          <w:szCs w:val="20"/>
        </w:rPr>
      </w:pPr>
    </w:p>
    <w:p w14:paraId="7568A7F2" w14:textId="77777777" w:rsidR="007A7FA3" w:rsidRDefault="007A7FA3">
      <w:pPr>
        <w:spacing w:after="60"/>
        <w:jc w:val="both"/>
        <w:rPr>
          <w:rFonts w:ascii="Calibri" w:eastAsia="Calibri" w:hAnsi="Calibri" w:cs="Calibri"/>
          <w:sz w:val="20"/>
          <w:szCs w:val="20"/>
        </w:rPr>
      </w:pPr>
    </w:p>
    <w:tbl>
      <w:tblPr>
        <w:tblW w:w="13951" w:type="dxa"/>
        <w:tblLook w:val="04A0" w:firstRow="1" w:lastRow="0" w:firstColumn="1" w:lastColumn="0" w:noHBand="0" w:noVBand="1"/>
      </w:tblPr>
      <w:tblGrid>
        <w:gridCol w:w="1021"/>
        <w:gridCol w:w="995"/>
        <w:gridCol w:w="2055"/>
        <w:gridCol w:w="773"/>
        <w:gridCol w:w="655"/>
        <w:gridCol w:w="655"/>
        <w:gridCol w:w="692"/>
        <w:gridCol w:w="1479"/>
        <w:gridCol w:w="659"/>
        <w:gridCol w:w="761"/>
        <w:gridCol w:w="781"/>
        <w:gridCol w:w="816"/>
        <w:gridCol w:w="788"/>
        <w:gridCol w:w="782"/>
        <w:gridCol w:w="923"/>
        <w:gridCol w:w="545"/>
      </w:tblGrid>
      <w:tr w:rsidR="007A7FA3" w:rsidRPr="007A7FA3" w14:paraId="60BD7459" w14:textId="77777777" w:rsidTr="007A7FA3">
        <w:trPr>
          <w:trHeight w:val="1450"/>
        </w:trPr>
        <w:tc>
          <w:tcPr>
            <w:tcW w:w="1086" w:type="dxa"/>
            <w:tcBorders>
              <w:top w:val="single" w:sz="8" w:space="0" w:color="auto"/>
              <w:left w:val="single" w:sz="8" w:space="0" w:color="auto"/>
              <w:bottom w:val="single" w:sz="8" w:space="0" w:color="000000"/>
              <w:right w:val="single" w:sz="4" w:space="0" w:color="000000"/>
            </w:tcBorders>
            <w:shd w:val="clear" w:color="auto" w:fill="auto"/>
            <w:vAlign w:val="center"/>
            <w:hideMark/>
          </w:tcPr>
          <w:p w14:paraId="0C8C8FF5" w14:textId="77777777" w:rsidR="007A7FA3" w:rsidRPr="007A7FA3" w:rsidRDefault="007A7FA3" w:rsidP="007A7FA3">
            <w:pPr>
              <w:jc w:val="center"/>
              <w:rPr>
                <w:rFonts w:ascii="Calibri" w:hAnsi="Calibri" w:cs="Calibri"/>
                <w:b/>
                <w:bCs/>
                <w:color w:val="000000"/>
                <w:sz w:val="12"/>
                <w:szCs w:val="12"/>
              </w:rPr>
            </w:pPr>
            <w:r w:rsidRPr="007A7FA3">
              <w:rPr>
                <w:rFonts w:ascii="Calibri" w:hAnsi="Calibri" w:cs="Calibri"/>
                <w:b/>
                <w:bCs/>
                <w:color w:val="000000"/>
                <w:sz w:val="12"/>
                <w:szCs w:val="12"/>
              </w:rPr>
              <w:t>Quantum Outcome</w:t>
            </w:r>
            <w:r w:rsidRPr="007A7FA3">
              <w:rPr>
                <w:rFonts w:ascii="Calibri" w:hAnsi="Calibri" w:cs="Calibri"/>
                <w:b/>
                <w:bCs/>
                <w:color w:val="000000"/>
                <w:sz w:val="12"/>
                <w:szCs w:val="12"/>
              </w:rPr>
              <w:br/>
              <w:t>(GEF Component)</w:t>
            </w:r>
          </w:p>
        </w:tc>
        <w:tc>
          <w:tcPr>
            <w:tcW w:w="871" w:type="dxa"/>
            <w:tcBorders>
              <w:top w:val="single" w:sz="8" w:space="0" w:color="auto"/>
              <w:left w:val="nil"/>
              <w:bottom w:val="nil"/>
              <w:right w:val="single" w:sz="4" w:space="0" w:color="000000"/>
            </w:tcBorders>
            <w:shd w:val="clear" w:color="FFFF00" w:fill="FFFF00"/>
            <w:vAlign w:val="center"/>
            <w:hideMark/>
          </w:tcPr>
          <w:p w14:paraId="077B6FC4" w14:textId="77777777" w:rsidR="007A7FA3" w:rsidRPr="007A7FA3" w:rsidRDefault="007A7FA3" w:rsidP="007A7FA3">
            <w:pPr>
              <w:jc w:val="center"/>
              <w:rPr>
                <w:rFonts w:ascii="Calibri" w:hAnsi="Calibri" w:cs="Calibri"/>
                <w:b/>
                <w:bCs/>
                <w:color w:val="000000"/>
                <w:sz w:val="12"/>
                <w:szCs w:val="12"/>
              </w:rPr>
            </w:pPr>
            <w:r w:rsidRPr="007A7FA3">
              <w:rPr>
                <w:rFonts w:ascii="Calibri" w:hAnsi="Calibri" w:cs="Calibri"/>
                <w:b/>
                <w:bCs/>
                <w:color w:val="000000"/>
                <w:sz w:val="12"/>
                <w:szCs w:val="12"/>
              </w:rPr>
              <w:t>Quantum Output</w:t>
            </w:r>
            <w:r w:rsidRPr="007A7FA3">
              <w:rPr>
                <w:rFonts w:ascii="Calibri" w:hAnsi="Calibri" w:cs="Calibri"/>
                <w:b/>
                <w:bCs/>
                <w:color w:val="000000"/>
                <w:sz w:val="12"/>
                <w:szCs w:val="12"/>
              </w:rPr>
              <w:br/>
              <w:t>(GEF Outcome)</w:t>
            </w:r>
          </w:p>
        </w:tc>
        <w:tc>
          <w:tcPr>
            <w:tcW w:w="2016" w:type="dxa"/>
            <w:tcBorders>
              <w:top w:val="single" w:sz="8" w:space="0" w:color="auto"/>
              <w:left w:val="nil"/>
              <w:bottom w:val="single" w:sz="8" w:space="0" w:color="000000"/>
              <w:right w:val="single" w:sz="4" w:space="0" w:color="000000"/>
            </w:tcBorders>
            <w:shd w:val="clear" w:color="auto" w:fill="auto"/>
            <w:vAlign w:val="center"/>
            <w:hideMark/>
          </w:tcPr>
          <w:p w14:paraId="257B69CD" w14:textId="77777777" w:rsidR="007A7FA3" w:rsidRPr="007A7FA3" w:rsidRDefault="007A7FA3" w:rsidP="007A7FA3">
            <w:pPr>
              <w:rPr>
                <w:rFonts w:ascii="Calibri" w:hAnsi="Calibri" w:cs="Calibri"/>
                <w:b/>
                <w:bCs/>
                <w:color w:val="000000"/>
                <w:sz w:val="12"/>
                <w:szCs w:val="12"/>
              </w:rPr>
            </w:pPr>
            <w:r w:rsidRPr="007A7FA3">
              <w:rPr>
                <w:rFonts w:ascii="Calibri" w:hAnsi="Calibri" w:cs="Calibri"/>
                <w:b/>
                <w:bCs/>
                <w:color w:val="000000"/>
                <w:sz w:val="12"/>
                <w:szCs w:val="12"/>
              </w:rPr>
              <w:t>Quantum Activity</w:t>
            </w:r>
            <w:r w:rsidRPr="007A7FA3">
              <w:rPr>
                <w:rFonts w:ascii="Calibri" w:hAnsi="Calibri" w:cs="Calibri"/>
                <w:b/>
                <w:bCs/>
                <w:color w:val="000000"/>
                <w:sz w:val="12"/>
                <w:szCs w:val="12"/>
              </w:rPr>
              <w:br/>
              <w:t>(GEF Output)</w:t>
            </w:r>
          </w:p>
        </w:tc>
        <w:tc>
          <w:tcPr>
            <w:tcW w:w="631" w:type="dxa"/>
            <w:tcBorders>
              <w:top w:val="single" w:sz="8" w:space="0" w:color="auto"/>
              <w:left w:val="nil"/>
              <w:bottom w:val="single" w:sz="8" w:space="0" w:color="000000"/>
              <w:right w:val="single" w:sz="4" w:space="0" w:color="000000"/>
            </w:tcBorders>
            <w:shd w:val="clear" w:color="auto" w:fill="auto"/>
            <w:vAlign w:val="center"/>
            <w:hideMark/>
          </w:tcPr>
          <w:p w14:paraId="0A96AEC6" w14:textId="77777777" w:rsidR="007A7FA3" w:rsidRPr="007A7FA3" w:rsidRDefault="007A7FA3" w:rsidP="007A7FA3">
            <w:pPr>
              <w:jc w:val="center"/>
              <w:rPr>
                <w:rFonts w:ascii="Calibri" w:hAnsi="Calibri" w:cs="Calibri"/>
                <w:b/>
                <w:bCs/>
                <w:color w:val="000000"/>
                <w:sz w:val="12"/>
                <w:szCs w:val="12"/>
              </w:rPr>
            </w:pPr>
            <w:r w:rsidRPr="007A7FA3">
              <w:rPr>
                <w:rFonts w:ascii="Calibri" w:hAnsi="Calibri" w:cs="Calibri"/>
                <w:b/>
                <w:bCs/>
                <w:color w:val="000000"/>
                <w:sz w:val="12"/>
                <w:szCs w:val="12"/>
              </w:rPr>
              <w:t>Quantum Responsible Party (UNDP, IP, or Responsible Party )</w:t>
            </w:r>
          </w:p>
        </w:tc>
        <w:tc>
          <w:tcPr>
            <w:tcW w:w="504" w:type="dxa"/>
            <w:tcBorders>
              <w:top w:val="single" w:sz="8" w:space="0" w:color="auto"/>
              <w:left w:val="nil"/>
              <w:bottom w:val="single" w:sz="8" w:space="0" w:color="000000"/>
              <w:right w:val="single" w:sz="4" w:space="0" w:color="000000"/>
            </w:tcBorders>
            <w:shd w:val="clear" w:color="auto" w:fill="auto"/>
            <w:vAlign w:val="center"/>
            <w:hideMark/>
          </w:tcPr>
          <w:p w14:paraId="51BB987A" w14:textId="77777777" w:rsidR="007A7FA3" w:rsidRPr="007A7FA3" w:rsidRDefault="007A7FA3" w:rsidP="007A7FA3">
            <w:pPr>
              <w:jc w:val="center"/>
              <w:rPr>
                <w:rFonts w:ascii="Calibri" w:hAnsi="Calibri" w:cs="Calibri"/>
                <w:b/>
                <w:bCs/>
                <w:color w:val="000000"/>
                <w:sz w:val="12"/>
                <w:szCs w:val="12"/>
              </w:rPr>
            </w:pPr>
            <w:r w:rsidRPr="007A7FA3">
              <w:rPr>
                <w:rFonts w:ascii="Calibri" w:hAnsi="Calibri" w:cs="Calibri"/>
                <w:b/>
                <w:bCs/>
                <w:color w:val="000000"/>
                <w:sz w:val="12"/>
                <w:szCs w:val="12"/>
              </w:rPr>
              <w:t>Quantum Fund ID</w:t>
            </w:r>
          </w:p>
        </w:tc>
        <w:tc>
          <w:tcPr>
            <w:tcW w:w="504" w:type="dxa"/>
            <w:tcBorders>
              <w:top w:val="single" w:sz="8" w:space="0" w:color="auto"/>
              <w:left w:val="nil"/>
              <w:bottom w:val="single" w:sz="8" w:space="0" w:color="000000"/>
              <w:right w:val="single" w:sz="4" w:space="0" w:color="000000"/>
            </w:tcBorders>
            <w:shd w:val="clear" w:color="auto" w:fill="auto"/>
            <w:vAlign w:val="center"/>
            <w:hideMark/>
          </w:tcPr>
          <w:p w14:paraId="24D56327" w14:textId="77777777" w:rsidR="007A7FA3" w:rsidRPr="007A7FA3" w:rsidRDefault="007A7FA3" w:rsidP="007A7FA3">
            <w:pPr>
              <w:jc w:val="center"/>
              <w:rPr>
                <w:rFonts w:ascii="Calibri" w:hAnsi="Calibri" w:cs="Calibri"/>
                <w:b/>
                <w:bCs/>
                <w:color w:val="000000"/>
                <w:sz w:val="12"/>
                <w:szCs w:val="12"/>
              </w:rPr>
            </w:pPr>
            <w:r w:rsidRPr="007A7FA3">
              <w:rPr>
                <w:rFonts w:ascii="Calibri" w:hAnsi="Calibri" w:cs="Calibri"/>
                <w:b/>
                <w:bCs/>
                <w:color w:val="000000"/>
                <w:sz w:val="12"/>
                <w:szCs w:val="12"/>
              </w:rPr>
              <w:t>Quantum Donor ID</w:t>
            </w:r>
          </w:p>
        </w:tc>
        <w:tc>
          <w:tcPr>
            <w:tcW w:w="544" w:type="dxa"/>
            <w:tcBorders>
              <w:top w:val="single" w:sz="8" w:space="0" w:color="auto"/>
              <w:left w:val="nil"/>
              <w:bottom w:val="single" w:sz="8" w:space="0" w:color="000000"/>
              <w:right w:val="single" w:sz="4" w:space="0" w:color="000000"/>
            </w:tcBorders>
            <w:shd w:val="clear" w:color="auto" w:fill="auto"/>
            <w:vAlign w:val="center"/>
            <w:hideMark/>
          </w:tcPr>
          <w:p w14:paraId="2949990D" w14:textId="77777777" w:rsidR="007A7FA3" w:rsidRPr="007A7FA3" w:rsidRDefault="007A7FA3" w:rsidP="007A7FA3">
            <w:pPr>
              <w:jc w:val="center"/>
              <w:rPr>
                <w:rFonts w:ascii="Calibri" w:hAnsi="Calibri" w:cs="Calibri"/>
                <w:b/>
                <w:bCs/>
                <w:color w:val="000000"/>
                <w:sz w:val="12"/>
                <w:szCs w:val="12"/>
              </w:rPr>
            </w:pPr>
            <w:r w:rsidRPr="007A7FA3">
              <w:rPr>
                <w:rFonts w:ascii="Calibri" w:hAnsi="Calibri" w:cs="Calibri"/>
                <w:b/>
                <w:bCs/>
                <w:color w:val="000000"/>
                <w:sz w:val="12"/>
                <w:szCs w:val="12"/>
              </w:rPr>
              <w:t>Quantum Budgetary Account Code</w:t>
            </w:r>
          </w:p>
        </w:tc>
        <w:tc>
          <w:tcPr>
            <w:tcW w:w="1580" w:type="dxa"/>
            <w:tcBorders>
              <w:top w:val="single" w:sz="8" w:space="0" w:color="auto"/>
              <w:left w:val="nil"/>
              <w:bottom w:val="single" w:sz="8" w:space="0" w:color="000000"/>
              <w:right w:val="single" w:sz="4" w:space="0" w:color="000000"/>
            </w:tcBorders>
            <w:shd w:val="clear" w:color="auto" w:fill="auto"/>
            <w:noWrap/>
            <w:vAlign w:val="bottom"/>
            <w:hideMark/>
          </w:tcPr>
          <w:p w14:paraId="07813EF3" w14:textId="77777777" w:rsidR="007A7FA3" w:rsidRPr="007A7FA3" w:rsidRDefault="007A7FA3" w:rsidP="007A7FA3">
            <w:pPr>
              <w:jc w:val="center"/>
              <w:rPr>
                <w:rFonts w:ascii="Calibri" w:hAnsi="Calibri" w:cs="Calibri"/>
                <w:b/>
                <w:bCs/>
                <w:color w:val="000000"/>
                <w:sz w:val="12"/>
                <w:szCs w:val="12"/>
              </w:rPr>
            </w:pPr>
            <w:r w:rsidRPr="007A7FA3">
              <w:rPr>
                <w:rFonts w:ascii="Calibri" w:hAnsi="Calibri" w:cs="Calibri"/>
                <w:b/>
                <w:bCs/>
                <w:color w:val="000000"/>
                <w:sz w:val="12"/>
                <w:szCs w:val="12"/>
              </w:rPr>
              <w:t>Quantum Budget  Account Description</w:t>
            </w:r>
          </w:p>
        </w:tc>
        <w:tc>
          <w:tcPr>
            <w:tcW w:w="694" w:type="dxa"/>
            <w:tcBorders>
              <w:top w:val="single" w:sz="8" w:space="0" w:color="auto"/>
              <w:left w:val="nil"/>
              <w:bottom w:val="single" w:sz="8" w:space="0" w:color="000000"/>
              <w:right w:val="single" w:sz="4" w:space="0" w:color="000000"/>
            </w:tcBorders>
            <w:shd w:val="clear" w:color="auto" w:fill="auto"/>
            <w:vAlign w:val="center"/>
            <w:hideMark/>
          </w:tcPr>
          <w:p w14:paraId="04589EBD" w14:textId="77777777" w:rsidR="007A7FA3" w:rsidRPr="007A7FA3" w:rsidRDefault="007A7FA3" w:rsidP="007A7FA3">
            <w:pPr>
              <w:jc w:val="center"/>
              <w:rPr>
                <w:rFonts w:ascii="Calibri" w:hAnsi="Calibri" w:cs="Calibri"/>
                <w:b/>
                <w:bCs/>
                <w:color w:val="000000"/>
                <w:sz w:val="12"/>
                <w:szCs w:val="12"/>
              </w:rPr>
            </w:pPr>
            <w:r w:rsidRPr="007A7FA3">
              <w:rPr>
                <w:rFonts w:ascii="Calibri" w:hAnsi="Calibri" w:cs="Calibri"/>
                <w:b/>
                <w:bCs/>
                <w:color w:val="000000"/>
                <w:sz w:val="12"/>
                <w:szCs w:val="12"/>
              </w:rPr>
              <w:t xml:space="preserve">Amount Year </w:t>
            </w:r>
            <w:r w:rsidRPr="007A7FA3">
              <w:rPr>
                <w:rFonts w:ascii="Calibri" w:hAnsi="Calibri" w:cs="Calibri"/>
                <w:b/>
                <w:bCs/>
                <w:i/>
                <w:iCs/>
                <w:color w:val="000000"/>
                <w:sz w:val="12"/>
                <w:szCs w:val="12"/>
              </w:rPr>
              <w:t>1</w:t>
            </w:r>
            <w:r w:rsidRPr="007A7FA3">
              <w:rPr>
                <w:rFonts w:ascii="Calibri" w:hAnsi="Calibri" w:cs="Calibri"/>
                <w:b/>
                <w:bCs/>
                <w:color w:val="000000"/>
                <w:sz w:val="12"/>
                <w:szCs w:val="12"/>
              </w:rPr>
              <w:t xml:space="preserve"> (USD)</w:t>
            </w:r>
          </w:p>
        </w:tc>
        <w:tc>
          <w:tcPr>
            <w:tcW w:w="805" w:type="dxa"/>
            <w:tcBorders>
              <w:top w:val="single" w:sz="8" w:space="0" w:color="auto"/>
              <w:left w:val="nil"/>
              <w:bottom w:val="single" w:sz="8" w:space="0" w:color="000000"/>
              <w:right w:val="single" w:sz="4" w:space="0" w:color="000000"/>
            </w:tcBorders>
            <w:shd w:val="clear" w:color="auto" w:fill="auto"/>
            <w:vAlign w:val="center"/>
            <w:hideMark/>
          </w:tcPr>
          <w:p w14:paraId="56CE5D73" w14:textId="77777777" w:rsidR="007A7FA3" w:rsidRPr="007A7FA3" w:rsidRDefault="007A7FA3" w:rsidP="007A7FA3">
            <w:pPr>
              <w:jc w:val="center"/>
              <w:rPr>
                <w:rFonts w:ascii="Calibri" w:hAnsi="Calibri" w:cs="Calibri"/>
                <w:b/>
                <w:bCs/>
                <w:color w:val="000000"/>
                <w:sz w:val="12"/>
                <w:szCs w:val="12"/>
              </w:rPr>
            </w:pPr>
            <w:r w:rsidRPr="007A7FA3">
              <w:rPr>
                <w:rFonts w:ascii="Calibri" w:hAnsi="Calibri" w:cs="Calibri"/>
                <w:b/>
                <w:bCs/>
                <w:color w:val="000000"/>
                <w:sz w:val="12"/>
                <w:szCs w:val="12"/>
              </w:rPr>
              <w:t xml:space="preserve">Amount Year </w:t>
            </w:r>
            <w:r w:rsidRPr="007A7FA3">
              <w:rPr>
                <w:rFonts w:ascii="Calibri" w:hAnsi="Calibri" w:cs="Calibri"/>
                <w:b/>
                <w:bCs/>
                <w:i/>
                <w:iCs/>
                <w:color w:val="000000"/>
                <w:sz w:val="12"/>
                <w:szCs w:val="12"/>
              </w:rPr>
              <w:t>2</w:t>
            </w:r>
            <w:r w:rsidRPr="007A7FA3">
              <w:rPr>
                <w:rFonts w:ascii="Calibri" w:hAnsi="Calibri" w:cs="Calibri"/>
                <w:b/>
                <w:bCs/>
                <w:color w:val="000000"/>
                <w:sz w:val="12"/>
                <w:szCs w:val="12"/>
              </w:rPr>
              <w:t xml:space="preserve"> (USD)</w:t>
            </w:r>
          </w:p>
        </w:tc>
        <w:tc>
          <w:tcPr>
            <w:tcW w:w="826" w:type="dxa"/>
            <w:tcBorders>
              <w:top w:val="single" w:sz="8" w:space="0" w:color="auto"/>
              <w:left w:val="nil"/>
              <w:bottom w:val="single" w:sz="8" w:space="0" w:color="000000"/>
              <w:right w:val="single" w:sz="4" w:space="0" w:color="000000"/>
            </w:tcBorders>
            <w:shd w:val="clear" w:color="auto" w:fill="auto"/>
            <w:vAlign w:val="center"/>
            <w:hideMark/>
          </w:tcPr>
          <w:p w14:paraId="45E3E5BC" w14:textId="77777777" w:rsidR="007A7FA3" w:rsidRPr="007A7FA3" w:rsidRDefault="007A7FA3" w:rsidP="007A7FA3">
            <w:pPr>
              <w:jc w:val="center"/>
              <w:rPr>
                <w:rFonts w:ascii="Calibri" w:hAnsi="Calibri" w:cs="Calibri"/>
                <w:b/>
                <w:bCs/>
                <w:color w:val="000000"/>
                <w:sz w:val="12"/>
                <w:szCs w:val="12"/>
              </w:rPr>
            </w:pPr>
            <w:r w:rsidRPr="007A7FA3">
              <w:rPr>
                <w:rFonts w:ascii="Calibri" w:hAnsi="Calibri" w:cs="Calibri"/>
                <w:b/>
                <w:bCs/>
                <w:color w:val="000000"/>
                <w:sz w:val="12"/>
                <w:szCs w:val="12"/>
              </w:rPr>
              <w:t>Amount Year 3 (USD)</w:t>
            </w:r>
          </w:p>
        </w:tc>
        <w:tc>
          <w:tcPr>
            <w:tcW w:w="864" w:type="dxa"/>
            <w:tcBorders>
              <w:top w:val="single" w:sz="8" w:space="0" w:color="auto"/>
              <w:left w:val="nil"/>
              <w:bottom w:val="single" w:sz="8" w:space="0" w:color="000000"/>
              <w:right w:val="single" w:sz="4" w:space="0" w:color="000000"/>
            </w:tcBorders>
            <w:shd w:val="clear" w:color="auto" w:fill="auto"/>
            <w:vAlign w:val="center"/>
            <w:hideMark/>
          </w:tcPr>
          <w:p w14:paraId="52F138C9" w14:textId="77777777" w:rsidR="007A7FA3" w:rsidRPr="007A7FA3" w:rsidRDefault="007A7FA3" w:rsidP="007A7FA3">
            <w:pPr>
              <w:jc w:val="center"/>
              <w:rPr>
                <w:rFonts w:ascii="Calibri" w:hAnsi="Calibri" w:cs="Calibri"/>
                <w:b/>
                <w:bCs/>
                <w:color w:val="000000"/>
                <w:sz w:val="12"/>
                <w:szCs w:val="12"/>
              </w:rPr>
            </w:pPr>
            <w:r w:rsidRPr="007A7FA3">
              <w:rPr>
                <w:rFonts w:ascii="Calibri" w:hAnsi="Calibri" w:cs="Calibri"/>
                <w:b/>
                <w:bCs/>
                <w:color w:val="000000"/>
                <w:sz w:val="12"/>
                <w:szCs w:val="12"/>
              </w:rPr>
              <w:t>Amount Year 4 (USD)</w:t>
            </w:r>
          </w:p>
        </w:tc>
        <w:tc>
          <w:tcPr>
            <w:tcW w:w="834" w:type="dxa"/>
            <w:tcBorders>
              <w:top w:val="single" w:sz="8" w:space="0" w:color="auto"/>
              <w:left w:val="nil"/>
              <w:bottom w:val="single" w:sz="8" w:space="0" w:color="000000"/>
              <w:right w:val="single" w:sz="4" w:space="0" w:color="000000"/>
            </w:tcBorders>
            <w:shd w:val="clear" w:color="auto" w:fill="auto"/>
            <w:vAlign w:val="center"/>
            <w:hideMark/>
          </w:tcPr>
          <w:p w14:paraId="0B1C488C" w14:textId="77777777" w:rsidR="007A7FA3" w:rsidRPr="007A7FA3" w:rsidRDefault="007A7FA3" w:rsidP="007A7FA3">
            <w:pPr>
              <w:jc w:val="center"/>
              <w:rPr>
                <w:rFonts w:ascii="Calibri" w:hAnsi="Calibri" w:cs="Calibri"/>
                <w:b/>
                <w:bCs/>
                <w:color w:val="000000"/>
                <w:sz w:val="12"/>
                <w:szCs w:val="12"/>
              </w:rPr>
            </w:pPr>
            <w:r w:rsidRPr="007A7FA3">
              <w:rPr>
                <w:rFonts w:ascii="Calibri" w:hAnsi="Calibri" w:cs="Calibri"/>
                <w:b/>
                <w:bCs/>
                <w:color w:val="000000"/>
                <w:sz w:val="12"/>
                <w:szCs w:val="12"/>
              </w:rPr>
              <w:t>Amount Year 5 (USD)</w:t>
            </w:r>
          </w:p>
        </w:tc>
        <w:tc>
          <w:tcPr>
            <w:tcW w:w="827" w:type="dxa"/>
            <w:tcBorders>
              <w:top w:val="single" w:sz="8" w:space="0" w:color="auto"/>
              <w:left w:val="nil"/>
              <w:bottom w:val="single" w:sz="8" w:space="0" w:color="000000"/>
              <w:right w:val="single" w:sz="4" w:space="0" w:color="000000"/>
            </w:tcBorders>
            <w:shd w:val="clear" w:color="auto" w:fill="auto"/>
            <w:vAlign w:val="center"/>
            <w:hideMark/>
          </w:tcPr>
          <w:p w14:paraId="5717C7F3" w14:textId="77777777" w:rsidR="007A7FA3" w:rsidRPr="007A7FA3" w:rsidRDefault="007A7FA3" w:rsidP="007A7FA3">
            <w:pPr>
              <w:jc w:val="center"/>
              <w:rPr>
                <w:rFonts w:ascii="Calibri" w:hAnsi="Calibri" w:cs="Calibri"/>
                <w:b/>
                <w:bCs/>
                <w:i/>
                <w:iCs/>
                <w:color w:val="000000"/>
                <w:sz w:val="12"/>
                <w:szCs w:val="12"/>
              </w:rPr>
            </w:pPr>
            <w:r w:rsidRPr="007A7FA3">
              <w:rPr>
                <w:rFonts w:ascii="Calibri" w:hAnsi="Calibri" w:cs="Calibri"/>
                <w:b/>
                <w:bCs/>
                <w:i/>
                <w:iCs/>
                <w:color w:val="000000"/>
                <w:sz w:val="12"/>
                <w:szCs w:val="12"/>
              </w:rPr>
              <w:t>Amount Year 6 (USD)</w:t>
            </w:r>
          </w:p>
        </w:tc>
        <w:tc>
          <w:tcPr>
            <w:tcW w:w="980" w:type="dxa"/>
            <w:tcBorders>
              <w:top w:val="single" w:sz="8" w:space="0" w:color="auto"/>
              <w:left w:val="nil"/>
              <w:bottom w:val="single" w:sz="8" w:space="0" w:color="000000"/>
              <w:right w:val="nil"/>
            </w:tcBorders>
            <w:shd w:val="clear" w:color="auto" w:fill="auto"/>
            <w:noWrap/>
            <w:vAlign w:val="center"/>
            <w:hideMark/>
          </w:tcPr>
          <w:p w14:paraId="465E8BBF" w14:textId="77777777" w:rsidR="007A7FA3" w:rsidRPr="007A7FA3" w:rsidRDefault="007A7FA3" w:rsidP="007A7FA3">
            <w:pPr>
              <w:jc w:val="center"/>
              <w:rPr>
                <w:rFonts w:ascii="Calibri" w:hAnsi="Calibri" w:cs="Calibri"/>
                <w:b/>
                <w:bCs/>
                <w:color w:val="000000"/>
                <w:sz w:val="12"/>
                <w:szCs w:val="12"/>
              </w:rPr>
            </w:pPr>
            <w:r w:rsidRPr="007A7FA3">
              <w:rPr>
                <w:rFonts w:ascii="Calibri" w:hAnsi="Calibri" w:cs="Calibri"/>
                <w:b/>
                <w:bCs/>
                <w:color w:val="000000"/>
                <w:sz w:val="12"/>
                <w:szCs w:val="12"/>
              </w:rPr>
              <w:t>Total (USD)</w:t>
            </w:r>
          </w:p>
        </w:tc>
        <w:tc>
          <w:tcPr>
            <w:tcW w:w="385" w:type="dxa"/>
            <w:tcBorders>
              <w:top w:val="single" w:sz="8" w:space="0" w:color="auto"/>
              <w:left w:val="single" w:sz="4" w:space="0" w:color="auto"/>
              <w:bottom w:val="single" w:sz="4" w:space="0" w:color="auto"/>
              <w:right w:val="single" w:sz="8" w:space="0" w:color="auto"/>
            </w:tcBorders>
            <w:shd w:val="clear" w:color="auto" w:fill="auto"/>
            <w:vAlign w:val="center"/>
            <w:hideMark/>
          </w:tcPr>
          <w:p w14:paraId="3423E964" w14:textId="77777777" w:rsidR="007A7FA3" w:rsidRPr="007A7FA3" w:rsidRDefault="007A7FA3" w:rsidP="007A7FA3">
            <w:pPr>
              <w:jc w:val="center"/>
              <w:rPr>
                <w:rFonts w:ascii="Calibri" w:hAnsi="Calibri" w:cs="Calibri"/>
                <w:b/>
                <w:bCs/>
                <w:color w:val="000000"/>
                <w:sz w:val="12"/>
                <w:szCs w:val="12"/>
              </w:rPr>
            </w:pPr>
            <w:r w:rsidRPr="007A7FA3">
              <w:rPr>
                <w:rFonts w:ascii="Calibri" w:hAnsi="Calibri" w:cs="Calibri"/>
                <w:b/>
                <w:bCs/>
                <w:color w:val="000000"/>
                <w:sz w:val="12"/>
                <w:szCs w:val="12"/>
              </w:rPr>
              <w:t>See Budget Note</w:t>
            </w:r>
          </w:p>
        </w:tc>
      </w:tr>
      <w:tr w:rsidR="007A7FA3" w:rsidRPr="007A7FA3" w14:paraId="7C83108D" w14:textId="77777777" w:rsidTr="007A7FA3">
        <w:trPr>
          <w:trHeight w:val="255"/>
        </w:trPr>
        <w:tc>
          <w:tcPr>
            <w:tcW w:w="1086" w:type="dxa"/>
            <w:vMerge w:val="restart"/>
            <w:tcBorders>
              <w:top w:val="nil"/>
              <w:left w:val="single" w:sz="8" w:space="0" w:color="auto"/>
              <w:bottom w:val="single" w:sz="4" w:space="0" w:color="000000"/>
              <w:right w:val="nil"/>
            </w:tcBorders>
            <w:shd w:val="clear" w:color="auto" w:fill="auto"/>
            <w:vAlign w:val="center"/>
            <w:hideMark/>
          </w:tcPr>
          <w:p w14:paraId="5F255E0F"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b/>
                <w:bCs/>
                <w:i/>
                <w:iCs/>
                <w:color w:val="000000"/>
                <w:sz w:val="13"/>
                <w:szCs w:val="13"/>
              </w:rPr>
              <w:t xml:space="preserve">Component 1: </w:t>
            </w:r>
            <w:r w:rsidRPr="007A7FA3">
              <w:rPr>
                <w:rFonts w:ascii="Calibri" w:hAnsi="Calibri" w:cs="Calibri"/>
                <w:i/>
                <w:iCs/>
                <w:color w:val="000000"/>
                <w:sz w:val="13"/>
                <w:szCs w:val="13"/>
              </w:rPr>
              <w:t xml:space="preserve">Improve marine and coastal management efforts in the BCLME through effective spatial planning and the establishment and expansion of MPAs and SMAs taking into consideration climate change and ensuring climate-resilient socio-economic development </w:t>
            </w:r>
          </w:p>
        </w:tc>
        <w:tc>
          <w:tcPr>
            <w:tcW w:w="87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7965C96"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 xml:space="preserve">1.1: Policy, regulatory and institutional framework for the sustainable management of the BCLME strengthened </w:t>
            </w:r>
          </w:p>
        </w:tc>
        <w:tc>
          <w:tcPr>
            <w:tcW w:w="2016" w:type="dxa"/>
            <w:vMerge w:val="restart"/>
            <w:tcBorders>
              <w:top w:val="nil"/>
              <w:left w:val="nil"/>
              <w:bottom w:val="single" w:sz="4" w:space="0" w:color="000000"/>
              <w:right w:val="single" w:sz="4" w:space="0" w:color="000000"/>
            </w:tcBorders>
            <w:shd w:val="clear" w:color="auto" w:fill="auto"/>
            <w:vAlign w:val="center"/>
            <w:hideMark/>
          </w:tcPr>
          <w:p w14:paraId="1E6AB8FE"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 xml:space="preserve">1.1.1: Legal frameworks of selected MPAs and coastal ecosystems of global importance improved to enhance their protection and conservation in a context of coexistence with other marine economic sectors </w:t>
            </w:r>
          </w:p>
        </w:tc>
        <w:tc>
          <w:tcPr>
            <w:tcW w:w="631" w:type="dxa"/>
            <w:vMerge w:val="restart"/>
            <w:tcBorders>
              <w:top w:val="nil"/>
              <w:left w:val="single" w:sz="4" w:space="0" w:color="000000"/>
              <w:bottom w:val="nil"/>
              <w:right w:val="single" w:sz="4" w:space="0" w:color="000000"/>
            </w:tcBorders>
            <w:shd w:val="clear" w:color="auto" w:fill="auto"/>
            <w:vAlign w:val="center"/>
            <w:hideMark/>
          </w:tcPr>
          <w:p w14:paraId="7F479B39"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BCC</w:t>
            </w:r>
          </w:p>
        </w:tc>
        <w:tc>
          <w:tcPr>
            <w:tcW w:w="504" w:type="dxa"/>
            <w:tcBorders>
              <w:top w:val="nil"/>
              <w:left w:val="nil"/>
              <w:bottom w:val="single" w:sz="4" w:space="0" w:color="000000"/>
              <w:right w:val="single" w:sz="4" w:space="0" w:color="000000"/>
            </w:tcBorders>
            <w:shd w:val="clear" w:color="auto" w:fill="auto"/>
            <w:vAlign w:val="center"/>
            <w:hideMark/>
          </w:tcPr>
          <w:p w14:paraId="791AC753"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val="restart"/>
            <w:tcBorders>
              <w:top w:val="nil"/>
              <w:left w:val="single" w:sz="4" w:space="0" w:color="000000"/>
              <w:bottom w:val="nil"/>
              <w:right w:val="single" w:sz="4" w:space="0" w:color="000000"/>
            </w:tcBorders>
            <w:shd w:val="clear" w:color="auto" w:fill="auto"/>
            <w:vAlign w:val="center"/>
            <w:hideMark/>
          </w:tcPr>
          <w:p w14:paraId="135DB178"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010003</w:t>
            </w:r>
          </w:p>
        </w:tc>
        <w:tc>
          <w:tcPr>
            <w:tcW w:w="544" w:type="dxa"/>
            <w:tcBorders>
              <w:top w:val="nil"/>
              <w:left w:val="nil"/>
              <w:bottom w:val="single" w:sz="4" w:space="0" w:color="000000"/>
              <w:right w:val="single" w:sz="4" w:space="0" w:color="000000"/>
            </w:tcBorders>
            <w:shd w:val="clear" w:color="auto" w:fill="auto"/>
            <w:vAlign w:val="center"/>
            <w:hideMark/>
          </w:tcPr>
          <w:p w14:paraId="0C6DF4E1"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71200</w:t>
            </w:r>
          </w:p>
        </w:tc>
        <w:tc>
          <w:tcPr>
            <w:tcW w:w="1580" w:type="dxa"/>
            <w:tcBorders>
              <w:top w:val="nil"/>
              <w:left w:val="nil"/>
              <w:bottom w:val="single" w:sz="4" w:space="0" w:color="000000"/>
              <w:right w:val="single" w:sz="4" w:space="0" w:color="000000"/>
            </w:tcBorders>
            <w:shd w:val="clear" w:color="auto" w:fill="auto"/>
            <w:vAlign w:val="bottom"/>
            <w:hideMark/>
          </w:tcPr>
          <w:p w14:paraId="71581CA0"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International Consultants</w:t>
            </w:r>
          </w:p>
        </w:tc>
        <w:tc>
          <w:tcPr>
            <w:tcW w:w="694" w:type="dxa"/>
            <w:tcBorders>
              <w:top w:val="nil"/>
              <w:left w:val="nil"/>
              <w:bottom w:val="single" w:sz="4" w:space="0" w:color="000000"/>
              <w:right w:val="single" w:sz="4" w:space="0" w:color="000000"/>
            </w:tcBorders>
            <w:shd w:val="clear" w:color="auto" w:fill="auto"/>
            <w:noWrap/>
            <w:vAlign w:val="bottom"/>
            <w:hideMark/>
          </w:tcPr>
          <w:p w14:paraId="5C4F0B8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20,000 </w:t>
            </w:r>
          </w:p>
        </w:tc>
        <w:tc>
          <w:tcPr>
            <w:tcW w:w="805" w:type="dxa"/>
            <w:tcBorders>
              <w:top w:val="nil"/>
              <w:left w:val="nil"/>
              <w:bottom w:val="single" w:sz="4" w:space="0" w:color="000000"/>
              <w:right w:val="single" w:sz="4" w:space="0" w:color="000000"/>
            </w:tcBorders>
            <w:shd w:val="clear" w:color="auto" w:fill="auto"/>
            <w:noWrap/>
            <w:vAlign w:val="bottom"/>
            <w:hideMark/>
          </w:tcPr>
          <w:p w14:paraId="5F79248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20,000 </w:t>
            </w:r>
          </w:p>
        </w:tc>
        <w:tc>
          <w:tcPr>
            <w:tcW w:w="826" w:type="dxa"/>
            <w:tcBorders>
              <w:top w:val="nil"/>
              <w:left w:val="nil"/>
              <w:bottom w:val="single" w:sz="4" w:space="0" w:color="000000"/>
              <w:right w:val="single" w:sz="4" w:space="0" w:color="000000"/>
            </w:tcBorders>
            <w:shd w:val="clear" w:color="auto" w:fill="auto"/>
            <w:noWrap/>
            <w:vAlign w:val="bottom"/>
            <w:hideMark/>
          </w:tcPr>
          <w:p w14:paraId="457C73D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64" w:type="dxa"/>
            <w:tcBorders>
              <w:top w:val="nil"/>
              <w:left w:val="nil"/>
              <w:bottom w:val="single" w:sz="4" w:space="0" w:color="000000"/>
              <w:right w:val="single" w:sz="4" w:space="0" w:color="000000"/>
            </w:tcBorders>
            <w:shd w:val="clear" w:color="auto" w:fill="auto"/>
            <w:noWrap/>
            <w:vAlign w:val="bottom"/>
            <w:hideMark/>
          </w:tcPr>
          <w:p w14:paraId="5274DC8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34" w:type="dxa"/>
            <w:tcBorders>
              <w:top w:val="nil"/>
              <w:left w:val="nil"/>
              <w:bottom w:val="single" w:sz="4" w:space="0" w:color="000000"/>
              <w:right w:val="single" w:sz="4" w:space="0" w:color="000000"/>
            </w:tcBorders>
            <w:shd w:val="clear" w:color="auto" w:fill="auto"/>
            <w:noWrap/>
            <w:vAlign w:val="bottom"/>
            <w:hideMark/>
          </w:tcPr>
          <w:p w14:paraId="683D876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7" w:type="dxa"/>
            <w:tcBorders>
              <w:top w:val="nil"/>
              <w:left w:val="nil"/>
              <w:bottom w:val="single" w:sz="4" w:space="0" w:color="000000"/>
              <w:right w:val="single" w:sz="4" w:space="0" w:color="000000"/>
            </w:tcBorders>
            <w:shd w:val="clear" w:color="auto" w:fill="auto"/>
            <w:noWrap/>
            <w:vAlign w:val="bottom"/>
            <w:hideMark/>
          </w:tcPr>
          <w:p w14:paraId="1B7F67A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nil"/>
              <w:left w:val="nil"/>
              <w:bottom w:val="single" w:sz="4" w:space="0" w:color="000000"/>
              <w:right w:val="nil"/>
            </w:tcBorders>
            <w:shd w:val="clear" w:color="auto" w:fill="auto"/>
            <w:noWrap/>
            <w:vAlign w:val="bottom"/>
            <w:hideMark/>
          </w:tcPr>
          <w:p w14:paraId="01B7921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7A6B2BFA"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1</w:t>
            </w:r>
          </w:p>
        </w:tc>
      </w:tr>
      <w:tr w:rsidR="007A7FA3" w:rsidRPr="007A7FA3" w14:paraId="04111C81" w14:textId="77777777" w:rsidTr="007A7FA3">
        <w:trPr>
          <w:trHeight w:val="240"/>
        </w:trPr>
        <w:tc>
          <w:tcPr>
            <w:tcW w:w="1086" w:type="dxa"/>
            <w:vMerge/>
            <w:tcBorders>
              <w:top w:val="nil"/>
              <w:left w:val="single" w:sz="8" w:space="0" w:color="auto"/>
              <w:bottom w:val="single" w:sz="4" w:space="0" w:color="000000"/>
              <w:right w:val="nil"/>
            </w:tcBorders>
            <w:vAlign w:val="center"/>
            <w:hideMark/>
          </w:tcPr>
          <w:p w14:paraId="4B1EF65F" w14:textId="77777777" w:rsidR="007A7FA3" w:rsidRPr="007A7FA3" w:rsidRDefault="007A7FA3" w:rsidP="007A7FA3">
            <w:pPr>
              <w:rPr>
                <w:rFonts w:ascii="Calibri" w:hAnsi="Calibri" w:cs="Calibri"/>
                <w:i/>
                <w:iCs/>
                <w:color w:val="000000"/>
                <w:sz w:val="13"/>
                <w:szCs w:val="13"/>
              </w:rPr>
            </w:pPr>
          </w:p>
        </w:tc>
        <w:tc>
          <w:tcPr>
            <w:tcW w:w="871" w:type="dxa"/>
            <w:vMerge/>
            <w:tcBorders>
              <w:top w:val="single" w:sz="4" w:space="0" w:color="000000"/>
              <w:left w:val="single" w:sz="4" w:space="0" w:color="000000"/>
              <w:bottom w:val="single" w:sz="4" w:space="0" w:color="000000"/>
              <w:right w:val="single" w:sz="4" w:space="0" w:color="000000"/>
            </w:tcBorders>
            <w:vAlign w:val="center"/>
            <w:hideMark/>
          </w:tcPr>
          <w:p w14:paraId="7DDE6BCE"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58DAC11C"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single" w:sz="4" w:space="0" w:color="000000"/>
              <w:bottom w:val="nil"/>
              <w:right w:val="single" w:sz="4" w:space="0" w:color="000000"/>
            </w:tcBorders>
            <w:vAlign w:val="center"/>
            <w:hideMark/>
          </w:tcPr>
          <w:p w14:paraId="5B2F3200" w14:textId="77777777" w:rsidR="007A7FA3" w:rsidRPr="007A7FA3" w:rsidRDefault="007A7FA3" w:rsidP="007A7FA3">
            <w:pPr>
              <w:rPr>
                <w:rFonts w:ascii="Calibri" w:hAnsi="Calibri" w:cs="Calibri"/>
                <w:i/>
                <w:iCs/>
                <w:color w:val="000000"/>
                <w:sz w:val="13"/>
                <w:szCs w:val="13"/>
              </w:rPr>
            </w:pPr>
          </w:p>
        </w:tc>
        <w:tc>
          <w:tcPr>
            <w:tcW w:w="504" w:type="dxa"/>
            <w:tcBorders>
              <w:top w:val="nil"/>
              <w:left w:val="nil"/>
              <w:bottom w:val="single" w:sz="4" w:space="0" w:color="000000"/>
              <w:right w:val="single" w:sz="4" w:space="0" w:color="000000"/>
            </w:tcBorders>
            <w:shd w:val="clear" w:color="auto" w:fill="auto"/>
            <w:vAlign w:val="center"/>
            <w:hideMark/>
          </w:tcPr>
          <w:p w14:paraId="3C9E1A3E"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single" w:sz="4" w:space="0" w:color="000000"/>
            </w:tcBorders>
            <w:vAlign w:val="center"/>
            <w:hideMark/>
          </w:tcPr>
          <w:p w14:paraId="18619A1D" w14:textId="77777777" w:rsidR="007A7FA3" w:rsidRPr="007A7FA3" w:rsidRDefault="007A7FA3" w:rsidP="007A7FA3">
            <w:pPr>
              <w:rPr>
                <w:rFonts w:ascii="Calibri" w:hAnsi="Calibri" w:cs="Calibri"/>
                <w:i/>
                <w:iCs/>
                <w:color w:val="000000"/>
                <w:sz w:val="13"/>
                <w:szCs w:val="13"/>
              </w:rPr>
            </w:pPr>
          </w:p>
        </w:tc>
        <w:tc>
          <w:tcPr>
            <w:tcW w:w="544" w:type="dxa"/>
            <w:tcBorders>
              <w:top w:val="nil"/>
              <w:left w:val="nil"/>
              <w:bottom w:val="single" w:sz="4" w:space="0" w:color="000000"/>
              <w:right w:val="single" w:sz="4" w:space="0" w:color="000000"/>
            </w:tcBorders>
            <w:shd w:val="clear" w:color="auto" w:fill="auto"/>
            <w:vAlign w:val="center"/>
            <w:hideMark/>
          </w:tcPr>
          <w:p w14:paraId="7361F8FD"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71800</w:t>
            </w:r>
          </w:p>
        </w:tc>
        <w:tc>
          <w:tcPr>
            <w:tcW w:w="1580" w:type="dxa"/>
            <w:tcBorders>
              <w:top w:val="nil"/>
              <w:left w:val="nil"/>
              <w:bottom w:val="single" w:sz="4" w:space="0" w:color="000000"/>
              <w:right w:val="single" w:sz="4" w:space="0" w:color="000000"/>
            </w:tcBorders>
            <w:shd w:val="clear" w:color="auto" w:fill="auto"/>
            <w:vAlign w:val="bottom"/>
            <w:hideMark/>
          </w:tcPr>
          <w:p w14:paraId="1099F36E"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Contractual Services - Individuals</w:t>
            </w:r>
          </w:p>
        </w:tc>
        <w:tc>
          <w:tcPr>
            <w:tcW w:w="694" w:type="dxa"/>
            <w:tcBorders>
              <w:top w:val="nil"/>
              <w:left w:val="nil"/>
              <w:bottom w:val="single" w:sz="4" w:space="0" w:color="000000"/>
              <w:right w:val="single" w:sz="4" w:space="0" w:color="000000"/>
            </w:tcBorders>
            <w:shd w:val="clear" w:color="auto" w:fill="auto"/>
            <w:noWrap/>
            <w:vAlign w:val="bottom"/>
            <w:hideMark/>
          </w:tcPr>
          <w:p w14:paraId="7D1C7DA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15,000 </w:t>
            </w:r>
          </w:p>
        </w:tc>
        <w:tc>
          <w:tcPr>
            <w:tcW w:w="805" w:type="dxa"/>
            <w:tcBorders>
              <w:top w:val="nil"/>
              <w:left w:val="nil"/>
              <w:bottom w:val="single" w:sz="4" w:space="0" w:color="000000"/>
              <w:right w:val="single" w:sz="4" w:space="0" w:color="000000"/>
            </w:tcBorders>
            <w:shd w:val="clear" w:color="auto" w:fill="auto"/>
            <w:noWrap/>
            <w:vAlign w:val="bottom"/>
            <w:hideMark/>
          </w:tcPr>
          <w:p w14:paraId="490C6BF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15,000 </w:t>
            </w:r>
          </w:p>
        </w:tc>
        <w:tc>
          <w:tcPr>
            <w:tcW w:w="826" w:type="dxa"/>
            <w:tcBorders>
              <w:top w:val="nil"/>
              <w:left w:val="nil"/>
              <w:bottom w:val="single" w:sz="4" w:space="0" w:color="000000"/>
              <w:right w:val="single" w:sz="4" w:space="0" w:color="000000"/>
            </w:tcBorders>
            <w:shd w:val="clear" w:color="auto" w:fill="auto"/>
            <w:noWrap/>
            <w:vAlign w:val="bottom"/>
            <w:hideMark/>
          </w:tcPr>
          <w:p w14:paraId="7C95F07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64" w:type="dxa"/>
            <w:tcBorders>
              <w:top w:val="nil"/>
              <w:left w:val="nil"/>
              <w:bottom w:val="single" w:sz="4" w:space="0" w:color="000000"/>
              <w:right w:val="single" w:sz="4" w:space="0" w:color="000000"/>
            </w:tcBorders>
            <w:shd w:val="clear" w:color="auto" w:fill="auto"/>
            <w:noWrap/>
            <w:vAlign w:val="bottom"/>
            <w:hideMark/>
          </w:tcPr>
          <w:p w14:paraId="1F36DEF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34" w:type="dxa"/>
            <w:tcBorders>
              <w:top w:val="nil"/>
              <w:left w:val="nil"/>
              <w:bottom w:val="single" w:sz="4" w:space="0" w:color="000000"/>
              <w:right w:val="single" w:sz="4" w:space="0" w:color="000000"/>
            </w:tcBorders>
            <w:shd w:val="clear" w:color="auto" w:fill="auto"/>
            <w:noWrap/>
            <w:vAlign w:val="bottom"/>
            <w:hideMark/>
          </w:tcPr>
          <w:p w14:paraId="1715A77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7" w:type="dxa"/>
            <w:tcBorders>
              <w:top w:val="nil"/>
              <w:left w:val="nil"/>
              <w:bottom w:val="single" w:sz="4" w:space="0" w:color="000000"/>
              <w:right w:val="single" w:sz="4" w:space="0" w:color="000000"/>
            </w:tcBorders>
            <w:shd w:val="clear" w:color="auto" w:fill="auto"/>
            <w:noWrap/>
            <w:vAlign w:val="bottom"/>
            <w:hideMark/>
          </w:tcPr>
          <w:p w14:paraId="34C751D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5D9C2A8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4B18736E"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2</w:t>
            </w:r>
          </w:p>
        </w:tc>
      </w:tr>
      <w:tr w:rsidR="007A7FA3" w:rsidRPr="007A7FA3" w14:paraId="5B72A46F" w14:textId="77777777" w:rsidTr="007A7FA3">
        <w:trPr>
          <w:trHeight w:val="255"/>
        </w:trPr>
        <w:tc>
          <w:tcPr>
            <w:tcW w:w="1086" w:type="dxa"/>
            <w:vMerge/>
            <w:tcBorders>
              <w:top w:val="nil"/>
              <w:left w:val="single" w:sz="8" w:space="0" w:color="auto"/>
              <w:bottom w:val="single" w:sz="4" w:space="0" w:color="000000"/>
              <w:right w:val="nil"/>
            </w:tcBorders>
            <w:vAlign w:val="center"/>
            <w:hideMark/>
          </w:tcPr>
          <w:p w14:paraId="1F7F36AA" w14:textId="77777777" w:rsidR="007A7FA3" w:rsidRPr="007A7FA3" w:rsidRDefault="007A7FA3" w:rsidP="007A7FA3">
            <w:pPr>
              <w:rPr>
                <w:rFonts w:ascii="Calibri" w:hAnsi="Calibri" w:cs="Calibri"/>
                <w:i/>
                <w:iCs/>
                <w:color w:val="000000"/>
                <w:sz w:val="13"/>
                <w:szCs w:val="13"/>
              </w:rPr>
            </w:pPr>
          </w:p>
        </w:tc>
        <w:tc>
          <w:tcPr>
            <w:tcW w:w="871" w:type="dxa"/>
            <w:vMerge/>
            <w:tcBorders>
              <w:top w:val="single" w:sz="4" w:space="0" w:color="000000"/>
              <w:left w:val="single" w:sz="4" w:space="0" w:color="000000"/>
              <w:bottom w:val="single" w:sz="4" w:space="0" w:color="000000"/>
              <w:right w:val="single" w:sz="4" w:space="0" w:color="000000"/>
            </w:tcBorders>
            <w:vAlign w:val="center"/>
            <w:hideMark/>
          </w:tcPr>
          <w:p w14:paraId="6E60DB44"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14C8B2CC"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single" w:sz="4" w:space="0" w:color="000000"/>
              <w:bottom w:val="nil"/>
              <w:right w:val="single" w:sz="4" w:space="0" w:color="000000"/>
            </w:tcBorders>
            <w:vAlign w:val="center"/>
            <w:hideMark/>
          </w:tcPr>
          <w:p w14:paraId="727FEF95" w14:textId="77777777" w:rsidR="007A7FA3" w:rsidRPr="007A7FA3" w:rsidRDefault="007A7FA3" w:rsidP="007A7FA3">
            <w:pPr>
              <w:rPr>
                <w:rFonts w:ascii="Calibri" w:hAnsi="Calibri" w:cs="Calibri"/>
                <w:i/>
                <w:iCs/>
                <w:color w:val="000000"/>
                <w:sz w:val="13"/>
                <w:szCs w:val="13"/>
              </w:rPr>
            </w:pPr>
          </w:p>
        </w:tc>
        <w:tc>
          <w:tcPr>
            <w:tcW w:w="504" w:type="dxa"/>
            <w:tcBorders>
              <w:top w:val="nil"/>
              <w:left w:val="nil"/>
              <w:bottom w:val="single" w:sz="4" w:space="0" w:color="000000"/>
              <w:right w:val="single" w:sz="4" w:space="0" w:color="000000"/>
            </w:tcBorders>
            <w:shd w:val="clear" w:color="auto" w:fill="auto"/>
            <w:vAlign w:val="center"/>
            <w:hideMark/>
          </w:tcPr>
          <w:p w14:paraId="31171F2A"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single" w:sz="4" w:space="0" w:color="000000"/>
            </w:tcBorders>
            <w:vAlign w:val="center"/>
            <w:hideMark/>
          </w:tcPr>
          <w:p w14:paraId="5F1367CC" w14:textId="77777777" w:rsidR="007A7FA3" w:rsidRPr="007A7FA3" w:rsidRDefault="007A7FA3" w:rsidP="007A7FA3">
            <w:pPr>
              <w:rPr>
                <w:rFonts w:ascii="Calibri" w:hAnsi="Calibri" w:cs="Calibri"/>
                <w:i/>
                <w:iCs/>
                <w:color w:val="000000"/>
                <w:sz w:val="13"/>
                <w:szCs w:val="13"/>
              </w:rPr>
            </w:pPr>
          </w:p>
        </w:tc>
        <w:tc>
          <w:tcPr>
            <w:tcW w:w="544" w:type="dxa"/>
            <w:tcBorders>
              <w:top w:val="nil"/>
              <w:left w:val="nil"/>
              <w:bottom w:val="single" w:sz="4" w:space="0" w:color="000000"/>
              <w:right w:val="single" w:sz="4" w:space="0" w:color="000000"/>
            </w:tcBorders>
            <w:shd w:val="clear" w:color="auto" w:fill="auto"/>
            <w:vAlign w:val="center"/>
            <w:hideMark/>
          </w:tcPr>
          <w:p w14:paraId="0681D946"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71600</w:t>
            </w:r>
          </w:p>
        </w:tc>
        <w:tc>
          <w:tcPr>
            <w:tcW w:w="1580" w:type="dxa"/>
            <w:tcBorders>
              <w:top w:val="nil"/>
              <w:left w:val="nil"/>
              <w:bottom w:val="single" w:sz="4" w:space="0" w:color="000000"/>
              <w:right w:val="single" w:sz="4" w:space="0" w:color="000000"/>
            </w:tcBorders>
            <w:shd w:val="clear" w:color="auto" w:fill="auto"/>
            <w:vAlign w:val="bottom"/>
            <w:hideMark/>
          </w:tcPr>
          <w:p w14:paraId="3E7915F1"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Travel</w:t>
            </w:r>
          </w:p>
        </w:tc>
        <w:tc>
          <w:tcPr>
            <w:tcW w:w="694" w:type="dxa"/>
            <w:tcBorders>
              <w:top w:val="nil"/>
              <w:left w:val="nil"/>
              <w:bottom w:val="single" w:sz="4" w:space="0" w:color="000000"/>
              <w:right w:val="single" w:sz="4" w:space="0" w:color="000000"/>
            </w:tcBorders>
            <w:shd w:val="clear" w:color="auto" w:fill="auto"/>
            <w:noWrap/>
            <w:vAlign w:val="bottom"/>
            <w:hideMark/>
          </w:tcPr>
          <w:p w14:paraId="464B8B4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05" w:type="dxa"/>
            <w:tcBorders>
              <w:top w:val="nil"/>
              <w:left w:val="nil"/>
              <w:bottom w:val="single" w:sz="4" w:space="0" w:color="000000"/>
              <w:right w:val="single" w:sz="4" w:space="0" w:color="000000"/>
            </w:tcBorders>
            <w:shd w:val="clear" w:color="auto" w:fill="auto"/>
            <w:noWrap/>
            <w:vAlign w:val="bottom"/>
            <w:hideMark/>
          </w:tcPr>
          <w:p w14:paraId="5B2AFCA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26" w:type="dxa"/>
            <w:tcBorders>
              <w:top w:val="nil"/>
              <w:left w:val="nil"/>
              <w:bottom w:val="single" w:sz="4" w:space="0" w:color="000000"/>
              <w:right w:val="single" w:sz="4" w:space="0" w:color="000000"/>
            </w:tcBorders>
            <w:shd w:val="clear" w:color="auto" w:fill="auto"/>
            <w:noWrap/>
            <w:vAlign w:val="bottom"/>
            <w:hideMark/>
          </w:tcPr>
          <w:p w14:paraId="1B2AA48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64" w:type="dxa"/>
            <w:tcBorders>
              <w:top w:val="nil"/>
              <w:left w:val="nil"/>
              <w:bottom w:val="single" w:sz="4" w:space="0" w:color="000000"/>
              <w:right w:val="single" w:sz="4" w:space="0" w:color="000000"/>
            </w:tcBorders>
            <w:shd w:val="clear" w:color="auto" w:fill="auto"/>
            <w:noWrap/>
            <w:vAlign w:val="bottom"/>
            <w:hideMark/>
          </w:tcPr>
          <w:p w14:paraId="4DF6821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34" w:type="dxa"/>
            <w:tcBorders>
              <w:top w:val="nil"/>
              <w:left w:val="nil"/>
              <w:bottom w:val="single" w:sz="4" w:space="0" w:color="000000"/>
              <w:right w:val="single" w:sz="4" w:space="0" w:color="000000"/>
            </w:tcBorders>
            <w:shd w:val="clear" w:color="auto" w:fill="auto"/>
            <w:noWrap/>
            <w:vAlign w:val="bottom"/>
            <w:hideMark/>
          </w:tcPr>
          <w:p w14:paraId="04E8BAC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7" w:type="dxa"/>
            <w:tcBorders>
              <w:top w:val="nil"/>
              <w:left w:val="nil"/>
              <w:bottom w:val="single" w:sz="4" w:space="0" w:color="000000"/>
              <w:right w:val="single" w:sz="4" w:space="0" w:color="000000"/>
            </w:tcBorders>
            <w:shd w:val="clear" w:color="auto" w:fill="auto"/>
            <w:noWrap/>
            <w:vAlign w:val="bottom"/>
            <w:hideMark/>
          </w:tcPr>
          <w:p w14:paraId="6F51BCF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2DCACEF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58735437"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3</w:t>
            </w:r>
          </w:p>
        </w:tc>
      </w:tr>
      <w:tr w:rsidR="007A7FA3" w:rsidRPr="007A7FA3" w14:paraId="30CF8294" w14:textId="77777777" w:rsidTr="007A7FA3">
        <w:trPr>
          <w:trHeight w:val="240"/>
        </w:trPr>
        <w:tc>
          <w:tcPr>
            <w:tcW w:w="1086" w:type="dxa"/>
            <w:vMerge/>
            <w:tcBorders>
              <w:top w:val="nil"/>
              <w:left w:val="single" w:sz="8" w:space="0" w:color="auto"/>
              <w:bottom w:val="single" w:sz="4" w:space="0" w:color="000000"/>
              <w:right w:val="nil"/>
            </w:tcBorders>
            <w:vAlign w:val="center"/>
            <w:hideMark/>
          </w:tcPr>
          <w:p w14:paraId="581B2A16" w14:textId="77777777" w:rsidR="007A7FA3" w:rsidRPr="007A7FA3" w:rsidRDefault="007A7FA3" w:rsidP="007A7FA3">
            <w:pPr>
              <w:rPr>
                <w:rFonts w:ascii="Calibri" w:hAnsi="Calibri" w:cs="Calibri"/>
                <w:i/>
                <w:iCs/>
                <w:color w:val="000000"/>
                <w:sz w:val="13"/>
                <w:szCs w:val="13"/>
              </w:rPr>
            </w:pPr>
          </w:p>
        </w:tc>
        <w:tc>
          <w:tcPr>
            <w:tcW w:w="871" w:type="dxa"/>
            <w:vMerge/>
            <w:tcBorders>
              <w:top w:val="single" w:sz="4" w:space="0" w:color="000000"/>
              <w:left w:val="single" w:sz="4" w:space="0" w:color="000000"/>
              <w:bottom w:val="single" w:sz="4" w:space="0" w:color="000000"/>
              <w:right w:val="single" w:sz="4" w:space="0" w:color="000000"/>
            </w:tcBorders>
            <w:vAlign w:val="center"/>
            <w:hideMark/>
          </w:tcPr>
          <w:p w14:paraId="252A802F"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6A845E04"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single" w:sz="4" w:space="0" w:color="000000"/>
              <w:bottom w:val="nil"/>
              <w:right w:val="single" w:sz="4" w:space="0" w:color="000000"/>
            </w:tcBorders>
            <w:vAlign w:val="center"/>
            <w:hideMark/>
          </w:tcPr>
          <w:p w14:paraId="7317C293" w14:textId="77777777" w:rsidR="007A7FA3" w:rsidRPr="007A7FA3" w:rsidRDefault="007A7FA3" w:rsidP="007A7FA3">
            <w:pPr>
              <w:rPr>
                <w:rFonts w:ascii="Calibri" w:hAnsi="Calibri" w:cs="Calibri"/>
                <w:i/>
                <w:iCs/>
                <w:color w:val="000000"/>
                <w:sz w:val="13"/>
                <w:szCs w:val="13"/>
              </w:rPr>
            </w:pPr>
          </w:p>
        </w:tc>
        <w:tc>
          <w:tcPr>
            <w:tcW w:w="504" w:type="dxa"/>
            <w:tcBorders>
              <w:top w:val="nil"/>
              <w:left w:val="nil"/>
              <w:bottom w:val="single" w:sz="4" w:space="0" w:color="000000"/>
              <w:right w:val="single" w:sz="4" w:space="0" w:color="000000"/>
            </w:tcBorders>
            <w:shd w:val="clear" w:color="auto" w:fill="auto"/>
            <w:vAlign w:val="center"/>
            <w:hideMark/>
          </w:tcPr>
          <w:p w14:paraId="71907CA8"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single" w:sz="4" w:space="0" w:color="000000"/>
            </w:tcBorders>
            <w:vAlign w:val="center"/>
            <w:hideMark/>
          </w:tcPr>
          <w:p w14:paraId="4F0B3197" w14:textId="77777777" w:rsidR="007A7FA3" w:rsidRPr="007A7FA3" w:rsidRDefault="007A7FA3" w:rsidP="007A7FA3">
            <w:pPr>
              <w:rPr>
                <w:rFonts w:ascii="Calibri" w:hAnsi="Calibri" w:cs="Calibri"/>
                <w:i/>
                <w:iCs/>
                <w:color w:val="000000"/>
                <w:sz w:val="13"/>
                <w:szCs w:val="13"/>
              </w:rPr>
            </w:pPr>
          </w:p>
        </w:tc>
        <w:tc>
          <w:tcPr>
            <w:tcW w:w="544" w:type="dxa"/>
            <w:tcBorders>
              <w:top w:val="nil"/>
              <w:left w:val="nil"/>
              <w:bottom w:val="single" w:sz="4" w:space="0" w:color="000000"/>
              <w:right w:val="single" w:sz="4" w:space="0" w:color="000000"/>
            </w:tcBorders>
            <w:shd w:val="clear" w:color="auto" w:fill="auto"/>
            <w:vAlign w:val="center"/>
            <w:hideMark/>
          </w:tcPr>
          <w:p w14:paraId="7B7A51BB"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72100</w:t>
            </w:r>
          </w:p>
        </w:tc>
        <w:tc>
          <w:tcPr>
            <w:tcW w:w="1580" w:type="dxa"/>
            <w:tcBorders>
              <w:top w:val="nil"/>
              <w:left w:val="nil"/>
              <w:bottom w:val="single" w:sz="4" w:space="0" w:color="000000"/>
              <w:right w:val="single" w:sz="4" w:space="0" w:color="000000"/>
            </w:tcBorders>
            <w:shd w:val="clear" w:color="auto" w:fill="auto"/>
            <w:vAlign w:val="bottom"/>
            <w:hideMark/>
          </w:tcPr>
          <w:p w14:paraId="1E9E7802"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Contractual Services - Companies</w:t>
            </w:r>
          </w:p>
        </w:tc>
        <w:tc>
          <w:tcPr>
            <w:tcW w:w="694" w:type="dxa"/>
            <w:tcBorders>
              <w:top w:val="nil"/>
              <w:left w:val="nil"/>
              <w:bottom w:val="single" w:sz="4" w:space="0" w:color="000000"/>
              <w:right w:val="single" w:sz="4" w:space="0" w:color="000000"/>
            </w:tcBorders>
            <w:shd w:val="clear" w:color="auto" w:fill="auto"/>
            <w:noWrap/>
            <w:vAlign w:val="bottom"/>
            <w:hideMark/>
          </w:tcPr>
          <w:p w14:paraId="406EAEF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3,000 </w:t>
            </w:r>
          </w:p>
        </w:tc>
        <w:tc>
          <w:tcPr>
            <w:tcW w:w="805" w:type="dxa"/>
            <w:tcBorders>
              <w:top w:val="nil"/>
              <w:left w:val="nil"/>
              <w:bottom w:val="single" w:sz="4" w:space="0" w:color="000000"/>
              <w:right w:val="single" w:sz="4" w:space="0" w:color="000000"/>
            </w:tcBorders>
            <w:shd w:val="clear" w:color="auto" w:fill="auto"/>
            <w:noWrap/>
            <w:vAlign w:val="bottom"/>
            <w:hideMark/>
          </w:tcPr>
          <w:p w14:paraId="713BAD3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3,000 </w:t>
            </w:r>
          </w:p>
        </w:tc>
        <w:tc>
          <w:tcPr>
            <w:tcW w:w="826" w:type="dxa"/>
            <w:tcBorders>
              <w:top w:val="nil"/>
              <w:left w:val="nil"/>
              <w:bottom w:val="single" w:sz="4" w:space="0" w:color="000000"/>
              <w:right w:val="single" w:sz="4" w:space="0" w:color="000000"/>
            </w:tcBorders>
            <w:shd w:val="clear" w:color="auto" w:fill="auto"/>
            <w:noWrap/>
            <w:vAlign w:val="bottom"/>
            <w:hideMark/>
          </w:tcPr>
          <w:p w14:paraId="1972307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64" w:type="dxa"/>
            <w:tcBorders>
              <w:top w:val="nil"/>
              <w:left w:val="nil"/>
              <w:bottom w:val="single" w:sz="4" w:space="0" w:color="000000"/>
              <w:right w:val="single" w:sz="4" w:space="0" w:color="000000"/>
            </w:tcBorders>
            <w:shd w:val="clear" w:color="auto" w:fill="auto"/>
            <w:noWrap/>
            <w:vAlign w:val="bottom"/>
            <w:hideMark/>
          </w:tcPr>
          <w:p w14:paraId="4CBA125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34" w:type="dxa"/>
            <w:tcBorders>
              <w:top w:val="nil"/>
              <w:left w:val="nil"/>
              <w:bottom w:val="single" w:sz="4" w:space="0" w:color="000000"/>
              <w:right w:val="single" w:sz="4" w:space="0" w:color="000000"/>
            </w:tcBorders>
            <w:shd w:val="clear" w:color="auto" w:fill="auto"/>
            <w:noWrap/>
            <w:vAlign w:val="bottom"/>
            <w:hideMark/>
          </w:tcPr>
          <w:p w14:paraId="195E1D3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7" w:type="dxa"/>
            <w:tcBorders>
              <w:top w:val="nil"/>
              <w:left w:val="nil"/>
              <w:bottom w:val="single" w:sz="4" w:space="0" w:color="000000"/>
              <w:right w:val="single" w:sz="4" w:space="0" w:color="000000"/>
            </w:tcBorders>
            <w:shd w:val="clear" w:color="auto" w:fill="auto"/>
            <w:noWrap/>
            <w:vAlign w:val="bottom"/>
            <w:hideMark/>
          </w:tcPr>
          <w:p w14:paraId="4A92EA9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013EA47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5B38E5AA"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4</w:t>
            </w:r>
          </w:p>
        </w:tc>
      </w:tr>
      <w:tr w:rsidR="007A7FA3" w:rsidRPr="007A7FA3" w14:paraId="7D26C274" w14:textId="77777777" w:rsidTr="007A7FA3">
        <w:trPr>
          <w:trHeight w:val="300"/>
        </w:trPr>
        <w:tc>
          <w:tcPr>
            <w:tcW w:w="1086" w:type="dxa"/>
            <w:vMerge/>
            <w:tcBorders>
              <w:top w:val="nil"/>
              <w:left w:val="single" w:sz="8" w:space="0" w:color="auto"/>
              <w:bottom w:val="single" w:sz="4" w:space="0" w:color="000000"/>
              <w:right w:val="nil"/>
            </w:tcBorders>
            <w:vAlign w:val="center"/>
            <w:hideMark/>
          </w:tcPr>
          <w:p w14:paraId="23D12236" w14:textId="77777777" w:rsidR="007A7FA3" w:rsidRPr="007A7FA3" w:rsidRDefault="007A7FA3" w:rsidP="007A7FA3">
            <w:pPr>
              <w:rPr>
                <w:rFonts w:ascii="Calibri" w:hAnsi="Calibri" w:cs="Calibri"/>
                <w:i/>
                <w:iCs/>
                <w:color w:val="000000"/>
                <w:sz w:val="13"/>
                <w:szCs w:val="13"/>
              </w:rPr>
            </w:pPr>
          </w:p>
        </w:tc>
        <w:tc>
          <w:tcPr>
            <w:tcW w:w="871" w:type="dxa"/>
            <w:vMerge/>
            <w:tcBorders>
              <w:top w:val="single" w:sz="4" w:space="0" w:color="000000"/>
              <w:left w:val="single" w:sz="4" w:space="0" w:color="000000"/>
              <w:bottom w:val="single" w:sz="4" w:space="0" w:color="000000"/>
              <w:right w:val="single" w:sz="4" w:space="0" w:color="000000"/>
            </w:tcBorders>
            <w:vAlign w:val="center"/>
            <w:hideMark/>
          </w:tcPr>
          <w:p w14:paraId="291A3F2B"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6EF62E62"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single" w:sz="4" w:space="0" w:color="000000"/>
              <w:bottom w:val="nil"/>
              <w:right w:val="single" w:sz="4" w:space="0" w:color="000000"/>
            </w:tcBorders>
            <w:vAlign w:val="center"/>
            <w:hideMark/>
          </w:tcPr>
          <w:p w14:paraId="755E56AA" w14:textId="77777777" w:rsidR="007A7FA3" w:rsidRPr="007A7FA3" w:rsidRDefault="007A7FA3" w:rsidP="007A7FA3">
            <w:pPr>
              <w:rPr>
                <w:rFonts w:ascii="Calibri" w:hAnsi="Calibri" w:cs="Calibri"/>
                <w:i/>
                <w:iCs/>
                <w:color w:val="000000"/>
                <w:sz w:val="13"/>
                <w:szCs w:val="13"/>
              </w:rPr>
            </w:pPr>
          </w:p>
        </w:tc>
        <w:tc>
          <w:tcPr>
            <w:tcW w:w="504" w:type="dxa"/>
            <w:tcBorders>
              <w:top w:val="nil"/>
              <w:left w:val="nil"/>
              <w:bottom w:val="single" w:sz="4" w:space="0" w:color="000000"/>
              <w:right w:val="single" w:sz="4" w:space="0" w:color="000000"/>
            </w:tcBorders>
            <w:shd w:val="clear" w:color="auto" w:fill="auto"/>
            <w:vAlign w:val="center"/>
            <w:hideMark/>
          </w:tcPr>
          <w:p w14:paraId="3F2FBBB5"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single" w:sz="4" w:space="0" w:color="000000"/>
            </w:tcBorders>
            <w:vAlign w:val="center"/>
            <w:hideMark/>
          </w:tcPr>
          <w:p w14:paraId="2540E3A6" w14:textId="77777777" w:rsidR="007A7FA3" w:rsidRPr="007A7FA3" w:rsidRDefault="007A7FA3" w:rsidP="007A7FA3">
            <w:pPr>
              <w:rPr>
                <w:rFonts w:ascii="Calibri" w:hAnsi="Calibri" w:cs="Calibri"/>
                <w:i/>
                <w:iCs/>
                <w:color w:val="000000"/>
                <w:sz w:val="13"/>
                <w:szCs w:val="13"/>
              </w:rPr>
            </w:pPr>
          </w:p>
        </w:tc>
        <w:tc>
          <w:tcPr>
            <w:tcW w:w="544" w:type="dxa"/>
            <w:tcBorders>
              <w:top w:val="nil"/>
              <w:left w:val="nil"/>
              <w:bottom w:val="single" w:sz="4" w:space="0" w:color="000000"/>
              <w:right w:val="single" w:sz="4" w:space="0" w:color="000000"/>
            </w:tcBorders>
            <w:shd w:val="clear" w:color="auto" w:fill="auto"/>
            <w:vAlign w:val="center"/>
            <w:hideMark/>
          </w:tcPr>
          <w:p w14:paraId="456A296D"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72400</w:t>
            </w:r>
          </w:p>
        </w:tc>
        <w:tc>
          <w:tcPr>
            <w:tcW w:w="1580" w:type="dxa"/>
            <w:tcBorders>
              <w:top w:val="nil"/>
              <w:left w:val="nil"/>
              <w:bottom w:val="single" w:sz="4" w:space="0" w:color="000000"/>
              <w:right w:val="single" w:sz="4" w:space="0" w:color="000000"/>
            </w:tcBorders>
            <w:shd w:val="clear" w:color="auto" w:fill="auto"/>
            <w:vAlign w:val="bottom"/>
            <w:hideMark/>
          </w:tcPr>
          <w:p w14:paraId="14C41770"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Communic &amp; Audio Visual Equip</w:t>
            </w:r>
          </w:p>
        </w:tc>
        <w:tc>
          <w:tcPr>
            <w:tcW w:w="694" w:type="dxa"/>
            <w:tcBorders>
              <w:top w:val="nil"/>
              <w:left w:val="nil"/>
              <w:bottom w:val="single" w:sz="4" w:space="0" w:color="000000"/>
              <w:right w:val="single" w:sz="4" w:space="0" w:color="000000"/>
            </w:tcBorders>
            <w:shd w:val="clear" w:color="auto" w:fill="auto"/>
            <w:noWrap/>
            <w:vAlign w:val="bottom"/>
            <w:hideMark/>
          </w:tcPr>
          <w:p w14:paraId="41C3D93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 </w:t>
            </w:r>
          </w:p>
        </w:tc>
        <w:tc>
          <w:tcPr>
            <w:tcW w:w="805" w:type="dxa"/>
            <w:tcBorders>
              <w:top w:val="nil"/>
              <w:left w:val="nil"/>
              <w:bottom w:val="single" w:sz="4" w:space="0" w:color="000000"/>
              <w:right w:val="single" w:sz="4" w:space="0" w:color="000000"/>
            </w:tcBorders>
            <w:shd w:val="clear" w:color="auto" w:fill="auto"/>
            <w:noWrap/>
            <w:vAlign w:val="bottom"/>
            <w:hideMark/>
          </w:tcPr>
          <w:p w14:paraId="116FD47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 </w:t>
            </w:r>
          </w:p>
        </w:tc>
        <w:tc>
          <w:tcPr>
            <w:tcW w:w="826" w:type="dxa"/>
            <w:tcBorders>
              <w:top w:val="nil"/>
              <w:left w:val="nil"/>
              <w:bottom w:val="single" w:sz="4" w:space="0" w:color="000000"/>
              <w:right w:val="single" w:sz="4" w:space="0" w:color="000000"/>
            </w:tcBorders>
            <w:shd w:val="clear" w:color="auto" w:fill="auto"/>
            <w:noWrap/>
            <w:vAlign w:val="bottom"/>
            <w:hideMark/>
          </w:tcPr>
          <w:p w14:paraId="0A35A9E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64" w:type="dxa"/>
            <w:tcBorders>
              <w:top w:val="nil"/>
              <w:left w:val="nil"/>
              <w:bottom w:val="single" w:sz="4" w:space="0" w:color="000000"/>
              <w:right w:val="single" w:sz="4" w:space="0" w:color="000000"/>
            </w:tcBorders>
            <w:shd w:val="clear" w:color="auto" w:fill="auto"/>
            <w:noWrap/>
            <w:vAlign w:val="bottom"/>
            <w:hideMark/>
          </w:tcPr>
          <w:p w14:paraId="47C3B4E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34" w:type="dxa"/>
            <w:tcBorders>
              <w:top w:val="nil"/>
              <w:left w:val="nil"/>
              <w:bottom w:val="single" w:sz="4" w:space="0" w:color="000000"/>
              <w:right w:val="single" w:sz="4" w:space="0" w:color="000000"/>
            </w:tcBorders>
            <w:shd w:val="clear" w:color="auto" w:fill="auto"/>
            <w:noWrap/>
            <w:vAlign w:val="bottom"/>
            <w:hideMark/>
          </w:tcPr>
          <w:p w14:paraId="39FF94F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7" w:type="dxa"/>
            <w:tcBorders>
              <w:top w:val="nil"/>
              <w:left w:val="nil"/>
              <w:bottom w:val="single" w:sz="4" w:space="0" w:color="000000"/>
              <w:right w:val="single" w:sz="4" w:space="0" w:color="000000"/>
            </w:tcBorders>
            <w:shd w:val="clear" w:color="auto" w:fill="auto"/>
            <w:noWrap/>
            <w:vAlign w:val="bottom"/>
            <w:hideMark/>
          </w:tcPr>
          <w:p w14:paraId="1D020D5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72C76F8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680E06C6"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5</w:t>
            </w:r>
          </w:p>
        </w:tc>
      </w:tr>
      <w:tr w:rsidR="007A7FA3" w:rsidRPr="007A7FA3" w14:paraId="37262F68" w14:textId="77777777" w:rsidTr="007A7FA3">
        <w:trPr>
          <w:trHeight w:val="675"/>
        </w:trPr>
        <w:tc>
          <w:tcPr>
            <w:tcW w:w="1086" w:type="dxa"/>
            <w:vMerge/>
            <w:tcBorders>
              <w:top w:val="nil"/>
              <w:left w:val="single" w:sz="8" w:space="0" w:color="auto"/>
              <w:bottom w:val="single" w:sz="4" w:space="0" w:color="000000"/>
              <w:right w:val="nil"/>
            </w:tcBorders>
            <w:vAlign w:val="center"/>
            <w:hideMark/>
          </w:tcPr>
          <w:p w14:paraId="52FEC4E4" w14:textId="77777777" w:rsidR="007A7FA3" w:rsidRPr="007A7FA3" w:rsidRDefault="007A7FA3" w:rsidP="007A7FA3">
            <w:pPr>
              <w:rPr>
                <w:rFonts w:ascii="Calibri" w:hAnsi="Calibri" w:cs="Calibri"/>
                <w:i/>
                <w:iCs/>
                <w:color w:val="000000"/>
                <w:sz w:val="13"/>
                <w:szCs w:val="13"/>
              </w:rPr>
            </w:pPr>
          </w:p>
        </w:tc>
        <w:tc>
          <w:tcPr>
            <w:tcW w:w="871" w:type="dxa"/>
            <w:vMerge/>
            <w:tcBorders>
              <w:top w:val="single" w:sz="4" w:space="0" w:color="000000"/>
              <w:left w:val="single" w:sz="4" w:space="0" w:color="000000"/>
              <w:bottom w:val="single" w:sz="4" w:space="0" w:color="000000"/>
              <w:right w:val="single" w:sz="4" w:space="0" w:color="000000"/>
            </w:tcBorders>
            <w:vAlign w:val="center"/>
            <w:hideMark/>
          </w:tcPr>
          <w:p w14:paraId="12D43646"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7232CDEE" w14:textId="77777777" w:rsidR="007A7FA3" w:rsidRPr="007A7FA3" w:rsidRDefault="007A7FA3" w:rsidP="007A7FA3">
            <w:pPr>
              <w:rPr>
                <w:rFonts w:ascii="Calibri" w:hAnsi="Calibri" w:cs="Calibri"/>
                <w:i/>
                <w:iCs/>
                <w:color w:val="000000"/>
                <w:sz w:val="13"/>
                <w:szCs w:val="13"/>
              </w:rPr>
            </w:pPr>
          </w:p>
        </w:tc>
        <w:tc>
          <w:tcPr>
            <w:tcW w:w="3763" w:type="dxa"/>
            <w:gridSpan w:val="5"/>
            <w:tcBorders>
              <w:top w:val="single" w:sz="4" w:space="0" w:color="000000"/>
              <w:left w:val="nil"/>
              <w:bottom w:val="single" w:sz="4" w:space="0" w:color="000000"/>
              <w:right w:val="single" w:sz="4" w:space="0" w:color="000000"/>
            </w:tcBorders>
            <w:shd w:val="clear" w:color="auto" w:fill="auto"/>
            <w:vAlign w:val="center"/>
            <w:hideMark/>
          </w:tcPr>
          <w:p w14:paraId="22130DA3" w14:textId="77777777" w:rsidR="007A7FA3" w:rsidRPr="007A7FA3" w:rsidRDefault="007A7FA3" w:rsidP="007A7FA3">
            <w:pPr>
              <w:rPr>
                <w:rFonts w:ascii="Calibri" w:hAnsi="Calibri" w:cs="Calibri"/>
                <w:b/>
                <w:bCs/>
                <w:i/>
                <w:iCs/>
                <w:color w:val="000000"/>
                <w:sz w:val="13"/>
                <w:szCs w:val="13"/>
              </w:rPr>
            </w:pPr>
            <w:r w:rsidRPr="007A7FA3">
              <w:rPr>
                <w:rFonts w:ascii="Calibri" w:hAnsi="Calibri" w:cs="Calibri"/>
                <w:b/>
                <w:bCs/>
                <w:i/>
                <w:iCs/>
                <w:color w:val="000000"/>
                <w:sz w:val="13"/>
                <w:szCs w:val="13"/>
              </w:rPr>
              <w:t>Total BCC</w:t>
            </w:r>
          </w:p>
        </w:tc>
        <w:tc>
          <w:tcPr>
            <w:tcW w:w="694" w:type="dxa"/>
            <w:tcBorders>
              <w:top w:val="nil"/>
              <w:left w:val="nil"/>
              <w:bottom w:val="single" w:sz="4" w:space="0" w:color="000000"/>
              <w:right w:val="single" w:sz="4" w:space="0" w:color="000000"/>
            </w:tcBorders>
            <w:shd w:val="clear" w:color="auto" w:fill="auto"/>
            <w:noWrap/>
            <w:vAlign w:val="bottom"/>
            <w:hideMark/>
          </w:tcPr>
          <w:p w14:paraId="4FFEE887"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50,000 </w:t>
            </w:r>
          </w:p>
        </w:tc>
        <w:tc>
          <w:tcPr>
            <w:tcW w:w="805" w:type="dxa"/>
            <w:tcBorders>
              <w:top w:val="nil"/>
              <w:left w:val="nil"/>
              <w:bottom w:val="single" w:sz="4" w:space="0" w:color="000000"/>
              <w:right w:val="single" w:sz="4" w:space="0" w:color="000000"/>
            </w:tcBorders>
            <w:shd w:val="clear" w:color="auto" w:fill="auto"/>
            <w:noWrap/>
            <w:vAlign w:val="bottom"/>
            <w:hideMark/>
          </w:tcPr>
          <w:p w14:paraId="012B535F"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50,000 </w:t>
            </w:r>
          </w:p>
        </w:tc>
        <w:tc>
          <w:tcPr>
            <w:tcW w:w="826" w:type="dxa"/>
            <w:tcBorders>
              <w:top w:val="nil"/>
              <w:left w:val="nil"/>
              <w:bottom w:val="single" w:sz="4" w:space="0" w:color="000000"/>
              <w:right w:val="single" w:sz="4" w:space="0" w:color="000000"/>
            </w:tcBorders>
            <w:shd w:val="clear" w:color="auto" w:fill="auto"/>
            <w:noWrap/>
            <w:vAlign w:val="bottom"/>
            <w:hideMark/>
          </w:tcPr>
          <w:p w14:paraId="762A0C32"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64" w:type="dxa"/>
            <w:tcBorders>
              <w:top w:val="nil"/>
              <w:left w:val="nil"/>
              <w:bottom w:val="single" w:sz="4" w:space="0" w:color="000000"/>
              <w:right w:val="single" w:sz="4" w:space="0" w:color="000000"/>
            </w:tcBorders>
            <w:shd w:val="clear" w:color="auto" w:fill="auto"/>
            <w:noWrap/>
            <w:vAlign w:val="bottom"/>
            <w:hideMark/>
          </w:tcPr>
          <w:p w14:paraId="4622CC35"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34" w:type="dxa"/>
            <w:tcBorders>
              <w:top w:val="nil"/>
              <w:left w:val="nil"/>
              <w:bottom w:val="single" w:sz="4" w:space="0" w:color="000000"/>
              <w:right w:val="single" w:sz="4" w:space="0" w:color="000000"/>
            </w:tcBorders>
            <w:shd w:val="clear" w:color="auto" w:fill="auto"/>
            <w:noWrap/>
            <w:vAlign w:val="bottom"/>
            <w:hideMark/>
          </w:tcPr>
          <w:p w14:paraId="4000DDCD"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27" w:type="dxa"/>
            <w:tcBorders>
              <w:top w:val="nil"/>
              <w:left w:val="nil"/>
              <w:bottom w:val="single" w:sz="4" w:space="0" w:color="000000"/>
              <w:right w:val="single" w:sz="4" w:space="0" w:color="000000"/>
            </w:tcBorders>
            <w:shd w:val="clear" w:color="auto" w:fill="auto"/>
            <w:noWrap/>
            <w:vAlign w:val="bottom"/>
            <w:hideMark/>
          </w:tcPr>
          <w:p w14:paraId="7C49E56C"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980" w:type="dxa"/>
            <w:tcBorders>
              <w:top w:val="single" w:sz="8" w:space="0" w:color="000000"/>
              <w:left w:val="nil"/>
              <w:bottom w:val="single" w:sz="4" w:space="0" w:color="000000"/>
              <w:right w:val="nil"/>
            </w:tcBorders>
            <w:shd w:val="clear" w:color="auto" w:fill="auto"/>
            <w:noWrap/>
            <w:vAlign w:val="bottom"/>
            <w:hideMark/>
          </w:tcPr>
          <w:p w14:paraId="39F36C47"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100,000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4A8DA600"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20E72AE9" w14:textId="77777777" w:rsidTr="007A7FA3">
        <w:trPr>
          <w:trHeight w:val="210"/>
        </w:trPr>
        <w:tc>
          <w:tcPr>
            <w:tcW w:w="1086" w:type="dxa"/>
            <w:vMerge/>
            <w:tcBorders>
              <w:top w:val="nil"/>
              <w:left w:val="single" w:sz="8" w:space="0" w:color="auto"/>
              <w:bottom w:val="single" w:sz="4" w:space="0" w:color="000000"/>
              <w:right w:val="nil"/>
            </w:tcBorders>
            <w:vAlign w:val="center"/>
            <w:hideMark/>
          </w:tcPr>
          <w:p w14:paraId="4EF587B7" w14:textId="77777777" w:rsidR="007A7FA3" w:rsidRPr="007A7FA3" w:rsidRDefault="007A7FA3" w:rsidP="007A7FA3">
            <w:pPr>
              <w:rPr>
                <w:rFonts w:ascii="Calibri" w:hAnsi="Calibri" w:cs="Calibri"/>
                <w:i/>
                <w:iCs/>
                <w:color w:val="000000"/>
                <w:sz w:val="13"/>
                <w:szCs w:val="13"/>
              </w:rPr>
            </w:pPr>
          </w:p>
        </w:tc>
        <w:tc>
          <w:tcPr>
            <w:tcW w:w="871" w:type="dxa"/>
            <w:vMerge/>
            <w:tcBorders>
              <w:top w:val="single" w:sz="4" w:space="0" w:color="000000"/>
              <w:left w:val="single" w:sz="4" w:space="0" w:color="000000"/>
              <w:bottom w:val="single" w:sz="4" w:space="0" w:color="000000"/>
              <w:right w:val="single" w:sz="4" w:space="0" w:color="000000"/>
            </w:tcBorders>
            <w:vAlign w:val="center"/>
            <w:hideMark/>
          </w:tcPr>
          <w:p w14:paraId="3C6456A4" w14:textId="77777777" w:rsidR="007A7FA3" w:rsidRPr="007A7FA3" w:rsidRDefault="007A7FA3" w:rsidP="007A7FA3">
            <w:pPr>
              <w:rPr>
                <w:rFonts w:ascii="Calibri" w:hAnsi="Calibri" w:cs="Calibri"/>
                <w:i/>
                <w:iCs/>
                <w:color w:val="000000"/>
                <w:sz w:val="13"/>
                <w:szCs w:val="13"/>
              </w:rPr>
            </w:pPr>
          </w:p>
        </w:tc>
        <w:tc>
          <w:tcPr>
            <w:tcW w:w="5779" w:type="dxa"/>
            <w:gridSpan w:val="6"/>
            <w:tcBorders>
              <w:top w:val="single" w:sz="4" w:space="0" w:color="000000"/>
              <w:left w:val="nil"/>
              <w:bottom w:val="single" w:sz="4" w:space="0" w:color="000000"/>
              <w:right w:val="single" w:sz="4" w:space="0" w:color="000000"/>
            </w:tcBorders>
            <w:shd w:val="clear" w:color="auto" w:fill="auto"/>
            <w:vAlign w:val="center"/>
            <w:hideMark/>
          </w:tcPr>
          <w:p w14:paraId="705C9F47"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Total Output 1.1.1</w:t>
            </w:r>
          </w:p>
        </w:tc>
        <w:tc>
          <w:tcPr>
            <w:tcW w:w="694" w:type="dxa"/>
            <w:tcBorders>
              <w:top w:val="nil"/>
              <w:left w:val="nil"/>
              <w:bottom w:val="single" w:sz="4" w:space="0" w:color="000000"/>
              <w:right w:val="single" w:sz="4" w:space="0" w:color="000000"/>
            </w:tcBorders>
            <w:shd w:val="clear" w:color="auto" w:fill="auto"/>
            <w:noWrap/>
            <w:vAlign w:val="bottom"/>
            <w:hideMark/>
          </w:tcPr>
          <w:p w14:paraId="2C574E7F"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50,000 </w:t>
            </w:r>
          </w:p>
        </w:tc>
        <w:tc>
          <w:tcPr>
            <w:tcW w:w="805" w:type="dxa"/>
            <w:tcBorders>
              <w:top w:val="nil"/>
              <w:left w:val="nil"/>
              <w:bottom w:val="single" w:sz="4" w:space="0" w:color="000000"/>
              <w:right w:val="single" w:sz="4" w:space="0" w:color="000000"/>
            </w:tcBorders>
            <w:shd w:val="clear" w:color="auto" w:fill="auto"/>
            <w:noWrap/>
            <w:vAlign w:val="bottom"/>
            <w:hideMark/>
          </w:tcPr>
          <w:p w14:paraId="2C6B209A"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50,000 </w:t>
            </w:r>
          </w:p>
        </w:tc>
        <w:tc>
          <w:tcPr>
            <w:tcW w:w="826" w:type="dxa"/>
            <w:tcBorders>
              <w:top w:val="nil"/>
              <w:left w:val="nil"/>
              <w:bottom w:val="single" w:sz="4" w:space="0" w:color="000000"/>
              <w:right w:val="single" w:sz="4" w:space="0" w:color="000000"/>
            </w:tcBorders>
            <w:shd w:val="clear" w:color="auto" w:fill="auto"/>
            <w:noWrap/>
            <w:vAlign w:val="bottom"/>
            <w:hideMark/>
          </w:tcPr>
          <w:p w14:paraId="24CE6BD8"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64" w:type="dxa"/>
            <w:tcBorders>
              <w:top w:val="nil"/>
              <w:left w:val="nil"/>
              <w:bottom w:val="single" w:sz="4" w:space="0" w:color="000000"/>
              <w:right w:val="single" w:sz="4" w:space="0" w:color="000000"/>
            </w:tcBorders>
            <w:shd w:val="clear" w:color="auto" w:fill="auto"/>
            <w:noWrap/>
            <w:vAlign w:val="bottom"/>
            <w:hideMark/>
          </w:tcPr>
          <w:p w14:paraId="1E0C0447"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34" w:type="dxa"/>
            <w:tcBorders>
              <w:top w:val="nil"/>
              <w:left w:val="nil"/>
              <w:bottom w:val="single" w:sz="4" w:space="0" w:color="000000"/>
              <w:right w:val="single" w:sz="4" w:space="0" w:color="000000"/>
            </w:tcBorders>
            <w:shd w:val="clear" w:color="auto" w:fill="auto"/>
            <w:noWrap/>
            <w:vAlign w:val="bottom"/>
            <w:hideMark/>
          </w:tcPr>
          <w:p w14:paraId="4E0CE438"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27" w:type="dxa"/>
            <w:tcBorders>
              <w:top w:val="nil"/>
              <w:left w:val="nil"/>
              <w:bottom w:val="single" w:sz="4" w:space="0" w:color="000000"/>
              <w:right w:val="single" w:sz="4" w:space="0" w:color="000000"/>
            </w:tcBorders>
            <w:shd w:val="clear" w:color="auto" w:fill="auto"/>
            <w:noWrap/>
            <w:vAlign w:val="bottom"/>
            <w:hideMark/>
          </w:tcPr>
          <w:p w14:paraId="5F9C1CAC"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980" w:type="dxa"/>
            <w:tcBorders>
              <w:top w:val="single" w:sz="8" w:space="0" w:color="000000"/>
              <w:left w:val="nil"/>
              <w:bottom w:val="single" w:sz="4" w:space="0" w:color="000000"/>
              <w:right w:val="nil"/>
            </w:tcBorders>
            <w:shd w:val="clear" w:color="auto" w:fill="auto"/>
            <w:noWrap/>
            <w:vAlign w:val="bottom"/>
            <w:hideMark/>
          </w:tcPr>
          <w:p w14:paraId="0304D4A5"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100,000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6B5E6F77"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5110180A" w14:textId="77777777" w:rsidTr="007A7FA3">
        <w:trPr>
          <w:trHeight w:val="255"/>
        </w:trPr>
        <w:tc>
          <w:tcPr>
            <w:tcW w:w="1086" w:type="dxa"/>
            <w:vMerge/>
            <w:tcBorders>
              <w:top w:val="nil"/>
              <w:left w:val="single" w:sz="8" w:space="0" w:color="auto"/>
              <w:bottom w:val="single" w:sz="4" w:space="0" w:color="000000"/>
              <w:right w:val="nil"/>
            </w:tcBorders>
            <w:vAlign w:val="center"/>
            <w:hideMark/>
          </w:tcPr>
          <w:p w14:paraId="5F65EECE" w14:textId="77777777" w:rsidR="007A7FA3" w:rsidRPr="007A7FA3" w:rsidRDefault="007A7FA3" w:rsidP="007A7FA3">
            <w:pPr>
              <w:rPr>
                <w:rFonts w:ascii="Calibri" w:hAnsi="Calibri" w:cs="Calibri"/>
                <w:i/>
                <w:iCs/>
                <w:color w:val="000000"/>
                <w:sz w:val="13"/>
                <w:szCs w:val="13"/>
              </w:rPr>
            </w:pPr>
          </w:p>
        </w:tc>
        <w:tc>
          <w:tcPr>
            <w:tcW w:w="871" w:type="dxa"/>
            <w:vMerge/>
            <w:tcBorders>
              <w:top w:val="single" w:sz="4" w:space="0" w:color="000000"/>
              <w:left w:val="single" w:sz="4" w:space="0" w:color="000000"/>
              <w:bottom w:val="single" w:sz="4" w:space="0" w:color="000000"/>
              <w:right w:val="single" w:sz="4" w:space="0" w:color="000000"/>
            </w:tcBorders>
            <w:vAlign w:val="center"/>
            <w:hideMark/>
          </w:tcPr>
          <w:p w14:paraId="64873D95" w14:textId="77777777" w:rsidR="007A7FA3" w:rsidRPr="007A7FA3" w:rsidRDefault="007A7FA3" w:rsidP="007A7FA3">
            <w:pPr>
              <w:rPr>
                <w:rFonts w:ascii="Calibri" w:hAnsi="Calibri" w:cs="Calibri"/>
                <w:i/>
                <w:iCs/>
                <w:color w:val="000000"/>
                <w:sz w:val="13"/>
                <w:szCs w:val="13"/>
              </w:rPr>
            </w:pPr>
          </w:p>
        </w:tc>
        <w:tc>
          <w:tcPr>
            <w:tcW w:w="2016" w:type="dxa"/>
            <w:vMerge w:val="restart"/>
            <w:tcBorders>
              <w:top w:val="nil"/>
              <w:left w:val="nil"/>
              <w:bottom w:val="single" w:sz="4" w:space="0" w:color="000000"/>
              <w:right w:val="single" w:sz="4" w:space="0" w:color="000000"/>
            </w:tcBorders>
            <w:shd w:val="clear" w:color="auto" w:fill="auto"/>
            <w:vAlign w:val="center"/>
            <w:hideMark/>
          </w:tcPr>
          <w:p w14:paraId="33527AC9"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 xml:space="preserve">1.1.2 Enhanced management plans  of selected MPAs recognizing the ecological, socioeconomic, and institutional linkages and strategies to address threats that disrupt connectivity and marine ecosystem functionalities prepared with a </w:t>
            </w:r>
            <w:r w:rsidRPr="007A7FA3">
              <w:rPr>
                <w:rFonts w:ascii="Calibri" w:hAnsi="Calibri" w:cs="Calibri"/>
                <w:i/>
                <w:iCs/>
                <w:color w:val="000000"/>
                <w:sz w:val="13"/>
                <w:szCs w:val="13"/>
              </w:rPr>
              <w:lastRenderedPageBreak/>
              <w:t xml:space="preserve">participatory, climate and gender sensitive approach </w:t>
            </w:r>
          </w:p>
        </w:tc>
        <w:tc>
          <w:tcPr>
            <w:tcW w:w="631" w:type="dxa"/>
            <w:vMerge w:val="restart"/>
            <w:tcBorders>
              <w:top w:val="nil"/>
              <w:left w:val="nil"/>
              <w:bottom w:val="nil"/>
              <w:right w:val="nil"/>
            </w:tcBorders>
            <w:shd w:val="clear" w:color="auto" w:fill="auto"/>
            <w:vAlign w:val="center"/>
            <w:hideMark/>
          </w:tcPr>
          <w:p w14:paraId="7E3D3BF2"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lastRenderedPageBreak/>
              <w:t>BCC</w:t>
            </w:r>
          </w:p>
        </w:tc>
        <w:tc>
          <w:tcPr>
            <w:tcW w:w="504" w:type="dxa"/>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0E31A555"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val="restart"/>
            <w:tcBorders>
              <w:top w:val="nil"/>
              <w:left w:val="nil"/>
              <w:bottom w:val="nil"/>
              <w:right w:val="nil"/>
            </w:tcBorders>
            <w:shd w:val="clear" w:color="auto" w:fill="auto"/>
            <w:vAlign w:val="center"/>
            <w:hideMark/>
          </w:tcPr>
          <w:p w14:paraId="21A06F71"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w:t>
            </w:r>
          </w:p>
        </w:tc>
        <w:tc>
          <w:tcPr>
            <w:tcW w:w="544" w:type="dxa"/>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22E0196B"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71200</w:t>
            </w:r>
          </w:p>
        </w:tc>
        <w:tc>
          <w:tcPr>
            <w:tcW w:w="1580" w:type="dxa"/>
            <w:tcBorders>
              <w:top w:val="single" w:sz="8" w:space="0" w:color="000000"/>
              <w:left w:val="nil"/>
              <w:bottom w:val="single" w:sz="4" w:space="0" w:color="000000"/>
              <w:right w:val="single" w:sz="4" w:space="0" w:color="000000"/>
            </w:tcBorders>
            <w:shd w:val="clear" w:color="auto" w:fill="auto"/>
            <w:vAlign w:val="bottom"/>
            <w:hideMark/>
          </w:tcPr>
          <w:p w14:paraId="0A3BEFC5"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International Consultants</w:t>
            </w:r>
          </w:p>
        </w:tc>
        <w:tc>
          <w:tcPr>
            <w:tcW w:w="694" w:type="dxa"/>
            <w:tcBorders>
              <w:top w:val="single" w:sz="8" w:space="0" w:color="000000"/>
              <w:left w:val="nil"/>
              <w:bottom w:val="single" w:sz="4" w:space="0" w:color="000000"/>
              <w:right w:val="single" w:sz="4" w:space="0" w:color="000000"/>
            </w:tcBorders>
            <w:shd w:val="clear" w:color="auto" w:fill="auto"/>
            <w:noWrap/>
            <w:vAlign w:val="bottom"/>
            <w:hideMark/>
          </w:tcPr>
          <w:p w14:paraId="386A208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single" w:sz="8" w:space="0" w:color="000000"/>
              <w:left w:val="nil"/>
              <w:bottom w:val="single" w:sz="4" w:space="0" w:color="000000"/>
              <w:right w:val="single" w:sz="4" w:space="0" w:color="000000"/>
            </w:tcBorders>
            <w:shd w:val="clear" w:color="auto" w:fill="auto"/>
            <w:noWrap/>
            <w:vAlign w:val="bottom"/>
            <w:hideMark/>
          </w:tcPr>
          <w:p w14:paraId="5A6D905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30,000 </w:t>
            </w:r>
          </w:p>
        </w:tc>
        <w:tc>
          <w:tcPr>
            <w:tcW w:w="826" w:type="dxa"/>
            <w:tcBorders>
              <w:top w:val="single" w:sz="8" w:space="0" w:color="000000"/>
              <w:left w:val="nil"/>
              <w:bottom w:val="single" w:sz="4" w:space="0" w:color="000000"/>
              <w:right w:val="single" w:sz="4" w:space="0" w:color="000000"/>
            </w:tcBorders>
            <w:shd w:val="clear" w:color="auto" w:fill="auto"/>
            <w:noWrap/>
            <w:vAlign w:val="bottom"/>
            <w:hideMark/>
          </w:tcPr>
          <w:p w14:paraId="38480CA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15,000 </w:t>
            </w:r>
          </w:p>
        </w:tc>
        <w:tc>
          <w:tcPr>
            <w:tcW w:w="864" w:type="dxa"/>
            <w:tcBorders>
              <w:top w:val="single" w:sz="8" w:space="0" w:color="000000"/>
              <w:left w:val="nil"/>
              <w:bottom w:val="single" w:sz="4" w:space="0" w:color="000000"/>
              <w:right w:val="single" w:sz="4" w:space="0" w:color="000000"/>
            </w:tcBorders>
            <w:shd w:val="clear" w:color="auto" w:fill="auto"/>
            <w:noWrap/>
            <w:vAlign w:val="bottom"/>
            <w:hideMark/>
          </w:tcPr>
          <w:p w14:paraId="3F1A972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15,000 </w:t>
            </w:r>
          </w:p>
        </w:tc>
        <w:tc>
          <w:tcPr>
            <w:tcW w:w="834" w:type="dxa"/>
            <w:tcBorders>
              <w:top w:val="single" w:sz="8" w:space="0" w:color="000000"/>
              <w:left w:val="nil"/>
              <w:bottom w:val="single" w:sz="4" w:space="0" w:color="000000"/>
              <w:right w:val="single" w:sz="4" w:space="0" w:color="000000"/>
            </w:tcBorders>
            <w:shd w:val="clear" w:color="auto" w:fill="auto"/>
            <w:noWrap/>
            <w:vAlign w:val="bottom"/>
            <w:hideMark/>
          </w:tcPr>
          <w:p w14:paraId="7A263C6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20,000 </w:t>
            </w:r>
          </w:p>
        </w:tc>
        <w:tc>
          <w:tcPr>
            <w:tcW w:w="827" w:type="dxa"/>
            <w:tcBorders>
              <w:top w:val="single" w:sz="8" w:space="0" w:color="000000"/>
              <w:left w:val="nil"/>
              <w:bottom w:val="single" w:sz="4" w:space="0" w:color="000000"/>
              <w:right w:val="single" w:sz="4" w:space="0" w:color="000000"/>
            </w:tcBorders>
            <w:shd w:val="clear" w:color="auto" w:fill="auto"/>
            <w:noWrap/>
            <w:vAlign w:val="bottom"/>
            <w:hideMark/>
          </w:tcPr>
          <w:p w14:paraId="27E888A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1ECF0F9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0894D731"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6 </w:t>
            </w:r>
          </w:p>
        </w:tc>
      </w:tr>
      <w:tr w:rsidR="007A7FA3" w:rsidRPr="007A7FA3" w14:paraId="099EF4F9" w14:textId="77777777" w:rsidTr="007A7FA3">
        <w:trPr>
          <w:trHeight w:val="210"/>
        </w:trPr>
        <w:tc>
          <w:tcPr>
            <w:tcW w:w="1086" w:type="dxa"/>
            <w:vMerge/>
            <w:tcBorders>
              <w:top w:val="nil"/>
              <w:left w:val="single" w:sz="8" w:space="0" w:color="auto"/>
              <w:bottom w:val="single" w:sz="4" w:space="0" w:color="000000"/>
              <w:right w:val="nil"/>
            </w:tcBorders>
            <w:vAlign w:val="center"/>
            <w:hideMark/>
          </w:tcPr>
          <w:p w14:paraId="71771C09" w14:textId="77777777" w:rsidR="007A7FA3" w:rsidRPr="007A7FA3" w:rsidRDefault="007A7FA3" w:rsidP="007A7FA3">
            <w:pPr>
              <w:rPr>
                <w:rFonts w:ascii="Calibri" w:hAnsi="Calibri" w:cs="Calibri"/>
                <w:i/>
                <w:iCs/>
                <w:color w:val="000000"/>
                <w:sz w:val="13"/>
                <w:szCs w:val="13"/>
              </w:rPr>
            </w:pPr>
          </w:p>
        </w:tc>
        <w:tc>
          <w:tcPr>
            <w:tcW w:w="871" w:type="dxa"/>
            <w:vMerge/>
            <w:tcBorders>
              <w:top w:val="single" w:sz="4" w:space="0" w:color="000000"/>
              <w:left w:val="single" w:sz="4" w:space="0" w:color="000000"/>
              <w:bottom w:val="single" w:sz="4" w:space="0" w:color="000000"/>
              <w:right w:val="single" w:sz="4" w:space="0" w:color="000000"/>
            </w:tcBorders>
            <w:vAlign w:val="center"/>
            <w:hideMark/>
          </w:tcPr>
          <w:p w14:paraId="017B6E66"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7746EC88"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76ED276C"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030E55F2"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nil"/>
              <w:bottom w:val="nil"/>
              <w:right w:val="nil"/>
            </w:tcBorders>
            <w:vAlign w:val="center"/>
            <w:hideMark/>
          </w:tcPr>
          <w:p w14:paraId="5803D431"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25F04D3F"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71800</w:t>
            </w:r>
          </w:p>
        </w:tc>
        <w:tc>
          <w:tcPr>
            <w:tcW w:w="1580" w:type="dxa"/>
            <w:tcBorders>
              <w:top w:val="nil"/>
              <w:left w:val="nil"/>
              <w:bottom w:val="single" w:sz="4" w:space="0" w:color="000000"/>
              <w:right w:val="single" w:sz="4" w:space="0" w:color="000000"/>
            </w:tcBorders>
            <w:shd w:val="clear" w:color="auto" w:fill="auto"/>
            <w:vAlign w:val="bottom"/>
            <w:hideMark/>
          </w:tcPr>
          <w:p w14:paraId="0ED03485"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Contractual Services - Individuals</w:t>
            </w:r>
          </w:p>
        </w:tc>
        <w:tc>
          <w:tcPr>
            <w:tcW w:w="694" w:type="dxa"/>
            <w:tcBorders>
              <w:top w:val="nil"/>
              <w:left w:val="nil"/>
              <w:bottom w:val="single" w:sz="4" w:space="0" w:color="000000"/>
              <w:right w:val="single" w:sz="4" w:space="0" w:color="000000"/>
            </w:tcBorders>
            <w:shd w:val="clear" w:color="auto" w:fill="auto"/>
            <w:noWrap/>
            <w:vAlign w:val="bottom"/>
            <w:hideMark/>
          </w:tcPr>
          <w:p w14:paraId="647B827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nil"/>
              <w:left w:val="nil"/>
              <w:bottom w:val="single" w:sz="4" w:space="0" w:color="000000"/>
              <w:right w:val="single" w:sz="4" w:space="0" w:color="000000"/>
            </w:tcBorders>
            <w:shd w:val="clear" w:color="auto" w:fill="auto"/>
            <w:noWrap/>
            <w:vAlign w:val="bottom"/>
            <w:hideMark/>
          </w:tcPr>
          <w:p w14:paraId="714A141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20,000 </w:t>
            </w:r>
          </w:p>
        </w:tc>
        <w:tc>
          <w:tcPr>
            <w:tcW w:w="826" w:type="dxa"/>
            <w:tcBorders>
              <w:top w:val="nil"/>
              <w:left w:val="nil"/>
              <w:bottom w:val="single" w:sz="4" w:space="0" w:color="000000"/>
              <w:right w:val="single" w:sz="4" w:space="0" w:color="000000"/>
            </w:tcBorders>
            <w:shd w:val="clear" w:color="auto" w:fill="auto"/>
            <w:noWrap/>
            <w:vAlign w:val="bottom"/>
            <w:hideMark/>
          </w:tcPr>
          <w:p w14:paraId="41F2451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12,000 </w:t>
            </w:r>
          </w:p>
        </w:tc>
        <w:tc>
          <w:tcPr>
            <w:tcW w:w="864" w:type="dxa"/>
            <w:tcBorders>
              <w:top w:val="nil"/>
              <w:left w:val="nil"/>
              <w:bottom w:val="single" w:sz="4" w:space="0" w:color="000000"/>
              <w:right w:val="single" w:sz="4" w:space="0" w:color="000000"/>
            </w:tcBorders>
            <w:shd w:val="clear" w:color="auto" w:fill="auto"/>
            <w:noWrap/>
            <w:vAlign w:val="bottom"/>
            <w:hideMark/>
          </w:tcPr>
          <w:p w14:paraId="0650A7B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13,000 </w:t>
            </w:r>
          </w:p>
        </w:tc>
        <w:tc>
          <w:tcPr>
            <w:tcW w:w="834" w:type="dxa"/>
            <w:tcBorders>
              <w:top w:val="nil"/>
              <w:left w:val="nil"/>
              <w:bottom w:val="single" w:sz="4" w:space="0" w:color="000000"/>
              <w:right w:val="single" w:sz="4" w:space="0" w:color="000000"/>
            </w:tcBorders>
            <w:shd w:val="clear" w:color="auto" w:fill="auto"/>
            <w:noWrap/>
            <w:vAlign w:val="bottom"/>
            <w:hideMark/>
          </w:tcPr>
          <w:p w14:paraId="5F3F121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18,000 </w:t>
            </w:r>
          </w:p>
        </w:tc>
        <w:tc>
          <w:tcPr>
            <w:tcW w:w="827" w:type="dxa"/>
            <w:tcBorders>
              <w:top w:val="nil"/>
              <w:left w:val="nil"/>
              <w:bottom w:val="single" w:sz="4" w:space="0" w:color="000000"/>
              <w:right w:val="single" w:sz="4" w:space="0" w:color="000000"/>
            </w:tcBorders>
            <w:shd w:val="clear" w:color="auto" w:fill="auto"/>
            <w:noWrap/>
            <w:vAlign w:val="bottom"/>
            <w:hideMark/>
          </w:tcPr>
          <w:p w14:paraId="11A4CFF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7ACA527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63,000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3ECAEAD0"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7 </w:t>
            </w:r>
          </w:p>
        </w:tc>
      </w:tr>
      <w:tr w:rsidR="007A7FA3" w:rsidRPr="007A7FA3" w14:paraId="384D9414" w14:textId="77777777" w:rsidTr="007A7FA3">
        <w:trPr>
          <w:trHeight w:val="255"/>
        </w:trPr>
        <w:tc>
          <w:tcPr>
            <w:tcW w:w="1086" w:type="dxa"/>
            <w:vMerge/>
            <w:tcBorders>
              <w:top w:val="nil"/>
              <w:left w:val="single" w:sz="8" w:space="0" w:color="auto"/>
              <w:bottom w:val="single" w:sz="4" w:space="0" w:color="000000"/>
              <w:right w:val="nil"/>
            </w:tcBorders>
            <w:vAlign w:val="center"/>
            <w:hideMark/>
          </w:tcPr>
          <w:p w14:paraId="3228ABE8" w14:textId="77777777" w:rsidR="007A7FA3" w:rsidRPr="007A7FA3" w:rsidRDefault="007A7FA3" w:rsidP="007A7FA3">
            <w:pPr>
              <w:rPr>
                <w:rFonts w:ascii="Calibri" w:hAnsi="Calibri" w:cs="Calibri"/>
                <w:i/>
                <w:iCs/>
                <w:color w:val="000000"/>
                <w:sz w:val="13"/>
                <w:szCs w:val="13"/>
              </w:rPr>
            </w:pPr>
          </w:p>
        </w:tc>
        <w:tc>
          <w:tcPr>
            <w:tcW w:w="871" w:type="dxa"/>
            <w:vMerge/>
            <w:tcBorders>
              <w:top w:val="single" w:sz="4" w:space="0" w:color="000000"/>
              <w:left w:val="single" w:sz="4" w:space="0" w:color="000000"/>
              <w:bottom w:val="single" w:sz="4" w:space="0" w:color="000000"/>
              <w:right w:val="single" w:sz="4" w:space="0" w:color="000000"/>
            </w:tcBorders>
            <w:vAlign w:val="center"/>
            <w:hideMark/>
          </w:tcPr>
          <w:p w14:paraId="5D57A6A4"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06A0C6BC"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60F4D603"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2BC32861"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nil"/>
              <w:bottom w:val="nil"/>
              <w:right w:val="nil"/>
            </w:tcBorders>
            <w:vAlign w:val="center"/>
            <w:hideMark/>
          </w:tcPr>
          <w:p w14:paraId="78F0CB4E"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48B466C5"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71600</w:t>
            </w:r>
          </w:p>
        </w:tc>
        <w:tc>
          <w:tcPr>
            <w:tcW w:w="1580" w:type="dxa"/>
            <w:tcBorders>
              <w:top w:val="nil"/>
              <w:left w:val="nil"/>
              <w:bottom w:val="single" w:sz="4" w:space="0" w:color="000000"/>
              <w:right w:val="single" w:sz="4" w:space="0" w:color="000000"/>
            </w:tcBorders>
            <w:shd w:val="clear" w:color="auto" w:fill="auto"/>
            <w:vAlign w:val="bottom"/>
            <w:hideMark/>
          </w:tcPr>
          <w:p w14:paraId="4BD78216"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Travel</w:t>
            </w:r>
          </w:p>
        </w:tc>
        <w:tc>
          <w:tcPr>
            <w:tcW w:w="694" w:type="dxa"/>
            <w:tcBorders>
              <w:top w:val="nil"/>
              <w:left w:val="nil"/>
              <w:bottom w:val="single" w:sz="4" w:space="0" w:color="000000"/>
              <w:right w:val="single" w:sz="4" w:space="0" w:color="000000"/>
            </w:tcBorders>
            <w:shd w:val="clear" w:color="auto" w:fill="auto"/>
            <w:noWrap/>
            <w:vAlign w:val="bottom"/>
            <w:hideMark/>
          </w:tcPr>
          <w:p w14:paraId="25A65CC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nil"/>
              <w:left w:val="nil"/>
              <w:bottom w:val="single" w:sz="4" w:space="0" w:color="000000"/>
              <w:right w:val="single" w:sz="4" w:space="0" w:color="000000"/>
            </w:tcBorders>
            <w:shd w:val="clear" w:color="auto" w:fill="auto"/>
            <w:noWrap/>
            <w:vAlign w:val="bottom"/>
            <w:hideMark/>
          </w:tcPr>
          <w:p w14:paraId="7A41655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12,100 </w:t>
            </w:r>
          </w:p>
        </w:tc>
        <w:tc>
          <w:tcPr>
            <w:tcW w:w="826" w:type="dxa"/>
            <w:tcBorders>
              <w:top w:val="nil"/>
              <w:left w:val="nil"/>
              <w:bottom w:val="single" w:sz="4" w:space="0" w:color="000000"/>
              <w:right w:val="single" w:sz="4" w:space="0" w:color="000000"/>
            </w:tcBorders>
            <w:shd w:val="clear" w:color="auto" w:fill="auto"/>
            <w:noWrap/>
            <w:vAlign w:val="bottom"/>
            <w:hideMark/>
          </w:tcPr>
          <w:p w14:paraId="39DA169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12,200 </w:t>
            </w:r>
          </w:p>
        </w:tc>
        <w:tc>
          <w:tcPr>
            <w:tcW w:w="864" w:type="dxa"/>
            <w:tcBorders>
              <w:top w:val="nil"/>
              <w:left w:val="nil"/>
              <w:bottom w:val="single" w:sz="4" w:space="0" w:color="000000"/>
              <w:right w:val="single" w:sz="4" w:space="0" w:color="000000"/>
            </w:tcBorders>
            <w:shd w:val="clear" w:color="auto" w:fill="auto"/>
            <w:noWrap/>
            <w:vAlign w:val="bottom"/>
            <w:hideMark/>
          </w:tcPr>
          <w:p w14:paraId="7EA1AA7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12,000 </w:t>
            </w:r>
          </w:p>
        </w:tc>
        <w:tc>
          <w:tcPr>
            <w:tcW w:w="834" w:type="dxa"/>
            <w:tcBorders>
              <w:top w:val="nil"/>
              <w:left w:val="nil"/>
              <w:bottom w:val="single" w:sz="4" w:space="0" w:color="000000"/>
              <w:right w:val="single" w:sz="4" w:space="0" w:color="000000"/>
            </w:tcBorders>
            <w:shd w:val="clear" w:color="auto" w:fill="auto"/>
            <w:noWrap/>
            <w:vAlign w:val="bottom"/>
            <w:hideMark/>
          </w:tcPr>
          <w:p w14:paraId="1B14C07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12,000 </w:t>
            </w:r>
          </w:p>
        </w:tc>
        <w:tc>
          <w:tcPr>
            <w:tcW w:w="827" w:type="dxa"/>
            <w:tcBorders>
              <w:top w:val="nil"/>
              <w:left w:val="nil"/>
              <w:bottom w:val="single" w:sz="4" w:space="0" w:color="000000"/>
              <w:right w:val="single" w:sz="4" w:space="0" w:color="000000"/>
            </w:tcBorders>
            <w:shd w:val="clear" w:color="auto" w:fill="auto"/>
            <w:noWrap/>
            <w:vAlign w:val="bottom"/>
            <w:hideMark/>
          </w:tcPr>
          <w:p w14:paraId="0628623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564B6D7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48,300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26B2E6D0"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8 </w:t>
            </w:r>
          </w:p>
        </w:tc>
      </w:tr>
      <w:tr w:rsidR="007A7FA3" w:rsidRPr="007A7FA3" w14:paraId="640D03E6" w14:textId="77777777" w:rsidTr="007A7FA3">
        <w:trPr>
          <w:trHeight w:val="270"/>
        </w:trPr>
        <w:tc>
          <w:tcPr>
            <w:tcW w:w="1086" w:type="dxa"/>
            <w:vMerge/>
            <w:tcBorders>
              <w:top w:val="nil"/>
              <w:left w:val="single" w:sz="8" w:space="0" w:color="auto"/>
              <w:bottom w:val="single" w:sz="4" w:space="0" w:color="000000"/>
              <w:right w:val="nil"/>
            </w:tcBorders>
            <w:vAlign w:val="center"/>
            <w:hideMark/>
          </w:tcPr>
          <w:p w14:paraId="133686EE" w14:textId="77777777" w:rsidR="007A7FA3" w:rsidRPr="007A7FA3" w:rsidRDefault="007A7FA3" w:rsidP="007A7FA3">
            <w:pPr>
              <w:rPr>
                <w:rFonts w:ascii="Calibri" w:hAnsi="Calibri" w:cs="Calibri"/>
                <w:i/>
                <w:iCs/>
                <w:color w:val="000000"/>
                <w:sz w:val="13"/>
                <w:szCs w:val="13"/>
              </w:rPr>
            </w:pPr>
          </w:p>
        </w:tc>
        <w:tc>
          <w:tcPr>
            <w:tcW w:w="871" w:type="dxa"/>
            <w:vMerge/>
            <w:tcBorders>
              <w:top w:val="single" w:sz="4" w:space="0" w:color="000000"/>
              <w:left w:val="single" w:sz="4" w:space="0" w:color="000000"/>
              <w:bottom w:val="single" w:sz="4" w:space="0" w:color="000000"/>
              <w:right w:val="single" w:sz="4" w:space="0" w:color="000000"/>
            </w:tcBorders>
            <w:vAlign w:val="center"/>
            <w:hideMark/>
          </w:tcPr>
          <w:p w14:paraId="2DE30CC3"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7A6D666F"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51FFA91C"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58076984"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nil"/>
              <w:bottom w:val="nil"/>
              <w:right w:val="nil"/>
            </w:tcBorders>
            <w:vAlign w:val="center"/>
            <w:hideMark/>
          </w:tcPr>
          <w:p w14:paraId="2F67DEB2"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3ED7222A"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72100</w:t>
            </w:r>
          </w:p>
        </w:tc>
        <w:tc>
          <w:tcPr>
            <w:tcW w:w="1580" w:type="dxa"/>
            <w:tcBorders>
              <w:top w:val="nil"/>
              <w:left w:val="nil"/>
              <w:bottom w:val="single" w:sz="4" w:space="0" w:color="000000"/>
              <w:right w:val="single" w:sz="4" w:space="0" w:color="000000"/>
            </w:tcBorders>
            <w:shd w:val="clear" w:color="auto" w:fill="auto"/>
            <w:vAlign w:val="bottom"/>
            <w:hideMark/>
          </w:tcPr>
          <w:p w14:paraId="5E467461"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Contractual Services - Companies</w:t>
            </w:r>
          </w:p>
        </w:tc>
        <w:tc>
          <w:tcPr>
            <w:tcW w:w="694" w:type="dxa"/>
            <w:tcBorders>
              <w:top w:val="nil"/>
              <w:left w:val="nil"/>
              <w:bottom w:val="single" w:sz="4" w:space="0" w:color="000000"/>
              <w:right w:val="single" w:sz="4" w:space="0" w:color="000000"/>
            </w:tcBorders>
            <w:shd w:val="clear" w:color="auto" w:fill="auto"/>
            <w:noWrap/>
            <w:vAlign w:val="bottom"/>
            <w:hideMark/>
          </w:tcPr>
          <w:p w14:paraId="4FEBA63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nil"/>
              <w:left w:val="nil"/>
              <w:bottom w:val="single" w:sz="4" w:space="0" w:color="000000"/>
              <w:right w:val="single" w:sz="4" w:space="0" w:color="000000"/>
            </w:tcBorders>
            <w:shd w:val="clear" w:color="auto" w:fill="auto"/>
            <w:noWrap/>
            <w:vAlign w:val="bottom"/>
            <w:hideMark/>
          </w:tcPr>
          <w:p w14:paraId="1E55A62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17,000 </w:t>
            </w:r>
          </w:p>
        </w:tc>
        <w:tc>
          <w:tcPr>
            <w:tcW w:w="826" w:type="dxa"/>
            <w:tcBorders>
              <w:top w:val="nil"/>
              <w:left w:val="nil"/>
              <w:bottom w:val="single" w:sz="4" w:space="0" w:color="000000"/>
              <w:right w:val="single" w:sz="4" w:space="0" w:color="000000"/>
            </w:tcBorders>
            <w:shd w:val="clear" w:color="auto" w:fill="auto"/>
            <w:noWrap/>
            <w:vAlign w:val="bottom"/>
            <w:hideMark/>
          </w:tcPr>
          <w:p w14:paraId="56D3721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17,000 </w:t>
            </w:r>
          </w:p>
        </w:tc>
        <w:tc>
          <w:tcPr>
            <w:tcW w:w="864" w:type="dxa"/>
            <w:tcBorders>
              <w:top w:val="nil"/>
              <w:left w:val="nil"/>
              <w:bottom w:val="single" w:sz="4" w:space="0" w:color="000000"/>
              <w:right w:val="single" w:sz="4" w:space="0" w:color="000000"/>
            </w:tcBorders>
            <w:shd w:val="clear" w:color="auto" w:fill="auto"/>
            <w:noWrap/>
            <w:vAlign w:val="bottom"/>
            <w:hideMark/>
          </w:tcPr>
          <w:p w14:paraId="08CCD35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17,000 </w:t>
            </w:r>
          </w:p>
        </w:tc>
        <w:tc>
          <w:tcPr>
            <w:tcW w:w="834" w:type="dxa"/>
            <w:tcBorders>
              <w:top w:val="nil"/>
              <w:left w:val="nil"/>
              <w:bottom w:val="single" w:sz="4" w:space="0" w:color="000000"/>
              <w:right w:val="single" w:sz="4" w:space="0" w:color="000000"/>
            </w:tcBorders>
            <w:shd w:val="clear" w:color="auto" w:fill="auto"/>
            <w:noWrap/>
            <w:vAlign w:val="bottom"/>
            <w:hideMark/>
          </w:tcPr>
          <w:p w14:paraId="34D49B8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14,000 </w:t>
            </w:r>
          </w:p>
        </w:tc>
        <w:tc>
          <w:tcPr>
            <w:tcW w:w="827" w:type="dxa"/>
            <w:tcBorders>
              <w:top w:val="nil"/>
              <w:left w:val="nil"/>
              <w:bottom w:val="single" w:sz="4" w:space="0" w:color="000000"/>
              <w:right w:val="single" w:sz="4" w:space="0" w:color="000000"/>
            </w:tcBorders>
            <w:shd w:val="clear" w:color="auto" w:fill="auto"/>
            <w:noWrap/>
            <w:vAlign w:val="bottom"/>
            <w:hideMark/>
          </w:tcPr>
          <w:p w14:paraId="5B5F6B9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76AFB97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65,000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4E6A6E0F"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9 </w:t>
            </w:r>
          </w:p>
        </w:tc>
      </w:tr>
      <w:tr w:rsidR="007A7FA3" w:rsidRPr="007A7FA3" w14:paraId="19376299" w14:textId="77777777" w:rsidTr="007A7FA3">
        <w:trPr>
          <w:trHeight w:val="255"/>
        </w:trPr>
        <w:tc>
          <w:tcPr>
            <w:tcW w:w="1086" w:type="dxa"/>
            <w:vMerge/>
            <w:tcBorders>
              <w:top w:val="nil"/>
              <w:left w:val="single" w:sz="8" w:space="0" w:color="auto"/>
              <w:bottom w:val="single" w:sz="4" w:space="0" w:color="000000"/>
              <w:right w:val="nil"/>
            </w:tcBorders>
            <w:vAlign w:val="center"/>
            <w:hideMark/>
          </w:tcPr>
          <w:p w14:paraId="625B6F36" w14:textId="77777777" w:rsidR="007A7FA3" w:rsidRPr="007A7FA3" w:rsidRDefault="007A7FA3" w:rsidP="007A7FA3">
            <w:pPr>
              <w:rPr>
                <w:rFonts w:ascii="Calibri" w:hAnsi="Calibri" w:cs="Calibri"/>
                <w:i/>
                <w:iCs/>
                <w:color w:val="000000"/>
                <w:sz w:val="13"/>
                <w:szCs w:val="13"/>
              </w:rPr>
            </w:pPr>
          </w:p>
        </w:tc>
        <w:tc>
          <w:tcPr>
            <w:tcW w:w="871" w:type="dxa"/>
            <w:vMerge/>
            <w:tcBorders>
              <w:top w:val="single" w:sz="4" w:space="0" w:color="000000"/>
              <w:left w:val="single" w:sz="4" w:space="0" w:color="000000"/>
              <w:bottom w:val="single" w:sz="4" w:space="0" w:color="000000"/>
              <w:right w:val="single" w:sz="4" w:space="0" w:color="000000"/>
            </w:tcBorders>
            <w:vAlign w:val="center"/>
            <w:hideMark/>
          </w:tcPr>
          <w:p w14:paraId="68C65098"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1B0EB93A"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1EE4B007"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4641BABC"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nil"/>
              <w:bottom w:val="nil"/>
              <w:right w:val="nil"/>
            </w:tcBorders>
            <w:vAlign w:val="center"/>
            <w:hideMark/>
          </w:tcPr>
          <w:p w14:paraId="62A58EFE"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046B982B"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72400</w:t>
            </w:r>
          </w:p>
        </w:tc>
        <w:tc>
          <w:tcPr>
            <w:tcW w:w="1580" w:type="dxa"/>
            <w:tcBorders>
              <w:top w:val="nil"/>
              <w:left w:val="nil"/>
              <w:bottom w:val="single" w:sz="4" w:space="0" w:color="000000"/>
              <w:right w:val="single" w:sz="4" w:space="0" w:color="000000"/>
            </w:tcBorders>
            <w:shd w:val="clear" w:color="auto" w:fill="auto"/>
            <w:vAlign w:val="bottom"/>
            <w:hideMark/>
          </w:tcPr>
          <w:p w14:paraId="2EB960B2"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Communic &amp; Audio Visual Equip</w:t>
            </w:r>
          </w:p>
        </w:tc>
        <w:tc>
          <w:tcPr>
            <w:tcW w:w="694" w:type="dxa"/>
            <w:tcBorders>
              <w:top w:val="nil"/>
              <w:left w:val="nil"/>
              <w:bottom w:val="single" w:sz="4" w:space="0" w:color="000000"/>
              <w:right w:val="single" w:sz="4" w:space="0" w:color="000000"/>
            </w:tcBorders>
            <w:shd w:val="clear" w:color="auto" w:fill="auto"/>
            <w:noWrap/>
            <w:vAlign w:val="bottom"/>
            <w:hideMark/>
          </w:tcPr>
          <w:p w14:paraId="18BF538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nil"/>
              <w:left w:val="nil"/>
              <w:bottom w:val="single" w:sz="4" w:space="0" w:color="000000"/>
              <w:right w:val="single" w:sz="4" w:space="0" w:color="000000"/>
            </w:tcBorders>
            <w:shd w:val="clear" w:color="auto" w:fill="auto"/>
            <w:noWrap/>
            <w:vAlign w:val="bottom"/>
            <w:hideMark/>
          </w:tcPr>
          <w:p w14:paraId="7EF4F54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8,000 </w:t>
            </w:r>
          </w:p>
        </w:tc>
        <w:tc>
          <w:tcPr>
            <w:tcW w:w="826" w:type="dxa"/>
            <w:tcBorders>
              <w:top w:val="nil"/>
              <w:left w:val="nil"/>
              <w:bottom w:val="single" w:sz="4" w:space="0" w:color="000000"/>
              <w:right w:val="single" w:sz="4" w:space="0" w:color="000000"/>
            </w:tcBorders>
            <w:shd w:val="clear" w:color="auto" w:fill="auto"/>
            <w:noWrap/>
            <w:vAlign w:val="bottom"/>
            <w:hideMark/>
          </w:tcPr>
          <w:p w14:paraId="16719ED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11,000 </w:t>
            </w:r>
          </w:p>
        </w:tc>
        <w:tc>
          <w:tcPr>
            <w:tcW w:w="864" w:type="dxa"/>
            <w:tcBorders>
              <w:top w:val="nil"/>
              <w:left w:val="nil"/>
              <w:bottom w:val="single" w:sz="4" w:space="0" w:color="000000"/>
              <w:right w:val="single" w:sz="4" w:space="0" w:color="000000"/>
            </w:tcBorders>
            <w:shd w:val="clear" w:color="auto" w:fill="auto"/>
            <w:noWrap/>
            <w:vAlign w:val="bottom"/>
            <w:hideMark/>
          </w:tcPr>
          <w:p w14:paraId="1FE6C0D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11,000 </w:t>
            </w:r>
          </w:p>
        </w:tc>
        <w:tc>
          <w:tcPr>
            <w:tcW w:w="834" w:type="dxa"/>
            <w:tcBorders>
              <w:top w:val="nil"/>
              <w:left w:val="nil"/>
              <w:bottom w:val="single" w:sz="4" w:space="0" w:color="000000"/>
              <w:right w:val="single" w:sz="4" w:space="0" w:color="000000"/>
            </w:tcBorders>
            <w:shd w:val="clear" w:color="auto" w:fill="auto"/>
            <w:noWrap/>
            <w:vAlign w:val="bottom"/>
            <w:hideMark/>
          </w:tcPr>
          <w:p w14:paraId="72800CA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11,000 </w:t>
            </w:r>
          </w:p>
        </w:tc>
        <w:tc>
          <w:tcPr>
            <w:tcW w:w="827" w:type="dxa"/>
            <w:tcBorders>
              <w:top w:val="nil"/>
              <w:left w:val="nil"/>
              <w:bottom w:val="single" w:sz="4" w:space="0" w:color="000000"/>
              <w:right w:val="single" w:sz="4" w:space="0" w:color="000000"/>
            </w:tcBorders>
            <w:shd w:val="clear" w:color="auto" w:fill="auto"/>
            <w:noWrap/>
            <w:vAlign w:val="bottom"/>
            <w:hideMark/>
          </w:tcPr>
          <w:p w14:paraId="3572771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034FF3D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41,000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2D4A5F51"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10 </w:t>
            </w:r>
          </w:p>
        </w:tc>
      </w:tr>
      <w:tr w:rsidR="007A7FA3" w:rsidRPr="007A7FA3" w14:paraId="22530855" w14:textId="77777777" w:rsidTr="007A7FA3">
        <w:trPr>
          <w:trHeight w:val="840"/>
        </w:trPr>
        <w:tc>
          <w:tcPr>
            <w:tcW w:w="1086" w:type="dxa"/>
            <w:vMerge/>
            <w:tcBorders>
              <w:top w:val="nil"/>
              <w:left w:val="single" w:sz="8" w:space="0" w:color="auto"/>
              <w:bottom w:val="single" w:sz="4" w:space="0" w:color="000000"/>
              <w:right w:val="nil"/>
            </w:tcBorders>
            <w:vAlign w:val="center"/>
            <w:hideMark/>
          </w:tcPr>
          <w:p w14:paraId="7CCE4C96" w14:textId="77777777" w:rsidR="007A7FA3" w:rsidRPr="007A7FA3" w:rsidRDefault="007A7FA3" w:rsidP="007A7FA3">
            <w:pPr>
              <w:rPr>
                <w:rFonts w:ascii="Calibri" w:hAnsi="Calibri" w:cs="Calibri"/>
                <w:i/>
                <w:iCs/>
                <w:color w:val="000000"/>
                <w:sz w:val="13"/>
                <w:szCs w:val="13"/>
              </w:rPr>
            </w:pPr>
          </w:p>
        </w:tc>
        <w:tc>
          <w:tcPr>
            <w:tcW w:w="871" w:type="dxa"/>
            <w:vMerge/>
            <w:tcBorders>
              <w:top w:val="single" w:sz="4" w:space="0" w:color="000000"/>
              <w:left w:val="single" w:sz="4" w:space="0" w:color="000000"/>
              <w:bottom w:val="single" w:sz="4" w:space="0" w:color="000000"/>
              <w:right w:val="single" w:sz="4" w:space="0" w:color="000000"/>
            </w:tcBorders>
            <w:vAlign w:val="center"/>
            <w:hideMark/>
          </w:tcPr>
          <w:p w14:paraId="115D21DD"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3CE8C911" w14:textId="77777777" w:rsidR="007A7FA3" w:rsidRPr="007A7FA3" w:rsidRDefault="007A7FA3" w:rsidP="007A7FA3">
            <w:pPr>
              <w:rPr>
                <w:rFonts w:ascii="Calibri" w:hAnsi="Calibri" w:cs="Calibri"/>
                <w:i/>
                <w:iCs/>
                <w:color w:val="000000"/>
                <w:sz w:val="13"/>
                <w:szCs w:val="13"/>
              </w:rPr>
            </w:pPr>
          </w:p>
        </w:tc>
        <w:tc>
          <w:tcPr>
            <w:tcW w:w="3763" w:type="dxa"/>
            <w:gridSpan w:val="5"/>
            <w:tcBorders>
              <w:top w:val="single" w:sz="4" w:space="0" w:color="000000"/>
              <w:left w:val="nil"/>
              <w:bottom w:val="single" w:sz="4" w:space="0" w:color="000000"/>
              <w:right w:val="single" w:sz="4" w:space="0" w:color="000000"/>
            </w:tcBorders>
            <w:shd w:val="clear" w:color="auto" w:fill="auto"/>
            <w:vAlign w:val="center"/>
            <w:hideMark/>
          </w:tcPr>
          <w:p w14:paraId="49766A57"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Total BCC</w:t>
            </w:r>
          </w:p>
        </w:tc>
        <w:tc>
          <w:tcPr>
            <w:tcW w:w="694" w:type="dxa"/>
            <w:tcBorders>
              <w:top w:val="nil"/>
              <w:left w:val="nil"/>
              <w:bottom w:val="single" w:sz="4" w:space="0" w:color="000000"/>
              <w:right w:val="single" w:sz="4" w:space="0" w:color="000000"/>
            </w:tcBorders>
            <w:shd w:val="clear" w:color="auto" w:fill="auto"/>
            <w:noWrap/>
            <w:vAlign w:val="bottom"/>
            <w:hideMark/>
          </w:tcPr>
          <w:p w14:paraId="5EDA6B4A"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05" w:type="dxa"/>
            <w:tcBorders>
              <w:top w:val="nil"/>
              <w:left w:val="nil"/>
              <w:bottom w:val="single" w:sz="4" w:space="0" w:color="000000"/>
              <w:right w:val="single" w:sz="4" w:space="0" w:color="000000"/>
            </w:tcBorders>
            <w:shd w:val="clear" w:color="auto" w:fill="auto"/>
            <w:noWrap/>
            <w:vAlign w:val="bottom"/>
            <w:hideMark/>
          </w:tcPr>
          <w:p w14:paraId="7C52CDFF"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87,100 </w:t>
            </w:r>
          </w:p>
        </w:tc>
        <w:tc>
          <w:tcPr>
            <w:tcW w:w="826" w:type="dxa"/>
            <w:tcBorders>
              <w:top w:val="nil"/>
              <w:left w:val="nil"/>
              <w:bottom w:val="single" w:sz="4" w:space="0" w:color="000000"/>
              <w:right w:val="single" w:sz="4" w:space="0" w:color="000000"/>
            </w:tcBorders>
            <w:shd w:val="clear" w:color="auto" w:fill="auto"/>
            <w:noWrap/>
            <w:vAlign w:val="bottom"/>
            <w:hideMark/>
          </w:tcPr>
          <w:p w14:paraId="0FB5A0DB"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67,200 </w:t>
            </w:r>
          </w:p>
        </w:tc>
        <w:tc>
          <w:tcPr>
            <w:tcW w:w="864" w:type="dxa"/>
            <w:tcBorders>
              <w:top w:val="nil"/>
              <w:left w:val="nil"/>
              <w:bottom w:val="single" w:sz="4" w:space="0" w:color="000000"/>
              <w:right w:val="single" w:sz="4" w:space="0" w:color="000000"/>
            </w:tcBorders>
            <w:shd w:val="clear" w:color="auto" w:fill="auto"/>
            <w:noWrap/>
            <w:vAlign w:val="bottom"/>
            <w:hideMark/>
          </w:tcPr>
          <w:p w14:paraId="45E8B6B8"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68,000 </w:t>
            </w:r>
          </w:p>
        </w:tc>
        <w:tc>
          <w:tcPr>
            <w:tcW w:w="834" w:type="dxa"/>
            <w:tcBorders>
              <w:top w:val="nil"/>
              <w:left w:val="nil"/>
              <w:bottom w:val="single" w:sz="4" w:space="0" w:color="000000"/>
              <w:right w:val="single" w:sz="4" w:space="0" w:color="000000"/>
            </w:tcBorders>
            <w:shd w:val="clear" w:color="auto" w:fill="auto"/>
            <w:noWrap/>
            <w:vAlign w:val="bottom"/>
            <w:hideMark/>
          </w:tcPr>
          <w:p w14:paraId="0BB67D6D"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75,000 </w:t>
            </w:r>
          </w:p>
        </w:tc>
        <w:tc>
          <w:tcPr>
            <w:tcW w:w="827" w:type="dxa"/>
            <w:tcBorders>
              <w:top w:val="nil"/>
              <w:left w:val="nil"/>
              <w:bottom w:val="single" w:sz="4" w:space="0" w:color="000000"/>
              <w:right w:val="single" w:sz="4" w:space="0" w:color="000000"/>
            </w:tcBorders>
            <w:shd w:val="clear" w:color="auto" w:fill="auto"/>
            <w:noWrap/>
            <w:vAlign w:val="bottom"/>
            <w:hideMark/>
          </w:tcPr>
          <w:p w14:paraId="72F66422"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980" w:type="dxa"/>
            <w:tcBorders>
              <w:top w:val="single" w:sz="8" w:space="0" w:color="000000"/>
              <w:left w:val="nil"/>
              <w:bottom w:val="single" w:sz="4" w:space="0" w:color="000000"/>
              <w:right w:val="nil"/>
            </w:tcBorders>
            <w:shd w:val="clear" w:color="auto" w:fill="auto"/>
            <w:noWrap/>
            <w:vAlign w:val="bottom"/>
            <w:hideMark/>
          </w:tcPr>
          <w:p w14:paraId="716C6CA0"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297,300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67903520"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6AB56928" w14:textId="77777777" w:rsidTr="007A7FA3">
        <w:trPr>
          <w:trHeight w:val="270"/>
        </w:trPr>
        <w:tc>
          <w:tcPr>
            <w:tcW w:w="1086" w:type="dxa"/>
            <w:vMerge/>
            <w:tcBorders>
              <w:top w:val="nil"/>
              <w:left w:val="single" w:sz="8" w:space="0" w:color="auto"/>
              <w:bottom w:val="single" w:sz="4" w:space="0" w:color="000000"/>
              <w:right w:val="nil"/>
            </w:tcBorders>
            <w:vAlign w:val="center"/>
            <w:hideMark/>
          </w:tcPr>
          <w:p w14:paraId="66737A72" w14:textId="77777777" w:rsidR="007A7FA3" w:rsidRPr="007A7FA3" w:rsidRDefault="007A7FA3" w:rsidP="007A7FA3">
            <w:pPr>
              <w:rPr>
                <w:rFonts w:ascii="Calibri" w:hAnsi="Calibri" w:cs="Calibri"/>
                <w:i/>
                <w:iCs/>
                <w:color w:val="000000"/>
                <w:sz w:val="13"/>
                <w:szCs w:val="13"/>
              </w:rPr>
            </w:pPr>
          </w:p>
        </w:tc>
        <w:tc>
          <w:tcPr>
            <w:tcW w:w="871" w:type="dxa"/>
            <w:vMerge/>
            <w:tcBorders>
              <w:top w:val="single" w:sz="4" w:space="0" w:color="000000"/>
              <w:left w:val="single" w:sz="4" w:space="0" w:color="000000"/>
              <w:bottom w:val="single" w:sz="4" w:space="0" w:color="000000"/>
              <w:right w:val="single" w:sz="4" w:space="0" w:color="000000"/>
            </w:tcBorders>
            <w:vAlign w:val="center"/>
            <w:hideMark/>
          </w:tcPr>
          <w:p w14:paraId="772D51E2" w14:textId="77777777" w:rsidR="007A7FA3" w:rsidRPr="007A7FA3" w:rsidRDefault="007A7FA3" w:rsidP="007A7FA3">
            <w:pPr>
              <w:rPr>
                <w:rFonts w:ascii="Calibri" w:hAnsi="Calibri" w:cs="Calibri"/>
                <w:i/>
                <w:iCs/>
                <w:color w:val="000000"/>
                <w:sz w:val="13"/>
                <w:szCs w:val="13"/>
              </w:rPr>
            </w:pPr>
          </w:p>
        </w:tc>
        <w:tc>
          <w:tcPr>
            <w:tcW w:w="5779" w:type="dxa"/>
            <w:gridSpan w:val="6"/>
            <w:tcBorders>
              <w:top w:val="single" w:sz="4" w:space="0" w:color="000000"/>
              <w:left w:val="nil"/>
              <w:bottom w:val="single" w:sz="4" w:space="0" w:color="000000"/>
              <w:right w:val="single" w:sz="4" w:space="0" w:color="000000"/>
            </w:tcBorders>
            <w:shd w:val="clear" w:color="auto" w:fill="auto"/>
            <w:vAlign w:val="center"/>
            <w:hideMark/>
          </w:tcPr>
          <w:p w14:paraId="20AB4F94"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Total Output 1.1.2</w:t>
            </w:r>
          </w:p>
        </w:tc>
        <w:tc>
          <w:tcPr>
            <w:tcW w:w="694" w:type="dxa"/>
            <w:tcBorders>
              <w:top w:val="nil"/>
              <w:left w:val="nil"/>
              <w:bottom w:val="single" w:sz="4" w:space="0" w:color="000000"/>
              <w:right w:val="single" w:sz="4" w:space="0" w:color="000000"/>
            </w:tcBorders>
            <w:shd w:val="clear" w:color="auto" w:fill="auto"/>
            <w:noWrap/>
            <w:vAlign w:val="bottom"/>
            <w:hideMark/>
          </w:tcPr>
          <w:p w14:paraId="671899A2"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05" w:type="dxa"/>
            <w:tcBorders>
              <w:top w:val="nil"/>
              <w:left w:val="nil"/>
              <w:bottom w:val="single" w:sz="4" w:space="0" w:color="000000"/>
              <w:right w:val="single" w:sz="4" w:space="0" w:color="000000"/>
            </w:tcBorders>
            <w:shd w:val="clear" w:color="auto" w:fill="auto"/>
            <w:noWrap/>
            <w:vAlign w:val="bottom"/>
            <w:hideMark/>
          </w:tcPr>
          <w:p w14:paraId="35CAD6E2"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87,100 </w:t>
            </w:r>
          </w:p>
        </w:tc>
        <w:tc>
          <w:tcPr>
            <w:tcW w:w="826" w:type="dxa"/>
            <w:tcBorders>
              <w:top w:val="nil"/>
              <w:left w:val="nil"/>
              <w:bottom w:val="single" w:sz="4" w:space="0" w:color="000000"/>
              <w:right w:val="single" w:sz="4" w:space="0" w:color="000000"/>
            </w:tcBorders>
            <w:shd w:val="clear" w:color="auto" w:fill="auto"/>
            <w:noWrap/>
            <w:vAlign w:val="bottom"/>
            <w:hideMark/>
          </w:tcPr>
          <w:p w14:paraId="41A27FAE"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67,200 </w:t>
            </w:r>
          </w:p>
        </w:tc>
        <w:tc>
          <w:tcPr>
            <w:tcW w:w="864" w:type="dxa"/>
            <w:tcBorders>
              <w:top w:val="nil"/>
              <w:left w:val="nil"/>
              <w:bottom w:val="single" w:sz="4" w:space="0" w:color="000000"/>
              <w:right w:val="single" w:sz="4" w:space="0" w:color="000000"/>
            </w:tcBorders>
            <w:shd w:val="clear" w:color="auto" w:fill="auto"/>
            <w:noWrap/>
            <w:vAlign w:val="bottom"/>
            <w:hideMark/>
          </w:tcPr>
          <w:p w14:paraId="12091F6A"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68,000 </w:t>
            </w:r>
          </w:p>
        </w:tc>
        <w:tc>
          <w:tcPr>
            <w:tcW w:w="834" w:type="dxa"/>
            <w:tcBorders>
              <w:top w:val="nil"/>
              <w:left w:val="nil"/>
              <w:bottom w:val="single" w:sz="4" w:space="0" w:color="000000"/>
              <w:right w:val="single" w:sz="4" w:space="0" w:color="000000"/>
            </w:tcBorders>
            <w:shd w:val="clear" w:color="auto" w:fill="auto"/>
            <w:noWrap/>
            <w:vAlign w:val="bottom"/>
            <w:hideMark/>
          </w:tcPr>
          <w:p w14:paraId="0306D9E3"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75,000 </w:t>
            </w:r>
          </w:p>
        </w:tc>
        <w:tc>
          <w:tcPr>
            <w:tcW w:w="827" w:type="dxa"/>
            <w:tcBorders>
              <w:top w:val="nil"/>
              <w:left w:val="nil"/>
              <w:bottom w:val="single" w:sz="4" w:space="0" w:color="000000"/>
              <w:right w:val="single" w:sz="4" w:space="0" w:color="000000"/>
            </w:tcBorders>
            <w:shd w:val="clear" w:color="auto" w:fill="auto"/>
            <w:noWrap/>
            <w:vAlign w:val="bottom"/>
            <w:hideMark/>
          </w:tcPr>
          <w:p w14:paraId="38E18BAB"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980" w:type="dxa"/>
            <w:tcBorders>
              <w:top w:val="nil"/>
              <w:left w:val="nil"/>
              <w:bottom w:val="single" w:sz="4" w:space="0" w:color="000000"/>
              <w:right w:val="nil"/>
            </w:tcBorders>
            <w:shd w:val="clear" w:color="auto" w:fill="auto"/>
            <w:noWrap/>
            <w:vAlign w:val="bottom"/>
            <w:hideMark/>
          </w:tcPr>
          <w:p w14:paraId="3FB7ED6D"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297,300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0E1C31F6"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07C0A3AB" w14:textId="77777777" w:rsidTr="007A7FA3">
        <w:trPr>
          <w:trHeight w:val="240"/>
        </w:trPr>
        <w:tc>
          <w:tcPr>
            <w:tcW w:w="1086" w:type="dxa"/>
            <w:vMerge/>
            <w:tcBorders>
              <w:top w:val="nil"/>
              <w:left w:val="single" w:sz="8" w:space="0" w:color="auto"/>
              <w:bottom w:val="single" w:sz="4" w:space="0" w:color="000000"/>
              <w:right w:val="nil"/>
            </w:tcBorders>
            <w:vAlign w:val="center"/>
            <w:hideMark/>
          </w:tcPr>
          <w:p w14:paraId="4C90059D" w14:textId="77777777" w:rsidR="007A7FA3" w:rsidRPr="007A7FA3" w:rsidRDefault="007A7FA3" w:rsidP="007A7FA3">
            <w:pPr>
              <w:rPr>
                <w:rFonts w:ascii="Calibri" w:hAnsi="Calibri" w:cs="Calibri"/>
                <w:i/>
                <w:iCs/>
                <w:color w:val="000000"/>
                <w:sz w:val="13"/>
                <w:szCs w:val="13"/>
              </w:rPr>
            </w:pPr>
          </w:p>
        </w:tc>
        <w:tc>
          <w:tcPr>
            <w:tcW w:w="871" w:type="dxa"/>
            <w:vMerge/>
            <w:tcBorders>
              <w:top w:val="single" w:sz="4" w:space="0" w:color="000000"/>
              <w:left w:val="single" w:sz="4" w:space="0" w:color="000000"/>
              <w:bottom w:val="single" w:sz="4" w:space="0" w:color="000000"/>
              <w:right w:val="single" w:sz="4" w:space="0" w:color="000000"/>
            </w:tcBorders>
            <w:vAlign w:val="center"/>
            <w:hideMark/>
          </w:tcPr>
          <w:p w14:paraId="4C3428F5" w14:textId="77777777" w:rsidR="007A7FA3" w:rsidRPr="007A7FA3" w:rsidRDefault="007A7FA3" w:rsidP="007A7FA3">
            <w:pPr>
              <w:rPr>
                <w:rFonts w:ascii="Calibri" w:hAnsi="Calibri" w:cs="Calibri"/>
                <w:i/>
                <w:iCs/>
                <w:color w:val="000000"/>
                <w:sz w:val="13"/>
                <w:szCs w:val="13"/>
              </w:rPr>
            </w:pPr>
          </w:p>
        </w:tc>
        <w:tc>
          <w:tcPr>
            <w:tcW w:w="2016" w:type="dxa"/>
            <w:vMerge w:val="restart"/>
            <w:tcBorders>
              <w:top w:val="nil"/>
              <w:left w:val="nil"/>
              <w:bottom w:val="single" w:sz="4" w:space="0" w:color="000000"/>
              <w:right w:val="single" w:sz="4" w:space="0" w:color="000000"/>
            </w:tcBorders>
            <w:shd w:val="clear" w:color="auto" w:fill="auto"/>
            <w:vAlign w:val="center"/>
            <w:hideMark/>
          </w:tcPr>
          <w:p w14:paraId="08141F71"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1.1.3: Strengthened legal and institutional capacity for the implementation of ecosystem-based marine spatial planning</w:t>
            </w:r>
          </w:p>
        </w:tc>
        <w:tc>
          <w:tcPr>
            <w:tcW w:w="631" w:type="dxa"/>
            <w:vMerge w:val="restart"/>
            <w:tcBorders>
              <w:top w:val="nil"/>
              <w:left w:val="nil"/>
              <w:bottom w:val="single" w:sz="4" w:space="0" w:color="000000"/>
              <w:right w:val="single" w:sz="4" w:space="0" w:color="000000"/>
            </w:tcBorders>
            <w:shd w:val="clear" w:color="auto" w:fill="auto"/>
            <w:vAlign w:val="center"/>
            <w:hideMark/>
          </w:tcPr>
          <w:p w14:paraId="0706DCC4"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BCC</w:t>
            </w:r>
          </w:p>
        </w:tc>
        <w:tc>
          <w:tcPr>
            <w:tcW w:w="504" w:type="dxa"/>
            <w:tcBorders>
              <w:top w:val="single" w:sz="8" w:space="0" w:color="000000"/>
              <w:left w:val="nil"/>
              <w:bottom w:val="single" w:sz="4" w:space="0" w:color="000000"/>
              <w:right w:val="single" w:sz="4" w:space="0" w:color="000000"/>
            </w:tcBorders>
            <w:shd w:val="clear" w:color="auto" w:fill="auto"/>
            <w:vAlign w:val="center"/>
            <w:hideMark/>
          </w:tcPr>
          <w:p w14:paraId="2D4FECD9"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6E3E09A9"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w:t>
            </w:r>
          </w:p>
        </w:tc>
        <w:tc>
          <w:tcPr>
            <w:tcW w:w="544" w:type="dxa"/>
            <w:tcBorders>
              <w:top w:val="single" w:sz="8" w:space="0" w:color="000000"/>
              <w:left w:val="nil"/>
              <w:bottom w:val="single" w:sz="4" w:space="0" w:color="000000"/>
              <w:right w:val="single" w:sz="4" w:space="0" w:color="000000"/>
            </w:tcBorders>
            <w:shd w:val="clear" w:color="auto" w:fill="auto"/>
            <w:vAlign w:val="center"/>
            <w:hideMark/>
          </w:tcPr>
          <w:p w14:paraId="5D058783"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71200</w:t>
            </w:r>
          </w:p>
        </w:tc>
        <w:tc>
          <w:tcPr>
            <w:tcW w:w="1580" w:type="dxa"/>
            <w:tcBorders>
              <w:top w:val="single" w:sz="8" w:space="0" w:color="000000"/>
              <w:left w:val="nil"/>
              <w:bottom w:val="single" w:sz="4" w:space="0" w:color="000000"/>
              <w:right w:val="single" w:sz="4" w:space="0" w:color="000000"/>
            </w:tcBorders>
            <w:shd w:val="clear" w:color="auto" w:fill="auto"/>
            <w:vAlign w:val="bottom"/>
            <w:hideMark/>
          </w:tcPr>
          <w:p w14:paraId="382C94D1"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International Consultants</w:t>
            </w:r>
          </w:p>
        </w:tc>
        <w:tc>
          <w:tcPr>
            <w:tcW w:w="694" w:type="dxa"/>
            <w:tcBorders>
              <w:top w:val="single" w:sz="8" w:space="0" w:color="000000"/>
              <w:left w:val="nil"/>
              <w:bottom w:val="single" w:sz="4" w:space="0" w:color="000000"/>
              <w:right w:val="single" w:sz="4" w:space="0" w:color="000000"/>
            </w:tcBorders>
            <w:shd w:val="clear" w:color="auto" w:fill="auto"/>
            <w:noWrap/>
            <w:vAlign w:val="bottom"/>
            <w:hideMark/>
          </w:tcPr>
          <w:p w14:paraId="2155E2C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12,700 </w:t>
            </w:r>
          </w:p>
        </w:tc>
        <w:tc>
          <w:tcPr>
            <w:tcW w:w="805" w:type="dxa"/>
            <w:tcBorders>
              <w:top w:val="single" w:sz="8" w:space="0" w:color="000000"/>
              <w:left w:val="nil"/>
              <w:bottom w:val="single" w:sz="4" w:space="0" w:color="000000"/>
              <w:right w:val="single" w:sz="4" w:space="0" w:color="000000"/>
            </w:tcBorders>
            <w:shd w:val="clear" w:color="auto" w:fill="auto"/>
            <w:noWrap/>
            <w:vAlign w:val="bottom"/>
            <w:hideMark/>
          </w:tcPr>
          <w:p w14:paraId="76EABA3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17,600 </w:t>
            </w:r>
          </w:p>
        </w:tc>
        <w:tc>
          <w:tcPr>
            <w:tcW w:w="826" w:type="dxa"/>
            <w:tcBorders>
              <w:top w:val="single" w:sz="8" w:space="0" w:color="000000"/>
              <w:left w:val="nil"/>
              <w:bottom w:val="single" w:sz="4" w:space="0" w:color="000000"/>
              <w:right w:val="single" w:sz="4" w:space="0" w:color="000000"/>
            </w:tcBorders>
            <w:shd w:val="clear" w:color="auto" w:fill="auto"/>
            <w:noWrap/>
            <w:vAlign w:val="bottom"/>
            <w:hideMark/>
          </w:tcPr>
          <w:p w14:paraId="25F7F2A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64" w:type="dxa"/>
            <w:tcBorders>
              <w:top w:val="single" w:sz="8" w:space="0" w:color="000000"/>
              <w:left w:val="nil"/>
              <w:bottom w:val="single" w:sz="4" w:space="0" w:color="000000"/>
              <w:right w:val="single" w:sz="4" w:space="0" w:color="000000"/>
            </w:tcBorders>
            <w:shd w:val="clear" w:color="auto" w:fill="auto"/>
            <w:noWrap/>
            <w:vAlign w:val="bottom"/>
            <w:hideMark/>
          </w:tcPr>
          <w:p w14:paraId="3425D75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34" w:type="dxa"/>
            <w:tcBorders>
              <w:top w:val="single" w:sz="8" w:space="0" w:color="000000"/>
              <w:left w:val="nil"/>
              <w:bottom w:val="single" w:sz="4" w:space="0" w:color="000000"/>
              <w:right w:val="single" w:sz="4" w:space="0" w:color="000000"/>
            </w:tcBorders>
            <w:shd w:val="clear" w:color="auto" w:fill="auto"/>
            <w:noWrap/>
            <w:vAlign w:val="bottom"/>
            <w:hideMark/>
          </w:tcPr>
          <w:p w14:paraId="2AC35EE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7" w:type="dxa"/>
            <w:tcBorders>
              <w:top w:val="single" w:sz="8" w:space="0" w:color="000000"/>
              <w:left w:val="nil"/>
              <w:bottom w:val="single" w:sz="4" w:space="0" w:color="000000"/>
              <w:right w:val="single" w:sz="4" w:space="0" w:color="000000"/>
            </w:tcBorders>
            <w:shd w:val="clear" w:color="auto" w:fill="auto"/>
            <w:noWrap/>
            <w:vAlign w:val="bottom"/>
            <w:hideMark/>
          </w:tcPr>
          <w:p w14:paraId="241BA6A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53D4D7A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30,300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276278CA"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11 </w:t>
            </w:r>
          </w:p>
        </w:tc>
      </w:tr>
      <w:tr w:rsidR="007A7FA3" w:rsidRPr="007A7FA3" w14:paraId="74EC3E70" w14:textId="77777777" w:rsidTr="007A7FA3">
        <w:trPr>
          <w:trHeight w:val="300"/>
        </w:trPr>
        <w:tc>
          <w:tcPr>
            <w:tcW w:w="1086" w:type="dxa"/>
            <w:vMerge/>
            <w:tcBorders>
              <w:top w:val="nil"/>
              <w:left w:val="single" w:sz="8" w:space="0" w:color="auto"/>
              <w:bottom w:val="single" w:sz="4" w:space="0" w:color="000000"/>
              <w:right w:val="nil"/>
            </w:tcBorders>
            <w:vAlign w:val="center"/>
            <w:hideMark/>
          </w:tcPr>
          <w:p w14:paraId="04539923" w14:textId="77777777" w:rsidR="007A7FA3" w:rsidRPr="007A7FA3" w:rsidRDefault="007A7FA3" w:rsidP="007A7FA3">
            <w:pPr>
              <w:rPr>
                <w:rFonts w:ascii="Calibri" w:hAnsi="Calibri" w:cs="Calibri"/>
                <w:i/>
                <w:iCs/>
                <w:color w:val="000000"/>
                <w:sz w:val="13"/>
                <w:szCs w:val="13"/>
              </w:rPr>
            </w:pPr>
          </w:p>
        </w:tc>
        <w:tc>
          <w:tcPr>
            <w:tcW w:w="871" w:type="dxa"/>
            <w:vMerge/>
            <w:tcBorders>
              <w:top w:val="single" w:sz="4" w:space="0" w:color="000000"/>
              <w:left w:val="single" w:sz="4" w:space="0" w:color="000000"/>
              <w:bottom w:val="single" w:sz="4" w:space="0" w:color="000000"/>
              <w:right w:val="single" w:sz="4" w:space="0" w:color="000000"/>
            </w:tcBorders>
            <w:vAlign w:val="center"/>
            <w:hideMark/>
          </w:tcPr>
          <w:p w14:paraId="1626882B"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5F4292CA"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single" w:sz="4" w:space="0" w:color="000000"/>
              <w:right w:val="single" w:sz="4" w:space="0" w:color="000000"/>
            </w:tcBorders>
            <w:vAlign w:val="center"/>
            <w:hideMark/>
          </w:tcPr>
          <w:p w14:paraId="18063FEE" w14:textId="77777777" w:rsidR="007A7FA3" w:rsidRPr="007A7FA3" w:rsidRDefault="007A7FA3" w:rsidP="007A7FA3">
            <w:pPr>
              <w:rPr>
                <w:rFonts w:ascii="Calibri" w:hAnsi="Calibri" w:cs="Calibri"/>
                <w:i/>
                <w:iCs/>
                <w:color w:val="000000"/>
                <w:sz w:val="13"/>
                <w:szCs w:val="13"/>
              </w:rPr>
            </w:pPr>
          </w:p>
        </w:tc>
        <w:tc>
          <w:tcPr>
            <w:tcW w:w="504" w:type="dxa"/>
            <w:tcBorders>
              <w:top w:val="nil"/>
              <w:left w:val="nil"/>
              <w:bottom w:val="single" w:sz="4" w:space="0" w:color="000000"/>
              <w:right w:val="single" w:sz="4" w:space="0" w:color="000000"/>
            </w:tcBorders>
            <w:shd w:val="clear" w:color="auto" w:fill="auto"/>
            <w:vAlign w:val="center"/>
            <w:hideMark/>
          </w:tcPr>
          <w:p w14:paraId="42CF3A31"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single" w:sz="4" w:space="0" w:color="000000"/>
              <w:right w:val="single" w:sz="4" w:space="0" w:color="000000"/>
            </w:tcBorders>
            <w:vAlign w:val="center"/>
            <w:hideMark/>
          </w:tcPr>
          <w:p w14:paraId="22F85480" w14:textId="77777777" w:rsidR="007A7FA3" w:rsidRPr="007A7FA3" w:rsidRDefault="007A7FA3" w:rsidP="007A7FA3">
            <w:pPr>
              <w:rPr>
                <w:rFonts w:ascii="Calibri" w:hAnsi="Calibri" w:cs="Calibri"/>
                <w:i/>
                <w:iCs/>
                <w:color w:val="000000"/>
                <w:sz w:val="13"/>
                <w:szCs w:val="13"/>
              </w:rPr>
            </w:pPr>
          </w:p>
        </w:tc>
        <w:tc>
          <w:tcPr>
            <w:tcW w:w="544" w:type="dxa"/>
            <w:tcBorders>
              <w:top w:val="nil"/>
              <w:left w:val="nil"/>
              <w:bottom w:val="single" w:sz="4" w:space="0" w:color="000000"/>
              <w:right w:val="single" w:sz="4" w:space="0" w:color="000000"/>
            </w:tcBorders>
            <w:shd w:val="clear" w:color="auto" w:fill="auto"/>
            <w:vAlign w:val="center"/>
            <w:hideMark/>
          </w:tcPr>
          <w:p w14:paraId="2BCE7F27"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71300</w:t>
            </w:r>
          </w:p>
        </w:tc>
        <w:tc>
          <w:tcPr>
            <w:tcW w:w="1580" w:type="dxa"/>
            <w:tcBorders>
              <w:top w:val="nil"/>
              <w:left w:val="nil"/>
              <w:bottom w:val="single" w:sz="4" w:space="0" w:color="000000"/>
              <w:right w:val="single" w:sz="4" w:space="0" w:color="000000"/>
            </w:tcBorders>
            <w:shd w:val="clear" w:color="auto" w:fill="auto"/>
            <w:vAlign w:val="bottom"/>
            <w:hideMark/>
          </w:tcPr>
          <w:p w14:paraId="2BF0CE0A"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Local Consultants</w:t>
            </w:r>
          </w:p>
        </w:tc>
        <w:tc>
          <w:tcPr>
            <w:tcW w:w="694" w:type="dxa"/>
            <w:tcBorders>
              <w:top w:val="nil"/>
              <w:left w:val="nil"/>
              <w:bottom w:val="single" w:sz="4" w:space="0" w:color="000000"/>
              <w:right w:val="single" w:sz="4" w:space="0" w:color="000000"/>
            </w:tcBorders>
            <w:shd w:val="clear" w:color="auto" w:fill="auto"/>
            <w:noWrap/>
            <w:vAlign w:val="bottom"/>
            <w:hideMark/>
          </w:tcPr>
          <w:p w14:paraId="501D2B6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15,800 </w:t>
            </w:r>
          </w:p>
        </w:tc>
        <w:tc>
          <w:tcPr>
            <w:tcW w:w="805" w:type="dxa"/>
            <w:tcBorders>
              <w:top w:val="nil"/>
              <w:left w:val="nil"/>
              <w:bottom w:val="single" w:sz="4" w:space="0" w:color="000000"/>
              <w:right w:val="single" w:sz="4" w:space="0" w:color="000000"/>
            </w:tcBorders>
            <w:shd w:val="clear" w:color="auto" w:fill="auto"/>
            <w:noWrap/>
            <w:vAlign w:val="bottom"/>
            <w:hideMark/>
          </w:tcPr>
          <w:p w14:paraId="0A17CD9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20,000 </w:t>
            </w:r>
          </w:p>
        </w:tc>
        <w:tc>
          <w:tcPr>
            <w:tcW w:w="826" w:type="dxa"/>
            <w:tcBorders>
              <w:top w:val="nil"/>
              <w:left w:val="nil"/>
              <w:bottom w:val="single" w:sz="4" w:space="0" w:color="000000"/>
              <w:right w:val="single" w:sz="4" w:space="0" w:color="000000"/>
            </w:tcBorders>
            <w:shd w:val="clear" w:color="auto" w:fill="auto"/>
            <w:noWrap/>
            <w:vAlign w:val="bottom"/>
            <w:hideMark/>
          </w:tcPr>
          <w:p w14:paraId="4E37D1C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64" w:type="dxa"/>
            <w:tcBorders>
              <w:top w:val="nil"/>
              <w:left w:val="nil"/>
              <w:bottom w:val="single" w:sz="4" w:space="0" w:color="000000"/>
              <w:right w:val="single" w:sz="4" w:space="0" w:color="000000"/>
            </w:tcBorders>
            <w:shd w:val="clear" w:color="auto" w:fill="auto"/>
            <w:noWrap/>
            <w:vAlign w:val="bottom"/>
            <w:hideMark/>
          </w:tcPr>
          <w:p w14:paraId="4E77C60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34" w:type="dxa"/>
            <w:tcBorders>
              <w:top w:val="nil"/>
              <w:left w:val="nil"/>
              <w:bottom w:val="single" w:sz="4" w:space="0" w:color="000000"/>
              <w:right w:val="single" w:sz="4" w:space="0" w:color="000000"/>
            </w:tcBorders>
            <w:shd w:val="clear" w:color="auto" w:fill="auto"/>
            <w:noWrap/>
            <w:vAlign w:val="bottom"/>
            <w:hideMark/>
          </w:tcPr>
          <w:p w14:paraId="63F4518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7" w:type="dxa"/>
            <w:tcBorders>
              <w:top w:val="nil"/>
              <w:left w:val="nil"/>
              <w:bottom w:val="single" w:sz="4" w:space="0" w:color="000000"/>
              <w:right w:val="single" w:sz="4" w:space="0" w:color="000000"/>
            </w:tcBorders>
            <w:shd w:val="clear" w:color="auto" w:fill="auto"/>
            <w:noWrap/>
            <w:vAlign w:val="bottom"/>
            <w:hideMark/>
          </w:tcPr>
          <w:p w14:paraId="2EE9A71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54BB72B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35,800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362CEF7C"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12 </w:t>
            </w:r>
          </w:p>
        </w:tc>
      </w:tr>
      <w:tr w:rsidR="007A7FA3" w:rsidRPr="007A7FA3" w14:paraId="140F922D" w14:textId="77777777" w:rsidTr="007A7FA3">
        <w:trPr>
          <w:trHeight w:val="255"/>
        </w:trPr>
        <w:tc>
          <w:tcPr>
            <w:tcW w:w="1086" w:type="dxa"/>
            <w:vMerge/>
            <w:tcBorders>
              <w:top w:val="nil"/>
              <w:left w:val="single" w:sz="8" w:space="0" w:color="auto"/>
              <w:bottom w:val="single" w:sz="4" w:space="0" w:color="000000"/>
              <w:right w:val="nil"/>
            </w:tcBorders>
            <w:vAlign w:val="center"/>
            <w:hideMark/>
          </w:tcPr>
          <w:p w14:paraId="26243916" w14:textId="77777777" w:rsidR="007A7FA3" w:rsidRPr="007A7FA3" w:rsidRDefault="007A7FA3" w:rsidP="007A7FA3">
            <w:pPr>
              <w:rPr>
                <w:rFonts w:ascii="Calibri" w:hAnsi="Calibri" w:cs="Calibri"/>
                <w:i/>
                <w:iCs/>
                <w:color w:val="000000"/>
                <w:sz w:val="13"/>
                <w:szCs w:val="13"/>
              </w:rPr>
            </w:pPr>
          </w:p>
        </w:tc>
        <w:tc>
          <w:tcPr>
            <w:tcW w:w="871" w:type="dxa"/>
            <w:vMerge/>
            <w:tcBorders>
              <w:top w:val="single" w:sz="4" w:space="0" w:color="000000"/>
              <w:left w:val="single" w:sz="4" w:space="0" w:color="000000"/>
              <w:bottom w:val="single" w:sz="4" w:space="0" w:color="000000"/>
              <w:right w:val="single" w:sz="4" w:space="0" w:color="000000"/>
            </w:tcBorders>
            <w:vAlign w:val="center"/>
            <w:hideMark/>
          </w:tcPr>
          <w:p w14:paraId="56AED822"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0CA673B6"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single" w:sz="4" w:space="0" w:color="000000"/>
              <w:right w:val="single" w:sz="4" w:space="0" w:color="000000"/>
            </w:tcBorders>
            <w:vAlign w:val="center"/>
            <w:hideMark/>
          </w:tcPr>
          <w:p w14:paraId="68B1BB0C" w14:textId="77777777" w:rsidR="007A7FA3" w:rsidRPr="007A7FA3" w:rsidRDefault="007A7FA3" w:rsidP="007A7FA3">
            <w:pPr>
              <w:rPr>
                <w:rFonts w:ascii="Calibri" w:hAnsi="Calibri" w:cs="Calibri"/>
                <w:i/>
                <w:iCs/>
                <w:color w:val="000000"/>
                <w:sz w:val="13"/>
                <w:szCs w:val="13"/>
              </w:rPr>
            </w:pPr>
          </w:p>
        </w:tc>
        <w:tc>
          <w:tcPr>
            <w:tcW w:w="504" w:type="dxa"/>
            <w:tcBorders>
              <w:top w:val="nil"/>
              <w:left w:val="nil"/>
              <w:bottom w:val="single" w:sz="4" w:space="0" w:color="000000"/>
              <w:right w:val="single" w:sz="4" w:space="0" w:color="000000"/>
            </w:tcBorders>
            <w:shd w:val="clear" w:color="auto" w:fill="auto"/>
            <w:vAlign w:val="center"/>
            <w:hideMark/>
          </w:tcPr>
          <w:p w14:paraId="0561A277"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single" w:sz="4" w:space="0" w:color="000000"/>
              <w:right w:val="single" w:sz="4" w:space="0" w:color="000000"/>
            </w:tcBorders>
            <w:vAlign w:val="center"/>
            <w:hideMark/>
          </w:tcPr>
          <w:p w14:paraId="0DA26050" w14:textId="77777777" w:rsidR="007A7FA3" w:rsidRPr="007A7FA3" w:rsidRDefault="007A7FA3" w:rsidP="007A7FA3">
            <w:pPr>
              <w:rPr>
                <w:rFonts w:ascii="Calibri" w:hAnsi="Calibri" w:cs="Calibri"/>
                <w:i/>
                <w:iCs/>
                <w:color w:val="000000"/>
                <w:sz w:val="13"/>
                <w:szCs w:val="13"/>
              </w:rPr>
            </w:pPr>
          </w:p>
        </w:tc>
        <w:tc>
          <w:tcPr>
            <w:tcW w:w="544" w:type="dxa"/>
            <w:tcBorders>
              <w:top w:val="nil"/>
              <w:left w:val="nil"/>
              <w:bottom w:val="single" w:sz="4" w:space="0" w:color="000000"/>
              <w:right w:val="single" w:sz="4" w:space="0" w:color="000000"/>
            </w:tcBorders>
            <w:shd w:val="clear" w:color="auto" w:fill="auto"/>
            <w:vAlign w:val="center"/>
            <w:hideMark/>
          </w:tcPr>
          <w:p w14:paraId="29558F91"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71600</w:t>
            </w:r>
          </w:p>
        </w:tc>
        <w:tc>
          <w:tcPr>
            <w:tcW w:w="1580" w:type="dxa"/>
            <w:tcBorders>
              <w:top w:val="nil"/>
              <w:left w:val="nil"/>
              <w:bottom w:val="single" w:sz="4" w:space="0" w:color="000000"/>
              <w:right w:val="single" w:sz="4" w:space="0" w:color="000000"/>
            </w:tcBorders>
            <w:shd w:val="clear" w:color="auto" w:fill="auto"/>
            <w:vAlign w:val="bottom"/>
            <w:hideMark/>
          </w:tcPr>
          <w:p w14:paraId="5271717C"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Travel</w:t>
            </w:r>
          </w:p>
        </w:tc>
        <w:tc>
          <w:tcPr>
            <w:tcW w:w="694" w:type="dxa"/>
            <w:tcBorders>
              <w:top w:val="nil"/>
              <w:left w:val="nil"/>
              <w:bottom w:val="single" w:sz="4" w:space="0" w:color="000000"/>
              <w:right w:val="single" w:sz="4" w:space="0" w:color="000000"/>
            </w:tcBorders>
            <w:shd w:val="clear" w:color="auto" w:fill="auto"/>
            <w:noWrap/>
            <w:vAlign w:val="bottom"/>
            <w:hideMark/>
          </w:tcPr>
          <w:p w14:paraId="651B8AA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17,000 </w:t>
            </w:r>
          </w:p>
        </w:tc>
        <w:tc>
          <w:tcPr>
            <w:tcW w:w="805" w:type="dxa"/>
            <w:tcBorders>
              <w:top w:val="nil"/>
              <w:left w:val="nil"/>
              <w:bottom w:val="single" w:sz="4" w:space="0" w:color="000000"/>
              <w:right w:val="single" w:sz="4" w:space="0" w:color="000000"/>
            </w:tcBorders>
            <w:shd w:val="clear" w:color="auto" w:fill="auto"/>
            <w:noWrap/>
            <w:vAlign w:val="bottom"/>
            <w:hideMark/>
          </w:tcPr>
          <w:p w14:paraId="6CA2CBA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20,000 </w:t>
            </w:r>
          </w:p>
        </w:tc>
        <w:tc>
          <w:tcPr>
            <w:tcW w:w="826" w:type="dxa"/>
            <w:tcBorders>
              <w:top w:val="nil"/>
              <w:left w:val="nil"/>
              <w:bottom w:val="single" w:sz="4" w:space="0" w:color="000000"/>
              <w:right w:val="single" w:sz="4" w:space="0" w:color="000000"/>
            </w:tcBorders>
            <w:shd w:val="clear" w:color="auto" w:fill="auto"/>
            <w:noWrap/>
            <w:vAlign w:val="bottom"/>
            <w:hideMark/>
          </w:tcPr>
          <w:p w14:paraId="3C6BE59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64" w:type="dxa"/>
            <w:tcBorders>
              <w:top w:val="nil"/>
              <w:left w:val="nil"/>
              <w:bottom w:val="single" w:sz="4" w:space="0" w:color="000000"/>
              <w:right w:val="single" w:sz="4" w:space="0" w:color="000000"/>
            </w:tcBorders>
            <w:shd w:val="clear" w:color="auto" w:fill="auto"/>
            <w:noWrap/>
            <w:vAlign w:val="bottom"/>
            <w:hideMark/>
          </w:tcPr>
          <w:p w14:paraId="1252B72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34" w:type="dxa"/>
            <w:tcBorders>
              <w:top w:val="nil"/>
              <w:left w:val="nil"/>
              <w:bottom w:val="single" w:sz="4" w:space="0" w:color="000000"/>
              <w:right w:val="single" w:sz="4" w:space="0" w:color="000000"/>
            </w:tcBorders>
            <w:shd w:val="clear" w:color="auto" w:fill="auto"/>
            <w:noWrap/>
            <w:vAlign w:val="bottom"/>
            <w:hideMark/>
          </w:tcPr>
          <w:p w14:paraId="0A48437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7" w:type="dxa"/>
            <w:tcBorders>
              <w:top w:val="nil"/>
              <w:left w:val="nil"/>
              <w:bottom w:val="single" w:sz="4" w:space="0" w:color="000000"/>
              <w:right w:val="single" w:sz="4" w:space="0" w:color="000000"/>
            </w:tcBorders>
            <w:shd w:val="clear" w:color="auto" w:fill="auto"/>
            <w:noWrap/>
            <w:vAlign w:val="bottom"/>
            <w:hideMark/>
          </w:tcPr>
          <w:p w14:paraId="1150AA8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5EAA103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37,000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3D3E249E"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13 </w:t>
            </w:r>
          </w:p>
        </w:tc>
      </w:tr>
      <w:tr w:rsidR="007A7FA3" w:rsidRPr="007A7FA3" w14:paraId="3A1EFF99" w14:textId="77777777" w:rsidTr="007A7FA3">
        <w:trPr>
          <w:trHeight w:val="270"/>
        </w:trPr>
        <w:tc>
          <w:tcPr>
            <w:tcW w:w="1086" w:type="dxa"/>
            <w:vMerge/>
            <w:tcBorders>
              <w:top w:val="nil"/>
              <w:left w:val="single" w:sz="8" w:space="0" w:color="auto"/>
              <w:bottom w:val="single" w:sz="4" w:space="0" w:color="000000"/>
              <w:right w:val="nil"/>
            </w:tcBorders>
            <w:vAlign w:val="center"/>
            <w:hideMark/>
          </w:tcPr>
          <w:p w14:paraId="3467747B" w14:textId="77777777" w:rsidR="007A7FA3" w:rsidRPr="007A7FA3" w:rsidRDefault="007A7FA3" w:rsidP="007A7FA3">
            <w:pPr>
              <w:rPr>
                <w:rFonts w:ascii="Calibri" w:hAnsi="Calibri" w:cs="Calibri"/>
                <w:i/>
                <w:iCs/>
                <w:color w:val="000000"/>
                <w:sz w:val="13"/>
                <w:szCs w:val="13"/>
              </w:rPr>
            </w:pPr>
          </w:p>
        </w:tc>
        <w:tc>
          <w:tcPr>
            <w:tcW w:w="871" w:type="dxa"/>
            <w:vMerge/>
            <w:tcBorders>
              <w:top w:val="single" w:sz="4" w:space="0" w:color="000000"/>
              <w:left w:val="single" w:sz="4" w:space="0" w:color="000000"/>
              <w:bottom w:val="single" w:sz="4" w:space="0" w:color="000000"/>
              <w:right w:val="single" w:sz="4" w:space="0" w:color="000000"/>
            </w:tcBorders>
            <w:vAlign w:val="center"/>
            <w:hideMark/>
          </w:tcPr>
          <w:p w14:paraId="7FEC6BFF"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2BF80342"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single" w:sz="4" w:space="0" w:color="000000"/>
              <w:right w:val="single" w:sz="4" w:space="0" w:color="000000"/>
            </w:tcBorders>
            <w:vAlign w:val="center"/>
            <w:hideMark/>
          </w:tcPr>
          <w:p w14:paraId="64A1CAEC" w14:textId="77777777" w:rsidR="007A7FA3" w:rsidRPr="007A7FA3" w:rsidRDefault="007A7FA3" w:rsidP="007A7FA3">
            <w:pPr>
              <w:rPr>
                <w:rFonts w:ascii="Calibri" w:hAnsi="Calibri" w:cs="Calibri"/>
                <w:i/>
                <w:iCs/>
                <w:color w:val="000000"/>
                <w:sz w:val="13"/>
                <w:szCs w:val="13"/>
              </w:rPr>
            </w:pPr>
          </w:p>
        </w:tc>
        <w:tc>
          <w:tcPr>
            <w:tcW w:w="504" w:type="dxa"/>
            <w:tcBorders>
              <w:top w:val="nil"/>
              <w:left w:val="nil"/>
              <w:bottom w:val="single" w:sz="4" w:space="0" w:color="000000"/>
              <w:right w:val="single" w:sz="4" w:space="0" w:color="000000"/>
            </w:tcBorders>
            <w:shd w:val="clear" w:color="auto" w:fill="auto"/>
            <w:vAlign w:val="center"/>
            <w:hideMark/>
          </w:tcPr>
          <w:p w14:paraId="2DF2B8AC"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single" w:sz="4" w:space="0" w:color="000000"/>
              <w:right w:val="single" w:sz="4" w:space="0" w:color="000000"/>
            </w:tcBorders>
            <w:vAlign w:val="center"/>
            <w:hideMark/>
          </w:tcPr>
          <w:p w14:paraId="53A35867" w14:textId="77777777" w:rsidR="007A7FA3" w:rsidRPr="007A7FA3" w:rsidRDefault="007A7FA3" w:rsidP="007A7FA3">
            <w:pPr>
              <w:rPr>
                <w:rFonts w:ascii="Calibri" w:hAnsi="Calibri" w:cs="Calibri"/>
                <w:i/>
                <w:iCs/>
                <w:color w:val="000000"/>
                <w:sz w:val="13"/>
                <w:szCs w:val="13"/>
              </w:rPr>
            </w:pPr>
          </w:p>
        </w:tc>
        <w:tc>
          <w:tcPr>
            <w:tcW w:w="544" w:type="dxa"/>
            <w:tcBorders>
              <w:top w:val="nil"/>
              <w:left w:val="nil"/>
              <w:bottom w:val="single" w:sz="4" w:space="0" w:color="000000"/>
              <w:right w:val="single" w:sz="4" w:space="0" w:color="000000"/>
            </w:tcBorders>
            <w:shd w:val="clear" w:color="auto" w:fill="auto"/>
            <w:vAlign w:val="center"/>
            <w:hideMark/>
          </w:tcPr>
          <w:p w14:paraId="3C8350EB"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72100</w:t>
            </w:r>
          </w:p>
        </w:tc>
        <w:tc>
          <w:tcPr>
            <w:tcW w:w="1580" w:type="dxa"/>
            <w:tcBorders>
              <w:top w:val="nil"/>
              <w:left w:val="nil"/>
              <w:bottom w:val="single" w:sz="4" w:space="0" w:color="000000"/>
              <w:right w:val="single" w:sz="4" w:space="0" w:color="000000"/>
            </w:tcBorders>
            <w:shd w:val="clear" w:color="auto" w:fill="auto"/>
            <w:vAlign w:val="bottom"/>
            <w:hideMark/>
          </w:tcPr>
          <w:p w14:paraId="14C4179F"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Contractual Services - Companies</w:t>
            </w:r>
          </w:p>
        </w:tc>
        <w:tc>
          <w:tcPr>
            <w:tcW w:w="694" w:type="dxa"/>
            <w:tcBorders>
              <w:top w:val="nil"/>
              <w:left w:val="nil"/>
              <w:bottom w:val="single" w:sz="4" w:space="0" w:color="000000"/>
              <w:right w:val="single" w:sz="4" w:space="0" w:color="000000"/>
            </w:tcBorders>
            <w:shd w:val="clear" w:color="auto" w:fill="auto"/>
            <w:noWrap/>
            <w:vAlign w:val="bottom"/>
            <w:hideMark/>
          </w:tcPr>
          <w:p w14:paraId="41CAF6D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12,800 </w:t>
            </w:r>
          </w:p>
        </w:tc>
        <w:tc>
          <w:tcPr>
            <w:tcW w:w="805" w:type="dxa"/>
            <w:tcBorders>
              <w:top w:val="nil"/>
              <w:left w:val="nil"/>
              <w:bottom w:val="single" w:sz="4" w:space="0" w:color="000000"/>
              <w:right w:val="single" w:sz="4" w:space="0" w:color="000000"/>
            </w:tcBorders>
            <w:shd w:val="clear" w:color="auto" w:fill="auto"/>
            <w:noWrap/>
            <w:vAlign w:val="bottom"/>
            <w:hideMark/>
          </w:tcPr>
          <w:p w14:paraId="226C8C4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16,000 </w:t>
            </w:r>
          </w:p>
        </w:tc>
        <w:tc>
          <w:tcPr>
            <w:tcW w:w="826" w:type="dxa"/>
            <w:tcBorders>
              <w:top w:val="nil"/>
              <w:left w:val="nil"/>
              <w:bottom w:val="single" w:sz="4" w:space="0" w:color="000000"/>
              <w:right w:val="single" w:sz="4" w:space="0" w:color="000000"/>
            </w:tcBorders>
            <w:shd w:val="clear" w:color="auto" w:fill="auto"/>
            <w:noWrap/>
            <w:vAlign w:val="bottom"/>
            <w:hideMark/>
          </w:tcPr>
          <w:p w14:paraId="394DF7B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64" w:type="dxa"/>
            <w:tcBorders>
              <w:top w:val="nil"/>
              <w:left w:val="nil"/>
              <w:bottom w:val="single" w:sz="4" w:space="0" w:color="000000"/>
              <w:right w:val="single" w:sz="4" w:space="0" w:color="000000"/>
            </w:tcBorders>
            <w:shd w:val="clear" w:color="auto" w:fill="auto"/>
            <w:noWrap/>
            <w:vAlign w:val="bottom"/>
            <w:hideMark/>
          </w:tcPr>
          <w:p w14:paraId="7F24768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34" w:type="dxa"/>
            <w:tcBorders>
              <w:top w:val="nil"/>
              <w:left w:val="nil"/>
              <w:bottom w:val="single" w:sz="4" w:space="0" w:color="000000"/>
              <w:right w:val="single" w:sz="4" w:space="0" w:color="000000"/>
            </w:tcBorders>
            <w:shd w:val="clear" w:color="auto" w:fill="auto"/>
            <w:noWrap/>
            <w:vAlign w:val="bottom"/>
            <w:hideMark/>
          </w:tcPr>
          <w:p w14:paraId="34E4E7F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7" w:type="dxa"/>
            <w:tcBorders>
              <w:top w:val="nil"/>
              <w:left w:val="nil"/>
              <w:bottom w:val="single" w:sz="4" w:space="0" w:color="000000"/>
              <w:right w:val="single" w:sz="4" w:space="0" w:color="000000"/>
            </w:tcBorders>
            <w:shd w:val="clear" w:color="auto" w:fill="auto"/>
            <w:noWrap/>
            <w:vAlign w:val="bottom"/>
            <w:hideMark/>
          </w:tcPr>
          <w:p w14:paraId="4CA412E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4D75DA6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28,800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3D49250C"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14 </w:t>
            </w:r>
          </w:p>
        </w:tc>
      </w:tr>
      <w:tr w:rsidR="007A7FA3" w:rsidRPr="007A7FA3" w14:paraId="74AA72CD" w14:textId="77777777" w:rsidTr="007A7FA3">
        <w:trPr>
          <w:trHeight w:val="255"/>
        </w:trPr>
        <w:tc>
          <w:tcPr>
            <w:tcW w:w="1086" w:type="dxa"/>
            <w:vMerge/>
            <w:tcBorders>
              <w:top w:val="nil"/>
              <w:left w:val="single" w:sz="8" w:space="0" w:color="auto"/>
              <w:bottom w:val="single" w:sz="4" w:space="0" w:color="000000"/>
              <w:right w:val="nil"/>
            </w:tcBorders>
            <w:vAlign w:val="center"/>
            <w:hideMark/>
          </w:tcPr>
          <w:p w14:paraId="524059F0" w14:textId="77777777" w:rsidR="007A7FA3" w:rsidRPr="007A7FA3" w:rsidRDefault="007A7FA3" w:rsidP="007A7FA3">
            <w:pPr>
              <w:rPr>
                <w:rFonts w:ascii="Calibri" w:hAnsi="Calibri" w:cs="Calibri"/>
                <w:i/>
                <w:iCs/>
                <w:color w:val="000000"/>
                <w:sz w:val="13"/>
                <w:szCs w:val="13"/>
              </w:rPr>
            </w:pPr>
          </w:p>
        </w:tc>
        <w:tc>
          <w:tcPr>
            <w:tcW w:w="871" w:type="dxa"/>
            <w:vMerge/>
            <w:tcBorders>
              <w:top w:val="single" w:sz="4" w:space="0" w:color="000000"/>
              <w:left w:val="single" w:sz="4" w:space="0" w:color="000000"/>
              <w:bottom w:val="single" w:sz="4" w:space="0" w:color="000000"/>
              <w:right w:val="single" w:sz="4" w:space="0" w:color="000000"/>
            </w:tcBorders>
            <w:vAlign w:val="center"/>
            <w:hideMark/>
          </w:tcPr>
          <w:p w14:paraId="09C71F5D"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370AD7BA"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single" w:sz="4" w:space="0" w:color="000000"/>
              <w:right w:val="single" w:sz="4" w:space="0" w:color="000000"/>
            </w:tcBorders>
            <w:vAlign w:val="center"/>
            <w:hideMark/>
          </w:tcPr>
          <w:p w14:paraId="3602C31A" w14:textId="77777777" w:rsidR="007A7FA3" w:rsidRPr="007A7FA3" w:rsidRDefault="007A7FA3" w:rsidP="007A7FA3">
            <w:pPr>
              <w:rPr>
                <w:rFonts w:ascii="Calibri" w:hAnsi="Calibri" w:cs="Calibri"/>
                <w:i/>
                <w:iCs/>
                <w:color w:val="000000"/>
                <w:sz w:val="13"/>
                <w:szCs w:val="13"/>
              </w:rPr>
            </w:pPr>
          </w:p>
        </w:tc>
        <w:tc>
          <w:tcPr>
            <w:tcW w:w="504" w:type="dxa"/>
            <w:tcBorders>
              <w:top w:val="nil"/>
              <w:left w:val="nil"/>
              <w:bottom w:val="single" w:sz="4" w:space="0" w:color="000000"/>
              <w:right w:val="single" w:sz="4" w:space="0" w:color="000000"/>
            </w:tcBorders>
            <w:shd w:val="clear" w:color="auto" w:fill="auto"/>
            <w:vAlign w:val="center"/>
            <w:hideMark/>
          </w:tcPr>
          <w:p w14:paraId="23038FB1"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single" w:sz="4" w:space="0" w:color="000000"/>
              <w:right w:val="single" w:sz="4" w:space="0" w:color="000000"/>
            </w:tcBorders>
            <w:vAlign w:val="center"/>
            <w:hideMark/>
          </w:tcPr>
          <w:p w14:paraId="5AAC4B92" w14:textId="77777777" w:rsidR="007A7FA3" w:rsidRPr="007A7FA3" w:rsidRDefault="007A7FA3" w:rsidP="007A7FA3">
            <w:pPr>
              <w:rPr>
                <w:rFonts w:ascii="Calibri" w:hAnsi="Calibri" w:cs="Calibri"/>
                <w:i/>
                <w:iCs/>
                <w:color w:val="000000"/>
                <w:sz w:val="13"/>
                <w:szCs w:val="13"/>
              </w:rPr>
            </w:pPr>
          </w:p>
        </w:tc>
        <w:tc>
          <w:tcPr>
            <w:tcW w:w="544" w:type="dxa"/>
            <w:tcBorders>
              <w:top w:val="nil"/>
              <w:left w:val="nil"/>
              <w:bottom w:val="single" w:sz="4" w:space="0" w:color="000000"/>
              <w:right w:val="single" w:sz="4" w:space="0" w:color="000000"/>
            </w:tcBorders>
            <w:shd w:val="clear" w:color="auto" w:fill="auto"/>
            <w:vAlign w:val="center"/>
            <w:hideMark/>
          </w:tcPr>
          <w:p w14:paraId="1EDC0AD0"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72400</w:t>
            </w:r>
          </w:p>
        </w:tc>
        <w:tc>
          <w:tcPr>
            <w:tcW w:w="1580" w:type="dxa"/>
            <w:tcBorders>
              <w:top w:val="nil"/>
              <w:left w:val="nil"/>
              <w:bottom w:val="single" w:sz="4" w:space="0" w:color="000000"/>
              <w:right w:val="single" w:sz="4" w:space="0" w:color="000000"/>
            </w:tcBorders>
            <w:shd w:val="clear" w:color="auto" w:fill="auto"/>
            <w:vAlign w:val="bottom"/>
            <w:hideMark/>
          </w:tcPr>
          <w:p w14:paraId="7A97A12E"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Communic &amp; Audio Visual Equip</w:t>
            </w:r>
          </w:p>
        </w:tc>
        <w:tc>
          <w:tcPr>
            <w:tcW w:w="694" w:type="dxa"/>
            <w:tcBorders>
              <w:top w:val="nil"/>
              <w:left w:val="nil"/>
              <w:bottom w:val="single" w:sz="4" w:space="0" w:color="000000"/>
              <w:right w:val="single" w:sz="4" w:space="0" w:color="000000"/>
            </w:tcBorders>
            <w:shd w:val="clear" w:color="auto" w:fill="auto"/>
            <w:noWrap/>
            <w:vAlign w:val="bottom"/>
            <w:hideMark/>
          </w:tcPr>
          <w:p w14:paraId="260F56D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8,100 </w:t>
            </w:r>
          </w:p>
        </w:tc>
        <w:tc>
          <w:tcPr>
            <w:tcW w:w="805" w:type="dxa"/>
            <w:tcBorders>
              <w:top w:val="nil"/>
              <w:left w:val="nil"/>
              <w:bottom w:val="single" w:sz="4" w:space="0" w:color="000000"/>
              <w:right w:val="single" w:sz="4" w:space="0" w:color="000000"/>
            </w:tcBorders>
            <w:shd w:val="clear" w:color="auto" w:fill="auto"/>
            <w:noWrap/>
            <w:vAlign w:val="bottom"/>
            <w:hideMark/>
          </w:tcPr>
          <w:p w14:paraId="3582B2E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26" w:type="dxa"/>
            <w:tcBorders>
              <w:top w:val="nil"/>
              <w:left w:val="nil"/>
              <w:bottom w:val="single" w:sz="4" w:space="0" w:color="000000"/>
              <w:right w:val="single" w:sz="4" w:space="0" w:color="000000"/>
            </w:tcBorders>
            <w:shd w:val="clear" w:color="auto" w:fill="auto"/>
            <w:noWrap/>
            <w:vAlign w:val="bottom"/>
            <w:hideMark/>
          </w:tcPr>
          <w:p w14:paraId="7215D7A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64" w:type="dxa"/>
            <w:tcBorders>
              <w:top w:val="nil"/>
              <w:left w:val="nil"/>
              <w:bottom w:val="single" w:sz="4" w:space="0" w:color="000000"/>
              <w:right w:val="single" w:sz="4" w:space="0" w:color="000000"/>
            </w:tcBorders>
            <w:shd w:val="clear" w:color="auto" w:fill="auto"/>
            <w:noWrap/>
            <w:vAlign w:val="bottom"/>
            <w:hideMark/>
          </w:tcPr>
          <w:p w14:paraId="4AFF010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34" w:type="dxa"/>
            <w:tcBorders>
              <w:top w:val="nil"/>
              <w:left w:val="nil"/>
              <w:bottom w:val="single" w:sz="4" w:space="0" w:color="000000"/>
              <w:right w:val="single" w:sz="4" w:space="0" w:color="000000"/>
            </w:tcBorders>
            <w:shd w:val="clear" w:color="auto" w:fill="auto"/>
            <w:noWrap/>
            <w:vAlign w:val="bottom"/>
            <w:hideMark/>
          </w:tcPr>
          <w:p w14:paraId="33D8326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7" w:type="dxa"/>
            <w:tcBorders>
              <w:top w:val="nil"/>
              <w:left w:val="nil"/>
              <w:bottom w:val="single" w:sz="4" w:space="0" w:color="000000"/>
              <w:right w:val="single" w:sz="4" w:space="0" w:color="000000"/>
            </w:tcBorders>
            <w:shd w:val="clear" w:color="auto" w:fill="auto"/>
            <w:noWrap/>
            <w:vAlign w:val="bottom"/>
            <w:hideMark/>
          </w:tcPr>
          <w:p w14:paraId="08127BB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48214E0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18,100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40BB8357"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15 </w:t>
            </w:r>
          </w:p>
        </w:tc>
      </w:tr>
      <w:tr w:rsidR="007A7FA3" w:rsidRPr="007A7FA3" w14:paraId="179A3BD6" w14:textId="77777777" w:rsidTr="007A7FA3">
        <w:trPr>
          <w:trHeight w:val="255"/>
        </w:trPr>
        <w:tc>
          <w:tcPr>
            <w:tcW w:w="1086" w:type="dxa"/>
            <w:vMerge/>
            <w:tcBorders>
              <w:top w:val="nil"/>
              <w:left w:val="single" w:sz="8" w:space="0" w:color="auto"/>
              <w:bottom w:val="single" w:sz="4" w:space="0" w:color="000000"/>
              <w:right w:val="nil"/>
            </w:tcBorders>
            <w:vAlign w:val="center"/>
            <w:hideMark/>
          </w:tcPr>
          <w:p w14:paraId="4A030647" w14:textId="77777777" w:rsidR="007A7FA3" w:rsidRPr="007A7FA3" w:rsidRDefault="007A7FA3" w:rsidP="007A7FA3">
            <w:pPr>
              <w:rPr>
                <w:rFonts w:ascii="Calibri" w:hAnsi="Calibri" w:cs="Calibri"/>
                <w:i/>
                <w:iCs/>
                <w:color w:val="000000"/>
                <w:sz w:val="13"/>
                <w:szCs w:val="13"/>
              </w:rPr>
            </w:pPr>
          </w:p>
        </w:tc>
        <w:tc>
          <w:tcPr>
            <w:tcW w:w="871" w:type="dxa"/>
            <w:vMerge/>
            <w:tcBorders>
              <w:top w:val="single" w:sz="4" w:space="0" w:color="000000"/>
              <w:left w:val="single" w:sz="4" w:space="0" w:color="000000"/>
              <w:bottom w:val="single" w:sz="4" w:space="0" w:color="000000"/>
              <w:right w:val="single" w:sz="4" w:space="0" w:color="000000"/>
            </w:tcBorders>
            <w:vAlign w:val="center"/>
            <w:hideMark/>
          </w:tcPr>
          <w:p w14:paraId="7114A988"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40B8BB25" w14:textId="77777777" w:rsidR="007A7FA3" w:rsidRPr="007A7FA3" w:rsidRDefault="007A7FA3" w:rsidP="007A7FA3">
            <w:pPr>
              <w:rPr>
                <w:rFonts w:ascii="Calibri" w:hAnsi="Calibri" w:cs="Calibri"/>
                <w:i/>
                <w:iCs/>
                <w:color w:val="000000"/>
                <w:sz w:val="13"/>
                <w:szCs w:val="13"/>
              </w:rPr>
            </w:pPr>
          </w:p>
        </w:tc>
        <w:tc>
          <w:tcPr>
            <w:tcW w:w="3763" w:type="dxa"/>
            <w:gridSpan w:val="5"/>
            <w:tcBorders>
              <w:top w:val="single" w:sz="4" w:space="0" w:color="000000"/>
              <w:left w:val="nil"/>
              <w:bottom w:val="single" w:sz="4" w:space="0" w:color="000000"/>
              <w:right w:val="single" w:sz="4" w:space="0" w:color="000000"/>
            </w:tcBorders>
            <w:shd w:val="clear" w:color="auto" w:fill="auto"/>
            <w:vAlign w:val="center"/>
            <w:hideMark/>
          </w:tcPr>
          <w:p w14:paraId="09F05449"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Total BCC</w:t>
            </w:r>
          </w:p>
        </w:tc>
        <w:tc>
          <w:tcPr>
            <w:tcW w:w="694" w:type="dxa"/>
            <w:tcBorders>
              <w:top w:val="nil"/>
              <w:left w:val="nil"/>
              <w:bottom w:val="single" w:sz="4" w:space="0" w:color="000000"/>
              <w:right w:val="single" w:sz="4" w:space="0" w:color="000000"/>
            </w:tcBorders>
            <w:shd w:val="clear" w:color="auto" w:fill="auto"/>
            <w:noWrap/>
            <w:vAlign w:val="bottom"/>
            <w:hideMark/>
          </w:tcPr>
          <w:p w14:paraId="63DE1FD4"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66,400 </w:t>
            </w:r>
          </w:p>
        </w:tc>
        <w:tc>
          <w:tcPr>
            <w:tcW w:w="805" w:type="dxa"/>
            <w:tcBorders>
              <w:top w:val="nil"/>
              <w:left w:val="nil"/>
              <w:bottom w:val="single" w:sz="4" w:space="0" w:color="000000"/>
              <w:right w:val="single" w:sz="4" w:space="0" w:color="000000"/>
            </w:tcBorders>
            <w:shd w:val="clear" w:color="auto" w:fill="auto"/>
            <w:noWrap/>
            <w:vAlign w:val="bottom"/>
            <w:hideMark/>
          </w:tcPr>
          <w:p w14:paraId="5B77E167"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83,600 </w:t>
            </w:r>
          </w:p>
        </w:tc>
        <w:tc>
          <w:tcPr>
            <w:tcW w:w="826" w:type="dxa"/>
            <w:tcBorders>
              <w:top w:val="nil"/>
              <w:left w:val="nil"/>
              <w:bottom w:val="single" w:sz="4" w:space="0" w:color="000000"/>
              <w:right w:val="single" w:sz="4" w:space="0" w:color="000000"/>
            </w:tcBorders>
            <w:shd w:val="clear" w:color="auto" w:fill="auto"/>
            <w:noWrap/>
            <w:vAlign w:val="bottom"/>
            <w:hideMark/>
          </w:tcPr>
          <w:p w14:paraId="210F2102"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64" w:type="dxa"/>
            <w:tcBorders>
              <w:top w:val="nil"/>
              <w:left w:val="nil"/>
              <w:bottom w:val="single" w:sz="4" w:space="0" w:color="000000"/>
              <w:right w:val="single" w:sz="4" w:space="0" w:color="000000"/>
            </w:tcBorders>
            <w:shd w:val="clear" w:color="auto" w:fill="auto"/>
            <w:noWrap/>
            <w:vAlign w:val="bottom"/>
            <w:hideMark/>
          </w:tcPr>
          <w:p w14:paraId="5C72157A"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34" w:type="dxa"/>
            <w:tcBorders>
              <w:top w:val="nil"/>
              <w:left w:val="nil"/>
              <w:bottom w:val="single" w:sz="4" w:space="0" w:color="000000"/>
              <w:right w:val="single" w:sz="4" w:space="0" w:color="000000"/>
            </w:tcBorders>
            <w:shd w:val="clear" w:color="auto" w:fill="auto"/>
            <w:noWrap/>
            <w:vAlign w:val="bottom"/>
            <w:hideMark/>
          </w:tcPr>
          <w:p w14:paraId="1FAEDBAA"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27" w:type="dxa"/>
            <w:tcBorders>
              <w:top w:val="nil"/>
              <w:left w:val="nil"/>
              <w:bottom w:val="single" w:sz="4" w:space="0" w:color="000000"/>
              <w:right w:val="single" w:sz="4" w:space="0" w:color="000000"/>
            </w:tcBorders>
            <w:shd w:val="clear" w:color="auto" w:fill="auto"/>
            <w:noWrap/>
            <w:vAlign w:val="bottom"/>
            <w:hideMark/>
          </w:tcPr>
          <w:p w14:paraId="122DC348"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980" w:type="dxa"/>
            <w:tcBorders>
              <w:top w:val="single" w:sz="8" w:space="0" w:color="000000"/>
              <w:left w:val="nil"/>
              <w:bottom w:val="single" w:sz="4" w:space="0" w:color="000000"/>
              <w:right w:val="nil"/>
            </w:tcBorders>
            <w:shd w:val="clear" w:color="auto" w:fill="auto"/>
            <w:noWrap/>
            <w:vAlign w:val="bottom"/>
            <w:hideMark/>
          </w:tcPr>
          <w:p w14:paraId="00A94F51"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150,000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7A5485B4"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55A194F0" w14:textId="77777777" w:rsidTr="007A7FA3">
        <w:trPr>
          <w:trHeight w:val="270"/>
        </w:trPr>
        <w:tc>
          <w:tcPr>
            <w:tcW w:w="1086" w:type="dxa"/>
            <w:vMerge/>
            <w:tcBorders>
              <w:top w:val="nil"/>
              <w:left w:val="single" w:sz="8" w:space="0" w:color="auto"/>
              <w:bottom w:val="single" w:sz="4" w:space="0" w:color="000000"/>
              <w:right w:val="nil"/>
            </w:tcBorders>
            <w:vAlign w:val="center"/>
            <w:hideMark/>
          </w:tcPr>
          <w:p w14:paraId="12F63FE9" w14:textId="77777777" w:rsidR="007A7FA3" w:rsidRPr="007A7FA3" w:rsidRDefault="007A7FA3" w:rsidP="007A7FA3">
            <w:pPr>
              <w:rPr>
                <w:rFonts w:ascii="Calibri" w:hAnsi="Calibri" w:cs="Calibri"/>
                <w:i/>
                <w:iCs/>
                <w:color w:val="000000"/>
                <w:sz w:val="13"/>
                <w:szCs w:val="13"/>
              </w:rPr>
            </w:pPr>
          </w:p>
        </w:tc>
        <w:tc>
          <w:tcPr>
            <w:tcW w:w="871" w:type="dxa"/>
            <w:vMerge/>
            <w:tcBorders>
              <w:top w:val="single" w:sz="4" w:space="0" w:color="000000"/>
              <w:left w:val="single" w:sz="4" w:space="0" w:color="000000"/>
              <w:bottom w:val="single" w:sz="4" w:space="0" w:color="000000"/>
              <w:right w:val="single" w:sz="4" w:space="0" w:color="000000"/>
            </w:tcBorders>
            <w:vAlign w:val="center"/>
            <w:hideMark/>
          </w:tcPr>
          <w:p w14:paraId="0BFE85D8" w14:textId="77777777" w:rsidR="007A7FA3" w:rsidRPr="007A7FA3" w:rsidRDefault="007A7FA3" w:rsidP="007A7FA3">
            <w:pPr>
              <w:rPr>
                <w:rFonts w:ascii="Calibri" w:hAnsi="Calibri" w:cs="Calibri"/>
                <w:i/>
                <w:iCs/>
                <w:color w:val="000000"/>
                <w:sz w:val="13"/>
                <w:szCs w:val="13"/>
              </w:rPr>
            </w:pPr>
          </w:p>
        </w:tc>
        <w:tc>
          <w:tcPr>
            <w:tcW w:w="5779" w:type="dxa"/>
            <w:gridSpan w:val="6"/>
            <w:tcBorders>
              <w:top w:val="nil"/>
              <w:left w:val="nil"/>
              <w:bottom w:val="single" w:sz="4" w:space="0" w:color="000000"/>
              <w:right w:val="single" w:sz="4" w:space="0" w:color="000000"/>
            </w:tcBorders>
            <w:shd w:val="clear" w:color="auto" w:fill="auto"/>
            <w:vAlign w:val="center"/>
            <w:hideMark/>
          </w:tcPr>
          <w:p w14:paraId="3E616BC9"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Total Output 1.1.3</w:t>
            </w:r>
          </w:p>
        </w:tc>
        <w:tc>
          <w:tcPr>
            <w:tcW w:w="694" w:type="dxa"/>
            <w:tcBorders>
              <w:top w:val="nil"/>
              <w:left w:val="nil"/>
              <w:bottom w:val="single" w:sz="4" w:space="0" w:color="000000"/>
              <w:right w:val="single" w:sz="4" w:space="0" w:color="000000"/>
            </w:tcBorders>
            <w:shd w:val="clear" w:color="auto" w:fill="auto"/>
            <w:noWrap/>
            <w:vAlign w:val="bottom"/>
            <w:hideMark/>
          </w:tcPr>
          <w:p w14:paraId="3A70E053"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66,400 </w:t>
            </w:r>
          </w:p>
        </w:tc>
        <w:tc>
          <w:tcPr>
            <w:tcW w:w="805" w:type="dxa"/>
            <w:tcBorders>
              <w:top w:val="nil"/>
              <w:left w:val="nil"/>
              <w:bottom w:val="single" w:sz="4" w:space="0" w:color="000000"/>
              <w:right w:val="single" w:sz="4" w:space="0" w:color="000000"/>
            </w:tcBorders>
            <w:shd w:val="clear" w:color="auto" w:fill="auto"/>
            <w:noWrap/>
            <w:vAlign w:val="bottom"/>
            <w:hideMark/>
          </w:tcPr>
          <w:p w14:paraId="175AB5FC"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83,600 </w:t>
            </w:r>
          </w:p>
        </w:tc>
        <w:tc>
          <w:tcPr>
            <w:tcW w:w="826" w:type="dxa"/>
            <w:tcBorders>
              <w:top w:val="nil"/>
              <w:left w:val="nil"/>
              <w:bottom w:val="single" w:sz="4" w:space="0" w:color="000000"/>
              <w:right w:val="single" w:sz="4" w:space="0" w:color="000000"/>
            </w:tcBorders>
            <w:shd w:val="clear" w:color="auto" w:fill="auto"/>
            <w:noWrap/>
            <w:vAlign w:val="bottom"/>
            <w:hideMark/>
          </w:tcPr>
          <w:p w14:paraId="0E043242"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64" w:type="dxa"/>
            <w:tcBorders>
              <w:top w:val="nil"/>
              <w:left w:val="nil"/>
              <w:bottom w:val="single" w:sz="4" w:space="0" w:color="000000"/>
              <w:right w:val="single" w:sz="4" w:space="0" w:color="000000"/>
            </w:tcBorders>
            <w:shd w:val="clear" w:color="auto" w:fill="auto"/>
            <w:noWrap/>
            <w:vAlign w:val="bottom"/>
            <w:hideMark/>
          </w:tcPr>
          <w:p w14:paraId="5208B9CF"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34" w:type="dxa"/>
            <w:tcBorders>
              <w:top w:val="nil"/>
              <w:left w:val="nil"/>
              <w:bottom w:val="single" w:sz="4" w:space="0" w:color="000000"/>
              <w:right w:val="single" w:sz="4" w:space="0" w:color="000000"/>
            </w:tcBorders>
            <w:shd w:val="clear" w:color="auto" w:fill="auto"/>
            <w:noWrap/>
            <w:vAlign w:val="bottom"/>
            <w:hideMark/>
          </w:tcPr>
          <w:p w14:paraId="33CD1E01"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27" w:type="dxa"/>
            <w:tcBorders>
              <w:top w:val="nil"/>
              <w:left w:val="nil"/>
              <w:bottom w:val="single" w:sz="4" w:space="0" w:color="000000"/>
              <w:right w:val="single" w:sz="4" w:space="0" w:color="000000"/>
            </w:tcBorders>
            <w:shd w:val="clear" w:color="auto" w:fill="auto"/>
            <w:noWrap/>
            <w:vAlign w:val="bottom"/>
            <w:hideMark/>
          </w:tcPr>
          <w:p w14:paraId="5F04E41A"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980" w:type="dxa"/>
            <w:tcBorders>
              <w:top w:val="nil"/>
              <w:left w:val="nil"/>
              <w:bottom w:val="single" w:sz="4" w:space="0" w:color="000000"/>
              <w:right w:val="nil"/>
            </w:tcBorders>
            <w:shd w:val="clear" w:color="auto" w:fill="auto"/>
            <w:noWrap/>
            <w:vAlign w:val="bottom"/>
            <w:hideMark/>
          </w:tcPr>
          <w:p w14:paraId="59AFAE2F"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150,000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43BA1AC3"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681DD749" w14:textId="77777777" w:rsidTr="007A7FA3">
        <w:trPr>
          <w:trHeight w:val="255"/>
        </w:trPr>
        <w:tc>
          <w:tcPr>
            <w:tcW w:w="1086" w:type="dxa"/>
            <w:vMerge/>
            <w:tcBorders>
              <w:top w:val="nil"/>
              <w:left w:val="single" w:sz="8" w:space="0" w:color="auto"/>
              <w:bottom w:val="single" w:sz="4" w:space="0" w:color="000000"/>
              <w:right w:val="nil"/>
            </w:tcBorders>
            <w:vAlign w:val="center"/>
            <w:hideMark/>
          </w:tcPr>
          <w:p w14:paraId="32DB9CD2" w14:textId="77777777" w:rsidR="007A7FA3" w:rsidRPr="007A7FA3" w:rsidRDefault="007A7FA3" w:rsidP="007A7FA3">
            <w:pPr>
              <w:rPr>
                <w:rFonts w:ascii="Calibri" w:hAnsi="Calibri" w:cs="Calibri"/>
                <w:i/>
                <w:iCs/>
                <w:color w:val="000000"/>
                <w:sz w:val="13"/>
                <w:szCs w:val="13"/>
              </w:rPr>
            </w:pPr>
          </w:p>
        </w:tc>
        <w:tc>
          <w:tcPr>
            <w:tcW w:w="871" w:type="dxa"/>
            <w:vMerge/>
            <w:tcBorders>
              <w:top w:val="single" w:sz="4" w:space="0" w:color="000000"/>
              <w:left w:val="single" w:sz="4" w:space="0" w:color="000000"/>
              <w:bottom w:val="single" w:sz="4" w:space="0" w:color="000000"/>
              <w:right w:val="single" w:sz="4" w:space="0" w:color="000000"/>
            </w:tcBorders>
            <w:vAlign w:val="center"/>
            <w:hideMark/>
          </w:tcPr>
          <w:p w14:paraId="2E1BF1C4" w14:textId="77777777" w:rsidR="007A7FA3" w:rsidRPr="007A7FA3" w:rsidRDefault="007A7FA3" w:rsidP="007A7FA3">
            <w:pPr>
              <w:rPr>
                <w:rFonts w:ascii="Calibri" w:hAnsi="Calibri" w:cs="Calibri"/>
                <w:i/>
                <w:iCs/>
                <w:color w:val="000000"/>
                <w:sz w:val="13"/>
                <w:szCs w:val="13"/>
              </w:rPr>
            </w:pPr>
          </w:p>
        </w:tc>
        <w:tc>
          <w:tcPr>
            <w:tcW w:w="2016"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0116BF01"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1.1.4: Participatory ecosystem-based marine spatial plans prepared for areas not yet covered by MSP</w:t>
            </w:r>
          </w:p>
        </w:tc>
        <w:tc>
          <w:tcPr>
            <w:tcW w:w="631" w:type="dxa"/>
            <w:vMerge w:val="restart"/>
            <w:tcBorders>
              <w:top w:val="nil"/>
              <w:left w:val="nil"/>
              <w:bottom w:val="nil"/>
              <w:right w:val="nil"/>
            </w:tcBorders>
            <w:shd w:val="clear" w:color="auto" w:fill="auto"/>
            <w:vAlign w:val="center"/>
            <w:hideMark/>
          </w:tcPr>
          <w:p w14:paraId="60AA31D3"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BCC</w:t>
            </w:r>
          </w:p>
        </w:tc>
        <w:tc>
          <w:tcPr>
            <w:tcW w:w="504" w:type="dxa"/>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7C4648C9"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val="restart"/>
            <w:tcBorders>
              <w:top w:val="nil"/>
              <w:left w:val="nil"/>
              <w:bottom w:val="nil"/>
              <w:right w:val="nil"/>
            </w:tcBorders>
            <w:shd w:val="clear" w:color="auto" w:fill="auto"/>
            <w:vAlign w:val="center"/>
            <w:hideMark/>
          </w:tcPr>
          <w:p w14:paraId="2F634A38"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w:t>
            </w:r>
          </w:p>
        </w:tc>
        <w:tc>
          <w:tcPr>
            <w:tcW w:w="544" w:type="dxa"/>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0F232249"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71200</w:t>
            </w:r>
          </w:p>
        </w:tc>
        <w:tc>
          <w:tcPr>
            <w:tcW w:w="1580" w:type="dxa"/>
            <w:tcBorders>
              <w:top w:val="single" w:sz="8" w:space="0" w:color="000000"/>
              <w:left w:val="nil"/>
              <w:bottom w:val="single" w:sz="4" w:space="0" w:color="000000"/>
              <w:right w:val="single" w:sz="4" w:space="0" w:color="000000"/>
            </w:tcBorders>
            <w:shd w:val="clear" w:color="auto" w:fill="auto"/>
            <w:vAlign w:val="bottom"/>
            <w:hideMark/>
          </w:tcPr>
          <w:p w14:paraId="51E6F920"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International Consultants</w:t>
            </w:r>
          </w:p>
        </w:tc>
        <w:tc>
          <w:tcPr>
            <w:tcW w:w="694" w:type="dxa"/>
            <w:tcBorders>
              <w:top w:val="single" w:sz="8" w:space="0" w:color="000000"/>
              <w:left w:val="nil"/>
              <w:bottom w:val="single" w:sz="4" w:space="0" w:color="000000"/>
              <w:right w:val="single" w:sz="4" w:space="0" w:color="000000"/>
            </w:tcBorders>
            <w:shd w:val="clear" w:color="auto" w:fill="auto"/>
            <w:noWrap/>
            <w:vAlign w:val="bottom"/>
            <w:hideMark/>
          </w:tcPr>
          <w:p w14:paraId="24F019B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20,000 </w:t>
            </w:r>
          </w:p>
        </w:tc>
        <w:tc>
          <w:tcPr>
            <w:tcW w:w="805" w:type="dxa"/>
            <w:tcBorders>
              <w:top w:val="single" w:sz="8" w:space="0" w:color="000000"/>
              <w:left w:val="nil"/>
              <w:bottom w:val="single" w:sz="4" w:space="0" w:color="000000"/>
              <w:right w:val="single" w:sz="4" w:space="0" w:color="000000"/>
            </w:tcBorders>
            <w:shd w:val="clear" w:color="auto" w:fill="auto"/>
            <w:noWrap/>
            <w:vAlign w:val="bottom"/>
            <w:hideMark/>
          </w:tcPr>
          <w:p w14:paraId="2A175A3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35,000 </w:t>
            </w:r>
          </w:p>
        </w:tc>
        <w:tc>
          <w:tcPr>
            <w:tcW w:w="826" w:type="dxa"/>
            <w:tcBorders>
              <w:top w:val="single" w:sz="8" w:space="0" w:color="000000"/>
              <w:left w:val="nil"/>
              <w:bottom w:val="single" w:sz="4" w:space="0" w:color="000000"/>
              <w:right w:val="single" w:sz="4" w:space="0" w:color="000000"/>
            </w:tcBorders>
            <w:shd w:val="clear" w:color="auto" w:fill="auto"/>
            <w:noWrap/>
            <w:vAlign w:val="bottom"/>
            <w:hideMark/>
          </w:tcPr>
          <w:p w14:paraId="5CEC0C6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40,500 </w:t>
            </w:r>
          </w:p>
        </w:tc>
        <w:tc>
          <w:tcPr>
            <w:tcW w:w="864" w:type="dxa"/>
            <w:tcBorders>
              <w:top w:val="single" w:sz="8" w:space="0" w:color="000000"/>
              <w:left w:val="nil"/>
              <w:bottom w:val="single" w:sz="4" w:space="0" w:color="000000"/>
              <w:right w:val="single" w:sz="4" w:space="0" w:color="000000"/>
            </w:tcBorders>
            <w:shd w:val="clear" w:color="auto" w:fill="auto"/>
            <w:noWrap/>
            <w:vAlign w:val="bottom"/>
            <w:hideMark/>
          </w:tcPr>
          <w:p w14:paraId="66A495E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25,000 </w:t>
            </w:r>
          </w:p>
        </w:tc>
        <w:tc>
          <w:tcPr>
            <w:tcW w:w="834" w:type="dxa"/>
            <w:tcBorders>
              <w:top w:val="single" w:sz="8" w:space="0" w:color="000000"/>
              <w:left w:val="nil"/>
              <w:bottom w:val="single" w:sz="4" w:space="0" w:color="000000"/>
              <w:right w:val="single" w:sz="4" w:space="0" w:color="000000"/>
            </w:tcBorders>
            <w:shd w:val="clear" w:color="auto" w:fill="auto"/>
            <w:noWrap/>
            <w:vAlign w:val="bottom"/>
            <w:hideMark/>
          </w:tcPr>
          <w:p w14:paraId="5317612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7" w:type="dxa"/>
            <w:tcBorders>
              <w:top w:val="single" w:sz="8" w:space="0" w:color="000000"/>
              <w:left w:val="nil"/>
              <w:bottom w:val="single" w:sz="4" w:space="0" w:color="000000"/>
              <w:right w:val="single" w:sz="4" w:space="0" w:color="000000"/>
            </w:tcBorders>
            <w:shd w:val="clear" w:color="auto" w:fill="auto"/>
            <w:noWrap/>
            <w:vAlign w:val="bottom"/>
            <w:hideMark/>
          </w:tcPr>
          <w:p w14:paraId="42F73C1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21C9CC5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120,500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55B050EF"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16 </w:t>
            </w:r>
          </w:p>
        </w:tc>
      </w:tr>
      <w:tr w:rsidR="007A7FA3" w:rsidRPr="007A7FA3" w14:paraId="2A94A46B" w14:textId="77777777" w:rsidTr="007A7FA3">
        <w:trPr>
          <w:trHeight w:val="300"/>
        </w:trPr>
        <w:tc>
          <w:tcPr>
            <w:tcW w:w="1086" w:type="dxa"/>
            <w:vMerge/>
            <w:tcBorders>
              <w:top w:val="nil"/>
              <w:left w:val="single" w:sz="8" w:space="0" w:color="auto"/>
              <w:bottom w:val="single" w:sz="4" w:space="0" w:color="000000"/>
              <w:right w:val="nil"/>
            </w:tcBorders>
            <w:vAlign w:val="center"/>
            <w:hideMark/>
          </w:tcPr>
          <w:p w14:paraId="5BD8EC07" w14:textId="77777777" w:rsidR="007A7FA3" w:rsidRPr="007A7FA3" w:rsidRDefault="007A7FA3" w:rsidP="007A7FA3">
            <w:pPr>
              <w:rPr>
                <w:rFonts w:ascii="Calibri" w:hAnsi="Calibri" w:cs="Calibri"/>
                <w:i/>
                <w:iCs/>
                <w:color w:val="000000"/>
                <w:sz w:val="13"/>
                <w:szCs w:val="13"/>
              </w:rPr>
            </w:pPr>
          </w:p>
        </w:tc>
        <w:tc>
          <w:tcPr>
            <w:tcW w:w="871" w:type="dxa"/>
            <w:vMerge/>
            <w:tcBorders>
              <w:top w:val="single" w:sz="4" w:space="0" w:color="000000"/>
              <w:left w:val="single" w:sz="4" w:space="0" w:color="000000"/>
              <w:bottom w:val="single" w:sz="4" w:space="0" w:color="000000"/>
              <w:right w:val="single" w:sz="4" w:space="0" w:color="000000"/>
            </w:tcBorders>
            <w:vAlign w:val="center"/>
            <w:hideMark/>
          </w:tcPr>
          <w:p w14:paraId="2BE3A096"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56945E60"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14F57872"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281A72A6"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nil"/>
              <w:bottom w:val="nil"/>
              <w:right w:val="nil"/>
            </w:tcBorders>
            <w:vAlign w:val="center"/>
            <w:hideMark/>
          </w:tcPr>
          <w:p w14:paraId="19AD1DDA"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215EFBFB"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71300</w:t>
            </w:r>
          </w:p>
        </w:tc>
        <w:tc>
          <w:tcPr>
            <w:tcW w:w="1580" w:type="dxa"/>
            <w:tcBorders>
              <w:top w:val="nil"/>
              <w:left w:val="nil"/>
              <w:bottom w:val="single" w:sz="4" w:space="0" w:color="000000"/>
              <w:right w:val="single" w:sz="4" w:space="0" w:color="000000"/>
            </w:tcBorders>
            <w:shd w:val="clear" w:color="auto" w:fill="auto"/>
            <w:vAlign w:val="bottom"/>
            <w:hideMark/>
          </w:tcPr>
          <w:p w14:paraId="53F5801C"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Local Consultants</w:t>
            </w:r>
          </w:p>
        </w:tc>
        <w:tc>
          <w:tcPr>
            <w:tcW w:w="694" w:type="dxa"/>
            <w:tcBorders>
              <w:top w:val="nil"/>
              <w:left w:val="nil"/>
              <w:bottom w:val="single" w:sz="4" w:space="0" w:color="000000"/>
              <w:right w:val="single" w:sz="4" w:space="0" w:color="000000"/>
            </w:tcBorders>
            <w:shd w:val="clear" w:color="auto" w:fill="auto"/>
            <w:noWrap/>
            <w:vAlign w:val="bottom"/>
            <w:hideMark/>
          </w:tcPr>
          <w:p w14:paraId="0C40874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32,000 </w:t>
            </w:r>
          </w:p>
        </w:tc>
        <w:tc>
          <w:tcPr>
            <w:tcW w:w="805" w:type="dxa"/>
            <w:tcBorders>
              <w:top w:val="nil"/>
              <w:left w:val="nil"/>
              <w:bottom w:val="single" w:sz="4" w:space="0" w:color="000000"/>
              <w:right w:val="single" w:sz="4" w:space="0" w:color="000000"/>
            </w:tcBorders>
            <w:shd w:val="clear" w:color="auto" w:fill="auto"/>
            <w:noWrap/>
            <w:vAlign w:val="bottom"/>
            <w:hideMark/>
          </w:tcPr>
          <w:p w14:paraId="229308E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27,000 </w:t>
            </w:r>
          </w:p>
        </w:tc>
        <w:tc>
          <w:tcPr>
            <w:tcW w:w="826" w:type="dxa"/>
            <w:tcBorders>
              <w:top w:val="nil"/>
              <w:left w:val="nil"/>
              <w:bottom w:val="single" w:sz="4" w:space="0" w:color="000000"/>
              <w:right w:val="single" w:sz="4" w:space="0" w:color="000000"/>
            </w:tcBorders>
            <w:shd w:val="clear" w:color="auto" w:fill="auto"/>
            <w:noWrap/>
            <w:vAlign w:val="bottom"/>
            <w:hideMark/>
          </w:tcPr>
          <w:p w14:paraId="7DC9A31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20,000 </w:t>
            </w:r>
          </w:p>
        </w:tc>
        <w:tc>
          <w:tcPr>
            <w:tcW w:w="864" w:type="dxa"/>
            <w:tcBorders>
              <w:top w:val="nil"/>
              <w:left w:val="nil"/>
              <w:bottom w:val="single" w:sz="4" w:space="0" w:color="000000"/>
              <w:right w:val="single" w:sz="4" w:space="0" w:color="000000"/>
            </w:tcBorders>
            <w:shd w:val="clear" w:color="auto" w:fill="auto"/>
            <w:noWrap/>
            <w:vAlign w:val="bottom"/>
            <w:hideMark/>
          </w:tcPr>
          <w:p w14:paraId="3B8392E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25,000 </w:t>
            </w:r>
          </w:p>
        </w:tc>
        <w:tc>
          <w:tcPr>
            <w:tcW w:w="834" w:type="dxa"/>
            <w:tcBorders>
              <w:top w:val="nil"/>
              <w:left w:val="nil"/>
              <w:bottom w:val="single" w:sz="4" w:space="0" w:color="000000"/>
              <w:right w:val="single" w:sz="4" w:space="0" w:color="000000"/>
            </w:tcBorders>
            <w:shd w:val="clear" w:color="auto" w:fill="auto"/>
            <w:noWrap/>
            <w:vAlign w:val="bottom"/>
            <w:hideMark/>
          </w:tcPr>
          <w:p w14:paraId="41A6D1F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7" w:type="dxa"/>
            <w:tcBorders>
              <w:top w:val="nil"/>
              <w:left w:val="nil"/>
              <w:bottom w:val="single" w:sz="4" w:space="0" w:color="000000"/>
              <w:right w:val="single" w:sz="4" w:space="0" w:color="000000"/>
            </w:tcBorders>
            <w:shd w:val="clear" w:color="auto" w:fill="auto"/>
            <w:noWrap/>
            <w:vAlign w:val="bottom"/>
            <w:hideMark/>
          </w:tcPr>
          <w:p w14:paraId="37D2308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159D44B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104,000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4D6158B3"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17 </w:t>
            </w:r>
          </w:p>
        </w:tc>
      </w:tr>
      <w:tr w:rsidR="007A7FA3" w:rsidRPr="007A7FA3" w14:paraId="2E0F8AB9" w14:textId="77777777" w:rsidTr="007A7FA3">
        <w:trPr>
          <w:trHeight w:val="270"/>
        </w:trPr>
        <w:tc>
          <w:tcPr>
            <w:tcW w:w="1086" w:type="dxa"/>
            <w:vMerge/>
            <w:tcBorders>
              <w:top w:val="nil"/>
              <w:left w:val="single" w:sz="8" w:space="0" w:color="auto"/>
              <w:bottom w:val="single" w:sz="4" w:space="0" w:color="000000"/>
              <w:right w:val="nil"/>
            </w:tcBorders>
            <w:vAlign w:val="center"/>
            <w:hideMark/>
          </w:tcPr>
          <w:p w14:paraId="23746B19" w14:textId="77777777" w:rsidR="007A7FA3" w:rsidRPr="007A7FA3" w:rsidRDefault="007A7FA3" w:rsidP="007A7FA3">
            <w:pPr>
              <w:rPr>
                <w:rFonts w:ascii="Calibri" w:hAnsi="Calibri" w:cs="Calibri"/>
                <w:i/>
                <w:iCs/>
                <w:color w:val="000000"/>
                <w:sz w:val="13"/>
                <w:szCs w:val="13"/>
              </w:rPr>
            </w:pPr>
          </w:p>
        </w:tc>
        <w:tc>
          <w:tcPr>
            <w:tcW w:w="871" w:type="dxa"/>
            <w:vMerge/>
            <w:tcBorders>
              <w:top w:val="single" w:sz="4" w:space="0" w:color="000000"/>
              <w:left w:val="single" w:sz="4" w:space="0" w:color="000000"/>
              <w:bottom w:val="single" w:sz="4" w:space="0" w:color="000000"/>
              <w:right w:val="single" w:sz="4" w:space="0" w:color="000000"/>
            </w:tcBorders>
            <w:vAlign w:val="center"/>
            <w:hideMark/>
          </w:tcPr>
          <w:p w14:paraId="443D69D6"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031202B9"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64FF2DB9"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2C8A0D18"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nil"/>
              <w:bottom w:val="nil"/>
              <w:right w:val="nil"/>
            </w:tcBorders>
            <w:vAlign w:val="center"/>
            <w:hideMark/>
          </w:tcPr>
          <w:p w14:paraId="47251800"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7516A05F"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71600</w:t>
            </w:r>
          </w:p>
        </w:tc>
        <w:tc>
          <w:tcPr>
            <w:tcW w:w="1580" w:type="dxa"/>
            <w:tcBorders>
              <w:top w:val="nil"/>
              <w:left w:val="nil"/>
              <w:bottom w:val="single" w:sz="4" w:space="0" w:color="000000"/>
              <w:right w:val="single" w:sz="4" w:space="0" w:color="000000"/>
            </w:tcBorders>
            <w:shd w:val="clear" w:color="auto" w:fill="auto"/>
            <w:vAlign w:val="bottom"/>
            <w:hideMark/>
          </w:tcPr>
          <w:p w14:paraId="00135DB1"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Travel</w:t>
            </w:r>
          </w:p>
        </w:tc>
        <w:tc>
          <w:tcPr>
            <w:tcW w:w="694" w:type="dxa"/>
            <w:tcBorders>
              <w:top w:val="nil"/>
              <w:left w:val="nil"/>
              <w:bottom w:val="single" w:sz="4" w:space="0" w:color="000000"/>
              <w:right w:val="single" w:sz="4" w:space="0" w:color="000000"/>
            </w:tcBorders>
            <w:shd w:val="clear" w:color="auto" w:fill="auto"/>
            <w:noWrap/>
            <w:vAlign w:val="bottom"/>
            <w:hideMark/>
          </w:tcPr>
          <w:p w14:paraId="01FE087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5,000 </w:t>
            </w:r>
          </w:p>
        </w:tc>
        <w:tc>
          <w:tcPr>
            <w:tcW w:w="805" w:type="dxa"/>
            <w:tcBorders>
              <w:top w:val="nil"/>
              <w:left w:val="nil"/>
              <w:bottom w:val="single" w:sz="4" w:space="0" w:color="000000"/>
              <w:right w:val="single" w:sz="4" w:space="0" w:color="000000"/>
            </w:tcBorders>
            <w:shd w:val="clear" w:color="auto" w:fill="auto"/>
            <w:noWrap/>
            <w:vAlign w:val="bottom"/>
            <w:hideMark/>
          </w:tcPr>
          <w:p w14:paraId="0997D42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26" w:type="dxa"/>
            <w:tcBorders>
              <w:top w:val="nil"/>
              <w:left w:val="nil"/>
              <w:bottom w:val="single" w:sz="4" w:space="0" w:color="000000"/>
              <w:right w:val="single" w:sz="4" w:space="0" w:color="000000"/>
            </w:tcBorders>
            <w:shd w:val="clear" w:color="auto" w:fill="auto"/>
            <w:noWrap/>
            <w:vAlign w:val="bottom"/>
            <w:hideMark/>
          </w:tcPr>
          <w:p w14:paraId="20B2237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64" w:type="dxa"/>
            <w:tcBorders>
              <w:top w:val="nil"/>
              <w:left w:val="nil"/>
              <w:bottom w:val="single" w:sz="4" w:space="0" w:color="000000"/>
              <w:right w:val="single" w:sz="4" w:space="0" w:color="000000"/>
            </w:tcBorders>
            <w:shd w:val="clear" w:color="auto" w:fill="auto"/>
            <w:noWrap/>
            <w:vAlign w:val="bottom"/>
            <w:hideMark/>
          </w:tcPr>
          <w:p w14:paraId="6D07715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34" w:type="dxa"/>
            <w:tcBorders>
              <w:top w:val="nil"/>
              <w:left w:val="nil"/>
              <w:bottom w:val="single" w:sz="4" w:space="0" w:color="000000"/>
              <w:right w:val="single" w:sz="4" w:space="0" w:color="000000"/>
            </w:tcBorders>
            <w:shd w:val="clear" w:color="auto" w:fill="auto"/>
            <w:noWrap/>
            <w:vAlign w:val="bottom"/>
            <w:hideMark/>
          </w:tcPr>
          <w:p w14:paraId="519376C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7" w:type="dxa"/>
            <w:tcBorders>
              <w:top w:val="nil"/>
              <w:left w:val="nil"/>
              <w:bottom w:val="single" w:sz="4" w:space="0" w:color="000000"/>
              <w:right w:val="single" w:sz="4" w:space="0" w:color="000000"/>
            </w:tcBorders>
            <w:shd w:val="clear" w:color="auto" w:fill="auto"/>
            <w:noWrap/>
            <w:vAlign w:val="bottom"/>
            <w:hideMark/>
          </w:tcPr>
          <w:p w14:paraId="213FE93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2BE1A1D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35,000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0A099E6E"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18 </w:t>
            </w:r>
          </w:p>
        </w:tc>
      </w:tr>
      <w:tr w:rsidR="007A7FA3" w:rsidRPr="007A7FA3" w14:paraId="1791E0A6" w14:textId="77777777" w:rsidTr="007A7FA3">
        <w:trPr>
          <w:trHeight w:val="255"/>
        </w:trPr>
        <w:tc>
          <w:tcPr>
            <w:tcW w:w="1086" w:type="dxa"/>
            <w:vMerge/>
            <w:tcBorders>
              <w:top w:val="nil"/>
              <w:left w:val="single" w:sz="8" w:space="0" w:color="auto"/>
              <w:bottom w:val="single" w:sz="4" w:space="0" w:color="000000"/>
              <w:right w:val="nil"/>
            </w:tcBorders>
            <w:vAlign w:val="center"/>
            <w:hideMark/>
          </w:tcPr>
          <w:p w14:paraId="2549ADDB" w14:textId="77777777" w:rsidR="007A7FA3" w:rsidRPr="007A7FA3" w:rsidRDefault="007A7FA3" w:rsidP="007A7FA3">
            <w:pPr>
              <w:rPr>
                <w:rFonts w:ascii="Calibri" w:hAnsi="Calibri" w:cs="Calibri"/>
                <w:i/>
                <w:iCs/>
                <w:color w:val="000000"/>
                <w:sz w:val="13"/>
                <w:szCs w:val="13"/>
              </w:rPr>
            </w:pPr>
          </w:p>
        </w:tc>
        <w:tc>
          <w:tcPr>
            <w:tcW w:w="871" w:type="dxa"/>
            <w:vMerge/>
            <w:tcBorders>
              <w:top w:val="single" w:sz="4" w:space="0" w:color="000000"/>
              <w:left w:val="single" w:sz="4" w:space="0" w:color="000000"/>
              <w:bottom w:val="single" w:sz="4" w:space="0" w:color="000000"/>
              <w:right w:val="single" w:sz="4" w:space="0" w:color="000000"/>
            </w:tcBorders>
            <w:vAlign w:val="center"/>
            <w:hideMark/>
          </w:tcPr>
          <w:p w14:paraId="169F6B73"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7CE9D9CA"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3255115F"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04882E13"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nil"/>
              <w:bottom w:val="nil"/>
              <w:right w:val="nil"/>
            </w:tcBorders>
            <w:vAlign w:val="center"/>
            <w:hideMark/>
          </w:tcPr>
          <w:p w14:paraId="775C4A18"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2A936797"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72100</w:t>
            </w:r>
          </w:p>
        </w:tc>
        <w:tc>
          <w:tcPr>
            <w:tcW w:w="1580" w:type="dxa"/>
            <w:tcBorders>
              <w:top w:val="nil"/>
              <w:left w:val="nil"/>
              <w:bottom w:val="single" w:sz="4" w:space="0" w:color="000000"/>
              <w:right w:val="single" w:sz="4" w:space="0" w:color="000000"/>
            </w:tcBorders>
            <w:shd w:val="clear" w:color="auto" w:fill="auto"/>
            <w:vAlign w:val="bottom"/>
            <w:hideMark/>
          </w:tcPr>
          <w:p w14:paraId="73F9E2D8"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Contractual Services - Companies</w:t>
            </w:r>
          </w:p>
        </w:tc>
        <w:tc>
          <w:tcPr>
            <w:tcW w:w="694" w:type="dxa"/>
            <w:tcBorders>
              <w:top w:val="nil"/>
              <w:left w:val="nil"/>
              <w:bottom w:val="single" w:sz="4" w:space="0" w:color="000000"/>
              <w:right w:val="single" w:sz="4" w:space="0" w:color="000000"/>
            </w:tcBorders>
            <w:shd w:val="clear" w:color="auto" w:fill="auto"/>
            <w:noWrap/>
            <w:vAlign w:val="bottom"/>
            <w:hideMark/>
          </w:tcPr>
          <w:p w14:paraId="5480744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20,000 </w:t>
            </w:r>
          </w:p>
        </w:tc>
        <w:tc>
          <w:tcPr>
            <w:tcW w:w="805" w:type="dxa"/>
            <w:tcBorders>
              <w:top w:val="nil"/>
              <w:left w:val="nil"/>
              <w:bottom w:val="single" w:sz="4" w:space="0" w:color="000000"/>
              <w:right w:val="single" w:sz="4" w:space="0" w:color="000000"/>
            </w:tcBorders>
            <w:shd w:val="clear" w:color="auto" w:fill="auto"/>
            <w:noWrap/>
            <w:vAlign w:val="bottom"/>
            <w:hideMark/>
          </w:tcPr>
          <w:p w14:paraId="5EF897C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20,000 </w:t>
            </w:r>
          </w:p>
        </w:tc>
        <w:tc>
          <w:tcPr>
            <w:tcW w:w="826" w:type="dxa"/>
            <w:tcBorders>
              <w:top w:val="nil"/>
              <w:left w:val="nil"/>
              <w:bottom w:val="single" w:sz="4" w:space="0" w:color="000000"/>
              <w:right w:val="single" w:sz="4" w:space="0" w:color="000000"/>
            </w:tcBorders>
            <w:shd w:val="clear" w:color="auto" w:fill="auto"/>
            <w:noWrap/>
            <w:vAlign w:val="bottom"/>
            <w:hideMark/>
          </w:tcPr>
          <w:p w14:paraId="01E3E06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12,000 </w:t>
            </w:r>
          </w:p>
        </w:tc>
        <w:tc>
          <w:tcPr>
            <w:tcW w:w="864" w:type="dxa"/>
            <w:tcBorders>
              <w:top w:val="nil"/>
              <w:left w:val="nil"/>
              <w:bottom w:val="single" w:sz="4" w:space="0" w:color="000000"/>
              <w:right w:val="single" w:sz="4" w:space="0" w:color="000000"/>
            </w:tcBorders>
            <w:shd w:val="clear" w:color="auto" w:fill="auto"/>
            <w:noWrap/>
            <w:vAlign w:val="bottom"/>
            <w:hideMark/>
          </w:tcPr>
          <w:p w14:paraId="1E237B0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12,000 </w:t>
            </w:r>
          </w:p>
        </w:tc>
        <w:tc>
          <w:tcPr>
            <w:tcW w:w="834" w:type="dxa"/>
            <w:tcBorders>
              <w:top w:val="nil"/>
              <w:left w:val="nil"/>
              <w:bottom w:val="single" w:sz="4" w:space="0" w:color="000000"/>
              <w:right w:val="single" w:sz="4" w:space="0" w:color="000000"/>
            </w:tcBorders>
            <w:shd w:val="clear" w:color="auto" w:fill="auto"/>
            <w:noWrap/>
            <w:vAlign w:val="bottom"/>
            <w:hideMark/>
          </w:tcPr>
          <w:p w14:paraId="5232645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7" w:type="dxa"/>
            <w:tcBorders>
              <w:top w:val="nil"/>
              <w:left w:val="nil"/>
              <w:bottom w:val="single" w:sz="4" w:space="0" w:color="000000"/>
              <w:right w:val="single" w:sz="4" w:space="0" w:color="000000"/>
            </w:tcBorders>
            <w:shd w:val="clear" w:color="auto" w:fill="auto"/>
            <w:noWrap/>
            <w:vAlign w:val="bottom"/>
            <w:hideMark/>
          </w:tcPr>
          <w:p w14:paraId="7240A7C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3570C03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64,000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418B4990"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19 </w:t>
            </w:r>
          </w:p>
        </w:tc>
      </w:tr>
      <w:tr w:rsidR="007A7FA3" w:rsidRPr="007A7FA3" w14:paraId="1CC6E8C8" w14:textId="77777777" w:rsidTr="007A7FA3">
        <w:trPr>
          <w:trHeight w:val="300"/>
        </w:trPr>
        <w:tc>
          <w:tcPr>
            <w:tcW w:w="1086" w:type="dxa"/>
            <w:vMerge/>
            <w:tcBorders>
              <w:top w:val="nil"/>
              <w:left w:val="single" w:sz="8" w:space="0" w:color="auto"/>
              <w:bottom w:val="single" w:sz="4" w:space="0" w:color="000000"/>
              <w:right w:val="nil"/>
            </w:tcBorders>
            <w:vAlign w:val="center"/>
            <w:hideMark/>
          </w:tcPr>
          <w:p w14:paraId="5263F0C8" w14:textId="77777777" w:rsidR="007A7FA3" w:rsidRPr="007A7FA3" w:rsidRDefault="007A7FA3" w:rsidP="007A7FA3">
            <w:pPr>
              <w:rPr>
                <w:rFonts w:ascii="Calibri" w:hAnsi="Calibri" w:cs="Calibri"/>
                <w:i/>
                <w:iCs/>
                <w:color w:val="000000"/>
                <w:sz w:val="13"/>
                <w:szCs w:val="13"/>
              </w:rPr>
            </w:pPr>
          </w:p>
        </w:tc>
        <w:tc>
          <w:tcPr>
            <w:tcW w:w="871" w:type="dxa"/>
            <w:vMerge/>
            <w:tcBorders>
              <w:top w:val="single" w:sz="4" w:space="0" w:color="000000"/>
              <w:left w:val="single" w:sz="4" w:space="0" w:color="000000"/>
              <w:bottom w:val="single" w:sz="4" w:space="0" w:color="000000"/>
              <w:right w:val="single" w:sz="4" w:space="0" w:color="000000"/>
            </w:tcBorders>
            <w:vAlign w:val="center"/>
            <w:hideMark/>
          </w:tcPr>
          <w:p w14:paraId="5F191680"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60811147"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5280B665"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2EE22638"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nil"/>
              <w:bottom w:val="nil"/>
              <w:right w:val="nil"/>
            </w:tcBorders>
            <w:vAlign w:val="center"/>
            <w:hideMark/>
          </w:tcPr>
          <w:p w14:paraId="34E110E7"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39525099"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72400</w:t>
            </w:r>
          </w:p>
        </w:tc>
        <w:tc>
          <w:tcPr>
            <w:tcW w:w="1580" w:type="dxa"/>
            <w:tcBorders>
              <w:top w:val="nil"/>
              <w:left w:val="nil"/>
              <w:bottom w:val="single" w:sz="4" w:space="0" w:color="000000"/>
              <w:right w:val="single" w:sz="4" w:space="0" w:color="000000"/>
            </w:tcBorders>
            <w:shd w:val="clear" w:color="auto" w:fill="auto"/>
            <w:vAlign w:val="bottom"/>
            <w:hideMark/>
          </w:tcPr>
          <w:p w14:paraId="25EADFE4"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Communic &amp; Audio Visual Equip</w:t>
            </w:r>
          </w:p>
        </w:tc>
        <w:tc>
          <w:tcPr>
            <w:tcW w:w="694" w:type="dxa"/>
            <w:tcBorders>
              <w:top w:val="nil"/>
              <w:left w:val="nil"/>
              <w:bottom w:val="single" w:sz="4" w:space="0" w:color="000000"/>
              <w:right w:val="single" w:sz="4" w:space="0" w:color="000000"/>
            </w:tcBorders>
            <w:shd w:val="clear" w:color="auto" w:fill="auto"/>
            <w:noWrap/>
            <w:vAlign w:val="bottom"/>
            <w:hideMark/>
          </w:tcPr>
          <w:p w14:paraId="3E9BED4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6,000 </w:t>
            </w:r>
          </w:p>
        </w:tc>
        <w:tc>
          <w:tcPr>
            <w:tcW w:w="805" w:type="dxa"/>
            <w:tcBorders>
              <w:top w:val="nil"/>
              <w:left w:val="nil"/>
              <w:bottom w:val="single" w:sz="4" w:space="0" w:color="000000"/>
              <w:right w:val="single" w:sz="4" w:space="0" w:color="000000"/>
            </w:tcBorders>
            <w:shd w:val="clear" w:color="auto" w:fill="auto"/>
            <w:noWrap/>
            <w:vAlign w:val="bottom"/>
            <w:hideMark/>
          </w:tcPr>
          <w:p w14:paraId="7EEB2A5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7,500 </w:t>
            </w:r>
          </w:p>
        </w:tc>
        <w:tc>
          <w:tcPr>
            <w:tcW w:w="826" w:type="dxa"/>
            <w:tcBorders>
              <w:top w:val="nil"/>
              <w:left w:val="nil"/>
              <w:bottom w:val="single" w:sz="4" w:space="0" w:color="000000"/>
              <w:right w:val="single" w:sz="4" w:space="0" w:color="000000"/>
            </w:tcBorders>
            <w:shd w:val="clear" w:color="auto" w:fill="auto"/>
            <w:noWrap/>
            <w:vAlign w:val="bottom"/>
            <w:hideMark/>
          </w:tcPr>
          <w:p w14:paraId="1EC337A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6,500 </w:t>
            </w:r>
          </w:p>
        </w:tc>
        <w:tc>
          <w:tcPr>
            <w:tcW w:w="864" w:type="dxa"/>
            <w:tcBorders>
              <w:top w:val="nil"/>
              <w:left w:val="nil"/>
              <w:bottom w:val="single" w:sz="4" w:space="0" w:color="000000"/>
              <w:right w:val="single" w:sz="4" w:space="0" w:color="000000"/>
            </w:tcBorders>
            <w:shd w:val="clear" w:color="auto" w:fill="auto"/>
            <w:noWrap/>
            <w:vAlign w:val="bottom"/>
            <w:hideMark/>
          </w:tcPr>
          <w:p w14:paraId="4239B2A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6,500 </w:t>
            </w:r>
          </w:p>
        </w:tc>
        <w:tc>
          <w:tcPr>
            <w:tcW w:w="834" w:type="dxa"/>
            <w:tcBorders>
              <w:top w:val="nil"/>
              <w:left w:val="nil"/>
              <w:bottom w:val="single" w:sz="4" w:space="0" w:color="000000"/>
              <w:right w:val="single" w:sz="4" w:space="0" w:color="000000"/>
            </w:tcBorders>
            <w:shd w:val="clear" w:color="auto" w:fill="auto"/>
            <w:noWrap/>
            <w:vAlign w:val="bottom"/>
            <w:hideMark/>
          </w:tcPr>
          <w:p w14:paraId="3A871C4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7" w:type="dxa"/>
            <w:tcBorders>
              <w:top w:val="nil"/>
              <w:left w:val="nil"/>
              <w:bottom w:val="single" w:sz="4" w:space="0" w:color="000000"/>
              <w:right w:val="single" w:sz="4" w:space="0" w:color="000000"/>
            </w:tcBorders>
            <w:shd w:val="clear" w:color="auto" w:fill="auto"/>
            <w:noWrap/>
            <w:vAlign w:val="bottom"/>
            <w:hideMark/>
          </w:tcPr>
          <w:p w14:paraId="6C550D2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15E5D1C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26,500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2CADA605"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20 </w:t>
            </w:r>
          </w:p>
        </w:tc>
      </w:tr>
      <w:tr w:rsidR="007A7FA3" w:rsidRPr="007A7FA3" w14:paraId="72A18B87" w14:textId="77777777" w:rsidTr="007A7FA3">
        <w:trPr>
          <w:trHeight w:val="270"/>
        </w:trPr>
        <w:tc>
          <w:tcPr>
            <w:tcW w:w="1086" w:type="dxa"/>
            <w:vMerge/>
            <w:tcBorders>
              <w:top w:val="nil"/>
              <w:left w:val="single" w:sz="8" w:space="0" w:color="auto"/>
              <w:bottom w:val="single" w:sz="4" w:space="0" w:color="000000"/>
              <w:right w:val="nil"/>
            </w:tcBorders>
            <w:vAlign w:val="center"/>
            <w:hideMark/>
          </w:tcPr>
          <w:p w14:paraId="15DD07C4" w14:textId="77777777" w:rsidR="007A7FA3" w:rsidRPr="007A7FA3" w:rsidRDefault="007A7FA3" w:rsidP="007A7FA3">
            <w:pPr>
              <w:rPr>
                <w:rFonts w:ascii="Calibri" w:hAnsi="Calibri" w:cs="Calibri"/>
                <w:i/>
                <w:iCs/>
                <w:color w:val="000000"/>
                <w:sz w:val="13"/>
                <w:szCs w:val="13"/>
              </w:rPr>
            </w:pPr>
          </w:p>
        </w:tc>
        <w:tc>
          <w:tcPr>
            <w:tcW w:w="871" w:type="dxa"/>
            <w:vMerge/>
            <w:tcBorders>
              <w:top w:val="single" w:sz="4" w:space="0" w:color="000000"/>
              <w:left w:val="single" w:sz="4" w:space="0" w:color="000000"/>
              <w:bottom w:val="single" w:sz="4" w:space="0" w:color="000000"/>
              <w:right w:val="single" w:sz="4" w:space="0" w:color="000000"/>
            </w:tcBorders>
            <w:vAlign w:val="center"/>
            <w:hideMark/>
          </w:tcPr>
          <w:p w14:paraId="5B7FAC24"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4BFBB4EC" w14:textId="77777777" w:rsidR="007A7FA3" w:rsidRPr="007A7FA3" w:rsidRDefault="007A7FA3" w:rsidP="007A7FA3">
            <w:pPr>
              <w:rPr>
                <w:rFonts w:ascii="Calibri" w:hAnsi="Calibri" w:cs="Calibri"/>
                <w:i/>
                <w:iCs/>
                <w:color w:val="000000"/>
                <w:sz w:val="13"/>
                <w:szCs w:val="13"/>
              </w:rPr>
            </w:pPr>
          </w:p>
        </w:tc>
        <w:tc>
          <w:tcPr>
            <w:tcW w:w="631" w:type="dxa"/>
            <w:tcBorders>
              <w:top w:val="single" w:sz="4" w:space="0" w:color="000000"/>
              <w:left w:val="nil"/>
              <w:bottom w:val="single" w:sz="4" w:space="0" w:color="000000"/>
              <w:right w:val="nil"/>
            </w:tcBorders>
            <w:shd w:val="clear" w:color="auto" w:fill="auto"/>
            <w:vAlign w:val="center"/>
            <w:hideMark/>
          </w:tcPr>
          <w:p w14:paraId="1258A564"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Total BCC</w:t>
            </w:r>
          </w:p>
        </w:tc>
        <w:tc>
          <w:tcPr>
            <w:tcW w:w="504" w:type="dxa"/>
            <w:tcBorders>
              <w:top w:val="nil"/>
              <w:left w:val="nil"/>
              <w:bottom w:val="single" w:sz="4" w:space="0" w:color="000000"/>
              <w:right w:val="nil"/>
            </w:tcBorders>
            <w:shd w:val="clear" w:color="auto" w:fill="auto"/>
            <w:vAlign w:val="center"/>
            <w:hideMark/>
          </w:tcPr>
          <w:p w14:paraId="6DCDB721"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 </w:t>
            </w:r>
          </w:p>
        </w:tc>
        <w:tc>
          <w:tcPr>
            <w:tcW w:w="504" w:type="dxa"/>
            <w:tcBorders>
              <w:top w:val="single" w:sz="4" w:space="0" w:color="000000"/>
              <w:left w:val="nil"/>
              <w:bottom w:val="nil"/>
              <w:right w:val="nil"/>
            </w:tcBorders>
            <w:shd w:val="clear" w:color="auto" w:fill="auto"/>
            <w:vAlign w:val="center"/>
            <w:hideMark/>
          </w:tcPr>
          <w:p w14:paraId="07F769F9"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 </w:t>
            </w:r>
          </w:p>
        </w:tc>
        <w:tc>
          <w:tcPr>
            <w:tcW w:w="544" w:type="dxa"/>
            <w:tcBorders>
              <w:top w:val="nil"/>
              <w:left w:val="nil"/>
              <w:bottom w:val="single" w:sz="4" w:space="0" w:color="000000"/>
              <w:right w:val="nil"/>
            </w:tcBorders>
            <w:shd w:val="clear" w:color="auto" w:fill="auto"/>
            <w:vAlign w:val="center"/>
            <w:hideMark/>
          </w:tcPr>
          <w:p w14:paraId="39A92809"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 </w:t>
            </w:r>
          </w:p>
        </w:tc>
        <w:tc>
          <w:tcPr>
            <w:tcW w:w="1580" w:type="dxa"/>
            <w:tcBorders>
              <w:top w:val="nil"/>
              <w:left w:val="nil"/>
              <w:bottom w:val="single" w:sz="4" w:space="0" w:color="000000"/>
              <w:right w:val="single" w:sz="4" w:space="0" w:color="000000"/>
            </w:tcBorders>
            <w:shd w:val="clear" w:color="auto" w:fill="auto"/>
            <w:vAlign w:val="bottom"/>
            <w:hideMark/>
          </w:tcPr>
          <w:p w14:paraId="2971AC0D"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 </w:t>
            </w:r>
          </w:p>
        </w:tc>
        <w:tc>
          <w:tcPr>
            <w:tcW w:w="694" w:type="dxa"/>
            <w:tcBorders>
              <w:top w:val="nil"/>
              <w:left w:val="nil"/>
              <w:bottom w:val="single" w:sz="4" w:space="0" w:color="000000"/>
              <w:right w:val="single" w:sz="4" w:space="0" w:color="000000"/>
            </w:tcBorders>
            <w:shd w:val="clear" w:color="auto" w:fill="auto"/>
            <w:noWrap/>
            <w:vAlign w:val="bottom"/>
            <w:hideMark/>
          </w:tcPr>
          <w:p w14:paraId="08E22CD8"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83,000 </w:t>
            </w:r>
          </w:p>
        </w:tc>
        <w:tc>
          <w:tcPr>
            <w:tcW w:w="805" w:type="dxa"/>
            <w:tcBorders>
              <w:top w:val="nil"/>
              <w:left w:val="nil"/>
              <w:bottom w:val="single" w:sz="4" w:space="0" w:color="000000"/>
              <w:right w:val="single" w:sz="4" w:space="0" w:color="000000"/>
            </w:tcBorders>
            <w:shd w:val="clear" w:color="auto" w:fill="auto"/>
            <w:noWrap/>
            <w:vAlign w:val="bottom"/>
            <w:hideMark/>
          </w:tcPr>
          <w:p w14:paraId="67DEFDD5"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99,500 </w:t>
            </w:r>
          </w:p>
        </w:tc>
        <w:tc>
          <w:tcPr>
            <w:tcW w:w="826" w:type="dxa"/>
            <w:tcBorders>
              <w:top w:val="nil"/>
              <w:left w:val="nil"/>
              <w:bottom w:val="single" w:sz="4" w:space="0" w:color="000000"/>
              <w:right w:val="single" w:sz="4" w:space="0" w:color="000000"/>
            </w:tcBorders>
            <w:shd w:val="clear" w:color="auto" w:fill="auto"/>
            <w:noWrap/>
            <w:vAlign w:val="bottom"/>
            <w:hideMark/>
          </w:tcPr>
          <w:p w14:paraId="70BCCA63"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89,000 </w:t>
            </w:r>
          </w:p>
        </w:tc>
        <w:tc>
          <w:tcPr>
            <w:tcW w:w="864" w:type="dxa"/>
            <w:tcBorders>
              <w:top w:val="nil"/>
              <w:left w:val="nil"/>
              <w:bottom w:val="single" w:sz="4" w:space="0" w:color="000000"/>
              <w:right w:val="single" w:sz="4" w:space="0" w:color="000000"/>
            </w:tcBorders>
            <w:shd w:val="clear" w:color="auto" w:fill="auto"/>
            <w:noWrap/>
            <w:vAlign w:val="bottom"/>
            <w:hideMark/>
          </w:tcPr>
          <w:p w14:paraId="15AD3B64"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78,500 </w:t>
            </w:r>
          </w:p>
        </w:tc>
        <w:tc>
          <w:tcPr>
            <w:tcW w:w="834" w:type="dxa"/>
            <w:tcBorders>
              <w:top w:val="nil"/>
              <w:left w:val="nil"/>
              <w:bottom w:val="single" w:sz="4" w:space="0" w:color="000000"/>
              <w:right w:val="single" w:sz="4" w:space="0" w:color="000000"/>
            </w:tcBorders>
            <w:shd w:val="clear" w:color="auto" w:fill="auto"/>
            <w:noWrap/>
            <w:vAlign w:val="bottom"/>
            <w:hideMark/>
          </w:tcPr>
          <w:p w14:paraId="31CC35E2"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27" w:type="dxa"/>
            <w:tcBorders>
              <w:top w:val="nil"/>
              <w:left w:val="nil"/>
              <w:bottom w:val="single" w:sz="4" w:space="0" w:color="000000"/>
              <w:right w:val="single" w:sz="4" w:space="0" w:color="000000"/>
            </w:tcBorders>
            <w:shd w:val="clear" w:color="auto" w:fill="auto"/>
            <w:noWrap/>
            <w:vAlign w:val="bottom"/>
            <w:hideMark/>
          </w:tcPr>
          <w:p w14:paraId="023BEEAE"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980" w:type="dxa"/>
            <w:tcBorders>
              <w:top w:val="single" w:sz="8" w:space="0" w:color="000000"/>
              <w:left w:val="nil"/>
              <w:bottom w:val="single" w:sz="4" w:space="0" w:color="000000"/>
              <w:right w:val="nil"/>
            </w:tcBorders>
            <w:shd w:val="clear" w:color="auto" w:fill="auto"/>
            <w:noWrap/>
            <w:vAlign w:val="bottom"/>
            <w:hideMark/>
          </w:tcPr>
          <w:p w14:paraId="504038F1"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350,000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4AD54414"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3F8824ED" w14:textId="77777777" w:rsidTr="007A7FA3">
        <w:trPr>
          <w:trHeight w:val="270"/>
        </w:trPr>
        <w:tc>
          <w:tcPr>
            <w:tcW w:w="1086" w:type="dxa"/>
            <w:vMerge/>
            <w:tcBorders>
              <w:top w:val="nil"/>
              <w:left w:val="single" w:sz="8" w:space="0" w:color="auto"/>
              <w:bottom w:val="single" w:sz="4" w:space="0" w:color="000000"/>
              <w:right w:val="nil"/>
            </w:tcBorders>
            <w:vAlign w:val="center"/>
            <w:hideMark/>
          </w:tcPr>
          <w:p w14:paraId="3A72B932" w14:textId="77777777" w:rsidR="007A7FA3" w:rsidRPr="007A7FA3" w:rsidRDefault="007A7FA3" w:rsidP="007A7FA3">
            <w:pPr>
              <w:rPr>
                <w:rFonts w:ascii="Calibri" w:hAnsi="Calibri" w:cs="Calibri"/>
                <w:i/>
                <w:iCs/>
                <w:color w:val="000000"/>
                <w:sz w:val="13"/>
                <w:szCs w:val="13"/>
              </w:rPr>
            </w:pPr>
          </w:p>
        </w:tc>
        <w:tc>
          <w:tcPr>
            <w:tcW w:w="871" w:type="dxa"/>
            <w:vMerge/>
            <w:tcBorders>
              <w:top w:val="single" w:sz="4" w:space="0" w:color="000000"/>
              <w:left w:val="single" w:sz="4" w:space="0" w:color="000000"/>
              <w:bottom w:val="single" w:sz="4" w:space="0" w:color="000000"/>
              <w:right w:val="single" w:sz="4" w:space="0" w:color="000000"/>
            </w:tcBorders>
            <w:vAlign w:val="center"/>
            <w:hideMark/>
          </w:tcPr>
          <w:p w14:paraId="5E379671" w14:textId="77777777" w:rsidR="007A7FA3" w:rsidRPr="007A7FA3" w:rsidRDefault="007A7FA3" w:rsidP="007A7FA3">
            <w:pPr>
              <w:rPr>
                <w:rFonts w:ascii="Calibri" w:hAnsi="Calibri" w:cs="Calibri"/>
                <w:i/>
                <w:iCs/>
                <w:color w:val="000000"/>
                <w:sz w:val="13"/>
                <w:szCs w:val="13"/>
              </w:rPr>
            </w:pPr>
          </w:p>
        </w:tc>
        <w:tc>
          <w:tcPr>
            <w:tcW w:w="5779" w:type="dxa"/>
            <w:gridSpan w:val="6"/>
            <w:tcBorders>
              <w:top w:val="nil"/>
              <w:left w:val="nil"/>
              <w:bottom w:val="single" w:sz="4" w:space="0" w:color="000000"/>
              <w:right w:val="single" w:sz="4" w:space="0" w:color="000000"/>
            </w:tcBorders>
            <w:shd w:val="clear" w:color="auto" w:fill="auto"/>
            <w:vAlign w:val="center"/>
            <w:hideMark/>
          </w:tcPr>
          <w:p w14:paraId="159360BE" w14:textId="77777777" w:rsidR="007A7FA3" w:rsidRPr="007A7FA3" w:rsidRDefault="007A7FA3" w:rsidP="007A7FA3">
            <w:pPr>
              <w:rPr>
                <w:rFonts w:ascii="Calibri" w:hAnsi="Calibri" w:cs="Calibri"/>
                <w:b/>
                <w:bCs/>
                <w:i/>
                <w:iCs/>
                <w:color w:val="000000"/>
                <w:sz w:val="13"/>
                <w:szCs w:val="13"/>
              </w:rPr>
            </w:pPr>
            <w:r w:rsidRPr="007A7FA3">
              <w:rPr>
                <w:rFonts w:ascii="Calibri" w:hAnsi="Calibri" w:cs="Calibri"/>
                <w:b/>
                <w:bCs/>
                <w:i/>
                <w:iCs/>
                <w:color w:val="000000"/>
                <w:sz w:val="13"/>
                <w:szCs w:val="13"/>
              </w:rPr>
              <w:t>Total Output 1.1.4</w:t>
            </w:r>
          </w:p>
        </w:tc>
        <w:tc>
          <w:tcPr>
            <w:tcW w:w="694" w:type="dxa"/>
            <w:tcBorders>
              <w:top w:val="nil"/>
              <w:left w:val="nil"/>
              <w:bottom w:val="single" w:sz="4" w:space="0" w:color="000000"/>
              <w:right w:val="single" w:sz="4" w:space="0" w:color="000000"/>
            </w:tcBorders>
            <w:shd w:val="clear" w:color="auto" w:fill="auto"/>
            <w:noWrap/>
            <w:vAlign w:val="bottom"/>
            <w:hideMark/>
          </w:tcPr>
          <w:p w14:paraId="51F31DE2"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83,000 </w:t>
            </w:r>
          </w:p>
        </w:tc>
        <w:tc>
          <w:tcPr>
            <w:tcW w:w="805" w:type="dxa"/>
            <w:tcBorders>
              <w:top w:val="nil"/>
              <w:left w:val="nil"/>
              <w:bottom w:val="single" w:sz="4" w:space="0" w:color="000000"/>
              <w:right w:val="single" w:sz="4" w:space="0" w:color="000000"/>
            </w:tcBorders>
            <w:shd w:val="clear" w:color="auto" w:fill="auto"/>
            <w:noWrap/>
            <w:vAlign w:val="bottom"/>
            <w:hideMark/>
          </w:tcPr>
          <w:p w14:paraId="76CE3E2A"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99,500 </w:t>
            </w:r>
          </w:p>
        </w:tc>
        <w:tc>
          <w:tcPr>
            <w:tcW w:w="826" w:type="dxa"/>
            <w:tcBorders>
              <w:top w:val="nil"/>
              <w:left w:val="nil"/>
              <w:bottom w:val="single" w:sz="4" w:space="0" w:color="000000"/>
              <w:right w:val="single" w:sz="4" w:space="0" w:color="000000"/>
            </w:tcBorders>
            <w:shd w:val="clear" w:color="auto" w:fill="auto"/>
            <w:noWrap/>
            <w:vAlign w:val="bottom"/>
            <w:hideMark/>
          </w:tcPr>
          <w:p w14:paraId="6133D402"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89,000 </w:t>
            </w:r>
          </w:p>
        </w:tc>
        <w:tc>
          <w:tcPr>
            <w:tcW w:w="864" w:type="dxa"/>
            <w:tcBorders>
              <w:top w:val="nil"/>
              <w:left w:val="nil"/>
              <w:bottom w:val="single" w:sz="4" w:space="0" w:color="000000"/>
              <w:right w:val="single" w:sz="4" w:space="0" w:color="000000"/>
            </w:tcBorders>
            <w:shd w:val="clear" w:color="auto" w:fill="auto"/>
            <w:noWrap/>
            <w:vAlign w:val="bottom"/>
            <w:hideMark/>
          </w:tcPr>
          <w:p w14:paraId="1C592938"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78,500 </w:t>
            </w:r>
          </w:p>
        </w:tc>
        <w:tc>
          <w:tcPr>
            <w:tcW w:w="834" w:type="dxa"/>
            <w:tcBorders>
              <w:top w:val="nil"/>
              <w:left w:val="nil"/>
              <w:bottom w:val="single" w:sz="4" w:space="0" w:color="000000"/>
              <w:right w:val="single" w:sz="4" w:space="0" w:color="000000"/>
            </w:tcBorders>
            <w:shd w:val="clear" w:color="auto" w:fill="auto"/>
            <w:noWrap/>
            <w:vAlign w:val="bottom"/>
            <w:hideMark/>
          </w:tcPr>
          <w:p w14:paraId="238F10AD"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27" w:type="dxa"/>
            <w:tcBorders>
              <w:top w:val="nil"/>
              <w:left w:val="nil"/>
              <w:bottom w:val="single" w:sz="4" w:space="0" w:color="000000"/>
              <w:right w:val="single" w:sz="4" w:space="0" w:color="000000"/>
            </w:tcBorders>
            <w:shd w:val="clear" w:color="auto" w:fill="auto"/>
            <w:noWrap/>
            <w:vAlign w:val="bottom"/>
            <w:hideMark/>
          </w:tcPr>
          <w:p w14:paraId="427F93B1"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980" w:type="dxa"/>
            <w:tcBorders>
              <w:top w:val="nil"/>
              <w:left w:val="nil"/>
              <w:bottom w:val="single" w:sz="4" w:space="0" w:color="000000"/>
              <w:right w:val="nil"/>
            </w:tcBorders>
            <w:shd w:val="clear" w:color="auto" w:fill="auto"/>
            <w:noWrap/>
            <w:vAlign w:val="bottom"/>
            <w:hideMark/>
          </w:tcPr>
          <w:p w14:paraId="3351B4C9"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350,000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6091416F"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01F0893D" w14:textId="77777777" w:rsidTr="007A7FA3">
        <w:trPr>
          <w:trHeight w:val="270"/>
        </w:trPr>
        <w:tc>
          <w:tcPr>
            <w:tcW w:w="1086" w:type="dxa"/>
            <w:vMerge/>
            <w:tcBorders>
              <w:top w:val="nil"/>
              <w:left w:val="single" w:sz="8" w:space="0" w:color="auto"/>
              <w:bottom w:val="single" w:sz="4" w:space="0" w:color="000000"/>
              <w:right w:val="nil"/>
            </w:tcBorders>
            <w:vAlign w:val="center"/>
            <w:hideMark/>
          </w:tcPr>
          <w:p w14:paraId="64FD7DA0" w14:textId="77777777" w:rsidR="007A7FA3" w:rsidRPr="007A7FA3" w:rsidRDefault="007A7FA3" w:rsidP="007A7FA3">
            <w:pPr>
              <w:rPr>
                <w:rFonts w:ascii="Calibri" w:hAnsi="Calibri" w:cs="Calibri"/>
                <w:i/>
                <w:iCs/>
                <w:color w:val="000000"/>
                <w:sz w:val="13"/>
                <w:szCs w:val="13"/>
              </w:rPr>
            </w:pPr>
          </w:p>
        </w:tc>
        <w:tc>
          <w:tcPr>
            <w:tcW w:w="871" w:type="dxa"/>
            <w:tcBorders>
              <w:top w:val="nil"/>
              <w:left w:val="single" w:sz="4" w:space="0" w:color="000000"/>
              <w:bottom w:val="nil"/>
              <w:right w:val="nil"/>
            </w:tcBorders>
            <w:shd w:val="clear" w:color="FEF2CB" w:fill="FEF2CB"/>
            <w:vAlign w:val="center"/>
            <w:hideMark/>
          </w:tcPr>
          <w:p w14:paraId="6BC941AF" w14:textId="77777777" w:rsidR="007A7FA3" w:rsidRPr="007A7FA3" w:rsidRDefault="007A7FA3" w:rsidP="007A7FA3">
            <w:pPr>
              <w:rPr>
                <w:rFonts w:ascii="Calibri" w:hAnsi="Calibri" w:cs="Calibri"/>
                <w:b/>
                <w:bCs/>
                <w:i/>
                <w:iCs/>
                <w:color w:val="000000"/>
                <w:sz w:val="13"/>
                <w:szCs w:val="13"/>
              </w:rPr>
            </w:pPr>
            <w:r w:rsidRPr="007A7FA3">
              <w:rPr>
                <w:rFonts w:ascii="Calibri" w:hAnsi="Calibri" w:cs="Calibri"/>
                <w:b/>
                <w:bCs/>
                <w:i/>
                <w:iCs/>
                <w:color w:val="000000"/>
                <w:sz w:val="13"/>
                <w:szCs w:val="13"/>
              </w:rPr>
              <w:t>Total Outcome 1.1</w:t>
            </w:r>
          </w:p>
        </w:tc>
        <w:tc>
          <w:tcPr>
            <w:tcW w:w="2016" w:type="dxa"/>
            <w:tcBorders>
              <w:top w:val="nil"/>
              <w:left w:val="nil"/>
              <w:bottom w:val="nil"/>
              <w:right w:val="nil"/>
            </w:tcBorders>
            <w:shd w:val="clear" w:color="FEF2CB" w:fill="FEF2CB"/>
            <w:vAlign w:val="center"/>
            <w:hideMark/>
          </w:tcPr>
          <w:p w14:paraId="22E9B942"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 </w:t>
            </w:r>
          </w:p>
        </w:tc>
        <w:tc>
          <w:tcPr>
            <w:tcW w:w="631" w:type="dxa"/>
            <w:tcBorders>
              <w:top w:val="nil"/>
              <w:left w:val="nil"/>
              <w:bottom w:val="single" w:sz="4" w:space="0" w:color="000000"/>
              <w:right w:val="nil"/>
            </w:tcBorders>
            <w:shd w:val="clear" w:color="FEF2CB" w:fill="FEF2CB"/>
            <w:vAlign w:val="center"/>
            <w:hideMark/>
          </w:tcPr>
          <w:p w14:paraId="7B74D4FE"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 </w:t>
            </w:r>
          </w:p>
        </w:tc>
        <w:tc>
          <w:tcPr>
            <w:tcW w:w="504" w:type="dxa"/>
            <w:tcBorders>
              <w:top w:val="nil"/>
              <w:left w:val="nil"/>
              <w:bottom w:val="single" w:sz="4" w:space="0" w:color="000000"/>
              <w:right w:val="nil"/>
            </w:tcBorders>
            <w:shd w:val="clear" w:color="FEF2CB" w:fill="FEF2CB"/>
            <w:vAlign w:val="center"/>
            <w:hideMark/>
          </w:tcPr>
          <w:p w14:paraId="4C1C0112"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 </w:t>
            </w:r>
          </w:p>
        </w:tc>
        <w:tc>
          <w:tcPr>
            <w:tcW w:w="504" w:type="dxa"/>
            <w:tcBorders>
              <w:top w:val="nil"/>
              <w:left w:val="nil"/>
              <w:bottom w:val="nil"/>
              <w:right w:val="nil"/>
            </w:tcBorders>
            <w:shd w:val="clear" w:color="FEF2CB" w:fill="FEF2CB"/>
            <w:vAlign w:val="center"/>
            <w:hideMark/>
          </w:tcPr>
          <w:p w14:paraId="6961DF7C"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 </w:t>
            </w:r>
          </w:p>
        </w:tc>
        <w:tc>
          <w:tcPr>
            <w:tcW w:w="544" w:type="dxa"/>
            <w:tcBorders>
              <w:top w:val="nil"/>
              <w:left w:val="nil"/>
              <w:bottom w:val="single" w:sz="4" w:space="0" w:color="000000"/>
              <w:right w:val="nil"/>
            </w:tcBorders>
            <w:shd w:val="clear" w:color="FEF2CB" w:fill="FEF2CB"/>
            <w:vAlign w:val="center"/>
            <w:hideMark/>
          </w:tcPr>
          <w:p w14:paraId="6AC790FB"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 </w:t>
            </w:r>
          </w:p>
        </w:tc>
        <w:tc>
          <w:tcPr>
            <w:tcW w:w="1580" w:type="dxa"/>
            <w:tcBorders>
              <w:top w:val="nil"/>
              <w:left w:val="nil"/>
              <w:bottom w:val="single" w:sz="4" w:space="0" w:color="000000"/>
              <w:right w:val="single" w:sz="4" w:space="0" w:color="000000"/>
            </w:tcBorders>
            <w:shd w:val="clear" w:color="FEF2CB" w:fill="FEF2CB"/>
            <w:vAlign w:val="bottom"/>
            <w:hideMark/>
          </w:tcPr>
          <w:p w14:paraId="0511CD78"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 </w:t>
            </w:r>
          </w:p>
        </w:tc>
        <w:tc>
          <w:tcPr>
            <w:tcW w:w="694" w:type="dxa"/>
            <w:tcBorders>
              <w:top w:val="nil"/>
              <w:left w:val="nil"/>
              <w:bottom w:val="single" w:sz="4" w:space="0" w:color="000000"/>
              <w:right w:val="single" w:sz="4" w:space="0" w:color="000000"/>
            </w:tcBorders>
            <w:shd w:val="clear" w:color="FEF2CB" w:fill="FEF2CB"/>
            <w:noWrap/>
            <w:vAlign w:val="bottom"/>
            <w:hideMark/>
          </w:tcPr>
          <w:p w14:paraId="170437CF"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199,400 </w:t>
            </w:r>
          </w:p>
        </w:tc>
        <w:tc>
          <w:tcPr>
            <w:tcW w:w="805" w:type="dxa"/>
            <w:tcBorders>
              <w:top w:val="nil"/>
              <w:left w:val="nil"/>
              <w:bottom w:val="single" w:sz="4" w:space="0" w:color="000000"/>
              <w:right w:val="single" w:sz="4" w:space="0" w:color="000000"/>
            </w:tcBorders>
            <w:shd w:val="clear" w:color="FEF2CB" w:fill="FEF2CB"/>
            <w:noWrap/>
            <w:vAlign w:val="bottom"/>
            <w:hideMark/>
          </w:tcPr>
          <w:p w14:paraId="17DDB10E"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320,200 </w:t>
            </w:r>
          </w:p>
        </w:tc>
        <w:tc>
          <w:tcPr>
            <w:tcW w:w="826" w:type="dxa"/>
            <w:tcBorders>
              <w:top w:val="nil"/>
              <w:left w:val="nil"/>
              <w:bottom w:val="single" w:sz="4" w:space="0" w:color="000000"/>
              <w:right w:val="single" w:sz="4" w:space="0" w:color="000000"/>
            </w:tcBorders>
            <w:shd w:val="clear" w:color="FEF2CB" w:fill="FEF2CB"/>
            <w:noWrap/>
            <w:vAlign w:val="bottom"/>
            <w:hideMark/>
          </w:tcPr>
          <w:p w14:paraId="2EDE2A0C"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156,200 </w:t>
            </w:r>
          </w:p>
        </w:tc>
        <w:tc>
          <w:tcPr>
            <w:tcW w:w="864" w:type="dxa"/>
            <w:tcBorders>
              <w:top w:val="nil"/>
              <w:left w:val="nil"/>
              <w:bottom w:val="single" w:sz="4" w:space="0" w:color="000000"/>
              <w:right w:val="single" w:sz="4" w:space="0" w:color="000000"/>
            </w:tcBorders>
            <w:shd w:val="clear" w:color="FEF2CB" w:fill="FEF2CB"/>
            <w:noWrap/>
            <w:vAlign w:val="bottom"/>
            <w:hideMark/>
          </w:tcPr>
          <w:p w14:paraId="1BFFDE89"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146,500 </w:t>
            </w:r>
          </w:p>
        </w:tc>
        <w:tc>
          <w:tcPr>
            <w:tcW w:w="834" w:type="dxa"/>
            <w:tcBorders>
              <w:top w:val="nil"/>
              <w:left w:val="nil"/>
              <w:bottom w:val="single" w:sz="4" w:space="0" w:color="000000"/>
              <w:right w:val="single" w:sz="4" w:space="0" w:color="000000"/>
            </w:tcBorders>
            <w:shd w:val="clear" w:color="FEF2CB" w:fill="FEF2CB"/>
            <w:noWrap/>
            <w:vAlign w:val="bottom"/>
            <w:hideMark/>
          </w:tcPr>
          <w:p w14:paraId="4208EEE2"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75,000 </w:t>
            </w:r>
          </w:p>
        </w:tc>
        <w:tc>
          <w:tcPr>
            <w:tcW w:w="827" w:type="dxa"/>
            <w:tcBorders>
              <w:top w:val="nil"/>
              <w:left w:val="nil"/>
              <w:bottom w:val="single" w:sz="4" w:space="0" w:color="000000"/>
              <w:right w:val="single" w:sz="4" w:space="0" w:color="000000"/>
            </w:tcBorders>
            <w:shd w:val="clear" w:color="FEF2CB" w:fill="FEF2CB"/>
            <w:noWrap/>
            <w:vAlign w:val="bottom"/>
            <w:hideMark/>
          </w:tcPr>
          <w:p w14:paraId="6BC12805"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980" w:type="dxa"/>
            <w:tcBorders>
              <w:top w:val="nil"/>
              <w:left w:val="nil"/>
              <w:bottom w:val="single" w:sz="4" w:space="0" w:color="000000"/>
              <w:right w:val="nil"/>
            </w:tcBorders>
            <w:shd w:val="clear" w:color="FEF2CB" w:fill="FEF2CB"/>
            <w:noWrap/>
            <w:vAlign w:val="bottom"/>
            <w:hideMark/>
          </w:tcPr>
          <w:p w14:paraId="6C293270"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897,300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0380DED0"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35B8A548" w14:textId="77777777" w:rsidTr="007A7FA3">
        <w:trPr>
          <w:trHeight w:val="315"/>
        </w:trPr>
        <w:tc>
          <w:tcPr>
            <w:tcW w:w="1086" w:type="dxa"/>
            <w:vMerge/>
            <w:tcBorders>
              <w:top w:val="nil"/>
              <w:left w:val="single" w:sz="8" w:space="0" w:color="auto"/>
              <w:bottom w:val="single" w:sz="4" w:space="0" w:color="000000"/>
              <w:right w:val="nil"/>
            </w:tcBorders>
            <w:vAlign w:val="center"/>
            <w:hideMark/>
          </w:tcPr>
          <w:p w14:paraId="03CD9B11" w14:textId="77777777" w:rsidR="007A7FA3" w:rsidRPr="007A7FA3" w:rsidRDefault="007A7FA3" w:rsidP="007A7FA3">
            <w:pPr>
              <w:rPr>
                <w:rFonts w:ascii="Calibri" w:hAnsi="Calibri" w:cs="Calibri"/>
                <w:i/>
                <w:iCs/>
                <w:color w:val="000000"/>
                <w:sz w:val="13"/>
                <w:szCs w:val="13"/>
              </w:rPr>
            </w:pPr>
          </w:p>
        </w:tc>
        <w:tc>
          <w:tcPr>
            <w:tcW w:w="87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1C28D9C"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 xml:space="preserve">1.2 Climate resilient nature-based solutions for restoration (and prevention of degradation) of MPAs and coastal ecosystems implemented through Special Management Areas/Locally Managed </w:t>
            </w:r>
            <w:r w:rsidRPr="007A7FA3">
              <w:rPr>
                <w:rFonts w:ascii="Calibri" w:hAnsi="Calibri" w:cs="Calibri"/>
                <w:i/>
                <w:iCs/>
                <w:color w:val="000000"/>
                <w:sz w:val="13"/>
                <w:szCs w:val="13"/>
              </w:rPr>
              <w:lastRenderedPageBreak/>
              <w:t xml:space="preserve">Marine Areas approach. (Namibia only] </w:t>
            </w:r>
          </w:p>
        </w:tc>
        <w:tc>
          <w:tcPr>
            <w:tcW w:w="2016" w:type="dxa"/>
            <w:vMerge w:val="restart"/>
            <w:tcBorders>
              <w:top w:val="single" w:sz="4" w:space="0" w:color="000000"/>
              <w:left w:val="nil"/>
              <w:bottom w:val="single" w:sz="4" w:space="0" w:color="000000"/>
              <w:right w:val="single" w:sz="4" w:space="0" w:color="000000"/>
            </w:tcBorders>
            <w:shd w:val="clear" w:color="auto" w:fill="auto"/>
            <w:vAlign w:val="center"/>
            <w:hideMark/>
          </w:tcPr>
          <w:p w14:paraId="1FBF4725"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lastRenderedPageBreak/>
              <w:t>1.2.1: Sustainable community-based tourism developed in and around selected MPAs and coastal ecosystems (under 1.1) with potential for third-party certifications (www.earthcheck.org)</w:t>
            </w:r>
          </w:p>
        </w:tc>
        <w:tc>
          <w:tcPr>
            <w:tcW w:w="631" w:type="dxa"/>
            <w:vMerge w:val="restart"/>
            <w:tcBorders>
              <w:top w:val="nil"/>
              <w:left w:val="nil"/>
              <w:bottom w:val="nil"/>
              <w:right w:val="nil"/>
            </w:tcBorders>
            <w:shd w:val="clear" w:color="auto" w:fill="auto"/>
            <w:vAlign w:val="center"/>
            <w:hideMark/>
          </w:tcPr>
          <w:p w14:paraId="08192AD8"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BCC</w:t>
            </w:r>
          </w:p>
        </w:tc>
        <w:tc>
          <w:tcPr>
            <w:tcW w:w="504" w:type="dxa"/>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488D603C"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val="restart"/>
            <w:tcBorders>
              <w:top w:val="single" w:sz="4" w:space="0" w:color="000000"/>
              <w:left w:val="nil"/>
              <w:bottom w:val="nil"/>
              <w:right w:val="nil"/>
            </w:tcBorders>
            <w:shd w:val="clear" w:color="auto" w:fill="auto"/>
            <w:vAlign w:val="center"/>
            <w:hideMark/>
          </w:tcPr>
          <w:p w14:paraId="72B1A760"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w:t>
            </w:r>
          </w:p>
        </w:tc>
        <w:tc>
          <w:tcPr>
            <w:tcW w:w="544" w:type="dxa"/>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246EF5F4"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71200</w:t>
            </w:r>
          </w:p>
        </w:tc>
        <w:tc>
          <w:tcPr>
            <w:tcW w:w="1580" w:type="dxa"/>
            <w:tcBorders>
              <w:top w:val="single" w:sz="8" w:space="0" w:color="000000"/>
              <w:left w:val="nil"/>
              <w:bottom w:val="single" w:sz="4" w:space="0" w:color="000000"/>
              <w:right w:val="single" w:sz="4" w:space="0" w:color="000000"/>
            </w:tcBorders>
            <w:shd w:val="clear" w:color="auto" w:fill="auto"/>
            <w:vAlign w:val="bottom"/>
            <w:hideMark/>
          </w:tcPr>
          <w:p w14:paraId="4FDE50A8"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International Consultants</w:t>
            </w:r>
          </w:p>
        </w:tc>
        <w:tc>
          <w:tcPr>
            <w:tcW w:w="694" w:type="dxa"/>
            <w:tcBorders>
              <w:top w:val="single" w:sz="8" w:space="0" w:color="000000"/>
              <w:left w:val="nil"/>
              <w:bottom w:val="single" w:sz="4" w:space="0" w:color="000000"/>
              <w:right w:val="single" w:sz="4" w:space="0" w:color="000000"/>
            </w:tcBorders>
            <w:shd w:val="clear" w:color="auto" w:fill="auto"/>
            <w:noWrap/>
            <w:vAlign w:val="bottom"/>
            <w:hideMark/>
          </w:tcPr>
          <w:p w14:paraId="1EC90DA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05" w:type="dxa"/>
            <w:tcBorders>
              <w:top w:val="single" w:sz="8" w:space="0" w:color="000000"/>
              <w:left w:val="nil"/>
              <w:bottom w:val="single" w:sz="4" w:space="0" w:color="000000"/>
              <w:right w:val="single" w:sz="4" w:space="0" w:color="000000"/>
            </w:tcBorders>
            <w:shd w:val="clear" w:color="auto" w:fill="auto"/>
            <w:noWrap/>
            <w:vAlign w:val="bottom"/>
            <w:hideMark/>
          </w:tcPr>
          <w:p w14:paraId="221DAA9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25,000 </w:t>
            </w:r>
          </w:p>
        </w:tc>
        <w:tc>
          <w:tcPr>
            <w:tcW w:w="826" w:type="dxa"/>
            <w:tcBorders>
              <w:top w:val="single" w:sz="8" w:space="0" w:color="000000"/>
              <w:left w:val="nil"/>
              <w:bottom w:val="single" w:sz="4" w:space="0" w:color="000000"/>
              <w:right w:val="single" w:sz="4" w:space="0" w:color="000000"/>
            </w:tcBorders>
            <w:shd w:val="clear" w:color="auto" w:fill="auto"/>
            <w:noWrap/>
            <w:vAlign w:val="bottom"/>
            <w:hideMark/>
          </w:tcPr>
          <w:p w14:paraId="6726446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20,000 </w:t>
            </w:r>
          </w:p>
        </w:tc>
        <w:tc>
          <w:tcPr>
            <w:tcW w:w="864" w:type="dxa"/>
            <w:tcBorders>
              <w:top w:val="single" w:sz="8" w:space="0" w:color="000000"/>
              <w:left w:val="nil"/>
              <w:bottom w:val="single" w:sz="4" w:space="0" w:color="000000"/>
              <w:right w:val="single" w:sz="4" w:space="0" w:color="000000"/>
            </w:tcBorders>
            <w:shd w:val="clear" w:color="auto" w:fill="auto"/>
            <w:noWrap/>
            <w:vAlign w:val="bottom"/>
            <w:hideMark/>
          </w:tcPr>
          <w:p w14:paraId="421B5D0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25,000 </w:t>
            </w:r>
          </w:p>
        </w:tc>
        <w:tc>
          <w:tcPr>
            <w:tcW w:w="834" w:type="dxa"/>
            <w:tcBorders>
              <w:top w:val="single" w:sz="8" w:space="0" w:color="000000"/>
              <w:left w:val="nil"/>
              <w:bottom w:val="single" w:sz="4" w:space="0" w:color="000000"/>
              <w:right w:val="single" w:sz="4" w:space="0" w:color="000000"/>
            </w:tcBorders>
            <w:shd w:val="clear" w:color="auto" w:fill="auto"/>
            <w:noWrap/>
            <w:vAlign w:val="bottom"/>
            <w:hideMark/>
          </w:tcPr>
          <w:p w14:paraId="2ECC395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20,000 </w:t>
            </w:r>
          </w:p>
        </w:tc>
        <w:tc>
          <w:tcPr>
            <w:tcW w:w="827" w:type="dxa"/>
            <w:tcBorders>
              <w:top w:val="single" w:sz="8" w:space="0" w:color="000000"/>
              <w:left w:val="nil"/>
              <w:bottom w:val="single" w:sz="4" w:space="0" w:color="000000"/>
              <w:right w:val="single" w:sz="4" w:space="0" w:color="000000"/>
            </w:tcBorders>
            <w:shd w:val="clear" w:color="auto" w:fill="auto"/>
            <w:noWrap/>
            <w:vAlign w:val="bottom"/>
            <w:hideMark/>
          </w:tcPr>
          <w:p w14:paraId="6BC1BFF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20,000 </w:t>
            </w:r>
          </w:p>
        </w:tc>
        <w:tc>
          <w:tcPr>
            <w:tcW w:w="980" w:type="dxa"/>
            <w:tcBorders>
              <w:top w:val="single" w:sz="8" w:space="0" w:color="000000"/>
              <w:left w:val="nil"/>
              <w:bottom w:val="single" w:sz="4" w:space="0" w:color="000000"/>
              <w:right w:val="nil"/>
            </w:tcBorders>
            <w:shd w:val="clear" w:color="auto" w:fill="auto"/>
            <w:noWrap/>
            <w:vAlign w:val="bottom"/>
            <w:hideMark/>
          </w:tcPr>
          <w:p w14:paraId="02EE210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120,000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0475C950"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21 </w:t>
            </w:r>
          </w:p>
        </w:tc>
      </w:tr>
      <w:tr w:rsidR="007A7FA3" w:rsidRPr="007A7FA3" w14:paraId="7460A3BE" w14:textId="77777777" w:rsidTr="007A7FA3">
        <w:trPr>
          <w:trHeight w:val="270"/>
        </w:trPr>
        <w:tc>
          <w:tcPr>
            <w:tcW w:w="1086" w:type="dxa"/>
            <w:vMerge/>
            <w:tcBorders>
              <w:top w:val="nil"/>
              <w:left w:val="single" w:sz="8" w:space="0" w:color="auto"/>
              <w:bottom w:val="single" w:sz="4" w:space="0" w:color="000000"/>
              <w:right w:val="nil"/>
            </w:tcBorders>
            <w:vAlign w:val="center"/>
            <w:hideMark/>
          </w:tcPr>
          <w:p w14:paraId="07A993DE" w14:textId="77777777" w:rsidR="007A7FA3" w:rsidRPr="007A7FA3" w:rsidRDefault="007A7FA3" w:rsidP="007A7FA3">
            <w:pPr>
              <w:rPr>
                <w:rFonts w:ascii="Calibri" w:hAnsi="Calibri" w:cs="Calibri"/>
                <w:i/>
                <w:iCs/>
                <w:color w:val="000000"/>
                <w:sz w:val="13"/>
                <w:szCs w:val="13"/>
              </w:rPr>
            </w:pPr>
          </w:p>
        </w:tc>
        <w:tc>
          <w:tcPr>
            <w:tcW w:w="871" w:type="dxa"/>
            <w:vMerge/>
            <w:tcBorders>
              <w:top w:val="single" w:sz="4" w:space="0" w:color="000000"/>
              <w:left w:val="single" w:sz="4" w:space="0" w:color="000000"/>
              <w:bottom w:val="single" w:sz="4" w:space="0" w:color="000000"/>
              <w:right w:val="single" w:sz="4" w:space="0" w:color="000000"/>
            </w:tcBorders>
            <w:vAlign w:val="center"/>
            <w:hideMark/>
          </w:tcPr>
          <w:p w14:paraId="0F9A523D" w14:textId="77777777" w:rsidR="007A7FA3" w:rsidRPr="007A7FA3" w:rsidRDefault="007A7FA3" w:rsidP="007A7FA3">
            <w:pPr>
              <w:rPr>
                <w:rFonts w:ascii="Calibri" w:hAnsi="Calibri" w:cs="Calibri"/>
                <w:i/>
                <w:iCs/>
                <w:color w:val="000000"/>
                <w:sz w:val="13"/>
                <w:szCs w:val="13"/>
              </w:rPr>
            </w:pPr>
          </w:p>
        </w:tc>
        <w:tc>
          <w:tcPr>
            <w:tcW w:w="2016" w:type="dxa"/>
            <w:vMerge/>
            <w:tcBorders>
              <w:top w:val="single" w:sz="4" w:space="0" w:color="000000"/>
              <w:left w:val="nil"/>
              <w:bottom w:val="single" w:sz="4" w:space="0" w:color="000000"/>
              <w:right w:val="single" w:sz="4" w:space="0" w:color="000000"/>
            </w:tcBorders>
            <w:vAlign w:val="center"/>
            <w:hideMark/>
          </w:tcPr>
          <w:p w14:paraId="2E51B68B"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0FD4B7CF"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6E9C3459"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single" w:sz="4" w:space="0" w:color="000000"/>
              <w:left w:val="nil"/>
              <w:bottom w:val="nil"/>
              <w:right w:val="nil"/>
            </w:tcBorders>
            <w:vAlign w:val="center"/>
            <w:hideMark/>
          </w:tcPr>
          <w:p w14:paraId="7991245A"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502C91CC"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71300</w:t>
            </w:r>
          </w:p>
        </w:tc>
        <w:tc>
          <w:tcPr>
            <w:tcW w:w="1580" w:type="dxa"/>
            <w:tcBorders>
              <w:top w:val="nil"/>
              <w:left w:val="nil"/>
              <w:bottom w:val="single" w:sz="4" w:space="0" w:color="000000"/>
              <w:right w:val="single" w:sz="4" w:space="0" w:color="000000"/>
            </w:tcBorders>
            <w:shd w:val="clear" w:color="auto" w:fill="auto"/>
            <w:vAlign w:val="bottom"/>
            <w:hideMark/>
          </w:tcPr>
          <w:p w14:paraId="58E217C0"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Local Consultants</w:t>
            </w:r>
          </w:p>
        </w:tc>
        <w:tc>
          <w:tcPr>
            <w:tcW w:w="694" w:type="dxa"/>
            <w:tcBorders>
              <w:top w:val="nil"/>
              <w:left w:val="nil"/>
              <w:bottom w:val="single" w:sz="4" w:space="0" w:color="000000"/>
              <w:right w:val="single" w:sz="4" w:space="0" w:color="000000"/>
            </w:tcBorders>
            <w:shd w:val="clear" w:color="auto" w:fill="auto"/>
            <w:noWrap/>
            <w:vAlign w:val="bottom"/>
            <w:hideMark/>
          </w:tcPr>
          <w:p w14:paraId="74B5F60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22,000 </w:t>
            </w:r>
          </w:p>
        </w:tc>
        <w:tc>
          <w:tcPr>
            <w:tcW w:w="805" w:type="dxa"/>
            <w:tcBorders>
              <w:top w:val="nil"/>
              <w:left w:val="nil"/>
              <w:bottom w:val="single" w:sz="4" w:space="0" w:color="000000"/>
              <w:right w:val="single" w:sz="4" w:space="0" w:color="000000"/>
            </w:tcBorders>
            <w:shd w:val="clear" w:color="auto" w:fill="auto"/>
            <w:noWrap/>
            <w:vAlign w:val="bottom"/>
            <w:hideMark/>
          </w:tcPr>
          <w:p w14:paraId="03ABEC6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35,000 </w:t>
            </w:r>
          </w:p>
        </w:tc>
        <w:tc>
          <w:tcPr>
            <w:tcW w:w="826" w:type="dxa"/>
            <w:tcBorders>
              <w:top w:val="nil"/>
              <w:left w:val="nil"/>
              <w:bottom w:val="single" w:sz="4" w:space="0" w:color="000000"/>
              <w:right w:val="single" w:sz="4" w:space="0" w:color="000000"/>
            </w:tcBorders>
            <w:shd w:val="clear" w:color="auto" w:fill="auto"/>
            <w:noWrap/>
            <w:vAlign w:val="bottom"/>
            <w:hideMark/>
          </w:tcPr>
          <w:p w14:paraId="75998D2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40,000 </w:t>
            </w:r>
          </w:p>
        </w:tc>
        <w:tc>
          <w:tcPr>
            <w:tcW w:w="864" w:type="dxa"/>
            <w:tcBorders>
              <w:top w:val="nil"/>
              <w:left w:val="nil"/>
              <w:bottom w:val="single" w:sz="4" w:space="0" w:color="000000"/>
              <w:right w:val="single" w:sz="4" w:space="0" w:color="000000"/>
            </w:tcBorders>
            <w:shd w:val="clear" w:color="auto" w:fill="auto"/>
            <w:noWrap/>
            <w:vAlign w:val="bottom"/>
            <w:hideMark/>
          </w:tcPr>
          <w:p w14:paraId="1EC9DC0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45,000 </w:t>
            </w:r>
          </w:p>
        </w:tc>
        <w:tc>
          <w:tcPr>
            <w:tcW w:w="834" w:type="dxa"/>
            <w:tcBorders>
              <w:top w:val="nil"/>
              <w:left w:val="nil"/>
              <w:bottom w:val="single" w:sz="4" w:space="0" w:color="000000"/>
              <w:right w:val="single" w:sz="4" w:space="0" w:color="000000"/>
            </w:tcBorders>
            <w:shd w:val="clear" w:color="auto" w:fill="auto"/>
            <w:noWrap/>
            <w:vAlign w:val="bottom"/>
            <w:hideMark/>
          </w:tcPr>
          <w:p w14:paraId="410BBD5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40,000 </w:t>
            </w:r>
          </w:p>
        </w:tc>
        <w:tc>
          <w:tcPr>
            <w:tcW w:w="827" w:type="dxa"/>
            <w:tcBorders>
              <w:top w:val="nil"/>
              <w:left w:val="nil"/>
              <w:bottom w:val="single" w:sz="4" w:space="0" w:color="000000"/>
              <w:right w:val="single" w:sz="4" w:space="0" w:color="000000"/>
            </w:tcBorders>
            <w:shd w:val="clear" w:color="auto" w:fill="auto"/>
            <w:noWrap/>
            <w:vAlign w:val="bottom"/>
            <w:hideMark/>
          </w:tcPr>
          <w:p w14:paraId="7A6C35B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30,000 </w:t>
            </w:r>
          </w:p>
        </w:tc>
        <w:tc>
          <w:tcPr>
            <w:tcW w:w="980" w:type="dxa"/>
            <w:tcBorders>
              <w:top w:val="single" w:sz="8" w:space="0" w:color="000000"/>
              <w:left w:val="nil"/>
              <w:bottom w:val="single" w:sz="4" w:space="0" w:color="000000"/>
              <w:right w:val="nil"/>
            </w:tcBorders>
            <w:shd w:val="clear" w:color="auto" w:fill="auto"/>
            <w:noWrap/>
            <w:vAlign w:val="bottom"/>
            <w:hideMark/>
          </w:tcPr>
          <w:p w14:paraId="24553EF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212,000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755C6376"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22 </w:t>
            </w:r>
          </w:p>
        </w:tc>
      </w:tr>
      <w:tr w:rsidR="007A7FA3" w:rsidRPr="007A7FA3" w14:paraId="0A81B328" w14:textId="77777777" w:rsidTr="007A7FA3">
        <w:trPr>
          <w:trHeight w:val="270"/>
        </w:trPr>
        <w:tc>
          <w:tcPr>
            <w:tcW w:w="1086" w:type="dxa"/>
            <w:vMerge/>
            <w:tcBorders>
              <w:top w:val="nil"/>
              <w:left w:val="single" w:sz="8" w:space="0" w:color="auto"/>
              <w:bottom w:val="single" w:sz="4" w:space="0" w:color="000000"/>
              <w:right w:val="nil"/>
            </w:tcBorders>
            <w:vAlign w:val="center"/>
            <w:hideMark/>
          </w:tcPr>
          <w:p w14:paraId="3A76B638" w14:textId="77777777" w:rsidR="007A7FA3" w:rsidRPr="007A7FA3" w:rsidRDefault="007A7FA3" w:rsidP="007A7FA3">
            <w:pPr>
              <w:rPr>
                <w:rFonts w:ascii="Calibri" w:hAnsi="Calibri" w:cs="Calibri"/>
                <w:i/>
                <w:iCs/>
                <w:color w:val="000000"/>
                <w:sz w:val="13"/>
                <w:szCs w:val="13"/>
              </w:rPr>
            </w:pPr>
          </w:p>
        </w:tc>
        <w:tc>
          <w:tcPr>
            <w:tcW w:w="871" w:type="dxa"/>
            <w:vMerge/>
            <w:tcBorders>
              <w:top w:val="single" w:sz="4" w:space="0" w:color="000000"/>
              <w:left w:val="single" w:sz="4" w:space="0" w:color="000000"/>
              <w:bottom w:val="single" w:sz="4" w:space="0" w:color="000000"/>
              <w:right w:val="single" w:sz="4" w:space="0" w:color="000000"/>
            </w:tcBorders>
            <w:vAlign w:val="center"/>
            <w:hideMark/>
          </w:tcPr>
          <w:p w14:paraId="77396878" w14:textId="77777777" w:rsidR="007A7FA3" w:rsidRPr="007A7FA3" w:rsidRDefault="007A7FA3" w:rsidP="007A7FA3">
            <w:pPr>
              <w:rPr>
                <w:rFonts w:ascii="Calibri" w:hAnsi="Calibri" w:cs="Calibri"/>
                <w:i/>
                <w:iCs/>
                <w:color w:val="000000"/>
                <w:sz w:val="13"/>
                <w:szCs w:val="13"/>
              </w:rPr>
            </w:pPr>
          </w:p>
        </w:tc>
        <w:tc>
          <w:tcPr>
            <w:tcW w:w="2016" w:type="dxa"/>
            <w:vMerge/>
            <w:tcBorders>
              <w:top w:val="single" w:sz="4" w:space="0" w:color="000000"/>
              <w:left w:val="nil"/>
              <w:bottom w:val="single" w:sz="4" w:space="0" w:color="000000"/>
              <w:right w:val="single" w:sz="4" w:space="0" w:color="000000"/>
            </w:tcBorders>
            <w:vAlign w:val="center"/>
            <w:hideMark/>
          </w:tcPr>
          <w:p w14:paraId="7069B389"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221976FF"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45F6E197"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single" w:sz="4" w:space="0" w:color="000000"/>
              <w:left w:val="nil"/>
              <w:bottom w:val="nil"/>
              <w:right w:val="nil"/>
            </w:tcBorders>
            <w:vAlign w:val="center"/>
            <w:hideMark/>
          </w:tcPr>
          <w:p w14:paraId="2B39263D"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4A7CB778"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71600</w:t>
            </w:r>
          </w:p>
        </w:tc>
        <w:tc>
          <w:tcPr>
            <w:tcW w:w="1580" w:type="dxa"/>
            <w:tcBorders>
              <w:top w:val="nil"/>
              <w:left w:val="nil"/>
              <w:bottom w:val="single" w:sz="4" w:space="0" w:color="000000"/>
              <w:right w:val="single" w:sz="4" w:space="0" w:color="000000"/>
            </w:tcBorders>
            <w:shd w:val="clear" w:color="auto" w:fill="auto"/>
            <w:vAlign w:val="bottom"/>
            <w:hideMark/>
          </w:tcPr>
          <w:p w14:paraId="2D97511C"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Travel</w:t>
            </w:r>
          </w:p>
        </w:tc>
        <w:tc>
          <w:tcPr>
            <w:tcW w:w="694" w:type="dxa"/>
            <w:tcBorders>
              <w:top w:val="nil"/>
              <w:left w:val="nil"/>
              <w:bottom w:val="single" w:sz="4" w:space="0" w:color="000000"/>
              <w:right w:val="single" w:sz="4" w:space="0" w:color="000000"/>
            </w:tcBorders>
            <w:shd w:val="clear" w:color="auto" w:fill="auto"/>
            <w:noWrap/>
            <w:vAlign w:val="bottom"/>
            <w:hideMark/>
          </w:tcPr>
          <w:p w14:paraId="210F62D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20,000 </w:t>
            </w:r>
          </w:p>
        </w:tc>
        <w:tc>
          <w:tcPr>
            <w:tcW w:w="805" w:type="dxa"/>
            <w:tcBorders>
              <w:top w:val="nil"/>
              <w:left w:val="nil"/>
              <w:bottom w:val="single" w:sz="4" w:space="0" w:color="000000"/>
              <w:right w:val="single" w:sz="4" w:space="0" w:color="000000"/>
            </w:tcBorders>
            <w:shd w:val="clear" w:color="auto" w:fill="auto"/>
            <w:noWrap/>
            <w:vAlign w:val="bottom"/>
            <w:hideMark/>
          </w:tcPr>
          <w:p w14:paraId="664F600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25,000 </w:t>
            </w:r>
          </w:p>
        </w:tc>
        <w:tc>
          <w:tcPr>
            <w:tcW w:w="826" w:type="dxa"/>
            <w:tcBorders>
              <w:top w:val="nil"/>
              <w:left w:val="nil"/>
              <w:bottom w:val="single" w:sz="4" w:space="0" w:color="000000"/>
              <w:right w:val="single" w:sz="4" w:space="0" w:color="000000"/>
            </w:tcBorders>
            <w:shd w:val="clear" w:color="auto" w:fill="auto"/>
            <w:noWrap/>
            <w:vAlign w:val="bottom"/>
            <w:hideMark/>
          </w:tcPr>
          <w:p w14:paraId="0E24579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30,000 </w:t>
            </w:r>
          </w:p>
        </w:tc>
        <w:tc>
          <w:tcPr>
            <w:tcW w:w="864" w:type="dxa"/>
            <w:tcBorders>
              <w:top w:val="nil"/>
              <w:left w:val="nil"/>
              <w:bottom w:val="single" w:sz="4" w:space="0" w:color="000000"/>
              <w:right w:val="single" w:sz="4" w:space="0" w:color="000000"/>
            </w:tcBorders>
            <w:shd w:val="clear" w:color="auto" w:fill="auto"/>
            <w:noWrap/>
            <w:vAlign w:val="bottom"/>
            <w:hideMark/>
          </w:tcPr>
          <w:p w14:paraId="234134A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30,000 </w:t>
            </w:r>
          </w:p>
        </w:tc>
        <w:tc>
          <w:tcPr>
            <w:tcW w:w="834" w:type="dxa"/>
            <w:tcBorders>
              <w:top w:val="nil"/>
              <w:left w:val="nil"/>
              <w:bottom w:val="single" w:sz="4" w:space="0" w:color="000000"/>
              <w:right w:val="single" w:sz="4" w:space="0" w:color="000000"/>
            </w:tcBorders>
            <w:shd w:val="clear" w:color="auto" w:fill="auto"/>
            <w:noWrap/>
            <w:vAlign w:val="bottom"/>
            <w:hideMark/>
          </w:tcPr>
          <w:p w14:paraId="178D49E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35,000 </w:t>
            </w:r>
          </w:p>
        </w:tc>
        <w:tc>
          <w:tcPr>
            <w:tcW w:w="827" w:type="dxa"/>
            <w:tcBorders>
              <w:top w:val="nil"/>
              <w:left w:val="nil"/>
              <w:bottom w:val="single" w:sz="4" w:space="0" w:color="000000"/>
              <w:right w:val="single" w:sz="4" w:space="0" w:color="000000"/>
            </w:tcBorders>
            <w:shd w:val="clear" w:color="auto" w:fill="auto"/>
            <w:noWrap/>
            <w:vAlign w:val="bottom"/>
            <w:hideMark/>
          </w:tcPr>
          <w:p w14:paraId="2259D47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35,000 </w:t>
            </w:r>
          </w:p>
        </w:tc>
        <w:tc>
          <w:tcPr>
            <w:tcW w:w="980" w:type="dxa"/>
            <w:tcBorders>
              <w:top w:val="single" w:sz="8" w:space="0" w:color="000000"/>
              <w:left w:val="nil"/>
              <w:bottom w:val="single" w:sz="4" w:space="0" w:color="000000"/>
              <w:right w:val="nil"/>
            </w:tcBorders>
            <w:shd w:val="clear" w:color="auto" w:fill="auto"/>
            <w:noWrap/>
            <w:vAlign w:val="bottom"/>
            <w:hideMark/>
          </w:tcPr>
          <w:p w14:paraId="6B391BD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175,000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08ED166B"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23 </w:t>
            </w:r>
          </w:p>
        </w:tc>
      </w:tr>
      <w:tr w:rsidR="007A7FA3" w:rsidRPr="007A7FA3" w14:paraId="5AEA7140" w14:textId="77777777" w:rsidTr="007A7FA3">
        <w:trPr>
          <w:trHeight w:val="270"/>
        </w:trPr>
        <w:tc>
          <w:tcPr>
            <w:tcW w:w="1086" w:type="dxa"/>
            <w:vMerge/>
            <w:tcBorders>
              <w:top w:val="nil"/>
              <w:left w:val="single" w:sz="8" w:space="0" w:color="auto"/>
              <w:bottom w:val="single" w:sz="4" w:space="0" w:color="000000"/>
              <w:right w:val="nil"/>
            </w:tcBorders>
            <w:vAlign w:val="center"/>
            <w:hideMark/>
          </w:tcPr>
          <w:p w14:paraId="2CC2C66C" w14:textId="77777777" w:rsidR="007A7FA3" w:rsidRPr="007A7FA3" w:rsidRDefault="007A7FA3" w:rsidP="007A7FA3">
            <w:pPr>
              <w:rPr>
                <w:rFonts w:ascii="Calibri" w:hAnsi="Calibri" w:cs="Calibri"/>
                <w:i/>
                <w:iCs/>
                <w:color w:val="000000"/>
                <w:sz w:val="13"/>
                <w:szCs w:val="13"/>
              </w:rPr>
            </w:pPr>
          </w:p>
        </w:tc>
        <w:tc>
          <w:tcPr>
            <w:tcW w:w="871" w:type="dxa"/>
            <w:vMerge/>
            <w:tcBorders>
              <w:top w:val="single" w:sz="4" w:space="0" w:color="000000"/>
              <w:left w:val="single" w:sz="4" w:space="0" w:color="000000"/>
              <w:bottom w:val="single" w:sz="4" w:space="0" w:color="000000"/>
              <w:right w:val="single" w:sz="4" w:space="0" w:color="000000"/>
            </w:tcBorders>
            <w:vAlign w:val="center"/>
            <w:hideMark/>
          </w:tcPr>
          <w:p w14:paraId="4742DC40" w14:textId="77777777" w:rsidR="007A7FA3" w:rsidRPr="007A7FA3" w:rsidRDefault="007A7FA3" w:rsidP="007A7FA3">
            <w:pPr>
              <w:rPr>
                <w:rFonts w:ascii="Calibri" w:hAnsi="Calibri" w:cs="Calibri"/>
                <w:i/>
                <w:iCs/>
                <w:color w:val="000000"/>
                <w:sz w:val="13"/>
                <w:szCs w:val="13"/>
              </w:rPr>
            </w:pPr>
          </w:p>
        </w:tc>
        <w:tc>
          <w:tcPr>
            <w:tcW w:w="2016" w:type="dxa"/>
            <w:vMerge/>
            <w:tcBorders>
              <w:top w:val="single" w:sz="4" w:space="0" w:color="000000"/>
              <w:left w:val="nil"/>
              <w:bottom w:val="single" w:sz="4" w:space="0" w:color="000000"/>
              <w:right w:val="single" w:sz="4" w:space="0" w:color="000000"/>
            </w:tcBorders>
            <w:vAlign w:val="center"/>
            <w:hideMark/>
          </w:tcPr>
          <w:p w14:paraId="6B0853DF"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39867CEF"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7773BE74"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single" w:sz="4" w:space="0" w:color="000000"/>
              <w:left w:val="nil"/>
              <w:bottom w:val="nil"/>
              <w:right w:val="nil"/>
            </w:tcBorders>
            <w:vAlign w:val="center"/>
            <w:hideMark/>
          </w:tcPr>
          <w:p w14:paraId="2E5E5BFB"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74FB7F20"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72100</w:t>
            </w:r>
          </w:p>
        </w:tc>
        <w:tc>
          <w:tcPr>
            <w:tcW w:w="1580" w:type="dxa"/>
            <w:tcBorders>
              <w:top w:val="nil"/>
              <w:left w:val="nil"/>
              <w:bottom w:val="single" w:sz="4" w:space="0" w:color="000000"/>
              <w:right w:val="single" w:sz="4" w:space="0" w:color="000000"/>
            </w:tcBorders>
            <w:shd w:val="clear" w:color="auto" w:fill="auto"/>
            <w:vAlign w:val="bottom"/>
            <w:hideMark/>
          </w:tcPr>
          <w:p w14:paraId="6F48F1BF"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Contractual Services - Companies</w:t>
            </w:r>
          </w:p>
        </w:tc>
        <w:tc>
          <w:tcPr>
            <w:tcW w:w="694" w:type="dxa"/>
            <w:tcBorders>
              <w:top w:val="nil"/>
              <w:left w:val="nil"/>
              <w:bottom w:val="single" w:sz="4" w:space="0" w:color="000000"/>
              <w:right w:val="single" w:sz="4" w:space="0" w:color="000000"/>
            </w:tcBorders>
            <w:shd w:val="clear" w:color="auto" w:fill="auto"/>
            <w:noWrap/>
            <w:vAlign w:val="bottom"/>
            <w:hideMark/>
          </w:tcPr>
          <w:p w14:paraId="5C6F27C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05" w:type="dxa"/>
            <w:tcBorders>
              <w:top w:val="nil"/>
              <w:left w:val="nil"/>
              <w:bottom w:val="single" w:sz="4" w:space="0" w:color="000000"/>
              <w:right w:val="single" w:sz="4" w:space="0" w:color="000000"/>
            </w:tcBorders>
            <w:shd w:val="clear" w:color="auto" w:fill="auto"/>
            <w:noWrap/>
            <w:vAlign w:val="bottom"/>
            <w:hideMark/>
          </w:tcPr>
          <w:p w14:paraId="2F5676E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30,000 </w:t>
            </w:r>
          </w:p>
        </w:tc>
        <w:tc>
          <w:tcPr>
            <w:tcW w:w="826" w:type="dxa"/>
            <w:tcBorders>
              <w:top w:val="nil"/>
              <w:left w:val="nil"/>
              <w:bottom w:val="single" w:sz="4" w:space="0" w:color="000000"/>
              <w:right w:val="single" w:sz="4" w:space="0" w:color="000000"/>
            </w:tcBorders>
            <w:shd w:val="clear" w:color="auto" w:fill="auto"/>
            <w:noWrap/>
            <w:vAlign w:val="bottom"/>
            <w:hideMark/>
          </w:tcPr>
          <w:p w14:paraId="231B714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35,000 </w:t>
            </w:r>
          </w:p>
        </w:tc>
        <w:tc>
          <w:tcPr>
            <w:tcW w:w="864" w:type="dxa"/>
            <w:tcBorders>
              <w:top w:val="nil"/>
              <w:left w:val="nil"/>
              <w:bottom w:val="single" w:sz="4" w:space="0" w:color="000000"/>
              <w:right w:val="single" w:sz="4" w:space="0" w:color="000000"/>
            </w:tcBorders>
            <w:shd w:val="clear" w:color="auto" w:fill="auto"/>
            <w:noWrap/>
            <w:vAlign w:val="bottom"/>
            <w:hideMark/>
          </w:tcPr>
          <w:p w14:paraId="6ED66F7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35,000 </w:t>
            </w:r>
          </w:p>
        </w:tc>
        <w:tc>
          <w:tcPr>
            <w:tcW w:w="834" w:type="dxa"/>
            <w:tcBorders>
              <w:top w:val="nil"/>
              <w:left w:val="nil"/>
              <w:bottom w:val="single" w:sz="4" w:space="0" w:color="000000"/>
              <w:right w:val="single" w:sz="4" w:space="0" w:color="000000"/>
            </w:tcBorders>
            <w:shd w:val="clear" w:color="auto" w:fill="auto"/>
            <w:noWrap/>
            <w:vAlign w:val="bottom"/>
            <w:hideMark/>
          </w:tcPr>
          <w:p w14:paraId="337EEF9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20,000 </w:t>
            </w:r>
          </w:p>
        </w:tc>
        <w:tc>
          <w:tcPr>
            <w:tcW w:w="827" w:type="dxa"/>
            <w:tcBorders>
              <w:top w:val="nil"/>
              <w:left w:val="nil"/>
              <w:bottom w:val="single" w:sz="4" w:space="0" w:color="000000"/>
              <w:right w:val="single" w:sz="4" w:space="0" w:color="000000"/>
            </w:tcBorders>
            <w:shd w:val="clear" w:color="auto" w:fill="auto"/>
            <w:noWrap/>
            <w:vAlign w:val="bottom"/>
            <w:hideMark/>
          </w:tcPr>
          <w:p w14:paraId="27B93E2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15,000 </w:t>
            </w:r>
          </w:p>
        </w:tc>
        <w:tc>
          <w:tcPr>
            <w:tcW w:w="980" w:type="dxa"/>
            <w:tcBorders>
              <w:top w:val="single" w:sz="8" w:space="0" w:color="000000"/>
              <w:left w:val="nil"/>
              <w:bottom w:val="single" w:sz="4" w:space="0" w:color="000000"/>
              <w:right w:val="nil"/>
            </w:tcBorders>
            <w:shd w:val="clear" w:color="auto" w:fill="auto"/>
            <w:noWrap/>
            <w:vAlign w:val="bottom"/>
            <w:hideMark/>
          </w:tcPr>
          <w:p w14:paraId="08924C0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145,000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6F7AF3DE"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24 </w:t>
            </w:r>
          </w:p>
        </w:tc>
      </w:tr>
      <w:tr w:rsidR="007A7FA3" w:rsidRPr="007A7FA3" w14:paraId="32F915BD" w14:textId="77777777" w:rsidTr="007A7FA3">
        <w:trPr>
          <w:trHeight w:val="270"/>
        </w:trPr>
        <w:tc>
          <w:tcPr>
            <w:tcW w:w="1086" w:type="dxa"/>
            <w:vMerge/>
            <w:tcBorders>
              <w:top w:val="nil"/>
              <w:left w:val="single" w:sz="8" w:space="0" w:color="auto"/>
              <w:bottom w:val="single" w:sz="4" w:space="0" w:color="000000"/>
              <w:right w:val="nil"/>
            </w:tcBorders>
            <w:vAlign w:val="center"/>
            <w:hideMark/>
          </w:tcPr>
          <w:p w14:paraId="6F0789C6" w14:textId="77777777" w:rsidR="007A7FA3" w:rsidRPr="007A7FA3" w:rsidRDefault="007A7FA3" w:rsidP="007A7FA3">
            <w:pPr>
              <w:rPr>
                <w:rFonts w:ascii="Calibri" w:hAnsi="Calibri" w:cs="Calibri"/>
                <w:i/>
                <w:iCs/>
                <w:color w:val="000000"/>
                <w:sz w:val="13"/>
                <w:szCs w:val="13"/>
              </w:rPr>
            </w:pPr>
          </w:p>
        </w:tc>
        <w:tc>
          <w:tcPr>
            <w:tcW w:w="871" w:type="dxa"/>
            <w:vMerge/>
            <w:tcBorders>
              <w:top w:val="single" w:sz="4" w:space="0" w:color="000000"/>
              <w:left w:val="single" w:sz="4" w:space="0" w:color="000000"/>
              <w:bottom w:val="single" w:sz="4" w:space="0" w:color="000000"/>
              <w:right w:val="single" w:sz="4" w:space="0" w:color="000000"/>
            </w:tcBorders>
            <w:vAlign w:val="center"/>
            <w:hideMark/>
          </w:tcPr>
          <w:p w14:paraId="0F3D75DB" w14:textId="77777777" w:rsidR="007A7FA3" w:rsidRPr="007A7FA3" w:rsidRDefault="007A7FA3" w:rsidP="007A7FA3">
            <w:pPr>
              <w:rPr>
                <w:rFonts w:ascii="Calibri" w:hAnsi="Calibri" w:cs="Calibri"/>
                <w:i/>
                <w:iCs/>
                <w:color w:val="000000"/>
                <w:sz w:val="13"/>
                <w:szCs w:val="13"/>
              </w:rPr>
            </w:pPr>
          </w:p>
        </w:tc>
        <w:tc>
          <w:tcPr>
            <w:tcW w:w="2016" w:type="dxa"/>
            <w:vMerge/>
            <w:tcBorders>
              <w:top w:val="single" w:sz="4" w:space="0" w:color="000000"/>
              <w:left w:val="nil"/>
              <w:bottom w:val="single" w:sz="4" w:space="0" w:color="000000"/>
              <w:right w:val="single" w:sz="4" w:space="0" w:color="000000"/>
            </w:tcBorders>
            <w:vAlign w:val="center"/>
            <w:hideMark/>
          </w:tcPr>
          <w:p w14:paraId="43DF0F07"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5F50496C"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261D91D2"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single" w:sz="4" w:space="0" w:color="000000"/>
              <w:left w:val="nil"/>
              <w:bottom w:val="nil"/>
              <w:right w:val="nil"/>
            </w:tcBorders>
            <w:vAlign w:val="center"/>
            <w:hideMark/>
          </w:tcPr>
          <w:p w14:paraId="576FFA1B"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7DDACF52"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72400</w:t>
            </w:r>
          </w:p>
        </w:tc>
        <w:tc>
          <w:tcPr>
            <w:tcW w:w="1580" w:type="dxa"/>
            <w:tcBorders>
              <w:top w:val="nil"/>
              <w:left w:val="nil"/>
              <w:bottom w:val="single" w:sz="4" w:space="0" w:color="000000"/>
              <w:right w:val="single" w:sz="4" w:space="0" w:color="000000"/>
            </w:tcBorders>
            <w:shd w:val="clear" w:color="auto" w:fill="auto"/>
            <w:vAlign w:val="bottom"/>
            <w:hideMark/>
          </w:tcPr>
          <w:p w14:paraId="4E50841C"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Communic &amp; Audio Visual Equip</w:t>
            </w:r>
          </w:p>
        </w:tc>
        <w:tc>
          <w:tcPr>
            <w:tcW w:w="694" w:type="dxa"/>
            <w:tcBorders>
              <w:top w:val="nil"/>
              <w:left w:val="nil"/>
              <w:bottom w:val="single" w:sz="4" w:space="0" w:color="000000"/>
              <w:right w:val="single" w:sz="4" w:space="0" w:color="000000"/>
            </w:tcBorders>
            <w:shd w:val="clear" w:color="auto" w:fill="auto"/>
            <w:noWrap/>
            <w:vAlign w:val="bottom"/>
            <w:hideMark/>
          </w:tcPr>
          <w:p w14:paraId="01E901D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6,000 </w:t>
            </w:r>
          </w:p>
        </w:tc>
        <w:tc>
          <w:tcPr>
            <w:tcW w:w="805" w:type="dxa"/>
            <w:tcBorders>
              <w:top w:val="nil"/>
              <w:left w:val="nil"/>
              <w:bottom w:val="single" w:sz="4" w:space="0" w:color="000000"/>
              <w:right w:val="single" w:sz="4" w:space="0" w:color="000000"/>
            </w:tcBorders>
            <w:shd w:val="clear" w:color="auto" w:fill="auto"/>
            <w:noWrap/>
            <w:vAlign w:val="bottom"/>
            <w:hideMark/>
          </w:tcPr>
          <w:p w14:paraId="62F741A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8,000 </w:t>
            </w:r>
          </w:p>
        </w:tc>
        <w:tc>
          <w:tcPr>
            <w:tcW w:w="826" w:type="dxa"/>
            <w:tcBorders>
              <w:top w:val="nil"/>
              <w:left w:val="nil"/>
              <w:bottom w:val="single" w:sz="4" w:space="0" w:color="000000"/>
              <w:right w:val="single" w:sz="4" w:space="0" w:color="000000"/>
            </w:tcBorders>
            <w:shd w:val="clear" w:color="auto" w:fill="auto"/>
            <w:noWrap/>
            <w:vAlign w:val="bottom"/>
            <w:hideMark/>
          </w:tcPr>
          <w:p w14:paraId="429EB39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64" w:type="dxa"/>
            <w:tcBorders>
              <w:top w:val="nil"/>
              <w:left w:val="nil"/>
              <w:bottom w:val="single" w:sz="4" w:space="0" w:color="000000"/>
              <w:right w:val="single" w:sz="4" w:space="0" w:color="000000"/>
            </w:tcBorders>
            <w:shd w:val="clear" w:color="auto" w:fill="auto"/>
            <w:noWrap/>
            <w:vAlign w:val="bottom"/>
            <w:hideMark/>
          </w:tcPr>
          <w:p w14:paraId="5D5D2F8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34" w:type="dxa"/>
            <w:tcBorders>
              <w:top w:val="nil"/>
              <w:left w:val="nil"/>
              <w:bottom w:val="single" w:sz="4" w:space="0" w:color="000000"/>
              <w:right w:val="single" w:sz="4" w:space="0" w:color="000000"/>
            </w:tcBorders>
            <w:shd w:val="clear" w:color="auto" w:fill="auto"/>
            <w:noWrap/>
            <w:vAlign w:val="bottom"/>
            <w:hideMark/>
          </w:tcPr>
          <w:p w14:paraId="5AF52F4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8,000 </w:t>
            </w:r>
          </w:p>
        </w:tc>
        <w:tc>
          <w:tcPr>
            <w:tcW w:w="827" w:type="dxa"/>
            <w:tcBorders>
              <w:top w:val="nil"/>
              <w:left w:val="nil"/>
              <w:bottom w:val="single" w:sz="4" w:space="0" w:color="000000"/>
              <w:right w:val="single" w:sz="4" w:space="0" w:color="000000"/>
            </w:tcBorders>
            <w:shd w:val="clear" w:color="auto" w:fill="auto"/>
            <w:noWrap/>
            <w:vAlign w:val="bottom"/>
            <w:hideMark/>
          </w:tcPr>
          <w:p w14:paraId="0B246DF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6,000 </w:t>
            </w:r>
          </w:p>
        </w:tc>
        <w:tc>
          <w:tcPr>
            <w:tcW w:w="980" w:type="dxa"/>
            <w:tcBorders>
              <w:top w:val="single" w:sz="8" w:space="0" w:color="000000"/>
              <w:left w:val="nil"/>
              <w:bottom w:val="single" w:sz="4" w:space="0" w:color="000000"/>
              <w:right w:val="nil"/>
            </w:tcBorders>
            <w:shd w:val="clear" w:color="auto" w:fill="auto"/>
            <w:noWrap/>
            <w:vAlign w:val="bottom"/>
            <w:hideMark/>
          </w:tcPr>
          <w:p w14:paraId="0F9BAA8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48,000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61E89716"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25 </w:t>
            </w:r>
          </w:p>
        </w:tc>
      </w:tr>
      <w:tr w:rsidR="007A7FA3" w:rsidRPr="007A7FA3" w14:paraId="768D85E5" w14:textId="77777777" w:rsidTr="007A7FA3">
        <w:trPr>
          <w:trHeight w:val="375"/>
        </w:trPr>
        <w:tc>
          <w:tcPr>
            <w:tcW w:w="1086" w:type="dxa"/>
            <w:vMerge/>
            <w:tcBorders>
              <w:top w:val="nil"/>
              <w:left w:val="single" w:sz="8" w:space="0" w:color="auto"/>
              <w:bottom w:val="single" w:sz="4" w:space="0" w:color="000000"/>
              <w:right w:val="nil"/>
            </w:tcBorders>
            <w:vAlign w:val="center"/>
            <w:hideMark/>
          </w:tcPr>
          <w:p w14:paraId="18C3B8F9" w14:textId="77777777" w:rsidR="007A7FA3" w:rsidRPr="007A7FA3" w:rsidRDefault="007A7FA3" w:rsidP="007A7FA3">
            <w:pPr>
              <w:rPr>
                <w:rFonts w:ascii="Calibri" w:hAnsi="Calibri" w:cs="Calibri"/>
                <w:i/>
                <w:iCs/>
                <w:color w:val="000000"/>
                <w:sz w:val="13"/>
                <w:szCs w:val="13"/>
              </w:rPr>
            </w:pPr>
          </w:p>
        </w:tc>
        <w:tc>
          <w:tcPr>
            <w:tcW w:w="871" w:type="dxa"/>
            <w:vMerge/>
            <w:tcBorders>
              <w:top w:val="single" w:sz="4" w:space="0" w:color="000000"/>
              <w:left w:val="single" w:sz="4" w:space="0" w:color="000000"/>
              <w:bottom w:val="single" w:sz="4" w:space="0" w:color="000000"/>
              <w:right w:val="single" w:sz="4" w:space="0" w:color="000000"/>
            </w:tcBorders>
            <w:vAlign w:val="center"/>
            <w:hideMark/>
          </w:tcPr>
          <w:p w14:paraId="279BDC9C" w14:textId="77777777" w:rsidR="007A7FA3" w:rsidRPr="007A7FA3" w:rsidRDefault="007A7FA3" w:rsidP="007A7FA3">
            <w:pPr>
              <w:rPr>
                <w:rFonts w:ascii="Calibri" w:hAnsi="Calibri" w:cs="Calibri"/>
                <w:i/>
                <w:iCs/>
                <w:color w:val="000000"/>
                <w:sz w:val="13"/>
                <w:szCs w:val="13"/>
              </w:rPr>
            </w:pPr>
          </w:p>
        </w:tc>
        <w:tc>
          <w:tcPr>
            <w:tcW w:w="2016" w:type="dxa"/>
            <w:vMerge/>
            <w:tcBorders>
              <w:top w:val="single" w:sz="4" w:space="0" w:color="000000"/>
              <w:left w:val="nil"/>
              <w:bottom w:val="single" w:sz="4" w:space="0" w:color="000000"/>
              <w:right w:val="single" w:sz="4" w:space="0" w:color="000000"/>
            </w:tcBorders>
            <w:vAlign w:val="center"/>
            <w:hideMark/>
          </w:tcPr>
          <w:p w14:paraId="216B1056" w14:textId="77777777" w:rsidR="007A7FA3" w:rsidRPr="007A7FA3" w:rsidRDefault="007A7FA3" w:rsidP="007A7FA3">
            <w:pPr>
              <w:rPr>
                <w:rFonts w:ascii="Calibri" w:hAnsi="Calibri" w:cs="Calibri"/>
                <w:i/>
                <w:iCs/>
                <w:color w:val="000000"/>
                <w:sz w:val="13"/>
                <w:szCs w:val="13"/>
              </w:rPr>
            </w:pPr>
          </w:p>
        </w:tc>
        <w:tc>
          <w:tcPr>
            <w:tcW w:w="3763" w:type="dxa"/>
            <w:gridSpan w:val="5"/>
            <w:tcBorders>
              <w:top w:val="single" w:sz="4" w:space="0" w:color="000000"/>
              <w:left w:val="nil"/>
              <w:bottom w:val="nil"/>
              <w:right w:val="single" w:sz="4" w:space="0" w:color="000000"/>
            </w:tcBorders>
            <w:shd w:val="clear" w:color="auto" w:fill="auto"/>
            <w:vAlign w:val="center"/>
            <w:hideMark/>
          </w:tcPr>
          <w:p w14:paraId="235E678B"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Total BCC</w:t>
            </w:r>
          </w:p>
        </w:tc>
        <w:tc>
          <w:tcPr>
            <w:tcW w:w="694" w:type="dxa"/>
            <w:tcBorders>
              <w:top w:val="nil"/>
              <w:left w:val="nil"/>
              <w:bottom w:val="single" w:sz="4" w:space="0" w:color="000000"/>
              <w:right w:val="single" w:sz="4" w:space="0" w:color="000000"/>
            </w:tcBorders>
            <w:shd w:val="clear" w:color="auto" w:fill="auto"/>
            <w:noWrap/>
            <w:vAlign w:val="bottom"/>
            <w:hideMark/>
          </w:tcPr>
          <w:p w14:paraId="77B71117"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68,000 </w:t>
            </w:r>
          </w:p>
        </w:tc>
        <w:tc>
          <w:tcPr>
            <w:tcW w:w="805" w:type="dxa"/>
            <w:tcBorders>
              <w:top w:val="nil"/>
              <w:left w:val="nil"/>
              <w:bottom w:val="single" w:sz="4" w:space="0" w:color="000000"/>
              <w:right w:val="single" w:sz="4" w:space="0" w:color="000000"/>
            </w:tcBorders>
            <w:shd w:val="clear" w:color="auto" w:fill="auto"/>
            <w:noWrap/>
            <w:vAlign w:val="bottom"/>
            <w:hideMark/>
          </w:tcPr>
          <w:p w14:paraId="45179824"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123,000 </w:t>
            </w:r>
          </w:p>
        </w:tc>
        <w:tc>
          <w:tcPr>
            <w:tcW w:w="826" w:type="dxa"/>
            <w:tcBorders>
              <w:top w:val="nil"/>
              <w:left w:val="nil"/>
              <w:bottom w:val="single" w:sz="4" w:space="0" w:color="000000"/>
              <w:right w:val="single" w:sz="4" w:space="0" w:color="000000"/>
            </w:tcBorders>
            <w:shd w:val="clear" w:color="auto" w:fill="auto"/>
            <w:noWrap/>
            <w:vAlign w:val="bottom"/>
            <w:hideMark/>
          </w:tcPr>
          <w:p w14:paraId="35346F6D"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135,000 </w:t>
            </w:r>
          </w:p>
        </w:tc>
        <w:tc>
          <w:tcPr>
            <w:tcW w:w="864" w:type="dxa"/>
            <w:tcBorders>
              <w:top w:val="nil"/>
              <w:left w:val="nil"/>
              <w:bottom w:val="single" w:sz="4" w:space="0" w:color="000000"/>
              <w:right w:val="single" w:sz="4" w:space="0" w:color="000000"/>
            </w:tcBorders>
            <w:shd w:val="clear" w:color="auto" w:fill="auto"/>
            <w:noWrap/>
            <w:vAlign w:val="bottom"/>
            <w:hideMark/>
          </w:tcPr>
          <w:p w14:paraId="37A373FA"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145,000 </w:t>
            </w:r>
          </w:p>
        </w:tc>
        <w:tc>
          <w:tcPr>
            <w:tcW w:w="834" w:type="dxa"/>
            <w:tcBorders>
              <w:top w:val="nil"/>
              <w:left w:val="nil"/>
              <w:bottom w:val="single" w:sz="4" w:space="0" w:color="000000"/>
              <w:right w:val="single" w:sz="4" w:space="0" w:color="000000"/>
            </w:tcBorders>
            <w:shd w:val="clear" w:color="auto" w:fill="auto"/>
            <w:noWrap/>
            <w:vAlign w:val="bottom"/>
            <w:hideMark/>
          </w:tcPr>
          <w:p w14:paraId="14A50D52"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123,000 </w:t>
            </w:r>
          </w:p>
        </w:tc>
        <w:tc>
          <w:tcPr>
            <w:tcW w:w="827" w:type="dxa"/>
            <w:tcBorders>
              <w:top w:val="nil"/>
              <w:left w:val="nil"/>
              <w:bottom w:val="single" w:sz="4" w:space="0" w:color="000000"/>
              <w:right w:val="single" w:sz="4" w:space="0" w:color="000000"/>
            </w:tcBorders>
            <w:shd w:val="clear" w:color="auto" w:fill="auto"/>
            <w:noWrap/>
            <w:vAlign w:val="bottom"/>
            <w:hideMark/>
          </w:tcPr>
          <w:p w14:paraId="1AFCD1EA"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106,000 </w:t>
            </w:r>
          </w:p>
        </w:tc>
        <w:tc>
          <w:tcPr>
            <w:tcW w:w="980" w:type="dxa"/>
            <w:tcBorders>
              <w:top w:val="single" w:sz="8" w:space="0" w:color="000000"/>
              <w:left w:val="nil"/>
              <w:bottom w:val="single" w:sz="4" w:space="0" w:color="000000"/>
              <w:right w:val="nil"/>
            </w:tcBorders>
            <w:shd w:val="clear" w:color="auto" w:fill="auto"/>
            <w:noWrap/>
            <w:vAlign w:val="bottom"/>
            <w:hideMark/>
          </w:tcPr>
          <w:p w14:paraId="700DD0A7"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700,000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5D0A7DEB"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521E9CDF" w14:textId="77777777" w:rsidTr="007A7FA3">
        <w:trPr>
          <w:trHeight w:val="270"/>
        </w:trPr>
        <w:tc>
          <w:tcPr>
            <w:tcW w:w="1086" w:type="dxa"/>
            <w:vMerge/>
            <w:tcBorders>
              <w:top w:val="nil"/>
              <w:left w:val="single" w:sz="8" w:space="0" w:color="auto"/>
              <w:bottom w:val="single" w:sz="4" w:space="0" w:color="000000"/>
              <w:right w:val="nil"/>
            </w:tcBorders>
            <w:vAlign w:val="center"/>
            <w:hideMark/>
          </w:tcPr>
          <w:p w14:paraId="2E56A71E" w14:textId="77777777" w:rsidR="007A7FA3" w:rsidRPr="007A7FA3" w:rsidRDefault="007A7FA3" w:rsidP="007A7FA3">
            <w:pPr>
              <w:rPr>
                <w:rFonts w:ascii="Calibri" w:hAnsi="Calibri" w:cs="Calibri"/>
                <w:i/>
                <w:iCs/>
                <w:color w:val="000000"/>
                <w:sz w:val="13"/>
                <w:szCs w:val="13"/>
              </w:rPr>
            </w:pPr>
          </w:p>
        </w:tc>
        <w:tc>
          <w:tcPr>
            <w:tcW w:w="871" w:type="dxa"/>
            <w:vMerge/>
            <w:tcBorders>
              <w:top w:val="single" w:sz="4" w:space="0" w:color="000000"/>
              <w:left w:val="single" w:sz="4" w:space="0" w:color="000000"/>
              <w:bottom w:val="single" w:sz="4" w:space="0" w:color="000000"/>
              <w:right w:val="single" w:sz="4" w:space="0" w:color="000000"/>
            </w:tcBorders>
            <w:vAlign w:val="center"/>
            <w:hideMark/>
          </w:tcPr>
          <w:p w14:paraId="4D55E65D" w14:textId="77777777" w:rsidR="007A7FA3" w:rsidRPr="007A7FA3" w:rsidRDefault="007A7FA3" w:rsidP="007A7FA3">
            <w:pPr>
              <w:rPr>
                <w:rFonts w:ascii="Calibri" w:hAnsi="Calibri" w:cs="Calibri"/>
                <w:i/>
                <w:iCs/>
                <w:color w:val="000000"/>
                <w:sz w:val="13"/>
                <w:szCs w:val="13"/>
              </w:rPr>
            </w:pPr>
          </w:p>
        </w:tc>
        <w:tc>
          <w:tcPr>
            <w:tcW w:w="5779" w:type="dxa"/>
            <w:gridSpan w:val="6"/>
            <w:tcBorders>
              <w:top w:val="nil"/>
              <w:left w:val="nil"/>
              <w:bottom w:val="single" w:sz="4" w:space="0" w:color="000000"/>
              <w:right w:val="single" w:sz="4" w:space="0" w:color="000000"/>
            </w:tcBorders>
            <w:shd w:val="clear" w:color="auto" w:fill="auto"/>
            <w:vAlign w:val="center"/>
            <w:hideMark/>
          </w:tcPr>
          <w:p w14:paraId="73736E06" w14:textId="77777777" w:rsidR="007A7FA3" w:rsidRPr="007A7FA3" w:rsidRDefault="007A7FA3" w:rsidP="007A7FA3">
            <w:pPr>
              <w:rPr>
                <w:rFonts w:ascii="Calibri" w:hAnsi="Calibri" w:cs="Calibri"/>
                <w:b/>
                <w:bCs/>
                <w:i/>
                <w:iCs/>
                <w:color w:val="000000"/>
                <w:sz w:val="13"/>
                <w:szCs w:val="13"/>
              </w:rPr>
            </w:pPr>
            <w:r w:rsidRPr="007A7FA3">
              <w:rPr>
                <w:rFonts w:ascii="Calibri" w:hAnsi="Calibri" w:cs="Calibri"/>
                <w:b/>
                <w:bCs/>
                <w:i/>
                <w:iCs/>
                <w:color w:val="000000"/>
                <w:sz w:val="13"/>
                <w:szCs w:val="13"/>
              </w:rPr>
              <w:t>Total Output 1.2.1</w:t>
            </w:r>
          </w:p>
        </w:tc>
        <w:tc>
          <w:tcPr>
            <w:tcW w:w="694" w:type="dxa"/>
            <w:tcBorders>
              <w:top w:val="nil"/>
              <w:left w:val="nil"/>
              <w:bottom w:val="single" w:sz="4" w:space="0" w:color="000000"/>
              <w:right w:val="single" w:sz="4" w:space="0" w:color="000000"/>
            </w:tcBorders>
            <w:shd w:val="clear" w:color="auto" w:fill="auto"/>
            <w:noWrap/>
            <w:vAlign w:val="bottom"/>
            <w:hideMark/>
          </w:tcPr>
          <w:p w14:paraId="2E50E021"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68,000 </w:t>
            </w:r>
          </w:p>
        </w:tc>
        <w:tc>
          <w:tcPr>
            <w:tcW w:w="805" w:type="dxa"/>
            <w:tcBorders>
              <w:top w:val="nil"/>
              <w:left w:val="nil"/>
              <w:bottom w:val="single" w:sz="4" w:space="0" w:color="000000"/>
              <w:right w:val="single" w:sz="4" w:space="0" w:color="000000"/>
            </w:tcBorders>
            <w:shd w:val="clear" w:color="auto" w:fill="auto"/>
            <w:noWrap/>
            <w:vAlign w:val="bottom"/>
            <w:hideMark/>
          </w:tcPr>
          <w:p w14:paraId="6FB326E1"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123,000 </w:t>
            </w:r>
          </w:p>
        </w:tc>
        <w:tc>
          <w:tcPr>
            <w:tcW w:w="826" w:type="dxa"/>
            <w:tcBorders>
              <w:top w:val="nil"/>
              <w:left w:val="nil"/>
              <w:bottom w:val="single" w:sz="4" w:space="0" w:color="000000"/>
              <w:right w:val="single" w:sz="4" w:space="0" w:color="000000"/>
            </w:tcBorders>
            <w:shd w:val="clear" w:color="auto" w:fill="auto"/>
            <w:noWrap/>
            <w:vAlign w:val="bottom"/>
            <w:hideMark/>
          </w:tcPr>
          <w:p w14:paraId="46E77E39"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135,000 </w:t>
            </w:r>
          </w:p>
        </w:tc>
        <w:tc>
          <w:tcPr>
            <w:tcW w:w="864" w:type="dxa"/>
            <w:tcBorders>
              <w:top w:val="nil"/>
              <w:left w:val="nil"/>
              <w:bottom w:val="single" w:sz="4" w:space="0" w:color="000000"/>
              <w:right w:val="single" w:sz="4" w:space="0" w:color="000000"/>
            </w:tcBorders>
            <w:shd w:val="clear" w:color="auto" w:fill="auto"/>
            <w:noWrap/>
            <w:vAlign w:val="bottom"/>
            <w:hideMark/>
          </w:tcPr>
          <w:p w14:paraId="39E22D8B"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145,000 </w:t>
            </w:r>
          </w:p>
        </w:tc>
        <w:tc>
          <w:tcPr>
            <w:tcW w:w="834" w:type="dxa"/>
            <w:tcBorders>
              <w:top w:val="nil"/>
              <w:left w:val="nil"/>
              <w:bottom w:val="single" w:sz="4" w:space="0" w:color="000000"/>
              <w:right w:val="single" w:sz="4" w:space="0" w:color="000000"/>
            </w:tcBorders>
            <w:shd w:val="clear" w:color="auto" w:fill="auto"/>
            <w:noWrap/>
            <w:vAlign w:val="bottom"/>
            <w:hideMark/>
          </w:tcPr>
          <w:p w14:paraId="34FA095C"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123,000 </w:t>
            </w:r>
          </w:p>
        </w:tc>
        <w:tc>
          <w:tcPr>
            <w:tcW w:w="827" w:type="dxa"/>
            <w:tcBorders>
              <w:top w:val="nil"/>
              <w:left w:val="nil"/>
              <w:bottom w:val="single" w:sz="4" w:space="0" w:color="000000"/>
              <w:right w:val="single" w:sz="4" w:space="0" w:color="000000"/>
            </w:tcBorders>
            <w:shd w:val="clear" w:color="auto" w:fill="auto"/>
            <w:noWrap/>
            <w:vAlign w:val="bottom"/>
            <w:hideMark/>
          </w:tcPr>
          <w:p w14:paraId="7745DC6B"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106,000 </w:t>
            </w:r>
          </w:p>
        </w:tc>
        <w:tc>
          <w:tcPr>
            <w:tcW w:w="980" w:type="dxa"/>
            <w:tcBorders>
              <w:top w:val="nil"/>
              <w:left w:val="nil"/>
              <w:bottom w:val="single" w:sz="4" w:space="0" w:color="000000"/>
              <w:right w:val="nil"/>
            </w:tcBorders>
            <w:shd w:val="clear" w:color="auto" w:fill="auto"/>
            <w:noWrap/>
            <w:vAlign w:val="bottom"/>
            <w:hideMark/>
          </w:tcPr>
          <w:p w14:paraId="4E25F872"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700,000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21B905C2"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082231F5" w14:textId="77777777" w:rsidTr="007A7FA3">
        <w:trPr>
          <w:trHeight w:val="300"/>
        </w:trPr>
        <w:tc>
          <w:tcPr>
            <w:tcW w:w="1086" w:type="dxa"/>
            <w:vMerge/>
            <w:tcBorders>
              <w:top w:val="nil"/>
              <w:left w:val="single" w:sz="8" w:space="0" w:color="auto"/>
              <w:bottom w:val="single" w:sz="4" w:space="0" w:color="000000"/>
              <w:right w:val="nil"/>
            </w:tcBorders>
            <w:vAlign w:val="center"/>
            <w:hideMark/>
          </w:tcPr>
          <w:p w14:paraId="7B74F618" w14:textId="77777777" w:rsidR="007A7FA3" w:rsidRPr="007A7FA3" w:rsidRDefault="007A7FA3" w:rsidP="007A7FA3">
            <w:pPr>
              <w:rPr>
                <w:rFonts w:ascii="Calibri" w:hAnsi="Calibri" w:cs="Calibri"/>
                <w:i/>
                <w:iCs/>
                <w:color w:val="000000"/>
                <w:sz w:val="13"/>
                <w:szCs w:val="13"/>
              </w:rPr>
            </w:pPr>
          </w:p>
        </w:tc>
        <w:tc>
          <w:tcPr>
            <w:tcW w:w="871" w:type="dxa"/>
            <w:vMerge/>
            <w:tcBorders>
              <w:top w:val="single" w:sz="4" w:space="0" w:color="000000"/>
              <w:left w:val="single" w:sz="4" w:space="0" w:color="000000"/>
              <w:bottom w:val="single" w:sz="4" w:space="0" w:color="000000"/>
              <w:right w:val="single" w:sz="4" w:space="0" w:color="000000"/>
            </w:tcBorders>
            <w:vAlign w:val="center"/>
            <w:hideMark/>
          </w:tcPr>
          <w:p w14:paraId="5111E3D0" w14:textId="77777777" w:rsidR="007A7FA3" w:rsidRPr="007A7FA3" w:rsidRDefault="007A7FA3" w:rsidP="007A7FA3">
            <w:pPr>
              <w:rPr>
                <w:rFonts w:ascii="Calibri" w:hAnsi="Calibri" w:cs="Calibri"/>
                <w:i/>
                <w:iCs/>
                <w:color w:val="000000"/>
                <w:sz w:val="13"/>
                <w:szCs w:val="13"/>
              </w:rPr>
            </w:pPr>
          </w:p>
        </w:tc>
        <w:tc>
          <w:tcPr>
            <w:tcW w:w="2016" w:type="dxa"/>
            <w:vMerge w:val="restart"/>
            <w:tcBorders>
              <w:top w:val="nil"/>
              <w:left w:val="nil"/>
              <w:bottom w:val="single" w:sz="4" w:space="0" w:color="000000"/>
              <w:right w:val="single" w:sz="4" w:space="0" w:color="000000"/>
            </w:tcBorders>
            <w:shd w:val="clear" w:color="auto" w:fill="auto"/>
            <w:vAlign w:val="center"/>
            <w:hideMark/>
          </w:tcPr>
          <w:p w14:paraId="365D8E63"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 xml:space="preserve">1.2.2: Community-based climate-resilient ecosystem restoration </w:t>
            </w:r>
            <w:r w:rsidRPr="007A7FA3">
              <w:rPr>
                <w:rFonts w:ascii="Calibri" w:hAnsi="Calibri" w:cs="Calibri"/>
                <w:i/>
                <w:iCs/>
                <w:color w:val="000000"/>
                <w:sz w:val="13"/>
                <w:szCs w:val="13"/>
              </w:rPr>
              <w:lastRenderedPageBreak/>
              <w:t xml:space="preserve">interventions such as enhanced protection, control of alien and invasive species, assisted regeneration implemented in selected MPAs and coastal ecosystems (under 1.1) </w:t>
            </w:r>
          </w:p>
        </w:tc>
        <w:tc>
          <w:tcPr>
            <w:tcW w:w="631" w:type="dxa"/>
            <w:vMerge w:val="restart"/>
            <w:tcBorders>
              <w:top w:val="nil"/>
              <w:left w:val="nil"/>
              <w:bottom w:val="nil"/>
              <w:right w:val="nil"/>
            </w:tcBorders>
            <w:shd w:val="clear" w:color="auto" w:fill="auto"/>
            <w:vAlign w:val="center"/>
            <w:hideMark/>
          </w:tcPr>
          <w:p w14:paraId="3E2C2E0D"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lastRenderedPageBreak/>
              <w:t>BCC</w:t>
            </w:r>
          </w:p>
        </w:tc>
        <w:tc>
          <w:tcPr>
            <w:tcW w:w="504" w:type="dxa"/>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3FEF8A81"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val="restart"/>
            <w:tcBorders>
              <w:top w:val="nil"/>
              <w:left w:val="single" w:sz="4" w:space="0" w:color="000000"/>
              <w:bottom w:val="nil"/>
              <w:right w:val="nil"/>
            </w:tcBorders>
            <w:shd w:val="clear" w:color="auto" w:fill="auto"/>
            <w:vAlign w:val="center"/>
            <w:hideMark/>
          </w:tcPr>
          <w:p w14:paraId="63A15246"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w:t>
            </w:r>
          </w:p>
        </w:tc>
        <w:tc>
          <w:tcPr>
            <w:tcW w:w="544" w:type="dxa"/>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3EDE3859"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71200</w:t>
            </w:r>
          </w:p>
        </w:tc>
        <w:tc>
          <w:tcPr>
            <w:tcW w:w="1580" w:type="dxa"/>
            <w:tcBorders>
              <w:top w:val="single" w:sz="8" w:space="0" w:color="000000"/>
              <w:left w:val="nil"/>
              <w:bottom w:val="single" w:sz="4" w:space="0" w:color="000000"/>
              <w:right w:val="single" w:sz="4" w:space="0" w:color="000000"/>
            </w:tcBorders>
            <w:shd w:val="clear" w:color="auto" w:fill="auto"/>
            <w:vAlign w:val="bottom"/>
            <w:hideMark/>
          </w:tcPr>
          <w:p w14:paraId="6E247DE7"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International Consultants</w:t>
            </w:r>
          </w:p>
        </w:tc>
        <w:tc>
          <w:tcPr>
            <w:tcW w:w="694" w:type="dxa"/>
            <w:tcBorders>
              <w:top w:val="single" w:sz="8" w:space="0" w:color="000000"/>
              <w:left w:val="nil"/>
              <w:bottom w:val="single" w:sz="4" w:space="0" w:color="000000"/>
              <w:right w:val="single" w:sz="4" w:space="0" w:color="000000"/>
            </w:tcBorders>
            <w:shd w:val="clear" w:color="auto" w:fill="auto"/>
            <w:noWrap/>
            <w:vAlign w:val="bottom"/>
            <w:hideMark/>
          </w:tcPr>
          <w:p w14:paraId="08FF036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15,000 </w:t>
            </w:r>
          </w:p>
        </w:tc>
        <w:tc>
          <w:tcPr>
            <w:tcW w:w="805" w:type="dxa"/>
            <w:tcBorders>
              <w:top w:val="single" w:sz="8" w:space="0" w:color="000000"/>
              <w:left w:val="nil"/>
              <w:bottom w:val="single" w:sz="4" w:space="0" w:color="000000"/>
              <w:right w:val="single" w:sz="4" w:space="0" w:color="000000"/>
            </w:tcBorders>
            <w:shd w:val="clear" w:color="auto" w:fill="auto"/>
            <w:noWrap/>
            <w:vAlign w:val="bottom"/>
            <w:hideMark/>
          </w:tcPr>
          <w:p w14:paraId="3A31487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35,000 </w:t>
            </w:r>
          </w:p>
        </w:tc>
        <w:tc>
          <w:tcPr>
            <w:tcW w:w="826" w:type="dxa"/>
            <w:tcBorders>
              <w:top w:val="single" w:sz="8" w:space="0" w:color="000000"/>
              <w:left w:val="nil"/>
              <w:bottom w:val="single" w:sz="4" w:space="0" w:color="000000"/>
              <w:right w:val="single" w:sz="4" w:space="0" w:color="000000"/>
            </w:tcBorders>
            <w:shd w:val="clear" w:color="auto" w:fill="auto"/>
            <w:noWrap/>
            <w:vAlign w:val="bottom"/>
            <w:hideMark/>
          </w:tcPr>
          <w:p w14:paraId="0FB6388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30,000 </w:t>
            </w:r>
          </w:p>
        </w:tc>
        <w:tc>
          <w:tcPr>
            <w:tcW w:w="864" w:type="dxa"/>
            <w:tcBorders>
              <w:top w:val="single" w:sz="8" w:space="0" w:color="000000"/>
              <w:left w:val="nil"/>
              <w:bottom w:val="single" w:sz="4" w:space="0" w:color="000000"/>
              <w:right w:val="single" w:sz="4" w:space="0" w:color="000000"/>
            </w:tcBorders>
            <w:shd w:val="clear" w:color="auto" w:fill="auto"/>
            <w:noWrap/>
            <w:vAlign w:val="bottom"/>
            <w:hideMark/>
          </w:tcPr>
          <w:p w14:paraId="5CA456F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33,000 </w:t>
            </w:r>
          </w:p>
        </w:tc>
        <w:tc>
          <w:tcPr>
            <w:tcW w:w="834" w:type="dxa"/>
            <w:tcBorders>
              <w:top w:val="single" w:sz="8" w:space="0" w:color="000000"/>
              <w:left w:val="nil"/>
              <w:bottom w:val="single" w:sz="4" w:space="0" w:color="000000"/>
              <w:right w:val="single" w:sz="4" w:space="0" w:color="000000"/>
            </w:tcBorders>
            <w:shd w:val="clear" w:color="auto" w:fill="auto"/>
            <w:noWrap/>
            <w:vAlign w:val="bottom"/>
            <w:hideMark/>
          </w:tcPr>
          <w:p w14:paraId="27A8D7C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35,000 </w:t>
            </w:r>
          </w:p>
        </w:tc>
        <w:tc>
          <w:tcPr>
            <w:tcW w:w="827" w:type="dxa"/>
            <w:tcBorders>
              <w:top w:val="single" w:sz="8" w:space="0" w:color="000000"/>
              <w:left w:val="nil"/>
              <w:bottom w:val="single" w:sz="4" w:space="0" w:color="000000"/>
              <w:right w:val="single" w:sz="4" w:space="0" w:color="000000"/>
            </w:tcBorders>
            <w:shd w:val="clear" w:color="auto" w:fill="auto"/>
            <w:noWrap/>
            <w:vAlign w:val="bottom"/>
            <w:hideMark/>
          </w:tcPr>
          <w:p w14:paraId="136A16C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20,000 </w:t>
            </w:r>
          </w:p>
        </w:tc>
        <w:tc>
          <w:tcPr>
            <w:tcW w:w="980" w:type="dxa"/>
            <w:tcBorders>
              <w:top w:val="single" w:sz="8" w:space="0" w:color="000000"/>
              <w:left w:val="nil"/>
              <w:bottom w:val="single" w:sz="4" w:space="0" w:color="000000"/>
              <w:right w:val="nil"/>
            </w:tcBorders>
            <w:shd w:val="clear" w:color="auto" w:fill="auto"/>
            <w:noWrap/>
            <w:vAlign w:val="bottom"/>
            <w:hideMark/>
          </w:tcPr>
          <w:p w14:paraId="67F7A57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168,000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22934DF3"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26 </w:t>
            </w:r>
          </w:p>
        </w:tc>
      </w:tr>
      <w:tr w:rsidR="007A7FA3" w:rsidRPr="007A7FA3" w14:paraId="0E1DDE99" w14:textId="77777777" w:rsidTr="007A7FA3">
        <w:trPr>
          <w:trHeight w:val="240"/>
        </w:trPr>
        <w:tc>
          <w:tcPr>
            <w:tcW w:w="1086" w:type="dxa"/>
            <w:vMerge/>
            <w:tcBorders>
              <w:top w:val="nil"/>
              <w:left w:val="single" w:sz="8" w:space="0" w:color="auto"/>
              <w:bottom w:val="single" w:sz="4" w:space="0" w:color="000000"/>
              <w:right w:val="nil"/>
            </w:tcBorders>
            <w:vAlign w:val="center"/>
            <w:hideMark/>
          </w:tcPr>
          <w:p w14:paraId="22E32CD8" w14:textId="77777777" w:rsidR="007A7FA3" w:rsidRPr="007A7FA3" w:rsidRDefault="007A7FA3" w:rsidP="007A7FA3">
            <w:pPr>
              <w:rPr>
                <w:rFonts w:ascii="Calibri" w:hAnsi="Calibri" w:cs="Calibri"/>
                <w:i/>
                <w:iCs/>
                <w:color w:val="000000"/>
                <w:sz w:val="13"/>
                <w:szCs w:val="13"/>
              </w:rPr>
            </w:pPr>
          </w:p>
        </w:tc>
        <w:tc>
          <w:tcPr>
            <w:tcW w:w="871" w:type="dxa"/>
            <w:vMerge/>
            <w:tcBorders>
              <w:top w:val="single" w:sz="4" w:space="0" w:color="000000"/>
              <w:left w:val="single" w:sz="4" w:space="0" w:color="000000"/>
              <w:bottom w:val="single" w:sz="4" w:space="0" w:color="000000"/>
              <w:right w:val="single" w:sz="4" w:space="0" w:color="000000"/>
            </w:tcBorders>
            <w:vAlign w:val="center"/>
            <w:hideMark/>
          </w:tcPr>
          <w:p w14:paraId="003C0DB9"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1AE72EFA"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3201EC36"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0ECFAF1C"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507D7054"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774B3854"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71300</w:t>
            </w:r>
          </w:p>
        </w:tc>
        <w:tc>
          <w:tcPr>
            <w:tcW w:w="1580" w:type="dxa"/>
            <w:tcBorders>
              <w:top w:val="nil"/>
              <w:left w:val="nil"/>
              <w:bottom w:val="single" w:sz="4" w:space="0" w:color="000000"/>
              <w:right w:val="single" w:sz="4" w:space="0" w:color="000000"/>
            </w:tcBorders>
            <w:shd w:val="clear" w:color="auto" w:fill="auto"/>
            <w:vAlign w:val="bottom"/>
            <w:hideMark/>
          </w:tcPr>
          <w:p w14:paraId="1BBCEB59"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Local Consultants</w:t>
            </w:r>
          </w:p>
        </w:tc>
        <w:tc>
          <w:tcPr>
            <w:tcW w:w="694" w:type="dxa"/>
            <w:tcBorders>
              <w:top w:val="nil"/>
              <w:left w:val="nil"/>
              <w:bottom w:val="single" w:sz="4" w:space="0" w:color="000000"/>
              <w:right w:val="single" w:sz="4" w:space="0" w:color="000000"/>
            </w:tcBorders>
            <w:shd w:val="clear" w:color="auto" w:fill="auto"/>
            <w:noWrap/>
            <w:vAlign w:val="bottom"/>
            <w:hideMark/>
          </w:tcPr>
          <w:p w14:paraId="399D807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22,000 </w:t>
            </w:r>
          </w:p>
        </w:tc>
        <w:tc>
          <w:tcPr>
            <w:tcW w:w="805" w:type="dxa"/>
            <w:tcBorders>
              <w:top w:val="nil"/>
              <w:left w:val="nil"/>
              <w:bottom w:val="single" w:sz="4" w:space="0" w:color="000000"/>
              <w:right w:val="single" w:sz="4" w:space="0" w:color="000000"/>
            </w:tcBorders>
            <w:shd w:val="clear" w:color="auto" w:fill="auto"/>
            <w:noWrap/>
            <w:vAlign w:val="bottom"/>
            <w:hideMark/>
          </w:tcPr>
          <w:p w14:paraId="6A56F60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35,000 </w:t>
            </w:r>
          </w:p>
        </w:tc>
        <w:tc>
          <w:tcPr>
            <w:tcW w:w="826" w:type="dxa"/>
            <w:tcBorders>
              <w:top w:val="nil"/>
              <w:left w:val="nil"/>
              <w:bottom w:val="single" w:sz="4" w:space="0" w:color="000000"/>
              <w:right w:val="single" w:sz="4" w:space="0" w:color="000000"/>
            </w:tcBorders>
            <w:shd w:val="clear" w:color="auto" w:fill="auto"/>
            <w:noWrap/>
            <w:vAlign w:val="bottom"/>
            <w:hideMark/>
          </w:tcPr>
          <w:p w14:paraId="25285FD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40,000 </w:t>
            </w:r>
          </w:p>
        </w:tc>
        <w:tc>
          <w:tcPr>
            <w:tcW w:w="864" w:type="dxa"/>
            <w:tcBorders>
              <w:top w:val="nil"/>
              <w:left w:val="nil"/>
              <w:bottom w:val="single" w:sz="4" w:space="0" w:color="000000"/>
              <w:right w:val="single" w:sz="4" w:space="0" w:color="000000"/>
            </w:tcBorders>
            <w:shd w:val="clear" w:color="auto" w:fill="auto"/>
            <w:noWrap/>
            <w:vAlign w:val="bottom"/>
            <w:hideMark/>
          </w:tcPr>
          <w:p w14:paraId="18F1FFB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40,000 </w:t>
            </w:r>
          </w:p>
        </w:tc>
        <w:tc>
          <w:tcPr>
            <w:tcW w:w="834" w:type="dxa"/>
            <w:tcBorders>
              <w:top w:val="nil"/>
              <w:left w:val="nil"/>
              <w:bottom w:val="single" w:sz="4" w:space="0" w:color="000000"/>
              <w:right w:val="single" w:sz="4" w:space="0" w:color="000000"/>
            </w:tcBorders>
            <w:shd w:val="clear" w:color="auto" w:fill="auto"/>
            <w:noWrap/>
            <w:vAlign w:val="bottom"/>
            <w:hideMark/>
          </w:tcPr>
          <w:p w14:paraId="16EC014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40,000 </w:t>
            </w:r>
          </w:p>
        </w:tc>
        <w:tc>
          <w:tcPr>
            <w:tcW w:w="827" w:type="dxa"/>
            <w:tcBorders>
              <w:top w:val="nil"/>
              <w:left w:val="nil"/>
              <w:bottom w:val="single" w:sz="4" w:space="0" w:color="000000"/>
              <w:right w:val="single" w:sz="4" w:space="0" w:color="000000"/>
            </w:tcBorders>
            <w:shd w:val="clear" w:color="auto" w:fill="auto"/>
            <w:noWrap/>
            <w:vAlign w:val="bottom"/>
            <w:hideMark/>
          </w:tcPr>
          <w:p w14:paraId="76FA971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43,000 </w:t>
            </w:r>
          </w:p>
        </w:tc>
        <w:tc>
          <w:tcPr>
            <w:tcW w:w="980" w:type="dxa"/>
            <w:tcBorders>
              <w:top w:val="single" w:sz="8" w:space="0" w:color="000000"/>
              <w:left w:val="nil"/>
              <w:bottom w:val="single" w:sz="4" w:space="0" w:color="000000"/>
              <w:right w:val="nil"/>
            </w:tcBorders>
            <w:shd w:val="clear" w:color="auto" w:fill="auto"/>
            <w:noWrap/>
            <w:vAlign w:val="bottom"/>
            <w:hideMark/>
          </w:tcPr>
          <w:p w14:paraId="0682A54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220,000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5D0B1B29"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27 </w:t>
            </w:r>
          </w:p>
        </w:tc>
      </w:tr>
      <w:tr w:rsidR="007A7FA3" w:rsidRPr="007A7FA3" w14:paraId="5D35FB14" w14:textId="77777777" w:rsidTr="007A7FA3">
        <w:trPr>
          <w:trHeight w:val="270"/>
        </w:trPr>
        <w:tc>
          <w:tcPr>
            <w:tcW w:w="1086" w:type="dxa"/>
            <w:vMerge/>
            <w:tcBorders>
              <w:top w:val="nil"/>
              <w:left w:val="single" w:sz="8" w:space="0" w:color="auto"/>
              <w:bottom w:val="single" w:sz="4" w:space="0" w:color="000000"/>
              <w:right w:val="nil"/>
            </w:tcBorders>
            <w:vAlign w:val="center"/>
            <w:hideMark/>
          </w:tcPr>
          <w:p w14:paraId="2AF139DF" w14:textId="77777777" w:rsidR="007A7FA3" w:rsidRPr="007A7FA3" w:rsidRDefault="007A7FA3" w:rsidP="007A7FA3">
            <w:pPr>
              <w:rPr>
                <w:rFonts w:ascii="Calibri" w:hAnsi="Calibri" w:cs="Calibri"/>
                <w:i/>
                <w:iCs/>
                <w:color w:val="000000"/>
                <w:sz w:val="13"/>
                <w:szCs w:val="13"/>
              </w:rPr>
            </w:pPr>
          </w:p>
        </w:tc>
        <w:tc>
          <w:tcPr>
            <w:tcW w:w="871" w:type="dxa"/>
            <w:vMerge/>
            <w:tcBorders>
              <w:top w:val="single" w:sz="4" w:space="0" w:color="000000"/>
              <w:left w:val="single" w:sz="4" w:space="0" w:color="000000"/>
              <w:bottom w:val="single" w:sz="4" w:space="0" w:color="000000"/>
              <w:right w:val="single" w:sz="4" w:space="0" w:color="000000"/>
            </w:tcBorders>
            <w:vAlign w:val="center"/>
            <w:hideMark/>
          </w:tcPr>
          <w:p w14:paraId="0345F2E3"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2D839DE5"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2D4D3336"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05B26102"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27403AA8"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661709F5"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71600</w:t>
            </w:r>
          </w:p>
        </w:tc>
        <w:tc>
          <w:tcPr>
            <w:tcW w:w="1580" w:type="dxa"/>
            <w:tcBorders>
              <w:top w:val="nil"/>
              <w:left w:val="nil"/>
              <w:bottom w:val="single" w:sz="4" w:space="0" w:color="000000"/>
              <w:right w:val="single" w:sz="4" w:space="0" w:color="000000"/>
            </w:tcBorders>
            <w:shd w:val="clear" w:color="auto" w:fill="auto"/>
            <w:vAlign w:val="bottom"/>
            <w:hideMark/>
          </w:tcPr>
          <w:p w14:paraId="1CE5EE6C"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Travel</w:t>
            </w:r>
          </w:p>
        </w:tc>
        <w:tc>
          <w:tcPr>
            <w:tcW w:w="694" w:type="dxa"/>
            <w:tcBorders>
              <w:top w:val="nil"/>
              <w:left w:val="nil"/>
              <w:bottom w:val="single" w:sz="4" w:space="0" w:color="000000"/>
              <w:right w:val="single" w:sz="4" w:space="0" w:color="000000"/>
            </w:tcBorders>
            <w:shd w:val="clear" w:color="auto" w:fill="auto"/>
            <w:noWrap/>
            <w:vAlign w:val="bottom"/>
            <w:hideMark/>
          </w:tcPr>
          <w:p w14:paraId="3BF866B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16,000 </w:t>
            </w:r>
          </w:p>
        </w:tc>
        <w:tc>
          <w:tcPr>
            <w:tcW w:w="805" w:type="dxa"/>
            <w:tcBorders>
              <w:top w:val="nil"/>
              <w:left w:val="nil"/>
              <w:bottom w:val="single" w:sz="4" w:space="0" w:color="000000"/>
              <w:right w:val="single" w:sz="4" w:space="0" w:color="000000"/>
            </w:tcBorders>
            <w:shd w:val="clear" w:color="auto" w:fill="auto"/>
            <w:noWrap/>
            <w:vAlign w:val="bottom"/>
            <w:hideMark/>
          </w:tcPr>
          <w:p w14:paraId="4389979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15,000 </w:t>
            </w:r>
          </w:p>
        </w:tc>
        <w:tc>
          <w:tcPr>
            <w:tcW w:w="826" w:type="dxa"/>
            <w:tcBorders>
              <w:top w:val="nil"/>
              <w:left w:val="nil"/>
              <w:bottom w:val="single" w:sz="4" w:space="0" w:color="000000"/>
              <w:right w:val="single" w:sz="4" w:space="0" w:color="000000"/>
            </w:tcBorders>
            <w:shd w:val="clear" w:color="auto" w:fill="auto"/>
            <w:noWrap/>
            <w:vAlign w:val="bottom"/>
            <w:hideMark/>
          </w:tcPr>
          <w:p w14:paraId="1089EB5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23,000 </w:t>
            </w:r>
          </w:p>
        </w:tc>
        <w:tc>
          <w:tcPr>
            <w:tcW w:w="864" w:type="dxa"/>
            <w:tcBorders>
              <w:top w:val="nil"/>
              <w:left w:val="nil"/>
              <w:bottom w:val="single" w:sz="4" w:space="0" w:color="000000"/>
              <w:right w:val="single" w:sz="4" w:space="0" w:color="000000"/>
            </w:tcBorders>
            <w:shd w:val="clear" w:color="auto" w:fill="auto"/>
            <w:noWrap/>
            <w:vAlign w:val="bottom"/>
            <w:hideMark/>
          </w:tcPr>
          <w:p w14:paraId="1615BD1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28,000 </w:t>
            </w:r>
          </w:p>
        </w:tc>
        <w:tc>
          <w:tcPr>
            <w:tcW w:w="834" w:type="dxa"/>
            <w:tcBorders>
              <w:top w:val="nil"/>
              <w:left w:val="nil"/>
              <w:bottom w:val="single" w:sz="4" w:space="0" w:color="000000"/>
              <w:right w:val="single" w:sz="4" w:space="0" w:color="000000"/>
            </w:tcBorders>
            <w:shd w:val="clear" w:color="auto" w:fill="auto"/>
            <w:noWrap/>
            <w:vAlign w:val="bottom"/>
            <w:hideMark/>
          </w:tcPr>
          <w:p w14:paraId="5B03474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30,000 </w:t>
            </w:r>
          </w:p>
        </w:tc>
        <w:tc>
          <w:tcPr>
            <w:tcW w:w="827" w:type="dxa"/>
            <w:tcBorders>
              <w:top w:val="nil"/>
              <w:left w:val="nil"/>
              <w:bottom w:val="single" w:sz="4" w:space="0" w:color="000000"/>
              <w:right w:val="single" w:sz="4" w:space="0" w:color="000000"/>
            </w:tcBorders>
            <w:shd w:val="clear" w:color="auto" w:fill="auto"/>
            <w:noWrap/>
            <w:vAlign w:val="bottom"/>
            <w:hideMark/>
          </w:tcPr>
          <w:p w14:paraId="27D29D0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20,000 </w:t>
            </w:r>
          </w:p>
        </w:tc>
        <w:tc>
          <w:tcPr>
            <w:tcW w:w="980" w:type="dxa"/>
            <w:tcBorders>
              <w:top w:val="single" w:sz="8" w:space="0" w:color="000000"/>
              <w:left w:val="nil"/>
              <w:bottom w:val="single" w:sz="4" w:space="0" w:color="000000"/>
              <w:right w:val="nil"/>
            </w:tcBorders>
            <w:shd w:val="clear" w:color="auto" w:fill="auto"/>
            <w:noWrap/>
            <w:vAlign w:val="bottom"/>
            <w:hideMark/>
          </w:tcPr>
          <w:p w14:paraId="55DDEEE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132,000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3E22EEF5"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28 </w:t>
            </w:r>
          </w:p>
        </w:tc>
      </w:tr>
      <w:tr w:rsidR="007A7FA3" w:rsidRPr="007A7FA3" w14:paraId="26250A4B" w14:textId="77777777" w:rsidTr="007A7FA3">
        <w:trPr>
          <w:trHeight w:val="240"/>
        </w:trPr>
        <w:tc>
          <w:tcPr>
            <w:tcW w:w="1086" w:type="dxa"/>
            <w:vMerge/>
            <w:tcBorders>
              <w:top w:val="nil"/>
              <w:left w:val="single" w:sz="8" w:space="0" w:color="auto"/>
              <w:bottom w:val="single" w:sz="4" w:space="0" w:color="000000"/>
              <w:right w:val="nil"/>
            </w:tcBorders>
            <w:vAlign w:val="center"/>
            <w:hideMark/>
          </w:tcPr>
          <w:p w14:paraId="7AEE1271" w14:textId="77777777" w:rsidR="007A7FA3" w:rsidRPr="007A7FA3" w:rsidRDefault="007A7FA3" w:rsidP="007A7FA3">
            <w:pPr>
              <w:rPr>
                <w:rFonts w:ascii="Calibri" w:hAnsi="Calibri" w:cs="Calibri"/>
                <w:i/>
                <w:iCs/>
                <w:color w:val="000000"/>
                <w:sz w:val="13"/>
                <w:szCs w:val="13"/>
              </w:rPr>
            </w:pPr>
          </w:p>
        </w:tc>
        <w:tc>
          <w:tcPr>
            <w:tcW w:w="871" w:type="dxa"/>
            <w:vMerge/>
            <w:tcBorders>
              <w:top w:val="single" w:sz="4" w:space="0" w:color="000000"/>
              <w:left w:val="single" w:sz="4" w:space="0" w:color="000000"/>
              <w:bottom w:val="single" w:sz="4" w:space="0" w:color="000000"/>
              <w:right w:val="single" w:sz="4" w:space="0" w:color="000000"/>
            </w:tcBorders>
            <w:vAlign w:val="center"/>
            <w:hideMark/>
          </w:tcPr>
          <w:p w14:paraId="1A4673A3"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1BCEEDFD"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6C8CB81B"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6D7FE2A9"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5E275B2A"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26E13825"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72100</w:t>
            </w:r>
          </w:p>
        </w:tc>
        <w:tc>
          <w:tcPr>
            <w:tcW w:w="1580" w:type="dxa"/>
            <w:tcBorders>
              <w:top w:val="nil"/>
              <w:left w:val="nil"/>
              <w:bottom w:val="single" w:sz="4" w:space="0" w:color="000000"/>
              <w:right w:val="single" w:sz="4" w:space="0" w:color="000000"/>
            </w:tcBorders>
            <w:shd w:val="clear" w:color="auto" w:fill="auto"/>
            <w:vAlign w:val="bottom"/>
            <w:hideMark/>
          </w:tcPr>
          <w:p w14:paraId="2933ADC6"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Contractual Services - Companies</w:t>
            </w:r>
          </w:p>
        </w:tc>
        <w:tc>
          <w:tcPr>
            <w:tcW w:w="694" w:type="dxa"/>
            <w:tcBorders>
              <w:top w:val="nil"/>
              <w:left w:val="nil"/>
              <w:bottom w:val="single" w:sz="4" w:space="0" w:color="000000"/>
              <w:right w:val="single" w:sz="4" w:space="0" w:color="000000"/>
            </w:tcBorders>
            <w:shd w:val="clear" w:color="auto" w:fill="auto"/>
            <w:noWrap/>
            <w:vAlign w:val="bottom"/>
            <w:hideMark/>
          </w:tcPr>
          <w:p w14:paraId="3E9E3F9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15,000 </w:t>
            </w:r>
          </w:p>
        </w:tc>
        <w:tc>
          <w:tcPr>
            <w:tcW w:w="805" w:type="dxa"/>
            <w:tcBorders>
              <w:top w:val="nil"/>
              <w:left w:val="nil"/>
              <w:bottom w:val="single" w:sz="4" w:space="0" w:color="000000"/>
              <w:right w:val="single" w:sz="4" w:space="0" w:color="000000"/>
            </w:tcBorders>
            <w:shd w:val="clear" w:color="auto" w:fill="auto"/>
            <w:noWrap/>
            <w:vAlign w:val="bottom"/>
            <w:hideMark/>
          </w:tcPr>
          <w:p w14:paraId="57FAB30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30,000 </w:t>
            </w:r>
          </w:p>
        </w:tc>
        <w:tc>
          <w:tcPr>
            <w:tcW w:w="826" w:type="dxa"/>
            <w:tcBorders>
              <w:top w:val="nil"/>
              <w:left w:val="nil"/>
              <w:bottom w:val="single" w:sz="4" w:space="0" w:color="000000"/>
              <w:right w:val="single" w:sz="4" w:space="0" w:color="000000"/>
            </w:tcBorders>
            <w:shd w:val="clear" w:color="auto" w:fill="auto"/>
            <w:noWrap/>
            <w:vAlign w:val="bottom"/>
            <w:hideMark/>
          </w:tcPr>
          <w:p w14:paraId="47B3540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35,000 </w:t>
            </w:r>
          </w:p>
        </w:tc>
        <w:tc>
          <w:tcPr>
            <w:tcW w:w="864" w:type="dxa"/>
            <w:tcBorders>
              <w:top w:val="nil"/>
              <w:left w:val="nil"/>
              <w:bottom w:val="single" w:sz="4" w:space="0" w:color="000000"/>
              <w:right w:val="single" w:sz="4" w:space="0" w:color="000000"/>
            </w:tcBorders>
            <w:shd w:val="clear" w:color="auto" w:fill="auto"/>
            <w:noWrap/>
            <w:vAlign w:val="bottom"/>
            <w:hideMark/>
          </w:tcPr>
          <w:p w14:paraId="45ABA91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35,000 </w:t>
            </w:r>
          </w:p>
        </w:tc>
        <w:tc>
          <w:tcPr>
            <w:tcW w:w="834" w:type="dxa"/>
            <w:tcBorders>
              <w:top w:val="nil"/>
              <w:left w:val="nil"/>
              <w:bottom w:val="single" w:sz="4" w:space="0" w:color="000000"/>
              <w:right w:val="single" w:sz="4" w:space="0" w:color="000000"/>
            </w:tcBorders>
            <w:shd w:val="clear" w:color="auto" w:fill="auto"/>
            <w:noWrap/>
            <w:vAlign w:val="bottom"/>
            <w:hideMark/>
          </w:tcPr>
          <w:p w14:paraId="6582F70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30,000 </w:t>
            </w:r>
          </w:p>
        </w:tc>
        <w:tc>
          <w:tcPr>
            <w:tcW w:w="827" w:type="dxa"/>
            <w:tcBorders>
              <w:top w:val="nil"/>
              <w:left w:val="nil"/>
              <w:bottom w:val="single" w:sz="4" w:space="0" w:color="000000"/>
              <w:right w:val="single" w:sz="4" w:space="0" w:color="000000"/>
            </w:tcBorders>
            <w:shd w:val="clear" w:color="auto" w:fill="auto"/>
            <w:noWrap/>
            <w:vAlign w:val="bottom"/>
            <w:hideMark/>
          </w:tcPr>
          <w:p w14:paraId="6C4BA44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15,000 </w:t>
            </w:r>
          </w:p>
        </w:tc>
        <w:tc>
          <w:tcPr>
            <w:tcW w:w="980" w:type="dxa"/>
            <w:tcBorders>
              <w:top w:val="single" w:sz="8" w:space="0" w:color="000000"/>
              <w:left w:val="nil"/>
              <w:bottom w:val="single" w:sz="4" w:space="0" w:color="000000"/>
              <w:right w:val="nil"/>
            </w:tcBorders>
            <w:shd w:val="clear" w:color="auto" w:fill="auto"/>
            <w:noWrap/>
            <w:vAlign w:val="bottom"/>
            <w:hideMark/>
          </w:tcPr>
          <w:p w14:paraId="2CEB193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160,000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5233BEA1"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29 </w:t>
            </w:r>
          </w:p>
        </w:tc>
      </w:tr>
      <w:tr w:rsidR="007A7FA3" w:rsidRPr="007A7FA3" w14:paraId="5D93159B" w14:textId="77777777" w:rsidTr="007A7FA3">
        <w:trPr>
          <w:trHeight w:val="240"/>
        </w:trPr>
        <w:tc>
          <w:tcPr>
            <w:tcW w:w="1086" w:type="dxa"/>
            <w:vMerge/>
            <w:tcBorders>
              <w:top w:val="nil"/>
              <w:left w:val="single" w:sz="8" w:space="0" w:color="auto"/>
              <w:bottom w:val="single" w:sz="4" w:space="0" w:color="000000"/>
              <w:right w:val="nil"/>
            </w:tcBorders>
            <w:vAlign w:val="center"/>
            <w:hideMark/>
          </w:tcPr>
          <w:p w14:paraId="7608B6FC" w14:textId="77777777" w:rsidR="007A7FA3" w:rsidRPr="007A7FA3" w:rsidRDefault="007A7FA3" w:rsidP="007A7FA3">
            <w:pPr>
              <w:rPr>
                <w:rFonts w:ascii="Calibri" w:hAnsi="Calibri" w:cs="Calibri"/>
                <w:i/>
                <w:iCs/>
                <w:color w:val="000000"/>
                <w:sz w:val="13"/>
                <w:szCs w:val="13"/>
              </w:rPr>
            </w:pPr>
          </w:p>
        </w:tc>
        <w:tc>
          <w:tcPr>
            <w:tcW w:w="871" w:type="dxa"/>
            <w:vMerge/>
            <w:tcBorders>
              <w:top w:val="single" w:sz="4" w:space="0" w:color="000000"/>
              <w:left w:val="single" w:sz="4" w:space="0" w:color="000000"/>
              <w:bottom w:val="single" w:sz="4" w:space="0" w:color="000000"/>
              <w:right w:val="single" w:sz="4" w:space="0" w:color="000000"/>
            </w:tcBorders>
            <w:vAlign w:val="center"/>
            <w:hideMark/>
          </w:tcPr>
          <w:p w14:paraId="4760D649"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6909885B"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2DC10318"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60A0891B"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09B8C567"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1079A5CF"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72400</w:t>
            </w:r>
          </w:p>
        </w:tc>
        <w:tc>
          <w:tcPr>
            <w:tcW w:w="1580" w:type="dxa"/>
            <w:tcBorders>
              <w:top w:val="nil"/>
              <w:left w:val="nil"/>
              <w:bottom w:val="single" w:sz="4" w:space="0" w:color="000000"/>
              <w:right w:val="single" w:sz="4" w:space="0" w:color="000000"/>
            </w:tcBorders>
            <w:shd w:val="clear" w:color="auto" w:fill="auto"/>
            <w:vAlign w:val="bottom"/>
            <w:hideMark/>
          </w:tcPr>
          <w:p w14:paraId="25DAC22E"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Communic &amp; Audio Visual Equip</w:t>
            </w:r>
          </w:p>
        </w:tc>
        <w:tc>
          <w:tcPr>
            <w:tcW w:w="694" w:type="dxa"/>
            <w:tcBorders>
              <w:top w:val="nil"/>
              <w:left w:val="nil"/>
              <w:bottom w:val="single" w:sz="4" w:space="0" w:color="000000"/>
              <w:right w:val="single" w:sz="4" w:space="0" w:color="000000"/>
            </w:tcBorders>
            <w:shd w:val="clear" w:color="auto" w:fill="auto"/>
            <w:noWrap/>
            <w:vAlign w:val="bottom"/>
            <w:hideMark/>
          </w:tcPr>
          <w:p w14:paraId="5458193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8,000 </w:t>
            </w:r>
          </w:p>
        </w:tc>
        <w:tc>
          <w:tcPr>
            <w:tcW w:w="805" w:type="dxa"/>
            <w:tcBorders>
              <w:top w:val="nil"/>
              <w:left w:val="nil"/>
              <w:bottom w:val="single" w:sz="4" w:space="0" w:color="000000"/>
              <w:right w:val="single" w:sz="4" w:space="0" w:color="000000"/>
            </w:tcBorders>
            <w:shd w:val="clear" w:color="auto" w:fill="auto"/>
            <w:noWrap/>
            <w:vAlign w:val="bottom"/>
            <w:hideMark/>
          </w:tcPr>
          <w:p w14:paraId="52CCC0F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26" w:type="dxa"/>
            <w:tcBorders>
              <w:top w:val="nil"/>
              <w:left w:val="nil"/>
              <w:bottom w:val="single" w:sz="4" w:space="0" w:color="000000"/>
              <w:right w:val="single" w:sz="4" w:space="0" w:color="000000"/>
            </w:tcBorders>
            <w:shd w:val="clear" w:color="auto" w:fill="auto"/>
            <w:noWrap/>
            <w:vAlign w:val="bottom"/>
            <w:hideMark/>
          </w:tcPr>
          <w:p w14:paraId="1413264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64" w:type="dxa"/>
            <w:tcBorders>
              <w:top w:val="nil"/>
              <w:left w:val="nil"/>
              <w:bottom w:val="single" w:sz="4" w:space="0" w:color="000000"/>
              <w:right w:val="single" w:sz="4" w:space="0" w:color="000000"/>
            </w:tcBorders>
            <w:shd w:val="clear" w:color="auto" w:fill="auto"/>
            <w:noWrap/>
            <w:vAlign w:val="bottom"/>
            <w:hideMark/>
          </w:tcPr>
          <w:p w14:paraId="3DB0899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34" w:type="dxa"/>
            <w:tcBorders>
              <w:top w:val="nil"/>
              <w:left w:val="nil"/>
              <w:bottom w:val="single" w:sz="4" w:space="0" w:color="000000"/>
              <w:right w:val="single" w:sz="4" w:space="0" w:color="000000"/>
            </w:tcBorders>
            <w:shd w:val="clear" w:color="auto" w:fill="auto"/>
            <w:noWrap/>
            <w:vAlign w:val="bottom"/>
            <w:hideMark/>
          </w:tcPr>
          <w:p w14:paraId="389B8C9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27" w:type="dxa"/>
            <w:tcBorders>
              <w:top w:val="nil"/>
              <w:left w:val="nil"/>
              <w:bottom w:val="single" w:sz="4" w:space="0" w:color="000000"/>
              <w:right w:val="single" w:sz="4" w:space="0" w:color="000000"/>
            </w:tcBorders>
            <w:shd w:val="clear" w:color="auto" w:fill="auto"/>
            <w:noWrap/>
            <w:vAlign w:val="bottom"/>
            <w:hideMark/>
          </w:tcPr>
          <w:p w14:paraId="426C9CA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9,000 </w:t>
            </w:r>
          </w:p>
        </w:tc>
        <w:tc>
          <w:tcPr>
            <w:tcW w:w="980" w:type="dxa"/>
            <w:tcBorders>
              <w:top w:val="single" w:sz="8" w:space="0" w:color="000000"/>
              <w:left w:val="nil"/>
              <w:bottom w:val="single" w:sz="4" w:space="0" w:color="000000"/>
              <w:right w:val="nil"/>
            </w:tcBorders>
            <w:shd w:val="clear" w:color="auto" w:fill="auto"/>
            <w:noWrap/>
            <w:vAlign w:val="bottom"/>
            <w:hideMark/>
          </w:tcPr>
          <w:p w14:paraId="5BC25D7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57,000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4A87FA1D"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30 </w:t>
            </w:r>
          </w:p>
        </w:tc>
      </w:tr>
      <w:tr w:rsidR="007A7FA3" w:rsidRPr="007A7FA3" w14:paraId="0C11D859" w14:textId="77777777" w:rsidTr="007A7FA3">
        <w:trPr>
          <w:trHeight w:val="630"/>
        </w:trPr>
        <w:tc>
          <w:tcPr>
            <w:tcW w:w="1086" w:type="dxa"/>
            <w:vMerge/>
            <w:tcBorders>
              <w:top w:val="nil"/>
              <w:left w:val="single" w:sz="8" w:space="0" w:color="auto"/>
              <w:bottom w:val="single" w:sz="4" w:space="0" w:color="000000"/>
              <w:right w:val="nil"/>
            </w:tcBorders>
            <w:vAlign w:val="center"/>
            <w:hideMark/>
          </w:tcPr>
          <w:p w14:paraId="6EB0CACD" w14:textId="77777777" w:rsidR="007A7FA3" w:rsidRPr="007A7FA3" w:rsidRDefault="007A7FA3" w:rsidP="007A7FA3">
            <w:pPr>
              <w:rPr>
                <w:rFonts w:ascii="Calibri" w:hAnsi="Calibri" w:cs="Calibri"/>
                <w:i/>
                <w:iCs/>
                <w:color w:val="000000"/>
                <w:sz w:val="13"/>
                <w:szCs w:val="13"/>
              </w:rPr>
            </w:pPr>
          </w:p>
        </w:tc>
        <w:tc>
          <w:tcPr>
            <w:tcW w:w="871" w:type="dxa"/>
            <w:vMerge/>
            <w:tcBorders>
              <w:top w:val="single" w:sz="4" w:space="0" w:color="000000"/>
              <w:left w:val="single" w:sz="4" w:space="0" w:color="000000"/>
              <w:bottom w:val="single" w:sz="4" w:space="0" w:color="000000"/>
              <w:right w:val="single" w:sz="4" w:space="0" w:color="000000"/>
            </w:tcBorders>
            <w:vAlign w:val="center"/>
            <w:hideMark/>
          </w:tcPr>
          <w:p w14:paraId="0F60FF1B"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17276030" w14:textId="77777777" w:rsidR="007A7FA3" w:rsidRPr="007A7FA3" w:rsidRDefault="007A7FA3" w:rsidP="007A7FA3">
            <w:pPr>
              <w:rPr>
                <w:rFonts w:ascii="Calibri" w:hAnsi="Calibri" w:cs="Calibri"/>
                <w:i/>
                <w:iCs/>
                <w:color w:val="000000"/>
                <w:sz w:val="13"/>
                <w:szCs w:val="13"/>
              </w:rPr>
            </w:pPr>
          </w:p>
        </w:tc>
        <w:tc>
          <w:tcPr>
            <w:tcW w:w="3763" w:type="dxa"/>
            <w:gridSpan w:val="5"/>
            <w:tcBorders>
              <w:top w:val="single" w:sz="4" w:space="0" w:color="000000"/>
              <w:left w:val="nil"/>
              <w:bottom w:val="single" w:sz="4" w:space="0" w:color="000000"/>
              <w:right w:val="single" w:sz="4" w:space="0" w:color="000000"/>
            </w:tcBorders>
            <w:shd w:val="clear" w:color="auto" w:fill="auto"/>
            <w:vAlign w:val="center"/>
            <w:hideMark/>
          </w:tcPr>
          <w:p w14:paraId="5CA1DFD0"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Total BCC</w:t>
            </w:r>
          </w:p>
        </w:tc>
        <w:tc>
          <w:tcPr>
            <w:tcW w:w="694" w:type="dxa"/>
            <w:tcBorders>
              <w:top w:val="nil"/>
              <w:left w:val="nil"/>
              <w:bottom w:val="single" w:sz="4" w:space="0" w:color="000000"/>
              <w:right w:val="single" w:sz="4" w:space="0" w:color="000000"/>
            </w:tcBorders>
            <w:shd w:val="clear" w:color="auto" w:fill="auto"/>
            <w:noWrap/>
            <w:vAlign w:val="bottom"/>
            <w:hideMark/>
          </w:tcPr>
          <w:p w14:paraId="49140840"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76,000 </w:t>
            </w:r>
          </w:p>
        </w:tc>
        <w:tc>
          <w:tcPr>
            <w:tcW w:w="805" w:type="dxa"/>
            <w:tcBorders>
              <w:top w:val="nil"/>
              <w:left w:val="nil"/>
              <w:bottom w:val="single" w:sz="4" w:space="0" w:color="000000"/>
              <w:right w:val="single" w:sz="4" w:space="0" w:color="000000"/>
            </w:tcBorders>
            <w:shd w:val="clear" w:color="auto" w:fill="auto"/>
            <w:noWrap/>
            <w:vAlign w:val="bottom"/>
            <w:hideMark/>
          </w:tcPr>
          <w:p w14:paraId="208D695A"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125,000 </w:t>
            </w:r>
          </w:p>
        </w:tc>
        <w:tc>
          <w:tcPr>
            <w:tcW w:w="826" w:type="dxa"/>
            <w:tcBorders>
              <w:top w:val="nil"/>
              <w:left w:val="nil"/>
              <w:bottom w:val="single" w:sz="4" w:space="0" w:color="000000"/>
              <w:right w:val="single" w:sz="4" w:space="0" w:color="000000"/>
            </w:tcBorders>
            <w:shd w:val="clear" w:color="auto" w:fill="auto"/>
            <w:noWrap/>
            <w:vAlign w:val="bottom"/>
            <w:hideMark/>
          </w:tcPr>
          <w:p w14:paraId="6C0F5CF6"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138,000 </w:t>
            </w:r>
          </w:p>
        </w:tc>
        <w:tc>
          <w:tcPr>
            <w:tcW w:w="864" w:type="dxa"/>
            <w:tcBorders>
              <w:top w:val="nil"/>
              <w:left w:val="nil"/>
              <w:bottom w:val="single" w:sz="4" w:space="0" w:color="000000"/>
              <w:right w:val="single" w:sz="4" w:space="0" w:color="000000"/>
            </w:tcBorders>
            <w:shd w:val="clear" w:color="auto" w:fill="auto"/>
            <w:noWrap/>
            <w:vAlign w:val="bottom"/>
            <w:hideMark/>
          </w:tcPr>
          <w:p w14:paraId="246E3D35"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146,000 </w:t>
            </w:r>
          </w:p>
        </w:tc>
        <w:tc>
          <w:tcPr>
            <w:tcW w:w="834" w:type="dxa"/>
            <w:tcBorders>
              <w:top w:val="nil"/>
              <w:left w:val="nil"/>
              <w:bottom w:val="single" w:sz="4" w:space="0" w:color="000000"/>
              <w:right w:val="single" w:sz="4" w:space="0" w:color="000000"/>
            </w:tcBorders>
            <w:shd w:val="clear" w:color="auto" w:fill="auto"/>
            <w:noWrap/>
            <w:vAlign w:val="bottom"/>
            <w:hideMark/>
          </w:tcPr>
          <w:p w14:paraId="342EED33"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145,000 </w:t>
            </w:r>
          </w:p>
        </w:tc>
        <w:tc>
          <w:tcPr>
            <w:tcW w:w="827" w:type="dxa"/>
            <w:tcBorders>
              <w:top w:val="nil"/>
              <w:left w:val="nil"/>
              <w:bottom w:val="single" w:sz="4" w:space="0" w:color="000000"/>
              <w:right w:val="single" w:sz="4" w:space="0" w:color="000000"/>
            </w:tcBorders>
            <w:shd w:val="clear" w:color="auto" w:fill="auto"/>
            <w:noWrap/>
            <w:vAlign w:val="bottom"/>
            <w:hideMark/>
          </w:tcPr>
          <w:p w14:paraId="074E9A4B"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107,000 </w:t>
            </w:r>
          </w:p>
        </w:tc>
        <w:tc>
          <w:tcPr>
            <w:tcW w:w="980" w:type="dxa"/>
            <w:tcBorders>
              <w:top w:val="single" w:sz="8" w:space="0" w:color="000000"/>
              <w:left w:val="nil"/>
              <w:bottom w:val="single" w:sz="4" w:space="0" w:color="000000"/>
              <w:right w:val="nil"/>
            </w:tcBorders>
            <w:shd w:val="clear" w:color="auto" w:fill="auto"/>
            <w:noWrap/>
            <w:vAlign w:val="bottom"/>
            <w:hideMark/>
          </w:tcPr>
          <w:p w14:paraId="6D81DDC6"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737,000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2A25ED6B"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5307C1D7" w14:textId="77777777" w:rsidTr="007A7FA3">
        <w:trPr>
          <w:trHeight w:val="255"/>
        </w:trPr>
        <w:tc>
          <w:tcPr>
            <w:tcW w:w="1086" w:type="dxa"/>
            <w:vMerge/>
            <w:tcBorders>
              <w:top w:val="nil"/>
              <w:left w:val="single" w:sz="8" w:space="0" w:color="auto"/>
              <w:bottom w:val="single" w:sz="4" w:space="0" w:color="000000"/>
              <w:right w:val="nil"/>
            </w:tcBorders>
            <w:vAlign w:val="center"/>
            <w:hideMark/>
          </w:tcPr>
          <w:p w14:paraId="23A583D5" w14:textId="77777777" w:rsidR="007A7FA3" w:rsidRPr="007A7FA3" w:rsidRDefault="007A7FA3" w:rsidP="007A7FA3">
            <w:pPr>
              <w:rPr>
                <w:rFonts w:ascii="Calibri" w:hAnsi="Calibri" w:cs="Calibri"/>
                <w:i/>
                <w:iCs/>
                <w:color w:val="000000"/>
                <w:sz w:val="13"/>
                <w:szCs w:val="13"/>
              </w:rPr>
            </w:pPr>
          </w:p>
        </w:tc>
        <w:tc>
          <w:tcPr>
            <w:tcW w:w="871" w:type="dxa"/>
            <w:vMerge/>
            <w:tcBorders>
              <w:top w:val="single" w:sz="4" w:space="0" w:color="000000"/>
              <w:left w:val="single" w:sz="4" w:space="0" w:color="000000"/>
              <w:bottom w:val="single" w:sz="4" w:space="0" w:color="000000"/>
              <w:right w:val="single" w:sz="4" w:space="0" w:color="000000"/>
            </w:tcBorders>
            <w:vAlign w:val="center"/>
            <w:hideMark/>
          </w:tcPr>
          <w:p w14:paraId="1FBF5062" w14:textId="77777777" w:rsidR="007A7FA3" w:rsidRPr="007A7FA3" w:rsidRDefault="007A7FA3" w:rsidP="007A7FA3">
            <w:pPr>
              <w:rPr>
                <w:rFonts w:ascii="Calibri" w:hAnsi="Calibri" w:cs="Calibri"/>
                <w:i/>
                <w:iCs/>
                <w:color w:val="000000"/>
                <w:sz w:val="13"/>
                <w:szCs w:val="13"/>
              </w:rPr>
            </w:pPr>
          </w:p>
        </w:tc>
        <w:tc>
          <w:tcPr>
            <w:tcW w:w="5779" w:type="dxa"/>
            <w:gridSpan w:val="6"/>
            <w:tcBorders>
              <w:top w:val="nil"/>
              <w:left w:val="nil"/>
              <w:bottom w:val="single" w:sz="4" w:space="0" w:color="000000"/>
              <w:right w:val="single" w:sz="4" w:space="0" w:color="000000"/>
            </w:tcBorders>
            <w:shd w:val="clear" w:color="auto" w:fill="auto"/>
            <w:vAlign w:val="center"/>
            <w:hideMark/>
          </w:tcPr>
          <w:p w14:paraId="097B7674" w14:textId="77777777" w:rsidR="007A7FA3" w:rsidRPr="007A7FA3" w:rsidRDefault="007A7FA3" w:rsidP="007A7FA3">
            <w:pPr>
              <w:rPr>
                <w:rFonts w:ascii="Calibri" w:hAnsi="Calibri" w:cs="Calibri"/>
                <w:b/>
                <w:bCs/>
                <w:i/>
                <w:iCs/>
                <w:color w:val="000000"/>
                <w:sz w:val="13"/>
                <w:szCs w:val="13"/>
              </w:rPr>
            </w:pPr>
            <w:r w:rsidRPr="007A7FA3">
              <w:rPr>
                <w:rFonts w:ascii="Calibri" w:hAnsi="Calibri" w:cs="Calibri"/>
                <w:b/>
                <w:bCs/>
                <w:i/>
                <w:iCs/>
                <w:color w:val="000000"/>
                <w:sz w:val="13"/>
                <w:szCs w:val="13"/>
              </w:rPr>
              <w:t>Total Output 1.2.2</w:t>
            </w:r>
          </w:p>
        </w:tc>
        <w:tc>
          <w:tcPr>
            <w:tcW w:w="694" w:type="dxa"/>
            <w:tcBorders>
              <w:top w:val="nil"/>
              <w:left w:val="nil"/>
              <w:bottom w:val="single" w:sz="4" w:space="0" w:color="000000"/>
              <w:right w:val="single" w:sz="4" w:space="0" w:color="000000"/>
            </w:tcBorders>
            <w:shd w:val="clear" w:color="auto" w:fill="auto"/>
            <w:noWrap/>
            <w:vAlign w:val="bottom"/>
            <w:hideMark/>
          </w:tcPr>
          <w:p w14:paraId="607BF21E"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76,000 </w:t>
            </w:r>
          </w:p>
        </w:tc>
        <w:tc>
          <w:tcPr>
            <w:tcW w:w="805" w:type="dxa"/>
            <w:tcBorders>
              <w:top w:val="nil"/>
              <w:left w:val="nil"/>
              <w:bottom w:val="single" w:sz="4" w:space="0" w:color="000000"/>
              <w:right w:val="single" w:sz="4" w:space="0" w:color="000000"/>
            </w:tcBorders>
            <w:shd w:val="clear" w:color="auto" w:fill="auto"/>
            <w:noWrap/>
            <w:vAlign w:val="bottom"/>
            <w:hideMark/>
          </w:tcPr>
          <w:p w14:paraId="0E0448A9"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125,000 </w:t>
            </w:r>
          </w:p>
        </w:tc>
        <w:tc>
          <w:tcPr>
            <w:tcW w:w="826" w:type="dxa"/>
            <w:tcBorders>
              <w:top w:val="nil"/>
              <w:left w:val="nil"/>
              <w:bottom w:val="single" w:sz="4" w:space="0" w:color="000000"/>
              <w:right w:val="single" w:sz="4" w:space="0" w:color="000000"/>
            </w:tcBorders>
            <w:shd w:val="clear" w:color="auto" w:fill="auto"/>
            <w:noWrap/>
            <w:vAlign w:val="bottom"/>
            <w:hideMark/>
          </w:tcPr>
          <w:p w14:paraId="5564341D"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138,000 </w:t>
            </w:r>
          </w:p>
        </w:tc>
        <w:tc>
          <w:tcPr>
            <w:tcW w:w="864" w:type="dxa"/>
            <w:tcBorders>
              <w:top w:val="nil"/>
              <w:left w:val="nil"/>
              <w:bottom w:val="single" w:sz="4" w:space="0" w:color="000000"/>
              <w:right w:val="single" w:sz="4" w:space="0" w:color="000000"/>
            </w:tcBorders>
            <w:shd w:val="clear" w:color="auto" w:fill="auto"/>
            <w:noWrap/>
            <w:vAlign w:val="bottom"/>
            <w:hideMark/>
          </w:tcPr>
          <w:p w14:paraId="003029A3"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146,000 </w:t>
            </w:r>
          </w:p>
        </w:tc>
        <w:tc>
          <w:tcPr>
            <w:tcW w:w="834" w:type="dxa"/>
            <w:tcBorders>
              <w:top w:val="nil"/>
              <w:left w:val="nil"/>
              <w:bottom w:val="single" w:sz="4" w:space="0" w:color="000000"/>
              <w:right w:val="single" w:sz="4" w:space="0" w:color="000000"/>
            </w:tcBorders>
            <w:shd w:val="clear" w:color="auto" w:fill="auto"/>
            <w:noWrap/>
            <w:vAlign w:val="bottom"/>
            <w:hideMark/>
          </w:tcPr>
          <w:p w14:paraId="52B9F14F"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145,000 </w:t>
            </w:r>
          </w:p>
        </w:tc>
        <w:tc>
          <w:tcPr>
            <w:tcW w:w="827" w:type="dxa"/>
            <w:tcBorders>
              <w:top w:val="nil"/>
              <w:left w:val="nil"/>
              <w:bottom w:val="single" w:sz="4" w:space="0" w:color="000000"/>
              <w:right w:val="single" w:sz="4" w:space="0" w:color="000000"/>
            </w:tcBorders>
            <w:shd w:val="clear" w:color="auto" w:fill="auto"/>
            <w:noWrap/>
            <w:vAlign w:val="bottom"/>
            <w:hideMark/>
          </w:tcPr>
          <w:p w14:paraId="426B4C27"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107,000 </w:t>
            </w:r>
          </w:p>
        </w:tc>
        <w:tc>
          <w:tcPr>
            <w:tcW w:w="980" w:type="dxa"/>
            <w:tcBorders>
              <w:top w:val="nil"/>
              <w:left w:val="nil"/>
              <w:bottom w:val="single" w:sz="4" w:space="0" w:color="000000"/>
              <w:right w:val="nil"/>
            </w:tcBorders>
            <w:shd w:val="clear" w:color="auto" w:fill="auto"/>
            <w:noWrap/>
            <w:vAlign w:val="bottom"/>
            <w:hideMark/>
          </w:tcPr>
          <w:p w14:paraId="29553DF9"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737,000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46375013"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70F848CD" w14:textId="77777777" w:rsidTr="007A7FA3">
        <w:trPr>
          <w:trHeight w:val="270"/>
        </w:trPr>
        <w:tc>
          <w:tcPr>
            <w:tcW w:w="1086" w:type="dxa"/>
            <w:vMerge/>
            <w:tcBorders>
              <w:top w:val="nil"/>
              <w:left w:val="single" w:sz="8" w:space="0" w:color="auto"/>
              <w:bottom w:val="single" w:sz="4" w:space="0" w:color="000000"/>
              <w:right w:val="nil"/>
            </w:tcBorders>
            <w:vAlign w:val="center"/>
            <w:hideMark/>
          </w:tcPr>
          <w:p w14:paraId="6BA4463F" w14:textId="77777777" w:rsidR="007A7FA3" w:rsidRPr="007A7FA3" w:rsidRDefault="007A7FA3" w:rsidP="007A7FA3">
            <w:pPr>
              <w:rPr>
                <w:rFonts w:ascii="Calibri" w:hAnsi="Calibri" w:cs="Calibri"/>
                <w:i/>
                <w:iCs/>
                <w:color w:val="000000"/>
                <w:sz w:val="13"/>
                <w:szCs w:val="13"/>
              </w:rPr>
            </w:pPr>
          </w:p>
        </w:tc>
        <w:tc>
          <w:tcPr>
            <w:tcW w:w="6650" w:type="dxa"/>
            <w:gridSpan w:val="7"/>
            <w:tcBorders>
              <w:top w:val="nil"/>
              <w:left w:val="single" w:sz="4" w:space="0" w:color="000000"/>
              <w:bottom w:val="single" w:sz="4" w:space="0" w:color="000000"/>
              <w:right w:val="single" w:sz="4" w:space="0" w:color="000000"/>
            </w:tcBorders>
            <w:shd w:val="clear" w:color="FEF2CB" w:fill="FEF2CB"/>
            <w:vAlign w:val="center"/>
            <w:hideMark/>
          </w:tcPr>
          <w:p w14:paraId="1827C35E" w14:textId="77777777" w:rsidR="007A7FA3" w:rsidRPr="007A7FA3" w:rsidRDefault="007A7FA3" w:rsidP="007A7FA3">
            <w:pPr>
              <w:rPr>
                <w:rFonts w:ascii="Calibri" w:hAnsi="Calibri" w:cs="Calibri"/>
                <w:b/>
                <w:bCs/>
                <w:i/>
                <w:iCs/>
                <w:color w:val="000000"/>
                <w:sz w:val="13"/>
                <w:szCs w:val="13"/>
              </w:rPr>
            </w:pPr>
            <w:r w:rsidRPr="007A7FA3">
              <w:rPr>
                <w:rFonts w:ascii="Calibri" w:hAnsi="Calibri" w:cs="Calibri"/>
                <w:b/>
                <w:bCs/>
                <w:i/>
                <w:iCs/>
                <w:color w:val="000000"/>
                <w:sz w:val="13"/>
                <w:szCs w:val="13"/>
              </w:rPr>
              <w:t>Total Outcome 1.2</w:t>
            </w:r>
          </w:p>
        </w:tc>
        <w:tc>
          <w:tcPr>
            <w:tcW w:w="694" w:type="dxa"/>
            <w:tcBorders>
              <w:top w:val="nil"/>
              <w:left w:val="nil"/>
              <w:bottom w:val="single" w:sz="4" w:space="0" w:color="000000"/>
              <w:right w:val="single" w:sz="4" w:space="0" w:color="000000"/>
            </w:tcBorders>
            <w:shd w:val="clear" w:color="FEF2CB" w:fill="FEF2CB"/>
            <w:noWrap/>
            <w:vAlign w:val="bottom"/>
            <w:hideMark/>
          </w:tcPr>
          <w:p w14:paraId="487EB6F4"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144,000 </w:t>
            </w:r>
          </w:p>
        </w:tc>
        <w:tc>
          <w:tcPr>
            <w:tcW w:w="805" w:type="dxa"/>
            <w:tcBorders>
              <w:top w:val="nil"/>
              <w:left w:val="nil"/>
              <w:bottom w:val="single" w:sz="4" w:space="0" w:color="000000"/>
              <w:right w:val="single" w:sz="4" w:space="0" w:color="000000"/>
            </w:tcBorders>
            <w:shd w:val="clear" w:color="FEF2CB" w:fill="FEF2CB"/>
            <w:noWrap/>
            <w:vAlign w:val="bottom"/>
            <w:hideMark/>
          </w:tcPr>
          <w:p w14:paraId="403D8542"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248,000 </w:t>
            </w:r>
          </w:p>
        </w:tc>
        <w:tc>
          <w:tcPr>
            <w:tcW w:w="826" w:type="dxa"/>
            <w:tcBorders>
              <w:top w:val="nil"/>
              <w:left w:val="nil"/>
              <w:bottom w:val="single" w:sz="4" w:space="0" w:color="000000"/>
              <w:right w:val="single" w:sz="4" w:space="0" w:color="000000"/>
            </w:tcBorders>
            <w:shd w:val="clear" w:color="FEF2CB" w:fill="FEF2CB"/>
            <w:noWrap/>
            <w:vAlign w:val="bottom"/>
            <w:hideMark/>
          </w:tcPr>
          <w:p w14:paraId="132E0DEB"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273,000 </w:t>
            </w:r>
          </w:p>
        </w:tc>
        <w:tc>
          <w:tcPr>
            <w:tcW w:w="864" w:type="dxa"/>
            <w:tcBorders>
              <w:top w:val="nil"/>
              <w:left w:val="nil"/>
              <w:bottom w:val="single" w:sz="4" w:space="0" w:color="000000"/>
              <w:right w:val="single" w:sz="4" w:space="0" w:color="000000"/>
            </w:tcBorders>
            <w:shd w:val="clear" w:color="FEF2CB" w:fill="FEF2CB"/>
            <w:noWrap/>
            <w:vAlign w:val="bottom"/>
            <w:hideMark/>
          </w:tcPr>
          <w:p w14:paraId="68D8BB26"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291,000 </w:t>
            </w:r>
          </w:p>
        </w:tc>
        <w:tc>
          <w:tcPr>
            <w:tcW w:w="834" w:type="dxa"/>
            <w:tcBorders>
              <w:top w:val="nil"/>
              <w:left w:val="nil"/>
              <w:bottom w:val="single" w:sz="4" w:space="0" w:color="000000"/>
              <w:right w:val="single" w:sz="4" w:space="0" w:color="000000"/>
            </w:tcBorders>
            <w:shd w:val="clear" w:color="FEF2CB" w:fill="FEF2CB"/>
            <w:noWrap/>
            <w:vAlign w:val="bottom"/>
            <w:hideMark/>
          </w:tcPr>
          <w:p w14:paraId="5D908548"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268,000 </w:t>
            </w:r>
          </w:p>
        </w:tc>
        <w:tc>
          <w:tcPr>
            <w:tcW w:w="827" w:type="dxa"/>
            <w:tcBorders>
              <w:top w:val="nil"/>
              <w:left w:val="nil"/>
              <w:bottom w:val="single" w:sz="4" w:space="0" w:color="000000"/>
              <w:right w:val="single" w:sz="4" w:space="0" w:color="000000"/>
            </w:tcBorders>
            <w:shd w:val="clear" w:color="FEF2CB" w:fill="FEF2CB"/>
            <w:noWrap/>
            <w:vAlign w:val="bottom"/>
            <w:hideMark/>
          </w:tcPr>
          <w:p w14:paraId="0C560B41"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213,000 </w:t>
            </w:r>
          </w:p>
        </w:tc>
        <w:tc>
          <w:tcPr>
            <w:tcW w:w="980" w:type="dxa"/>
            <w:tcBorders>
              <w:top w:val="nil"/>
              <w:left w:val="nil"/>
              <w:bottom w:val="single" w:sz="4" w:space="0" w:color="000000"/>
              <w:right w:val="nil"/>
            </w:tcBorders>
            <w:shd w:val="clear" w:color="FEF2CB" w:fill="FEF2CB"/>
            <w:noWrap/>
            <w:vAlign w:val="bottom"/>
            <w:hideMark/>
          </w:tcPr>
          <w:p w14:paraId="5BFA65E6"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1,437,000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3024059E"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78D795FC" w14:textId="77777777" w:rsidTr="007A7FA3">
        <w:trPr>
          <w:trHeight w:val="240"/>
        </w:trPr>
        <w:tc>
          <w:tcPr>
            <w:tcW w:w="1086" w:type="dxa"/>
            <w:vMerge/>
            <w:tcBorders>
              <w:top w:val="nil"/>
              <w:left w:val="single" w:sz="8" w:space="0" w:color="auto"/>
              <w:bottom w:val="single" w:sz="4" w:space="0" w:color="000000"/>
              <w:right w:val="nil"/>
            </w:tcBorders>
            <w:vAlign w:val="center"/>
            <w:hideMark/>
          </w:tcPr>
          <w:p w14:paraId="000DC87A" w14:textId="77777777" w:rsidR="007A7FA3" w:rsidRPr="007A7FA3" w:rsidRDefault="007A7FA3" w:rsidP="007A7FA3">
            <w:pPr>
              <w:rPr>
                <w:rFonts w:ascii="Calibri" w:hAnsi="Calibri" w:cs="Calibri"/>
                <w:i/>
                <w:iCs/>
                <w:color w:val="000000"/>
                <w:sz w:val="13"/>
                <w:szCs w:val="13"/>
              </w:rPr>
            </w:pPr>
          </w:p>
        </w:tc>
        <w:tc>
          <w:tcPr>
            <w:tcW w:w="871"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2BD0A84B"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 xml:space="preserve">1.3: Improved biodiversity monitoring (using eDNA-based methods) to inform actions for improved management of MPAs and coastal ecosystems. (Namibia only] </w:t>
            </w:r>
          </w:p>
        </w:tc>
        <w:tc>
          <w:tcPr>
            <w:tcW w:w="2016" w:type="dxa"/>
            <w:vMerge w:val="restart"/>
            <w:tcBorders>
              <w:top w:val="nil"/>
              <w:left w:val="nil"/>
              <w:bottom w:val="single" w:sz="4" w:space="0" w:color="000000"/>
              <w:right w:val="single" w:sz="4" w:space="0" w:color="000000"/>
            </w:tcBorders>
            <w:shd w:val="clear" w:color="auto" w:fill="auto"/>
            <w:vAlign w:val="center"/>
            <w:hideMark/>
          </w:tcPr>
          <w:p w14:paraId="7ED51305"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 xml:space="preserve">1.3.1: Community-based biodiversity monitoring within the selected MPAs and coastal ecosystems (under 1.1) developed or enhanced </w:t>
            </w:r>
          </w:p>
        </w:tc>
        <w:tc>
          <w:tcPr>
            <w:tcW w:w="631" w:type="dxa"/>
            <w:vMerge w:val="restart"/>
            <w:tcBorders>
              <w:top w:val="nil"/>
              <w:left w:val="nil"/>
              <w:bottom w:val="nil"/>
              <w:right w:val="nil"/>
            </w:tcBorders>
            <w:shd w:val="clear" w:color="auto" w:fill="auto"/>
            <w:vAlign w:val="center"/>
            <w:hideMark/>
          </w:tcPr>
          <w:p w14:paraId="4F47A31F"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BCC</w:t>
            </w:r>
          </w:p>
        </w:tc>
        <w:tc>
          <w:tcPr>
            <w:tcW w:w="504" w:type="dxa"/>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0A49C34B"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val="restart"/>
            <w:tcBorders>
              <w:top w:val="nil"/>
              <w:left w:val="single" w:sz="4" w:space="0" w:color="000000"/>
              <w:bottom w:val="nil"/>
              <w:right w:val="nil"/>
            </w:tcBorders>
            <w:shd w:val="clear" w:color="auto" w:fill="auto"/>
            <w:vAlign w:val="center"/>
            <w:hideMark/>
          </w:tcPr>
          <w:p w14:paraId="4AD5BE5B"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w:t>
            </w:r>
          </w:p>
        </w:tc>
        <w:tc>
          <w:tcPr>
            <w:tcW w:w="544" w:type="dxa"/>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04F4860C"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71200</w:t>
            </w:r>
          </w:p>
        </w:tc>
        <w:tc>
          <w:tcPr>
            <w:tcW w:w="1580" w:type="dxa"/>
            <w:tcBorders>
              <w:top w:val="single" w:sz="8" w:space="0" w:color="000000"/>
              <w:left w:val="nil"/>
              <w:bottom w:val="single" w:sz="4" w:space="0" w:color="000000"/>
              <w:right w:val="single" w:sz="4" w:space="0" w:color="000000"/>
            </w:tcBorders>
            <w:shd w:val="clear" w:color="auto" w:fill="auto"/>
            <w:vAlign w:val="bottom"/>
            <w:hideMark/>
          </w:tcPr>
          <w:p w14:paraId="33C73DCC"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International Consultants</w:t>
            </w:r>
          </w:p>
        </w:tc>
        <w:tc>
          <w:tcPr>
            <w:tcW w:w="694" w:type="dxa"/>
            <w:tcBorders>
              <w:top w:val="single" w:sz="8" w:space="0" w:color="000000"/>
              <w:left w:val="nil"/>
              <w:bottom w:val="single" w:sz="4" w:space="0" w:color="000000"/>
              <w:right w:val="single" w:sz="4" w:space="0" w:color="000000"/>
            </w:tcBorders>
            <w:shd w:val="clear" w:color="auto" w:fill="auto"/>
            <w:noWrap/>
            <w:vAlign w:val="bottom"/>
            <w:hideMark/>
          </w:tcPr>
          <w:p w14:paraId="7D9A80D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9,000 </w:t>
            </w:r>
          </w:p>
        </w:tc>
        <w:tc>
          <w:tcPr>
            <w:tcW w:w="805" w:type="dxa"/>
            <w:tcBorders>
              <w:top w:val="single" w:sz="8" w:space="0" w:color="000000"/>
              <w:left w:val="nil"/>
              <w:bottom w:val="single" w:sz="4" w:space="0" w:color="000000"/>
              <w:right w:val="single" w:sz="4" w:space="0" w:color="000000"/>
            </w:tcBorders>
            <w:shd w:val="clear" w:color="auto" w:fill="auto"/>
            <w:noWrap/>
            <w:vAlign w:val="bottom"/>
            <w:hideMark/>
          </w:tcPr>
          <w:p w14:paraId="2B4EA29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26" w:type="dxa"/>
            <w:tcBorders>
              <w:top w:val="single" w:sz="8" w:space="0" w:color="000000"/>
              <w:left w:val="nil"/>
              <w:bottom w:val="single" w:sz="4" w:space="0" w:color="000000"/>
              <w:right w:val="single" w:sz="4" w:space="0" w:color="000000"/>
            </w:tcBorders>
            <w:shd w:val="clear" w:color="auto" w:fill="auto"/>
            <w:noWrap/>
            <w:vAlign w:val="bottom"/>
            <w:hideMark/>
          </w:tcPr>
          <w:p w14:paraId="02C10C1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11,000 </w:t>
            </w:r>
          </w:p>
        </w:tc>
        <w:tc>
          <w:tcPr>
            <w:tcW w:w="864" w:type="dxa"/>
            <w:tcBorders>
              <w:top w:val="single" w:sz="8" w:space="0" w:color="000000"/>
              <w:left w:val="nil"/>
              <w:bottom w:val="single" w:sz="4" w:space="0" w:color="000000"/>
              <w:right w:val="single" w:sz="4" w:space="0" w:color="000000"/>
            </w:tcBorders>
            <w:shd w:val="clear" w:color="auto" w:fill="auto"/>
            <w:noWrap/>
            <w:vAlign w:val="bottom"/>
            <w:hideMark/>
          </w:tcPr>
          <w:p w14:paraId="42FAC5B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8,000 </w:t>
            </w:r>
          </w:p>
        </w:tc>
        <w:tc>
          <w:tcPr>
            <w:tcW w:w="834" w:type="dxa"/>
            <w:tcBorders>
              <w:top w:val="single" w:sz="8" w:space="0" w:color="000000"/>
              <w:left w:val="nil"/>
              <w:bottom w:val="single" w:sz="4" w:space="0" w:color="000000"/>
              <w:right w:val="single" w:sz="4" w:space="0" w:color="000000"/>
            </w:tcBorders>
            <w:shd w:val="clear" w:color="auto" w:fill="auto"/>
            <w:noWrap/>
            <w:vAlign w:val="bottom"/>
            <w:hideMark/>
          </w:tcPr>
          <w:p w14:paraId="29810AF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8,490 </w:t>
            </w:r>
          </w:p>
        </w:tc>
        <w:tc>
          <w:tcPr>
            <w:tcW w:w="827" w:type="dxa"/>
            <w:tcBorders>
              <w:top w:val="single" w:sz="8" w:space="0" w:color="000000"/>
              <w:left w:val="nil"/>
              <w:bottom w:val="single" w:sz="4" w:space="0" w:color="000000"/>
              <w:right w:val="single" w:sz="4" w:space="0" w:color="000000"/>
            </w:tcBorders>
            <w:shd w:val="clear" w:color="auto" w:fill="auto"/>
            <w:noWrap/>
            <w:vAlign w:val="bottom"/>
            <w:hideMark/>
          </w:tcPr>
          <w:p w14:paraId="568EFA7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6,000 </w:t>
            </w:r>
          </w:p>
        </w:tc>
        <w:tc>
          <w:tcPr>
            <w:tcW w:w="980" w:type="dxa"/>
            <w:tcBorders>
              <w:top w:val="single" w:sz="8" w:space="0" w:color="000000"/>
              <w:left w:val="nil"/>
              <w:bottom w:val="single" w:sz="4" w:space="0" w:color="000000"/>
              <w:right w:val="nil"/>
            </w:tcBorders>
            <w:shd w:val="clear" w:color="auto" w:fill="auto"/>
            <w:noWrap/>
            <w:vAlign w:val="bottom"/>
            <w:hideMark/>
          </w:tcPr>
          <w:p w14:paraId="462B019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52,490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7AE9DD31"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31 </w:t>
            </w:r>
          </w:p>
        </w:tc>
      </w:tr>
      <w:tr w:rsidR="007A7FA3" w:rsidRPr="007A7FA3" w14:paraId="34DCCEE5" w14:textId="77777777" w:rsidTr="007A7FA3">
        <w:trPr>
          <w:trHeight w:val="210"/>
        </w:trPr>
        <w:tc>
          <w:tcPr>
            <w:tcW w:w="1086" w:type="dxa"/>
            <w:vMerge/>
            <w:tcBorders>
              <w:top w:val="nil"/>
              <w:left w:val="single" w:sz="8" w:space="0" w:color="auto"/>
              <w:bottom w:val="single" w:sz="4" w:space="0" w:color="000000"/>
              <w:right w:val="nil"/>
            </w:tcBorders>
            <w:vAlign w:val="center"/>
            <w:hideMark/>
          </w:tcPr>
          <w:p w14:paraId="01A1E80D"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3B4FE5CF"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032FFAB0"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62B0F1A0"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3932701A"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5F037248"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22441005"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71800</w:t>
            </w:r>
          </w:p>
        </w:tc>
        <w:tc>
          <w:tcPr>
            <w:tcW w:w="1580" w:type="dxa"/>
            <w:tcBorders>
              <w:top w:val="nil"/>
              <w:left w:val="nil"/>
              <w:bottom w:val="single" w:sz="4" w:space="0" w:color="000000"/>
              <w:right w:val="single" w:sz="4" w:space="0" w:color="000000"/>
            </w:tcBorders>
            <w:shd w:val="clear" w:color="auto" w:fill="auto"/>
            <w:vAlign w:val="bottom"/>
            <w:hideMark/>
          </w:tcPr>
          <w:p w14:paraId="28275DD2"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Contractual Services - Individuals</w:t>
            </w:r>
          </w:p>
        </w:tc>
        <w:tc>
          <w:tcPr>
            <w:tcW w:w="694" w:type="dxa"/>
            <w:tcBorders>
              <w:top w:val="nil"/>
              <w:left w:val="nil"/>
              <w:bottom w:val="single" w:sz="4" w:space="0" w:color="000000"/>
              <w:right w:val="single" w:sz="4" w:space="0" w:color="000000"/>
            </w:tcBorders>
            <w:shd w:val="clear" w:color="auto" w:fill="auto"/>
            <w:noWrap/>
            <w:vAlign w:val="bottom"/>
            <w:hideMark/>
          </w:tcPr>
          <w:p w14:paraId="0946F82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05" w:type="dxa"/>
            <w:tcBorders>
              <w:top w:val="nil"/>
              <w:left w:val="nil"/>
              <w:bottom w:val="single" w:sz="4" w:space="0" w:color="000000"/>
              <w:right w:val="single" w:sz="4" w:space="0" w:color="000000"/>
            </w:tcBorders>
            <w:shd w:val="clear" w:color="auto" w:fill="auto"/>
            <w:noWrap/>
            <w:vAlign w:val="bottom"/>
            <w:hideMark/>
          </w:tcPr>
          <w:p w14:paraId="02AA2F0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10,500 </w:t>
            </w:r>
          </w:p>
        </w:tc>
        <w:tc>
          <w:tcPr>
            <w:tcW w:w="826" w:type="dxa"/>
            <w:tcBorders>
              <w:top w:val="nil"/>
              <w:left w:val="nil"/>
              <w:bottom w:val="single" w:sz="4" w:space="0" w:color="000000"/>
              <w:right w:val="single" w:sz="4" w:space="0" w:color="000000"/>
            </w:tcBorders>
            <w:shd w:val="clear" w:color="auto" w:fill="auto"/>
            <w:noWrap/>
            <w:vAlign w:val="bottom"/>
            <w:hideMark/>
          </w:tcPr>
          <w:p w14:paraId="55DC0BD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64" w:type="dxa"/>
            <w:tcBorders>
              <w:top w:val="nil"/>
              <w:left w:val="nil"/>
              <w:bottom w:val="single" w:sz="4" w:space="0" w:color="000000"/>
              <w:right w:val="single" w:sz="4" w:space="0" w:color="000000"/>
            </w:tcBorders>
            <w:shd w:val="clear" w:color="auto" w:fill="auto"/>
            <w:noWrap/>
            <w:vAlign w:val="bottom"/>
            <w:hideMark/>
          </w:tcPr>
          <w:p w14:paraId="75BF3C8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8,000 </w:t>
            </w:r>
          </w:p>
        </w:tc>
        <w:tc>
          <w:tcPr>
            <w:tcW w:w="834" w:type="dxa"/>
            <w:tcBorders>
              <w:top w:val="nil"/>
              <w:left w:val="nil"/>
              <w:bottom w:val="single" w:sz="4" w:space="0" w:color="000000"/>
              <w:right w:val="single" w:sz="4" w:space="0" w:color="000000"/>
            </w:tcBorders>
            <w:shd w:val="clear" w:color="auto" w:fill="auto"/>
            <w:noWrap/>
            <w:vAlign w:val="bottom"/>
            <w:hideMark/>
          </w:tcPr>
          <w:p w14:paraId="4482F15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6,000 </w:t>
            </w:r>
          </w:p>
        </w:tc>
        <w:tc>
          <w:tcPr>
            <w:tcW w:w="827" w:type="dxa"/>
            <w:tcBorders>
              <w:top w:val="nil"/>
              <w:left w:val="nil"/>
              <w:bottom w:val="single" w:sz="4" w:space="0" w:color="000000"/>
              <w:right w:val="single" w:sz="4" w:space="0" w:color="000000"/>
            </w:tcBorders>
            <w:shd w:val="clear" w:color="auto" w:fill="auto"/>
            <w:noWrap/>
            <w:vAlign w:val="bottom"/>
            <w:hideMark/>
          </w:tcPr>
          <w:p w14:paraId="6E70B99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8,000 </w:t>
            </w:r>
          </w:p>
        </w:tc>
        <w:tc>
          <w:tcPr>
            <w:tcW w:w="980" w:type="dxa"/>
            <w:tcBorders>
              <w:top w:val="single" w:sz="8" w:space="0" w:color="000000"/>
              <w:left w:val="nil"/>
              <w:bottom w:val="single" w:sz="4" w:space="0" w:color="000000"/>
              <w:right w:val="nil"/>
            </w:tcBorders>
            <w:shd w:val="clear" w:color="auto" w:fill="auto"/>
            <w:noWrap/>
            <w:vAlign w:val="bottom"/>
            <w:hideMark/>
          </w:tcPr>
          <w:p w14:paraId="758DD2A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52,500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5CD6BB50"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32 </w:t>
            </w:r>
          </w:p>
        </w:tc>
      </w:tr>
      <w:tr w:rsidR="007A7FA3" w:rsidRPr="007A7FA3" w14:paraId="6B484E94" w14:textId="77777777" w:rsidTr="007A7FA3">
        <w:trPr>
          <w:trHeight w:val="255"/>
        </w:trPr>
        <w:tc>
          <w:tcPr>
            <w:tcW w:w="1086" w:type="dxa"/>
            <w:vMerge/>
            <w:tcBorders>
              <w:top w:val="nil"/>
              <w:left w:val="single" w:sz="8" w:space="0" w:color="auto"/>
              <w:bottom w:val="single" w:sz="4" w:space="0" w:color="000000"/>
              <w:right w:val="nil"/>
            </w:tcBorders>
            <w:vAlign w:val="center"/>
            <w:hideMark/>
          </w:tcPr>
          <w:p w14:paraId="15F9F113"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30A21D20"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56442971"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0FF6C592"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09062CA3"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4CEB1E57"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72F7C120"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71600</w:t>
            </w:r>
          </w:p>
        </w:tc>
        <w:tc>
          <w:tcPr>
            <w:tcW w:w="1580" w:type="dxa"/>
            <w:tcBorders>
              <w:top w:val="nil"/>
              <w:left w:val="nil"/>
              <w:bottom w:val="single" w:sz="4" w:space="0" w:color="000000"/>
              <w:right w:val="single" w:sz="4" w:space="0" w:color="000000"/>
            </w:tcBorders>
            <w:shd w:val="clear" w:color="auto" w:fill="auto"/>
            <w:vAlign w:val="bottom"/>
            <w:hideMark/>
          </w:tcPr>
          <w:p w14:paraId="25B8DA71"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Travel</w:t>
            </w:r>
          </w:p>
        </w:tc>
        <w:tc>
          <w:tcPr>
            <w:tcW w:w="694" w:type="dxa"/>
            <w:tcBorders>
              <w:top w:val="nil"/>
              <w:left w:val="nil"/>
              <w:bottom w:val="single" w:sz="4" w:space="0" w:color="000000"/>
              <w:right w:val="single" w:sz="4" w:space="0" w:color="000000"/>
            </w:tcBorders>
            <w:shd w:val="clear" w:color="auto" w:fill="auto"/>
            <w:noWrap/>
            <w:vAlign w:val="bottom"/>
            <w:hideMark/>
          </w:tcPr>
          <w:p w14:paraId="3FA0F79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8,000 </w:t>
            </w:r>
          </w:p>
        </w:tc>
        <w:tc>
          <w:tcPr>
            <w:tcW w:w="805" w:type="dxa"/>
            <w:tcBorders>
              <w:top w:val="nil"/>
              <w:left w:val="nil"/>
              <w:bottom w:val="single" w:sz="4" w:space="0" w:color="000000"/>
              <w:right w:val="single" w:sz="4" w:space="0" w:color="000000"/>
            </w:tcBorders>
            <w:shd w:val="clear" w:color="auto" w:fill="auto"/>
            <w:noWrap/>
            <w:vAlign w:val="bottom"/>
            <w:hideMark/>
          </w:tcPr>
          <w:p w14:paraId="1D47543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26" w:type="dxa"/>
            <w:tcBorders>
              <w:top w:val="nil"/>
              <w:left w:val="nil"/>
              <w:bottom w:val="single" w:sz="4" w:space="0" w:color="000000"/>
              <w:right w:val="single" w:sz="4" w:space="0" w:color="000000"/>
            </w:tcBorders>
            <w:shd w:val="clear" w:color="auto" w:fill="auto"/>
            <w:noWrap/>
            <w:vAlign w:val="bottom"/>
            <w:hideMark/>
          </w:tcPr>
          <w:p w14:paraId="5475AAB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64" w:type="dxa"/>
            <w:tcBorders>
              <w:top w:val="nil"/>
              <w:left w:val="nil"/>
              <w:bottom w:val="single" w:sz="4" w:space="0" w:color="000000"/>
              <w:right w:val="single" w:sz="4" w:space="0" w:color="000000"/>
            </w:tcBorders>
            <w:shd w:val="clear" w:color="auto" w:fill="auto"/>
            <w:noWrap/>
            <w:vAlign w:val="bottom"/>
            <w:hideMark/>
          </w:tcPr>
          <w:p w14:paraId="4122792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34" w:type="dxa"/>
            <w:tcBorders>
              <w:top w:val="nil"/>
              <w:left w:val="nil"/>
              <w:bottom w:val="single" w:sz="4" w:space="0" w:color="000000"/>
              <w:right w:val="single" w:sz="4" w:space="0" w:color="000000"/>
            </w:tcBorders>
            <w:shd w:val="clear" w:color="auto" w:fill="auto"/>
            <w:noWrap/>
            <w:vAlign w:val="bottom"/>
            <w:hideMark/>
          </w:tcPr>
          <w:p w14:paraId="628DDA9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8,000 </w:t>
            </w:r>
          </w:p>
        </w:tc>
        <w:tc>
          <w:tcPr>
            <w:tcW w:w="827" w:type="dxa"/>
            <w:tcBorders>
              <w:top w:val="nil"/>
              <w:left w:val="nil"/>
              <w:bottom w:val="single" w:sz="4" w:space="0" w:color="000000"/>
              <w:right w:val="single" w:sz="4" w:space="0" w:color="000000"/>
            </w:tcBorders>
            <w:shd w:val="clear" w:color="auto" w:fill="auto"/>
            <w:noWrap/>
            <w:vAlign w:val="bottom"/>
            <w:hideMark/>
          </w:tcPr>
          <w:p w14:paraId="77082A3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8,000 </w:t>
            </w:r>
          </w:p>
        </w:tc>
        <w:tc>
          <w:tcPr>
            <w:tcW w:w="980" w:type="dxa"/>
            <w:tcBorders>
              <w:top w:val="single" w:sz="8" w:space="0" w:color="000000"/>
              <w:left w:val="nil"/>
              <w:bottom w:val="single" w:sz="4" w:space="0" w:color="000000"/>
              <w:right w:val="nil"/>
            </w:tcBorders>
            <w:shd w:val="clear" w:color="auto" w:fill="auto"/>
            <w:noWrap/>
            <w:vAlign w:val="bottom"/>
            <w:hideMark/>
          </w:tcPr>
          <w:p w14:paraId="0F47C1B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54,000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4EDF6591"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33 </w:t>
            </w:r>
          </w:p>
        </w:tc>
      </w:tr>
      <w:tr w:rsidR="007A7FA3" w:rsidRPr="007A7FA3" w14:paraId="1D3E9EA5" w14:textId="77777777" w:rsidTr="007A7FA3">
        <w:trPr>
          <w:trHeight w:val="255"/>
        </w:trPr>
        <w:tc>
          <w:tcPr>
            <w:tcW w:w="1086" w:type="dxa"/>
            <w:vMerge/>
            <w:tcBorders>
              <w:top w:val="nil"/>
              <w:left w:val="single" w:sz="8" w:space="0" w:color="auto"/>
              <w:bottom w:val="single" w:sz="4" w:space="0" w:color="000000"/>
              <w:right w:val="nil"/>
            </w:tcBorders>
            <w:vAlign w:val="center"/>
            <w:hideMark/>
          </w:tcPr>
          <w:p w14:paraId="4FFB7AFA"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7DA9A25B"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6FC67F95"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2D196127"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41B0EFE8"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3BF06FD9"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11FFA623"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72100</w:t>
            </w:r>
          </w:p>
        </w:tc>
        <w:tc>
          <w:tcPr>
            <w:tcW w:w="1580" w:type="dxa"/>
            <w:tcBorders>
              <w:top w:val="nil"/>
              <w:left w:val="nil"/>
              <w:bottom w:val="single" w:sz="4" w:space="0" w:color="000000"/>
              <w:right w:val="single" w:sz="4" w:space="0" w:color="000000"/>
            </w:tcBorders>
            <w:shd w:val="clear" w:color="auto" w:fill="auto"/>
            <w:vAlign w:val="bottom"/>
            <w:hideMark/>
          </w:tcPr>
          <w:p w14:paraId="17953913"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Contractual Services - Companies</w:t>
            </w:r>
          </w:p>
        </w:tc>
        <w:tc>
          <w:tcPr>
            <w:tcW w:w="694" w:type="dxa"/>
            <w:tcBorders>
              <w:top w:val="nil"/>
              <w:left w:val="nil"/>
              <w:bottom w:val="single" w:sz="4" w:space="0" w:color="000000"/>
              <w:right w:val="single" w:sz="4" w:space="0" w:color="000000"/>
            </w:tcBorders>
            <w:shd w:val="clear" w:color="auto" w:fill="auto"/>
            <w:noWrap/>
            <w:vAlign w:val="bottom"/>
            <w:hideMark/>
          </w:tcPr>
          <w:p w14:paraId="52BB55C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8,000 </w:t>
            </w:r>
          </w:p>
        </w:tc>
        <w:tc>
          <w:tcPr>
            <w:tcW w:w="805" w:type="dxa"/>
            <w:tcBorders>
              <w:top w:val="nil"/>
              <w:left w:val="nil"/>
              <w:bottom w:val="single" w:sz="4" w:space="0" w:color="000000"/>
              <w:right w:val="single" w:sz="4" w:space="0" w:color="000000"/>
            </w:tcBorders>
            <w:shd w:val="clear" w:color="auto" w:fill="auto"/>
            <w:noWrap/>
            <w:vAlign w:val="bottom"/>
            <w:hideMark/>
          </w:tcPr>
          <w:p w14:paraId="77D5D4B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14,000 </w:t>
            </w:r>
          </w:p>
        </w:tc>
        <w:tc>
          <w:tcPr>
            <w:tcW w:w="826" w:type="dxa"/>
            <w:tcBorders>
              <w:top w:val="nil"/>
              <w:left w:val="nil"/>
              <w:bottom w:val="single" w:sz="4" w:space="0" w:color="000000"/>
              <w:right w:val="single" w:sz="4" w:space="0" w:color="000000"/>
            </w:tcBorders>
            <w:shd w:val="clear" w:color="auto" w:fill="auto"/>
            <w:noWrap/>
            <w:vAlign w:val="bottom"/>
            <w:hideMark/>
          </w:tcPr>
          <w:p w14:paraId="614F014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64" w:type="dxa"/>
            <w:tcBorders>
              <w:top w:val="nil"/>
              <w:left w:val="nil"/>
              <w:bottom w:val="single" w:sz="4" w:space="0" w:color="000000"/>
              <w:right w:val="single" w:sz="4" w:space="0" w:color="000000"/>
            </w:tcBorders>
            <w:shd w:val="clear" w:color="auto" w:fill="auto"/>
            <w:noWrap/>
            <w:vAlign w:val="bottom"/>
            <w:hideMark/>
          </w:tcPr>
          <w:p w14:paraId="2EF181B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12,000 </w:t>
            </w:r>
          </w:p>
        </w:tc>
        <w:tc>
          <w:tcPr>
            <w:tcW w:w="834" w:type="dxa"/>
            <w:tcBorders>
              <w:top w:val="nil"/>
              <w:left w:val="nil"/>
              <w:bottom w:val="single" w:sz="4" w:space="0" w:color="000000"/>
              <w:right w:val="single" w:sz="4" w:space="0" w:color="000000"/>
            </w:tcBorders>
            <w:shd w:val="clear" w:color="auto" w:fill="auto"/>
            <w:noWrap/>
            <w:vAlign w:val="bottom"/>
            <w:hideMark/>
          </w:tcPr>
          <w:p w14:paraId="020A6A2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12,000 </w:t>
            </w:r>
          </w:p>
        </w:tc>
        <w:tc>
          <w:tcPr>
            <w:tcW w:w="827" w:type="dxa"/>
            <w:tcBorders>
              <w:top w:val="nil"/>
              <w:left w:val="nil"/>
              <w:bottom w:val="single" w:sz="4" w:space="0" w:color="000000"/>
              <w:right w:val="single" w:sz="4" w:space="0" w:color="000000"/>
            </w:tcBorders>
            <w:shd w:val="clear" w:color="auto" w:fill="auto"/>
            <w:noWrap/>
            <w:vAlign w:val="bottom"/>
            <w:hideMark/>
          </w:tcPr>
          <w:p w14:paraId="6496383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8,000 </w:t>
            </w:r>
          </w:p>
        </w:tc>
        <w:tc>
          <w:tcPr>
            <w:tcW w:w="980" w:type="dxa"/>
            <w:tcBorders>
              <w:top w:val="single" w:sz="8" w:space="0" w:color="000000"/>
              <w:left w:val="nil"/>
              <w:bottom w:val="single" w:sz="4" w:space="0" w:color="000000"/>
              <w:right w:val="nil"/>
            </w:tcBorders>
            <w:shd w:val="clear" w:color="auto" w:fill="auto"/>
            <w:noWrap/>
            <w:vAlign w:val="bottom"/>
            <w:hideMark/>
          </w:tcPr>
          <w:p w14:paraId="71F8B4E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64,000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6D4222D1"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34 </w:t>
            </w:r>
          </w:p>
        </w:tc>
      </w:tr>
      <w:tr w:rsidR="007A7FA3" w:rsidRPr="007A7FA3" w14:paraId="2FB3DBCB" w14:textId="77777777" w:rsidTr="007A7FA3">
        <w:trPr>
          <w:trHeight w:val="300"/>
        </w:trPr>
        <w:tc>
          <w:tcPr>
            <w:tcW w:w="1086" w:type="dxa"/>
            <w:vMerge/>
            <w:tcBorders>
              <w:top w:val="nil"/>
              <w:left w:val="single" w:sz="8" w:space="0" w:color="auto"/>
              <w:bottom w:val="single" w:sz="4" w:space="0" w:color="000000"/>
              <w:right w:val="nil"/>
            </w:tcBorders>
            <w:vAlign w:val="center"/>
            <w:hideMark/>
          </w:tcPr>
          <w:p w14:paraId="0658D704"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193D7B57"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66B165A3"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3E94FE6C"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74F157C3"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69C0CE92"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24C1A543"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72400</w:t>
            </w:r>
          </w:p>
        </w:tc>
        <w:tc>
          <w:tcPr>
            <w:tcW w:w="1580" w:type="dxa"/>
            <w:tcBorders>
              <w:top w:val="nil"/>
              <w:left w:val="nil"/>
              <w:bottom w:val="single" w:sz="4" w:space="0" w:color="000000"/>
              <w:right w:val="single" w:sz="4" w:space="0" w:color="000000"/>
            </w:tcBorders>
            <w:shd w:val="clear" w:color="auto" w:fill="auto"/>
            <w:vAlign w:val="bottom"/>
            <w:hideMark/>
          </w:tcPr>
          <w:p w14:paraId="33EDB63C"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Communic &amp; Audio Visual Equip</w:t>
            </w:r>
          </w:p>
        </w:tc>
        <w:tc>
          <w:tcPr>
            <w:tcW w:w="694" w:type="dxa"/>
            <w:tcBorders>
              <w:top w:val="nil"/>
              <w:left w:val="nil"/>
              <w:bottom w:val="single" w:sz="4" w:space="0" w:color="000000"/>
              <w:right w:val="single" w:sz="4" w:space="0" w:color="000000"/>
            </w:tcBorders>
            <w:shd w:val="clear" w:color="auto" w:fill="auto"/>
            <w:noWrap/>
            <w:vAlign w:val="bottom"/>
            <w:hideMark/>
          </w:tcPr>
          <w:p w14:paraId="4174ECC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3,000 </w:t>
            </w:r>
          </w:p>
        </w:tc>
        <w:tc>
          <w:tcPr>
            <w:tcW w:w="805" w:type="dxa"/>
            <w:tcBorders>
              <w:top w:val="nil"/>
              <w:left w:val="nil"/>
              <w:bottom w:val="single" w:sz="4" w:space="0" w:color="000000"/>
              <w:right w:val="single" w:sz="4" w:space="0" w:color="000000"/>
            </w:tcBorders>
            <w:shd w:val="clear" w:color="auto" w:fill="auto"/>
            <w:noWrap/>
            <w:vAlign w:val="bottom"/>
            <w:hideMark/>
          </w:tcPr>
          <w:p w14:paraId="3DAD0F2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5,000 </w:t>
            </w:r>
          </w:p>
        </w:tc>
        <w:tc>
          <w:tcPr>
            <w:tcW w:w="826" w:type="dxa"/>
            <w:tcBorders>
              <w:top w:val="nil"/>
              <w:left w:val="nil"/>
              <w:bottom w:val="single" w:sz="4" w:space="0" w:color="000000"/>
              <w:right w:val="single" w:sz="4" w:space="0" w:color="000000"/>
            </w:tcBorders>
            <w:shd w:val="clear" w:color="auto" w:fill="auto"/>
            <w:noWrap/>
            <w:vAlign w:val="bottom"/>
            <w:hideMark/>
          </w:tcPr>
          <w:p w14:paraId="332AF1C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8,000 </w:t>
            </w:r>
          </w:p>
        </w:tc>
        <w:tc>
          <w:tcPr>
            <w:tcW w:w="864" w:type="dxa"/>
            <w:tcBorders>
              <w:top w:val="nil"/>
              <w:left w:val="nil"/>
              <w:bottom w:val="single" w:sz="4" w:space="0" w:color="000000"/>
              <w:right w:val="single" w:sz="4" w:space="0" w:color="000000"/>
            </w:tcBorders>
            <w:shd w:val="clear" w:color="auto" w:fill="auto"/>
            <w:noWrap/>
            <w:vAlign w:val="bottom"/>
            <w:hideMark/>
          </w:tcPr>
          <w:p w14:paraId="118967D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8,000 </w:t>
            </w:r>
          </w:p>
        </w:tc>
        <w:tc>
          <w:tcPr>
            <w:tcW w:w="834" w:type="dxa"/>
            <w:tcBorders>
              <w:top w:val="nil"/>
              <w:left w:val="nil"/>
              <w:bottom w:val="single" w:sz="4" w:space="0" w:color="000000"/>
              <w:right w:val="single" w:sz="4" w:space="0" w:color="000000"/>
            </w:tcBorders>
            <w:shd w:val="clear" w:color="auto" w:fill="auto"/>
            <w:noWrap/>
            <w:vAlign w:val="bottom"/>
            <w:hideMark/>
          </w:tcPr>
          <w:p w14:paraId="5F62283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6,000 </w:t>
            </w:r>
          </w:p>
        </w:tc>
        <w:tc>
          <w:tcPr>
            <w:tcW w:w="827" w:type="dxa"/>
            <w:tcBorders>
              <w:top w:val="nil"/>
              <w:left w:val="nil"/>
              <w:bottom w:val="single" w:sz="4" w:space="0" w:color="000000"/>
              <w:right w:val="single" w:sz="4" w:space="0" w:color="000000"/>
            </w:tcBorders>
            <w:shd w:val="clear" w:color="auto" w:fill="auto"/>
            <w:noWrap/>
            <w:vAlign w:val="bottom"/>
            <w:hideMark/>
          </w:tcPr>
          <w:p w14:paraId="53AE39F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3,000 </w:t>
            </w:r>
          </w:p>
        </w:tc>
        <w:tc>
          <w:tcPr>
            <w:tcW w:w="980" w:type="dxa"/>
            <w:tcBorders>
              <w:top w:val="single" w:sz="8" w:space="0" w:color="000000"/>
              <w:left w:val="nil"/>
              <w:bottom w:val="single" w:sz="4" w:space="0" w:color="000000"/>
              <w:right w:val="nil"/>
            </w:tcBorders>
            <w:shd w:val="clear" w:color="auto" w:fill="auto"/>
            <w:noWrap/>
            <w:vAlign w:val="bottom"/>
            <w:hideMark/>
          </w:tcPr>
          <w:p w14:paraId="5DF1E2F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33,000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239BEBDA"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35 </w:t>
            </w:r>
          </w:p>
        </w:tc>
      </w:tr>
      <w:tr w:rsidR="007A7FA3" w:rsidRPr="007A7FA3" w14:paraId="04AEAE0D" w14:textId="77777777" w:rsidTr="007A7FA3">
        <w:trPr>
          <w:trHeight w:val="240"/>
        </w:trPr>
        <w:tc>
          <w:tcPr>
            <w:tcW w:w="1086" w:type="dxa"/>
            <w:vMerge/>
            <w:tcBorders>
              <w:top w:val="nil"/>
              <w:left w:val="single" w:sz="8" w:space="0" w:color="auto"/>
              <w:bottom w:val="single" w:sz="4" w:space="0" w:color="000000"/>
              <w:right w:val="nil"/>
            </w:tcBorders>
            <w:vAlign w:val="center"/>
            <w:hideMark/>
          </w:tcPr>
          <w:p w14:paraId="2203CD2B"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06E2BCF9"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43784179" w14:textId="77777777" w:rsidR="007A7FA3" w:rsidRPr="007A7FA3" w:rsidRDefault="007A7FA3" w:rsidP="007A7FA3">
            <w:pPr>
              <w:rPr>
                <w:rFonts w:ascii="Calibri" w:hAnsi="Calibri" w:cs="Calibri"/>
                <w:i/>
                <w:iCs/>
                <w:color w:val="000000"/>
                <w:sz w:val="13"/>
                <w:szCs w:val="13"/>
              </w:rPr>
            </w:pPr>
          </w:p>
        </w:tc>
        <w:tc>
          <w:tcPr>
            <w:tcW w:w="3763" w:type="dxa"/>
            <w:gridSpan w:val="5"/>
            <w:tcBorders>
              <w:top w:val="single" w:sz="4" w:space="0" w:color="000000"/>
              <w:left w:val="nil"/>
              <w:bottom w:val="single" w:sz="4" w:space="0" w:color="000000"/>
              <w:right w:val="single" w:sz="4" w:space="0" w:color="000000"/>
            </w:tcBorders>
            <w:shd w:val="clear" w:color="auto" w:fill="auto"/>
            <w:vAlign w:val="center"/>
            <w:hideMark/>
          </w:tcPr>
          <w:p w14:paraId="77748E74"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Total BCC</w:t>
            </w:r>
          </w:p>
        </w:tc>
        <w:tc>
          <w:tcPr>
            <w:tcW w:w="694" w:type="dxa"/>
            <w:tcBorders>
              <w:top w:val="nil"/>
              <w:left w:val="nil"/>
              <w:bottom w:val="single" w:sz="4" w:space="0" w:color="000000"/>
              <w:right w:val="single" w:sz="4" w:space="0" w:color="000000"/>
            </w:tcBorders>
            <w:shd w:val="clear" w:color="auto" w:fill="auto"/>
            <w:noWrap/>
            <w:vAlign w:val="bottom"/>
            <w:hideMark/>
          </w:tcPr>
          <w:p w14:paraId="4D89EDA1"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38,000 </w:t>
            </w:r>
          </w:p>
        </w:tc>
        <w:tc>
          <w:tcPr>
            <w:tcW w:w="805" w:type="dxa"/>
            <w:tcBorders>
              <w:top w:val="nil"/>
              <w:left w:val="nil"/>
              <w:bottom w:val="single" w:sz="4" w:space="0" w:color="000000"/>
              <w:right w:val="single" w:sz="4" w:space="0" w:color="000000"/>
            </w:tcBorders>
            <w:shd w:val="clear" w:color="auto" w:fill="auto"/>
            <w:noWrap/>
            <w:vAlign w:val="bottom"/>
            <w:hideMark/>
          </w:tcPr>
          <w:p w14:paraId="3F6E0C22"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49,500 </w:t>
            </w:r>
          </w:p>
        </w:tc>
        <w:tc>
          <w:tcPr>
            <w:tcW w:w="826" w:type="dxa"/>
            <w:tcBorders>
              <w:top w:val="nil"/>
              <w:left w:val="nil"/>
              <w:bottom w:val="single" w:sz="4" w:space="0" w:color="000000"/>
              <w:right w:val="single" w:sz="4" w:space="0" w:color="000000"/>
            </w:tcBorders>
            <w:shd w:val="clear" w:color="auto" w:fill="auto"/>
            <w:noWrap/>
            <w:vAlign w:val="bottom"/>
            <w:hideMark/>
          </w:tcPr>
          <w:p w14:paraId="7BD45B99"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49,000 </w:t>
            </w:r>
          </w:p>
        </w:tc>
        <w:tc>
          <w:tcPr>
            <w:tcW w:w="864" w:type="dxa"/>
            <w:tcBorders>
              <w:top w:val="nil"/>
              <w:left w:val="nil"/>
              <w:bottom w:val="single" w:sz="4" w:space="0" w:color="000000"/>
              <w:right w:val="single" w:sz="4" w:space="0" w:color="000000"/>
            </w:tcBorders>
            <w:shd w:val="clear" w:color="auto" w:fill="auto"/>
            <w:noWrap/>
            <w:vAlign w:val="bottom"/>
            <w:hideMark/>
          </w:tcPr>
          <w:p w14:paraId="1CCB0853"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46,000 </w:t>
            </w:r>
          </w:p>
        </w:tc>
        <w:tc>
          <w:tcPr>
            <w:tcW w:w="834" w:type="dxa"/>
            <w:tcBorders>
              <w:top w:val="nil"/>
              <w:left w:val="nil"/>
              <w:bottom w:val="single" w:sz="4" w:space="0" w:color="000000"/>
              <w:right w:val="single" w:sz="4" w:space="0" w:color="000000"/>
            </w:tcBorders>
            <w:shd w:val="clear" w:color="auto" w:fill="auto"/>
            <w:noWrap/>
            <w:vAlign w:val="bottom"/>
            <w:hideMark/>
          </w:tcPr>
          <w:p w14:paraId="340B28DA"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40,490 </w:t>
            </w:r>
          </w:p>
        </w:tc>
        <w:tc>
          <w:tcPr>
            <w:tcW w:w="827" w:type="dxa"/>
            <w:tcBorders>
              <w:top w:val="nil"/>
              <w:left w:val="nil"/>
              <w:bottom w:val="single" w:sz="4" w:space="0" w:color="000000"/>
              <w:right w:val="single" w:sz="4" w:space="0" w:color="000000"/>
            </w:tcBorders>
            <w:shd w:val="clear" w:color="auto" w:fill="auto"/>
            <w:noWrap/>
            <w:vAlign w:val="bottom"/>
            <w:hideMark/>
          </w:tcPr>
          <w:p w14:paraId="2B2AFEBA"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33,000 </w:t>
            </w:r>
          </w:p>
        </w:tc>
        <w:tc>
          <w:tcPr>
            <w:tcW w:w="980" w:type="dxa"/>
            <w:tcBorders>
              <w:top w:val="single" w:sz="8" w:space="0" w:color="000000"/>
              <w:left w:val="nil"/>
              <w:bottom w:val="single" w:sz="4" w:space="0" w:color="000000"/>
              <w:right w:val="nil"/>
            </w:tcBorders>
            <w:shd w:val="clear" w:color="auto" w:fill="auto"/>
            <w:noWrap/>
            <w:vAlign w:val="bottom"/>
            <w:hideMark/>
          </w:tcPr>
          <w:p w14:paraId="2B7ADCA5"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255,990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236F6CD3"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4DD92CB0" w14:textId="77777777" w:rsidTr="007A7FA3">
        <w:trPr>
          <w:trHeight w:val="210"/>
        </w:trPr>
        <w:tc>
          <w:tcPr>
            <w:tcW w:w="1086" w:type="dxa"/>
            <w:vMerge/>
            <w:tcBorders>
              <w:top w:val="nil"/>
              <w:left w:val="single" w:sz="8" w:space="0" w:color="auto"/>
              <w:bottom w:val="single" w:sz="4" w:space="0" w:color="000000"/>
              <w:right w:val="nil"/>
            </w:tcBorders>
            <w:vAlign w:val="center"/>
            <w:hideMark/>
          </w:tcPr>
          <w:p w14:paraId="3C57E291"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129BB736" w14:textId="77777777" w:rsidR="007A7FA3" w:rsidRPr="007A7FA3" w:rsidRDefault="007A7FA3" w:rsidP="007A7FA3">
            <w:pPr>
              <w:rPr>
                <w:rFonts w:ascii="Calibri" w:hAnsi="Calibri" w:cs="Calibri"/>
                <w:i/>
                <w:iCs/>
                <w:color w:val="000000"/>
                <w:sz w:val="13"/>
                <w:szCs w:val="13"/>
              </w:rPr>
            </w:pPr>
          </w:p>
        </w:tc>
        <w:tc>
          <w:tcPr>
            <w:tcW w:w="5779" w:type="dxa"/>
            <w:gridSpan w:val="6"/>
            <w:tcBorders>
              <w:top w:val="nil"/>
              <w:left w:val="nil"/>
              <w:bottom w:val="single" w:sz="4" w:space="0" w:color="000000"/>
              <w:right w:val="single" w:sz="4" w:space="0" w:color="000000"/>
            </w:tcBorders>
            <w:shd w:val="clear" w:color="auto" w:fill="auto"/>
            <w:vAlign w:val="center"/>
            <w:hideMark/>
          </w:tcPr>
          <w:p w14:paraId="7AD0409F" w14:textId="77777777" w:rsidR="007A7FA3" w:rsidRPr="007A7FA3" w:rsidRDefault="007A7FA3" w:rsidP="007A7FA3">
            <w:pPr>
              <w:rPr>
                <w:rFonts w:ascii="Calibri" w:hAnsi="Calibri" w:cs="Calibri"/>
                <w:b/>
                <w:bCs/>
                <w:i/>
                <w:iCs/>
                <w:color w:val="000000"/>
                <w:sz w:val="13"/>
                <w:szCs w:val="13"/>
              </w:rPr>
            </w:pPr>
            <w:r w:rsidRPr="007A7FA3">
              <w:rPr>
                <w:rFonts w:ascii="Calibri" w:hAnsi="Calibri" w:cs="Calibri"/>
                <w:b/>
                <w:bCs/>
                <w:i/>
                <w:iCs/>
                <w:color w:val="000000"/>
                <w:sz w:val="13"/>
                <w:szCs w:val="13"/>
              </w:rPr>
              <w:t>Total Output 1.3.1</w:t>
            </w:r>
          </w:p>
        </w:tc>
        <w:tc>
          <w:tcPr>
            <w:tcW w:w="694" w:type="dxa"/>
            <w:tcBorders>
              <w:top w:val="nil"/>
              <w:left w:val="nil"/>
              <w:bottom w:val="single" w:sz="4" w:space="0" w:color="000000"/>
              <w:right w:val="single" w:sz="4" w:space="0" w:color="000000"/>
            </w:tcBorders>
            <w:shd w:val="clear" w:color="auto" w:fill="auto"/>
            <w:noWrap/>
            <w:vAlign w:val="bottom"/>
            <w:hideMark/>
          </w:tcPr>
          <w:p w14:paraId="224C01D5"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38,000 </w:t>
            </w:r>
          </w:p>
        </w:tc>
        <w:tc>
          <w:tcPr>
            <w:tcW w:w="805" w:type="dxa"/>
            <w:tcBorders>
              <w:top w:val="nil"/>
              <w:left w:val="nil"/>
              <w:bottom w:val="single" w:sz="4" w:space="0" w:color="000000"/>
              <w:right w:val="single" w:sz="4" w:space="0" w:color="000000"/>
            </w:tcBorders>
            <w:shd w:val="clear" w:color="auto" w:fill="auto"/>
            <w:noWrap/>
            <w:vAlign w:val="bottom"/>
            <w:hideMark/>
          </w:tcPr>
          <w:p w14:paraId="58EF1BC6"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49,500 </w:t>
            </w:r>
          </w:p>
        </w:tc>
        <w:tc>
          <w:tcPr>
            <w:tcW w:w="826" w:type="dxa"/>
            <w:tcBorders>
              <w:top w:val="nil"/>
              <w:left w:val="nil"/>
              <w:bottom w:val="single" w:sz="4" w:space="0" w:color="000000"/>
              <w:right w:val="single" w:sz="4" w:space="0" w:color="000000"/>
            </w:tcBorders>
            <w:shd w:val="clear" w:color="auto" w:fill="auto"/>
            <w:noWrap/>
            <w:vAlign w:val="bottom"/>
            <w:hideMark/>
          </w:tcPr>
          <w:p w14:paraId="68095B23"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49,000 </w:t>
            </w:r>
          </w:p>
        </w:tc>
        <w:tc>
          <w:tcPr>
            <w:tcW w:w="864" w:type="dxa"/>
            <w:tcBorders>
              <w:top w:val="nil"/>
              <w:left w:val="nil"/>
              <w:bottom w:val="single" w:sz="4" w:space="0" w:color="000000"/>
              <w:right w:val="single" w:sz="4" w:space="0" w:color="000000"/>
            </w:tcBorders>
            <w:shd w:val="clear" w:color="auto" w:fill="auto"/>
            <w:noWrap/>
            <w:vAlign w:val="bottom"/>
            <w:hideMark/>
          </w:tcPr>
          <w:p w14:paraId="49FA303F"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46,000 </w:t>
            </w:r>
          </w:p>
        </w:tc>
        <w:tc>
          <w:tcPr>
            <w:tcW w:w="834" w:type="dxa"/>
            <w:tcBorders>
              <w:top w:val="nil"/>
              <w:left w:val="nil"/>
              <w:bottom w:val="single" w:sz="4" w:space="0" w:color="000000"/>
              <w:right w:val="single" w:sz="4" w:space="0" w:color="000000"/>
            </w:tcBorders>
            <w:shd w:val="clear" w:color="auto" w:fill="auto"/>
            <w:noWrap/>
            <w:vAlign w:val="bottom"/>
            <w:hideMark/>
          </w:tcPr>
          <w:p w14:paraId="1E19B542"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40,490 </w:t>
            </w:r>
          </w:p>
        </w:tc>
        <w:tc>
          <w:tcPr>
            <w:tcW w:w="827" w:type="dxa"/>
            <w:tcBorders>
              <w:top w:val="nil"/>
              <w:left w:val="nil"/>
              <w:bottom w:val="single" w:sz="4" w:space="0" w:color="000000"/>
              <w:right w:val="single" w:sz="4" w:space="0" w:color="000000"/>
            </w:tcBorders>
            <w:shd w:val="clear" w:color="auto" w:fill="auto"/>
            <w:noWrap/>
            <w:vAlign w:val="bottom"/>
            <w:hideMark/>
          </w:tcPr>
          <w:p w14:paraId="5B4B6CAE"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33,000 </w:t>
            </w:r>
          </w:p>
        </w:tc>
        <w:tc>
          <w:tcPr>
            <w:tcW w:w="980" w:type="dxa"/>
            <w:tcBorders>
              <w:top w:val="nil"/>
              <w:left w:val="nil"/>
              <w:bottom w:val="single" w:sz="4" w:space="0" w:color="000000"/>
              <w:right w:val="nil"/>
            </w:tcBorders>
            <w:shd w:val="clear" w:color="auto" w:fill="auto"/>
            <w:noWrap/>
            <w:vAlign w:val="bottom"/>
            <w:hideMark/>
          </w:tcPr>
          <w:p w14:paraId="779548E4"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255,990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351A526F"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7AA3758C" w14:textId="77777777" w:rsidTr="007A7FA3">
        <w:trPr>
          <w:trHeight w:val="270"/>
        </w:trPr>
        <w:tc>
          <w:tcPr>
            <w:tcW w:w="1086" w:type="dxa"/>
            <w:vMerge/>
            <w:tcBorders>
              <w:top w:val="nil"/>
              <w:left w:val="single" w:sz="8" w:space="0" w:color="auto"/>
              <w:bottom w:val="single" w:sz="4" w:space="0" w:color="000000"/>
              <w:right w:val="nil"/>
            </w:tcBorders>
            <w:vAlign w:val="center"/>
            <w:hideMark/>
          </w:tcPr>
          <w:p w14:paraId="1F9436E7" w14:textId="77777777" w:rsidR="007A7FA3" w:rsidRPr="007A7FA3" w:rsidRDefault="007A7FA3" w:rsidP="007A7FA3">
            <w:pPr>
              <w:rPr>
                <w:rFonts w:ascii="Calibri" w:hAnsi="Calibri" w:cs="Calibri"/>
                <w:i/>
                <w:iCs/>
                <w:color w:val="000000"/>
                <w:sz w:val="13"/>
                <w:szCs w:val="13"/>
              </w:rPr>
            </w:pPr>
          </w:p>
        </w:tc>
        <w:tc>
          <w:tcPr>
            <w:tcW w:w="6650" w:type="dxa"/>
            <w:gridSpan w:val="7"/>
            <w:tcBorders>
              <w:top w:val="nil"/>
              <w:left w:val="single" w:sz="4" w:space="0" w:color="000000"/>
              <w:bottom w:val="single" w:sz="4" w:space="0" w:color="000000"/>
              <w:right w:val="single" w:sz="4" w:space="0" w:color="000000"/>
            </w:tcBorders>
            <w:shd w:val="clear" w:color="FEF2CB" w:fill="FEF2CB"/>
            <w:vAlign w:val="center"/>
            <w:hideMark/>
          </w:tcPr>
          <w:p w14:paraId="140B0307" w14:textId="77777777" w:rsidR="007A7FA3" w:rsidRPr="007A7FA3" w:rsidRDefault="007A7FA3" w:rsidP="007A7FA3">
            <w:pPr>
              <w:rPr>
                <w:rFonts w:ascii="Calibri" w:hAnsi="Calibri" w:cs="Calibri"/>
                <w:b/>
                <w:bCs/>
                <w:i/>
                <w:iCs/>
                <w:color w:val="000000"/>
                <w:sz w:val="13"/>
                <w:szCs w:val="13"/>
              </w:rPr>
            </w:pPr>
            <w:r w:rsidRPr="007A7FA3">
              <w:rPr>
                <w:rFonts w:ascii="Calibri" w:hAnsi="Calibri" w:cs="Calibri"/>
                <w:b/>
                <w:bCs/>
                <w:i/>
                <w:iCs/>
                <w:color w:val="000000"/>
                <w:sz w:val="13"/>
                <w:szCs w:val="13"/>
              </w:rPr>
              <w:t>Total Outcome 1.3</w:t>
            </w:r>
          </w:p>
        </w:tc>
        <w:tc>
          <w:tcPr>
            <w:tcW w:w="694" w:type="dxa"/>
            <w:tcBorders>
              <w:top w:val="nil"/>
              <w:left w:val="nil"/>
              <w:bottom w:val="single" w:sz="4" w:space="0" w:color="000000"/>
              <w:right w:val="single" w:sz="4" w:space="0" w:color="000000"/>
            </w:tcBorders>
            <w:shd w:val="clear" w:color="FEF2CB" w:fill="FEF2CB"/>
            <w:noWrap/>
            <w:vAlign w:val="bottom"/>
            <w:hideMark/>
          </w:tcPr>
          <w:p w14:paraId="057FE57C"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38,000 </w:t>
            </w:r>
          </w:p>
        </w:tc>
        <w:tc>
          <w:tcPr>
            <w:tcW w:w="805" w:type="dxa"/>
            <w:tcBorders>
              <w:top w:val="nil"/>
              <w:left w:val="nil"/>
              <w:bottom w:val="single" w:sz="4" w:space="0" w:color="000000"/>
              <w:right w:val="single" w:sz="4" w:space="0" w:color="000000"/>
            </w:tcBorders>
            <w:shd w:val="clear" w:color="FEF2CB" w:fill="FEF2CB"/>
            <w:noWrap/>
            <w:vAlign w:val="bottom"/>
            <w:hideMark/>
          </w:tcPr>
          <w:p w14:paraId="16937388"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49,500 </w:t>
            </w:r>
          </w:p>
        </w:tc>
        <w:tc>
          <w:tcPr>
            <w:tcW w:w="826" w:type="dxa"/>
            <w:tcBorders>
              <w:top w:val="nil"/>
              <w:left w:val="nil"/>
              <w:bottom w:val="single" w:sz="4" w:space="0" w:color="000000"/>
              <w:right w:val="single" w:sz="4" w:space="0" w:color="000000"/>
            </w:tcBorders>
            <w:shd w:val="clear" w:color="FEF2CB" w:fill="FEF2CB"/>
            <w:noWrap/>
            <w:vAlign w:val="bottom"/>
            <w:hideMark/>
          </w:tcPr>
          <w:p w14:paraId="31C3E5B3"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49,000 </w:t>
            </w:r>
          </w:p>
        </w:tc>
        <w:tc>
          <w:tcPr>
            <w:tcW w:w="864" w:type="dxa"/>
            <w:tcBorders>
              <w:top w:val="nil"/>
              <w:left w:val="nil"/>
              <w:bottom w:val="single" w:sz="4" w:space="0" w:color="000000"/>
              <w:right w:val="single" w:sz="4" w:space="0" w:color="000000"/>
            </w:tcBorders>
            <w:shd w:val="clear" w:color="FEF2CB" w:fill="FEF2CB"/>
            <w:noWrap/>
            <w:vAlign w:val="bottom"/>
            <w:hideMark/>
          </w:tcPr>
          <w:p w14:paraId="434FCDD5"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46,000 </w:t>
            </w:r>
          </w:p>
        </w:tc>
        <w:tc>
          <w:tcPr>
            <w:tcW w:w="834" w:type="dxa"/>
            <w:tcBorders>
              <w:top w:val="nil"/>
              <w:left w:val="nil"/>
              <w:bottom w:val="single" w:sz="4" w:space="0" w:color="000000"/>
              <w:right w:val="single" w:sz="4" w:space="0" w:color="000000"/>
            </w:tcBorders>
            <w:shd w:val="clear" w:color="FEF2CB" w:fill="FEF2CB"/>
            <w:noWrap/>
            <w:vAlign w:val="bottom"/>
            <w:hideMark/>
          </w:tcPr>
          <w:p w14:paraId="67983AFE"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40,490 </w:t>
            </w:r>
          </w:p>
        </w:tc>
        <w:tc>
          <w:tcPr>
            <w:tcW w:w="827" w:type="dxa"/>
            <w:tcBorders>
              <w:top w:val="nil"/>
              <w:left w:val="nil"/>
              <w:bottom w:val="single" w:sz="4" w:space="0" w:color="000000"/>
              <w:right w:val="single" w:sz="4" w:space="0" w:color="000000"/>
            </w:tcBorders>
            <w:shd w:val="clear" w:color="FEF2CB" w:fill="FEF2CB"/>
            <w:noWrap/>
            <w:vAlign w:val="bottom"/>
            <w:hideMark/>
          </w:tcPr>
          <w:p w14:paraId="561C2193"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33,000 </w:t>
            </w:r>
          </w:p>
        </w:tc>
        <w:tc>
          <w:tcPr>
            <w:tcW w:w="980" w:type="dxa"/>
            <w:tcBorders>
              <w:top w:val="nil"/>
              <w:left w:val="nil"/>
              <w:bottom w:val="single" w:sz="4" w:space="0" w:color="000000"/>
              <w:right w:val="nil"/>
            </w:tcBorders>
            <w:shd w:val="clear" w:color="FEF2CB" w:fill="FEF2CB"/>
            <w:noWrap/>
            <w:vAlign w:val="bottom"/>
            <w:hideMark/>
          </w:tcPr>
          <w:p w14:paraId="1040F58C"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255,990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2718B9FA"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0CCE2418" w14:textId="77777777" w:rsidTr="007A7FA3">
        <w:trPr>
          <w:trHeight w:val="270"/>
        </w:trPr>
        <w:tc>
          <w:tcPr>
            <w:tcW w:w="1086" w:type="dxa"/>
            <w:vMerge/>
            <w:tcBorders>
              <w:top w:val="nil"/>
              <w:left w:val="single" w:sz="8" w:space="0" w:color="auto"/>
              <w:bottom w:val="single" w:sz="4" w:space="0" w:color="000000"/>
              <w:right w:val="nil"/>
            </w:tcBorders>
            <w:vAlign w:val="center"/>
            <w:hideMark/>
          </w:tcPr>
          <w:p w14:paraId="6BE171DE" w14:textId="77777777" w:rsidR="007A7FA3" w:rsidRPr="007A7FA3" w:rsidRDefault="007A7FA3" w:rsidP="007A7FA3">
            <w:pPr>
              <w:rPr>
                <w:rFonts w:ascii="Calibri" w:hAnsi="Calibri" w:cs="Calibri"/>
                <w:i/>
                <w:iCs/>
                <w:color w:val="000000"/>
                <w:sz w:val="13"/>
                <w:szCs w:val="13"/>
              </w:rPr>
            </w:pPr>
          </w:p>
        </w:tc>
        <w:tc>
          <w:tcPr>
            <w:tcW w:w="871"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42DA5526"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1.4: Minimise impacts of exploration and extraction of non-living marine resources (NLMR) on critical marine and coastal ecosystems through regulation and industry action</w:t>
            </w:r>
          </w:p>
        </w:tc>
        <w:tc>
          <w:tcPr>
            <w:tcW w:w="2016" w:type="dxa"/>
            <w:vMerge w:val="restart"/>
            <w:tcBorders>
              <w:top w:val="nil"/>
              <w:left w:val="nil"/>
              <w:bottom w:val="single" w:sz="4" w:space="0" w:color="000000"/>
              <w:right w:val="single" w:sz="4" w:space="0" w:color="000000"/>
            </w:tcBorders>
            <w:shd w:val="clear" w:color="auto" w:fill="auto"/>
            <w:vAlign w:val="center"/>
            <w:hideMark/>
          </w:tcPr>
          <w:p w14:paraId="4D016440"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1.4.1: Policy and legislative frameworks strengthened to minimize adverse impacts of extractive activities in the BCLME</w:t>
            </w:r>
          </w:p>
        </w:tc>
        <w:tc>
          <w:tcPr>
            <w:tcW w:w="631" w:type="dxa"/>
            <w:vMerge w:val="restart"/>
            <w:tcBorders>
              <w:top w:val="nil"/>
              <w:left w:val="nil"/>
              <w:bottom w:val="nil"/>
              <w:right w:val="nil"/>
            </w:tcBorders>
            <w:shd w:val="clear" w:color="auto" w:fill="auto"/>
            <w:vAlign w:val="center"/>
            <w:hideMark/>
          </w:tcPr>
          <w:p w14:paraId="496FD619"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BCC</w:t>
            </w:r>
          </w:p>
        </w:tc>
        <w:tc>
          <w:tcPr>
            <w:tcW w:w="504" w:type="dxa"/>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627557AB"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val="restart"/>
            <w:tcBorders>
              <w:top w:val="nil"/>
              <w:left w:val="single" w:sz="4" w:space="0" w:color="000000"/>
              <w:bottom w:val="nil"/>
              <w:right w:val="nil"/>
            </w:tcBorders>
            <w:shd w:val="clear" w:color="auto" w:fill="auto"/>
            <w:vAlign w:val="center"/>
            <w:hideMark/>
          </w:tcPr>
          <w:p w14:paraId="4AB12C1D"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w:t>
            </w:r>
          </w:p>
        </w:tc>
        <w:tc>
          <w:tcPr>
            <w:tcW w:w="544" w:type="dxa"/>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09F62B15"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71200</w:t>
            </w:r>
          </w:p>
        </w:tc>
        <w:tc>
          <w:tcPr>
            <w:tcW w:w="1580" w:type="dxa"/>
            <w:tcBorders>
              <w:top w:val="single" w:sz="8" w:space="0" w:color="000000"/>
              <w:left w:val="nil"/>
              <w:bottom w:val="single" w:sz="4" w:space="0" w:color="000000"/>
              <w:right w:val="single" w:sz="4" w:space="0" w:color="000000"/>
            </w:tcBorders>
            <w:shd w:val="clear" w:color="auto" w:fill="auto"/>
            <w:vAlign w:val="bottom"/>
            <w:hideMark/>
          </w:tcPr>
          <w:p w14:paraId="43DF703D"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International Consultants</w:t>
            </w:r>
          </w:p>
        </w:tc>
        <w:tc>
          <w:tcPr>
            <w:tcW w:w="694" w:type="dxa"/>
            <w:tcBorders>
              <w:top w:val="single" w:sz="8" w:space="0" w:color="000000"/>
              <w:left w:val="nil"/>
              <w:bottom w:val="single" w:sz="4" w:space="0" w:color="000000"/>
              <w:right w:val="single" w:sz="4" w:space="0" w:color="000000"/>
            </w:tcBorders>
            <w:shd w:val="clear" w:color="auto" w:fill="auto"/>
            <w:noWrap/>
            <w:vAlign w:val="bottom"/>
            <w:hideMark/>
          </w:tcPr>
          <w:p w14:paraId="6DE1A30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23,600 </w:t>
            </w:r>
          </w:p>
        </w:tc>
        <w:tc>
          <w:tcPr>
            <w:tcW w:w="805" w:type="dxa"/>
            <w:tcBorders>
              <w:top w:val="single" w:sz="8" w:space="0" w:color="000000"/>
              <w:left w:val="nil"/>
              <w:bottom w:val="single" w:sz="4" w:space="0" w:color="000000"/>
              <w:right w:val="single" w:sz="4" w:space="0" w:color="000000"/>
            </w:tcBorders>
            <w:shd w:val="clear" w:color="auto" w:fill="auto"/>
            <w:noWrap/>
            <w:vAlign w:val="bottom"/>
            <w:hideMark/>
          </w:tcPr>
          <w:p w14:paraId="04395A8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6" w:type="dxa"/>
            <w:tcBorders>
              <w:top w:val="single" w:sz="8" w:space="0" w:color="000000"/>
              <w:left w:val="nil"/>
              <w:bottom w:val="single" w:sz="4" w:space="0" w:color="000000"/>
              <w:right w:val="single" w:sz="4" w:space="0" w:color="000000"/>
            </w:tcBorders>
            <w:shd w:val="clear" w:color="auto" w:fill="auto"/>
            <w:noWrap/>
            <w:vAlign w:val="bottom"/>
            <w:hideMark/>
          </w:tcPr>
          <w:p w14:paraId="2753C6D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64" w:type="dxa"/>
            <w:tcBorders>
              <w:top w:val="single" w:sz="8" w:space="0" w:color="000000"/>
              <w:left w:val="nil"/>
              <w:bottom w:val="single" w:sz="4" w:space="0" w:color="000000"/>
              <w:right w:val="single" w:sz="4" w:space="0" w:color="000000"/>
            </w:tcBorders>
            <w:shd w:val="clear" w:color="auto" w:fill="auto"/>
            <w:noWrap/>
            <w:vAlign w:val="bottom"/>
            <w:hideMark/>
          </w:tcPr>
          <w:p w14:paraId="53FFE3F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34" w:type="dxa"/>
            <w:tcBorders>
              <w:top w:val="single" w:sz="8" w:space="0" w:color="000000"/>
              <w:left w:val="nil"/>
              <w:bottom w:val="single" w:sz="4" w:space="0" w:color="000000"/>
              <w:right w:val="single" w:sz="4" w:space="0" w:color="000000"/>
            </w:tcBorders>
            <w:shd w:val="clear" w:color="auto" w:fill="auto"/>
            <w:noWrap/>
            <w:vAlign w:val="bottom"/>
            <w:hideMark/>
          </w:tcPr>
          <w:p w14:paraId="1ADA88D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7" w:type="dxa"/>
            <w:tcBorders>
              <w:top w:val="single" w:sz="8" w:space="0" w:color="000000"/>
              <w:left w:val="nil"/>
              <w:bottom w:val="single" w:sz="4" w:space="0" w:color="000000"/>
              <w:right w:val="single" w:sz="4" w:space="0" w:color="000000"/>
            </w:tcBorders>
            <w:shd w:val="clear" w:color="auto" w:fill="auto"/>
            <w:noWrap/>
            <w:vAlign w:val="bottom"/>
            <w:hideMark/>
          </w:tcPr>
          <w:p w14:paraId="4CBFE2A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78676FB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23,600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3334D4A2"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36 </w:t>
            </w:r>
          </w:p>
        </w:tc>
      </w:tr>
      <w:tr w:rsidR="007A7FA3" w:rsidRPr="007A7FA3" w14:paraId="6A532B89" w14:textId="77777777" w:rsidTr="007A7FA3">
        <w:trPr>
          <w:trHeight w:val="270"/>
        </w:trPr>
        <w:tc>
          <w:tcPr>
            <w:tcW w:w="1086" w:type="dxa"/>
            <w:vMerge/>
            <w:tcBorders>
              <w:top w:val="nil"/>
              <w:left w:val="single" w:sz="8" w:space="0" w:color="auto"/>
              <w:bottom w:val="single" w:sz="4" w:space="0" w:color="000000"/>
              <w:right w:val="nil"/>
            </w:tcBorders>
            <w:vAlign w:val="center"/>
            <w:hideMark/>
          </w:tcPr>
          <w:p w14:paraId="5B4B6D02"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77A1B9B8"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125EB970"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56FCBF40"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3941D19E"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2D136C4C"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5D2E678A"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71800</w:t>
            </w:r>
          </w:p>
        </w:tc>
        <w:tc>
          <w:tcPr>
            <w:tcW w:w="1580" w:type="dxa"/>
            <w:tcBorders>
              <w:top w:val="nil"/>
              <w:left w:val="nil"/>
              <w:bottom w:val="single" w:sz="4" w:space="0" w:color="000000"/>
              <w:right w:val="single" w:sz="4" w:space="0" w:color="000000"/>
            </w:tcBorders>
            <w:shd w:val="clear" w:color="auto" w:fill="auto"/>
            <w:vAlign w:val="bottom"/>
            <w:hideMark/>
          </w:tcPr>
          <w:p w14:paraId="5847015B"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Contractual Services - Individuals</w:t>
            </w:r>
          </w:p>
        </w:tc>
        <w:tc>
          <w:tcPr>
            <w:tcW w:w="694" w:type="dxa"/>
            <w:tcBorders>
              <w:top w:val="nil"/>
              <w:left w:val="nil"/>
              <w:bottom w:val="single" w:sz="4" w:space="0" w:color="000000"/>
              <w:right w:val="single" w:sz="4" w:space="0" w:color="000000"/>
            </w:tcBorders>
            <w:shd w:val="clear" w:color="auto" w:fill="auto"/>
            <w:noWrap/>
            <w:vAlign w:val="bottom"/>
            <w:hideMark/>
          </w:tcPr>
          <w:p w14:paraId="370BF34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16,800 </w:t>
            </w:r>
          </w:p>
        </w:tc>
        <w:tc>
          <w:tcPr>
            <w:tcW w:w="805" w:type="dxa"/>
            <w:tcBorders>
              <w:top w:val="nil"/>
              <w:left w:val="nil"/>
              <w:bottom w:val="single" w:sz="4" w:space="0" w:color="000000"/>
              <w:right w:val="single" w:sz="4" w:space="0" w:color="000000"/>
            </w:tcBorders>
            <w:shd w:val="clear" w:color="auto" w:fill="auto"/>
            <w:noWrap/>
            <w:vAlign w:val="bottom"/>
            <w:hideMark/>
          </w:tcPr>
          <w:p w14:paraId="6081926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6" w:type="dxa"/>
            <w:tcBorders>
              <w:top w:val="nil"/>
              <w:left w:val="nil"/>
              <w:bottom w:val="single" w:sz="4" w:space="0" w:color="000000"/>
              <w:right w:val="single" w:sz="4" w:space="0" w:color="000000"/>
            </w:tcBorders>
            <w:shd w:val="clear" w:color="auto" w:fill="auto"/>
            <w:noWrap/>
            <w:vAlign w:val="bottom"/>
            <w:hideMark/>
          </w:tcPr>
          <w:p w14:paraId="65D9A96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64" w:type="dxa"/>
            <w:tcBorders>
              <w:top w:val="nil"/>
              <w:left w:val="nil"/>
              <w:bottom w:val="single" w:sz="4" w:space="0" w:color="000000"/>
              <w:right w:val="single" w:sz="4" w:space="0" w:color="000000"/>
            </w:tcBorders>
            <w:shd w:val="clear" w:color="auto" w:fill="auto"/>
            <w:noWrap/>
            <w:vAlign w:val="bottom"/>
            <w:hideMark/>
          </w:tcPr>
          <w:p w14:paraId="6A4461D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34" w:type="dxa"/>
            <w:tcBorders>
              <w:top w:val="nil"/>
              <w:left w:val="nil"/>
              <w:bottom w:val="single" w:sz="4" w:space="0" w:color="000000"/>
              <w:right w:val="single" w:sz="4" w:space="0" w:color="000000"/>
            </w:tcBorders>
            <w:shd w:val="clear" w:color="auto" w:fill="auto"/>
            <w:noWrap/>
            <w:vAlign w:val="bottom"/>
            <w:hideMark/>
          </w:tcPr>
          <w:p w14:paraId="5C69EF8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7" w:type="dxa"/>
            <w:tcBorders>
              <w:top w:val="nil"/>
              <w:left w:val="nil"/>
              <w:bottom w:val="single" w:sz="4" w:space="0" w:color="000000"/>
              <w:right w:val="single" w:sz="4" w:space="0" w:color="000000"/>
            </w:tcBorders>
            <w:shd w:val="clear" w:color="auto" w:fill="auto"/>
            <w:noWrap/>
            <w:vAlign w:val="bottom"/>
            <w:hideMark/>
          </w:tcPr>
          <w:p w14:paraId="6718303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25FEA41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16,800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34E90435"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37 </w:t>
            </w:r>
          </w:p>
        </w:tc>
      </w:tr>
      <w:tr w:rsidR="007A7FA3" w:rsidRPr="007A7FA3" w14:paraId="34B0C468" w14:textId="77777777" w:rsidTr="007A7FA3">
        <w:trPr>
          <w:trHeight w:val="315"/>
        </w:trPr>
        <w:tc>
          <w:tcPr>
            <w:tcW w:w="1086" w:type="dxa"/>
            <w:vMerge/>
            <w:tcBorders>
              <w:top w:val="nil"/>
              <w:left w:val="single" w:sz="8" w:space="0" w:color="auto"/>
              <w:bottom w:val="single" w:sz="4" w:space="0" w:color="000000"/>
              <w:right w:val="nil"/>
            </w:tcBorders>
            <w:vAlign w:val="center"/>
            <w:hideMark/>
          </w:tcPr>
          <w:p w14:paraId="13BA0F26"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63E3D941"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37127226"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59B1E5FC"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18D0C7A5"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1C87C947"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20417572"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71600</w:t>
            </w:r>
          </w:p>
        </w:tc>
        <w:tc>
          <w:tcPr>
            <w:tcW w:w="1580" w:type="dxa"/>
            <w:tcBorders>
              <w:top w:val="nil"/>
              <w:left w:val="nil"/>
              <w:bottom w:val="single" w:sz="4" w:space="0" w:color="000000"/>
              <w:right w:val="single" w:sz="4" w:space="0" w:color="000000"/>
            </w:tcBorders>
            <w:shd w:val="clear" w:color="auto" w:fill="auto"/>
            <w:vAlign w:val="bottom"/>
            <w:hideMark/>
          </w:tcPr>
          <w:p w14:paraId="0A43694A"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Travel</w:t>
            </w:r>
          </w:p>
        </w:tc>
        <w:tc>
          <w:tcPr>
            <w:tcW w:w="694" w:type="dxa"/>
            <w:tcBorders>
              <w:top w:val="nil"/>
              <w:left w:val="nil"/>
              <w:bottom w:val="single" w:sz="4" w:space="0" w:color="000000"/>
              <w:right w:val="single" w:sz="4" w:space="0" w:color="000000"/>
            </w:tcBorders>
            <w:shd w:val="clear" w:color="auto" w:fill="auto"/>
            <w:noWrap/>
            <w:vAlign w:val="bottom"/>
            <w:hideMark/>
          </w:tcPr>
          <w:p w14:paraId="572AEB5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14,000 </w:t>
            </w:r>
          </w:p>
        </w:tc>
        <w:tc>
          <w:tcPr>
            <w:tcW w:w="805" w:type="dxa"/>
            <w:tcBorders>
              <w:top w:val="nil"/>
              <w:left w:val="nil"/>
              <w:bottom w:val="single" w:sz="4" w:space="0" w:color="000000"/>
              <w:right w:val="single" w:sz="4" w:space="0" w:color="000000"/>
            </w:tcBorders>
            <w:shd w:val="clear" w:color="auto" w:fill="auto"/>
            <w:noWrap/>
            <w:vAlign w:val="bottom"/>
            <w:hideMark/>
          </w:tcPr>
          <w:p w14:paraId="2492351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6" w:type="dxa"/>
            <w:tcBorders>
              <w:top w:val="nil"/>
              <w:left w:val="nil"/>
              <w:bottom w:val="single" w:sz="4" w:space="0" w:color="000000"/>
              <w:right w:val="single" w:sz="4" w:space="0" w:color="000000"/>
            </w:tcBorders>
            <w:shd w:val="clear" w:color="auto" w:fill="auto"/>
            <w:noWrap/>
            <w:vAlign w:val="bottom"/>
            <w:hideMark/>
          </w:tcPr>
          <w:p w14:paraId="180B120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64" w:type="dxa"/>
            <w:tcBorders>
              <w:top w:val="nil"/>
              <w:left w:val="nil"/>
              <w:bottom w:val="single" w:sz="4" w:space="0" w:color="000000"/>
              <w:right w:val="single" w:sz="4" w:space="0" w:color="000000"/>
            </w:tcBorders>
            <w:shd w:val="clear" w:color="auto" w:fill="auto"/>
            <w:noWrap/>
            <w:vAlign w:val="bottom"/>
            <w:hideMark/>
          </w:tcPr>
          <w:p w14:paraId="7BBEDD7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34" w:type="dxa"/>
            <w:tcBorders>
              <w:top w:val="nil"/>
              <w:left w:val="nil"/>
              <w:bottom w:val="single" w:sz="4" w:space="0" w:color="000000"/>
              <w:right w:val="single" w:sz="4" w:space="0" w:color="000000"/>
            </w:tcBorders>
            <w:shd w:val="clear" w:color="auto" w:fill="auto"/>
            <w:noWrap/>
            <w:vAlign w:val="bottom"/>
            <w:hideMark/>
          </w:tcPr>
          <w:p w14:paraId="64424EE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7" w:type="dxa"/>
            <w:tcBorders>
              <w:top w:val="nil"/>
              <w:left w:val="nil"/>
              <w:bottom w:val="single" w:sz="4" w:space="0" w:color="000000"/>
              <w:right w:val="single" w:sz="4" w:space="0" w:color="000000"/>
            </w:tcBorders>
            <w:shd w:val="clear" w:color="auto" w:fill="auto"/>
            <w:noWrap/>
            <w:vAlign w:val="bottom"/>
            <w:hideMark/>
          </w:tcPr>
          <w:p w14:paraId="5ED9004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45ED7FC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14,000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434B23FF"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38 </w:t>
            </w:r>
          </w:p>
        </w:tc>
      </w:tr>
      <w:tr w:rsidR="007A7FA3" w:rsidRPr="007A7FA3" w14:paraId="20CBE203" w14:textId="77777777" w:rsidTr="007A7FA3">
        <w:trPr>
          <w:trHeight w:val="315"/>
        </w:trPr>
        <w:tc>
          <w:tcPr>
            <w:tcW w:w="1086" w:type="dxa"/>
            <w:vMerge/>
            <w:tcBorders>
              <w:top w:val="nil"/>
              <w:left w:val="single" w:sz="8" w:space="0" w:color="auto"/>
              <w:bottom w:val="single" w:sz="4" w:space="0" w:color="000000"/>
              <w:right w:val="nil"/>
            </w:tcBorders>
            <w:vAlign w:val="center"/>
            <w:hideMark/>
          </w:tcPr>
          <w:p w14:paraId="7C6B8A4B"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44A54825"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13CD98AC"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5166C12B"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6E0D81C9"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1738DCD4"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7B7C7E90"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72100</w:t>
            </w:r>
          </w:p>
        </w:tc>
        <w:tc>
          <w:tcPr>
            <w:tcW w:w="1580" w:type="dxa"/>
            <w:tcBorders>
              <w:top w:val="nil"/>
              <w:left w:val="nil"/>
              <w:bottom w:val="single" w:sz="4" w:space="0" w:color="000000"/>
              <w:right w:val="single" w:sz="4" w:space="0" w:color="000000"/>
            </w:tcBorders>
            <w:shd w:val="clear" w:color="auto" w:fill="auto"/>
            <w:vAlign w:val="bottom"/>
            <w:hideMark/>
          </w:tcPr>
          <w:p w14:paraId="72105A70"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Contractual Services - Companies</w:t>
            </w:r>
          </w:p>
        </w:tc>
        <w:tc>
          <w:tcPr>
            <w:tcW w:w="694" w:type="dxa"/>
            <w:tcBorders>
              <w:top w:val="nil"/>
              <w:left w:val="nil"/>
              <w:bottom w:val="single" w:sz="4" w:space="0" w:color="000000"/>
              <w:right w:val="single" w:sz="4" w:space="0" w:color="000000"/>
            </w:tcBorders>
            <w:shd w:val="clear" w:color="auto" w:fill="auto"/>
            <w:noWrap/>
            <w:vAlign w:val="bottom"/>
            <w:hideMark/>
          </w:tcPr>
          <w:p w14:paraId="786A6BE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14,000 </w:t>
            </w:r>
          </w:p>
        </w:tc>
        <w:tc>
          <w:tcPr>
            <w:tcW w:w="805" w:type="dxa"/>
            <w:tcBorders>
              <w:top w:val="nil"/>
              <w:left w:val="nil"/>
              <w:bottom w:val="single" w:sz="4" w:space="0" w:color="000000"/>
              <w:right w:val="single" w:sz="4" w:space="0" w:color="000000"/>
            </w:tcBorders>
            <w:shd w:val="clear" w:color="auto" w:fill="auto"/>
            <w:noWrap/>
            <w:vAlign w:val="bottom"/>
            <w:hideMark/>
          </w:tcPr>
          <w:p w14:paraId="25BA687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6" w:type="dxa"/>
            <w:tcBorders>
              <w:top w:val="nil"/>
              <w:left w:val="nil"/>
              <w:bottom w:val="single" w:sz="4" w:space="0" w:color="000000"/>
              <w:right w:val="single" w:sz="4" w:space="0" w:color="000000"/>
            </w:tcBorders>
            <w:shd w:val="clear" w:color="auto" w:fill="auto"/>
            <w:noWrap/>
            <w:vAlign w:val="bottom"/>
            <w:hideMark/>
          </w:tcPr>
          <w:p w14:paraId="7B4583B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64" w:type="dxa"/>
            <w:tcBorders>
              <w:top w:val="nil"/>
              <w:left w:val="nil"/>
              <w:bottom w:val="single" w:sz="4" w:space="0" w:color="000000"/>
              <w:right w:val="single" w:sz="4" w:space="0" w:color="000000"/>
            </w:tcBorders>
            <w:shd w:val="clear" w:color="auto" w:fill="auto"/>
            <w:noWrap/>
            <w:vAlign w:val="bottom"/>
            <w:hideMark/>
          </w:tcPr>
          <w:p w14:paraId="34DA634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34" w:type="dxa"/>
            <w:tcBorders>
              <w:top w:val="nil"/>
              <w:left w:val="nil"/>
              <w:bottom w:val="single" w:sz="4" w:space="0" w:color="000000"/>
              <w:right w:val="single" w:sz="4" w:space="0" w:color="000000"/>
            </w:tcBorders>
            <w:shd w:val="clear" w:color="auto" w:fill="auto"/>
            <w:noWrap/>
            <w:vAlign w:val="bottom"/>
            <w:hideMark/>
          </w:tcPr>
          <w:p w14:paraId="391ED74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7" w:type="dxa"/>
            <w:tcBorders>
              <w:top w:val="nil"/>
              <w:left w:val="nil"/>
              <w:bottom w:val="single" w:sz="4" w:space="0" w:color="000000"/>
              <w:right w:val="single" w:sz="4" w:space="0" w:color="000000"/>
            </w:tcBorders>
            <w:shd w:val="clear" w:color="auto" w:fill="auto"/>
            <w:noWrap/>
            <w:vAlign w:val="bottom"/>
            <w:hideMark/>
          </w:tcPr>
          <w:p w14:paraId="6F35CC1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7DE417A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14,000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326D2908"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39 </w:t>
            </w:r>
          </w:p>
        </w:tc>
      </w:tr>
      <w:tr w:rsidR="007A7FA3" w:rsidRPr="007A7FA3" w14:paraId="0285AF4B" w14:textId="77777777" w:rsidTr="007A7FA3">
        <w:trPr>
          <w:trHeight w:val="255"/>
        </w:trPr>
        <w:tc>
          <w:tcPr>
            <w:tcW w:w="1086" w:type="dxa"/>
            <w:vMerge/>
            <w:tcBorders>
              <w:top w:val="nil"/>
              <w:left w:val="single" w:sz="8" w:space="0" w:color="auto"/>
              <w:bottom w:val="single" w:sz="4" w:space="0" w:color="000000"/>
              <w:right w:val="nil"/>
            </w:tcBorders>
            <w:vAlign w:val="center"/>
            <w:hideMark/>
          </w:tcPr>
          <w:p w14:paraId="48AA5937"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4A2D81CD"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4ED961C0"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0487D925"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6AA22479"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695E3376"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5DE91938"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72400</w:t>
            </w:r>
          </w:p>
        </w:tc>
        <w:tc>
          <w:tcPr>
            <w:tcW w:w="1580" w:type="dxa"/>
            <w:tcBorders>
              <w:top w:val="nil"/>
              <w:left w:val="nil"/>
              <w:bottom w:val="single" w:sz="4" w:space="0" w:color="000000"/>
              <w:right w:val="single" w:sz="4" w:space="0" w:color="000000"/>
            </w:tcBorders>
            <w:shd w:val="clear" w:color="auto" w:fill="auto"/>
            <w:vAlign w:val="bottom"/>
            <w:hideMark/>
          </w:tcPr>
          <w:p w14:paraId="52797400"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Communic &amp; Audio Visual Equip</w:t>
            </w:r>
          </w:p>
        </w:tc>
        <w:tc>
          <w:tcPr>
            <w:tcW w:w="694" w:type="dxa"/>
            <w:tcBorders>
              <w:top w:val="nil"/>
              <w:left w:val="nil"/>
              <w:bottom w:val="single" w:sz="4" w:space="0" w:color="000000"/>
              <w:right w:val="single" w:sz="4" w:space="0" w:color="000000"/>
            </w:tcBorders>
            <w:shd w:val="clear" w:color="auto" w:fill="auto"/>
            <w:noWrap/>
            <w:vAlign w:val="bottom"/>
            <w:hideMark/>
          </w:tcPr>
          <w:p w14:paraId="18640B1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1,600 </w:t>
            </w:r>
          </w:p>
        </w:tc>
        <w:tc>
          <w:tcPr>
            <w:tcW w:w="805" w:type="dxa"/>
            <w:tcBorders>
              <w:top w:val="nil"/>
              <w:left w:val="nil"/>
              <w:bottom w:val="single" w:sz="4" w:space="0" w:color="000000"/>
              <w:right w:val="single" w:sz="4" w:space="0" w:color="000000"/>
            </w:tcBorders>
            <w:shd w:val="clear" w:color="auto" w:fill="auto"/>
            <w:noWrap/>
            <w:vAlign w:val="bottom"/>
            <w:hideMark/>
          </w:tcPr>
          <w:p w14:paraId="510ABBE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6" w:type="dxa"/>
            <w:tcBorders>
              <w:top w:val="nil"/>
              <w:left w:val="nil"/>
              <w:bottom w:val="single" w:sz="4" w:space="0" w:color="000000"/>
              <w:right w:val="single" w:sz="4" w:space="0" w:color="000000"/>
            </w:tcBorders>
            <w:shd w:val="clear" w:color="auto" w:fill="auto"/>
            <w:noWrap/>
            <w:vAlign w:val="bottom"/>
            <w:hideMark/>
          </w:tcPr>
          <w:p w14:paraId="23D6CC5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64" w:type="dxa"/>
            <w:tcBorders>
              <w:top w:val="nil"/>
              <w:left w:val="nil"/>
              <w:bottom w:val="single" w:sz="4" w:space="0" w:color="000000"/>
              <w:right w:val="single" w:sz="4" w:space="0" w:color="000000"/>
            </w:tcBorders>
            <w:shd w:val="clear" w:color="auto" w:fill="auto"/>
            <w:noWrap/>
            <w:vAlign w:val="bottom"/>
            <w:hideMark/>
          </w:tcPr>
          <w:p w14:paraId="02699CB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34" w:type="dxa"/>
            <w:tcBorders>
              <w:top w:val="nil"/>
              <w:left w:val="nil"/>
              <w:bottom w:val="single" w:sz="4" w:space="0" w:color="000000"/>
              <w:right w:val="single" w:sz="4" w:space="0" w:color="000000"/>
            </w:tcBorders>
            <w:shd w:val="clear" w:color="auto" w:fill="auto"/>
            <w:noWrap/>
            <w:vAlign w:val="bottom"/>
            <w:hideMark/>
          </w:tcPr>
          <w:p w14:paraId="28ACF48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7" w:type="dxa"/>
            <w:tcBorders>
              <w:top w:val="nil"/>
              <w:left w:val="nil"/>
              <w:bottom w:val="single" w:sz="4" w:space="0" w:color="000000"/>
              <w:right w:val="single" w:sz="4" w:space="0" w:color="000000"/>
            </w:tcBorders>
            <w:shd w:val="clear" w:color="auto" w:fill="auto"/>
            <w:noWrap/>
            <w:vAlign w:val="bottom"/>
            <w:hideMark/>
          </w:tcPr>
          <w:p w14:paraId="0E2E1B7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19E1749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1,600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794260BA"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40 </w:t>
            </w:r>
          </w:p>
        </w:tc>
      </w:tr>
      <w:tr w:rsidR="007A7FA3" w:rsidRPr="007A7FA3" w14:paraId="70D559D4" w14:textId="77777777" w:rsidTr="007A7FA3">
        <w:trPr>
          <w:trHeight w:val="300"/>
        </w:trPr>
        <w:tc>
          <w:tcPr>
            <w:tcW w:w="1086" w:type="dxa"/>
            <w:vMerge/>
            <w:tcBorders>
              <w:top w:val="nil"/>
              <w:left w:val="single" w:sz="8" w:space="0" w:color="auto"/>
              <w:bottom w:val="single" w:sz="4" w:space="0" w:color="000000"/>
              <w:right w:val="nil"/>
            </w:tcBorders>
            <w:vAlign w:val="center"/>
            <w:hideMark/>
          </w:tcPr>
          <w:p w14:paraId="5DA27D20"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3DA72D43"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51803EC0" w14:textId="77777777" w:rsidR="007A7FA3" w:rsidRPr="007A7FA3" w:rsidRDefault="007A7FA3" w:rsidP="007A7FA3">
            <w:pPr>
              <w:rPr>
                <w:rFonts w:ascii="Calibri" w:hAnsi="Calibri" w:cs="Calibri"/>
                <w:i/>
                <w:iCs/>
                <w:color w:val="000000"/>
                <w:sz w:val="13"/>
                <w:szCs w:val="13"/>
              </w:rPr>
            </w:pPr>
          </w:p>
        </w:tc>
        <w:tc>
          <w:tcPr>
            <w:tcW w:w="3763" w:type="dxa"/>
            <w:gridSpan w:val="5"/>
            <w:tcBorders>
              <w:top w:val="single" w:sz="4" w:space="0" w:color="000000"/>
              <w:left w:val="nil"/>
              <w:bottom w:val="single" w:sz="4" w:space="0" w:color="000000"/>
              <w:right w:val="single" w:sz="4" w:space="0" w:color="000000"/>
            </w:tcBorders>
            <w:shd w:val="clear" w:color="auto" w:fill="auto"/>
            <w:vAlign w:val="center"/>
            <w:hideMark/>
          </w:tcPr>
          <w:p w14:paraId="3FF43CAB"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Total BCC</w:t>
            </w:r>
          </w:p>
        </w:tc>
        <w:tc>
          <w:tcPr>
            <w:tcW w:w="694" w:type="dxa"/>
            <w:tcBorders>
              <w:top w:val="nil"/>
              <w:left w:val="nil"/>
              <w:bottom w:val="single" w:sz="4" w:space="0" w:color="000000"/>
              <w:right w:val="single" w:sz="4" w:space="0" w:color="000000"/>
            </w:tcBorders>
            <w:shd w:val="clear" w:color="auto" w:fill="auto"/>
            <w:noWrap/>
            <w:vAlign w:val="bottom"/>
            <w:hideMark/>
          </w:tcPr>
          <w:p w14:paraId="17C83BB3"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70,000 </w:t>
            </w:r>
          </w:p>
        </w:tc>
        <w:tc>
          <w:tcPr>
            <w:tcW w:w="805" w:type="dxa"/>
            <w:tcBorders>
              <w:top w:val="nil"/>
              <w:left w:val="nil"/>
              <w:bottom w:val="single" w:sz="4" w:space="0" w:color="000000"/>
              <w:right w:val="single" w:sz="4" w:space="0" w:color="000000"/>
            </w:tcBorders>
            <w:shd w:val="clear" w:color="auto" w:fill="auto"/>
            <w:noWrap/>
            <w:vAlign w:val="bottom"/>
            <w:hideMark/>
          </w:tcPr>
          <w:p w14:paraId="77A6F1C1"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26" w:type="dxa"/>
            <w:tcBorders>
              <w:top w:val="nil"/>
              <w:left w:val="nil"/>
              <w:bottom w:val="single" w:sz="4" w:space="0" w:color="000000"/>
              <w:right w:val="single" w:sz="4" w:space="0" w:color="000000"/>
            </w:tcBorders>
            <w:shd w:val="clear" w:color="auto" w:fill="auto"/>
            <w:noWrap/>
            <w:vAlign w:val="bottom"/>
            <w:hideMark/>
          </w:tcPr>
          <w:p w14:paraId="5A956E00"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64" w:type="dxa"/>
            <w:tcBorders>
              <w:top w:val="nil"/>
              <w:left w:val="nil"/>
              <w:bottom w:val="single" w:sz="4" w:space="0" w:color="000000"/>
              <w:right w:val="single" w:sz="4" w:space="0" w:color="000000"/>
            </w:tcBorders>
            <w:shd w:val="clear" w:color="auto" w:fill="auto"/>
            <w:noWrap/>
            <w:vAlign w:val="bottom"/>
            <w:hideMark/>
          </w:tcPr>
          <w:p w14:paraId="31A9DDA1"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34" w:type="dxa"/>
            <w:tcBorders>
              <w:top w:val="nil"/>
              <w:left w:val="nil"/>
              <w:bottom w:val="single" w:sz="4" w:space="0" w:color="000000"/>
              <w:right w:val="single" w:sz="4" w:space="0" w:color="000000"/>
            </w:tcBorders>
            <w:shd w:val="clear" w:color="auto" w:fill="auto"/>
            <w:noWrap/>
            <w:vAlign w:val="bottom"/>
            <w:hideMark/>
          </w:tcPr>
          <w:p w14:paraId="5CA824FB"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27" w:type="dxa"/>
            <w:tcBorders>
              <w:top w:val="nil"/>
              <w:left w:val="nil"/>
              <w:bottom w:val="single" w:sz="4" w:space="0" w:color="000000"/>
              <w:right w:val="single" w:sz="4" w:space="0" w:color="000000"/>
            </w:tcBorders>
            <w:shd w:val="clear" w:color="auto" w:fill="auto"/>
            <w:noWrap/>
            <w:vAlign w:val="bottom"/>
            <w:hideMark/>
          </w:tcPr>
          <w:p w14:paraId="399F9391"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980" w:type="dxa"/>
            <w:tcBorders>
              <w:top w:val="single" w:sz="8" w:space="0" w:color="000000"/>
              <w:left w:val="nil"/>
              <w:bottom w:val="single" w:sz="4" w:space="0" w:color="000000"/>
              <w:right w:val="nil"/>
            </w:tcBorders>
            <w:shd w:val="clear" w:color="auto" w:fill="auto"/>
            <w:noWrap/>
            <w:vAlign w:val="bottom"/>
            <w:hideMark/>
          </w:tcPr>
          <w:p w14:paraId="39ECE81C"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70,000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50914A1F"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1EC46C2C" w14:textId="77777777" w:rsidTr="007A7FA3">
        <w:trPr>
          <w:trHeight w:val="270"/>
        </w:trPr>
        <w:tc>
          <w:tcPr>
            <w:tcW w:w="1086" w:type="dxa"/>
            <w:vMerge/>
            <w:tcBorders>
              <w:top w:val="nil"/>
              <w:left w:val="single" w:sz="8" w:space="0" w:color="auto"/>
              <w:bottom w:val="single" w:sz="4" w:space="0" w:color="000000"/>
              <w:right w:val="nil"/>
            </w:tcBorders>
            <w:vAlign w:val="center"/>
            <w:hideMark/>
          </w:tcPr>
          <w:p w14:paraId="43E420A9"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21C5DCF8" w14:textId="77777777" w:rsidR="007A7FA3" w:rsidRPr="007A7FA3" w:rsidRDefault="007A7FA3" w:rsidP="007A7FA3">
            <w:pPr>
              <w:rPr>
                <w:rFonts w:ascii="Calibri" w:hAnsi="Calibri" w:cs="Calibri"/>
                <w:i/>
                <w:iCs/>
                <w:color w:val="000000"/>
                <w:sz w:val="13"/>
                <w:szCs w:val="13"/>
              </w:rPr>
            </w:pPr>
          </w:p>
        </w:tc>
        <w:tc>
          <w:tcPr>
            <w:tcW w:w="5779" w:type="dxa"/>
            <w:gridSpan w:val="6"/>
            <w:tcBorders>
              <w:top w:val="nil"/>
              <w:left w:val="nil"/>
              <w:bottom w:val="single" w:sz="4" w:space="0" w:color="000000"/>
              <w:right w:val="single" w:sz="4" w:space="0" w:color="000000"/>
            </w:tcBorders>
            <w:shd w:val="clear" w:color="auto" w:fill="auto"/>
            <w:vAlign w:val="center"/>
            <w:hideMark/>
          </w:tcPr>
          <w:p w14:paraId="3EBAED50" w14:textId="77777777" w:rsidR="007A7FA3" w:rsidRPr="007A7FA3" w:rsidRDefault="007A7FA3" w:rsidP="007A7FA3">
            <w:pPr>
              <w:rPr>
                <w:rFonts w:ascii="Calibri" w:hAnsi="Calibri" w:cs="Calibri"/>
                <w:b/>
                <w:bCs/>
                <w:i/>
                <w:iCs/>
                <w:color w:val="000000"/>
                <w:sz w:val="13"/>
                <w:szCs w:val="13"/>
              </w:rPr>
            </w:pPr>
            <w:r w:rsidRPr="007A7FA3">
              <w:rPr>
                <w:rFonts w:ascii="Calibri" w:hAnsi="Calibri" w:cs="Calibri"/>
                <w:b/>
                <w:bCs/>
                <w:i/>
                <w:iCs/>
                <w:color w:val="000000"/>
                <w:sz w:val="13"/>
                <w:szCs w:val="13"/>
              </w:rPr>
              <w:t>Total Output 1.4.1</w:t>
            </w:r>
          </w:p>
        </w:tc>
        <w:tc>
          <w:tcPr>
            <w:tcW w:w="694" w:type="dxa"/>
            <w:tcBorders>
              <w:top w:val="nil"/>
              <w:left w:val="nil"/>
              <w:bottom w:val="single" w:sz="4" w:space="0" w:color="000000"/>
              <w:right w:val="single" w:sz="4" w:space="0" w:color="000000"/>
            </w:tcBorders>
            <w:shd w:val="clear" w:color="auto" w:fill="auto"/>
            <w:noWrap/>
            <w:vAlign w:val="bottom"/>
            <w:hideMark/>
          </w:tcPr>
          <w:p w14:paraId="242EDA06"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70,000 </w:t>
            </w:r>
          </w:p>
        </w:tc>
        <w:tc>
          <w:tcPr>
            <w:tcW w:w="805" w:type="dxa"/>
            <w:tcBorders>
              <w:top w:val="nil"/>
              <w:left w:val="nil"/>
              <w:bottom w:val="single" w:sz="4" w:space="0" w:color="000000"/>
              <w:right w:val="single" w:sz="4" w:space="0" w:color="000000"/>
            </w:tcBorders>
            <w:shd w:val="clear" w:color="auto" w:fill="auto"/>
            <w:noWrap/>
            <w:vAlign w:val="bottom"/>
            <w:hideMark/>
          </w:tcPr>
          <w:p w14:paraId="346EE85B"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26" w:type="dxa"/>
            <w:tcBorders>
              <w:top w:val="nil"/>
              <w:left w:val="nil"/>
              <w:bottom w:val="single" w:sz="4" w:space="0" w:color="000000"/>
              <w:right w:val="single" w:sz="4" w:space="0" w:color="000000"/>
            </w:tcBorders>
            <w:shd w:val="clear" w:color="auto" w:fill="auto"/>
            <w:noWrap/>
            <w:vAlign w:val="bottom"/>
            <w:hideMark/>
          </w:tcPr>
          <w:p w14:paraId="1DD4AC2C"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64" w:type="dxa"/>
            <w:tcBorders>
              <w:top w:val="nil"/>
              <w:left w:val="nil"/>
              <w:bottom w:val="single" w:sz="4" w:space="0" w:color="000000"/>
              <w:right w:val="single" w:sz="4" w:space="0" w:color="000000"/>
            </w:tcBorders>
            <w:shd w:val="clear" w:color="auto" w:fill="auto"/>
            <w:noWrap/>
            <w:vAlign w:val="bottom"/>
            <w:hideMark/>
          </w:tcPr>
          <w:p w14:paraId="02DDE7E8"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34" w:type="dxa"/>
            <w:tcBorders>
              <w:top w:val="nil"/>
              <w:left w:val="nil"/>
              <w:bottom w:val="single" w:sz="4" w:space="0" w:color="000000"/>
              <w:right w:val="single" w:sz="4" w:space="0" w:color="000000"/>
            </w:tcBorders>
            <w:shd w:val="clear" w:color="auto" w:fill="auto"/>
            <w:noWrap/>
            <w:vAlign w:val="bottom"/>
            <w:hideMark/>
          </w:tcPr>
          <w:p w14:paraId="1616738B"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27" w:type="dxa"/>
            <w:tcBorders>
              <w:top w:val="nil"/>
              <w:left w:val="nil"/>
              <w:bottom w:val="single" w:sz="4" w:space="0" w:color="000000"/>
              <w:right w:val="single" w:sz="4" w:space="0" w:color="000000"/>
            </w:tcBorders>
            <w:shd w:val="clear" w:color="auto" w:fill="auto"/>
            <w:noWrap/>
            <w:vAlign w:val="bottom"/>
            <w:hideMark/>
          </w:tcPr>
          <w:p w14:paraId="765B612E"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980" w:type="dxa"/>
            <w:tcBorders>
              <w:top w:val="single" w:sz="8" w:space="0" w:color="000000"/>
              <w:left w:val="nil"/>
              <w:bottom w:val="single" w:sz="4" w:space="0" w:color="000000"/>
              <w:right w:val="nil"/>
            </w:tcBorders>
            <w:shd w:val="clear" w:color="auto" w:fill="auto"/>
            <w:noWrap/>
            <w:vAlign w:val="bottom"/>
            <w:hideMark/>
          </w:tcPr>
          <w:p w14:paraId="2AAC0FB5"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70,000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25E35F1C"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2504181C" w14:textId="77777777" w:rsidTr="007A7FA3">
        <w:trPr>
          <w:trHeight w:val="315"/>
        </w:trPr>
        <w:tc>
          <w:tcPr>
            <w:tcW w:w="1086" w:type="dxa"/>
            <w:vMerge/>
            <w:tcBorders>
              <w:top w:val="nil"/>
              <w:left w:val="single" w:sz="8" w:space="0" w:color="auto"/>
              <w:bottom w:val="single" w:sz="4" w:space="0" w:color="000000"/>
              <w:right w:val="nil"/>
            </w:tcBorders>
            <w:vAlign w:val="center"/>
            <w:hideMark/>
          </w:tcPr>
          <w:p w14:paraId="707693E5"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1014B613" w14:textId="77777777" w:rsidR="007A7FA3" w:rsidRPr="007A7FA3" w:rsidRDefault="007A7FA3" w:rsidP="007A7FA3">
            <w:pPr>
              <w:rPr>
                <w:rFonts w:ascii="Calibri" w:hAnsi="Calibri" w:cs="Calibri"/>
                <w:i/>
                <w:iCs/>
                <w:color w:val="000000"/>
                <w:sz w:val="13"/>
                <w:szCs w:val="13"/>
              </w:rPr>
            </w:pPr>
          </w:p>
        </w:tc>
        <w:tc>
          <w:tcPr>
            <w:tcW w:w="2016" w:type="dxa"/>
            <w:vMerge w:val="restart"/>
            <w:tcBorders>
              <w:top w:val="nil"/>
              <w:left w:val="nil"/>
              <w:bottom w:val="single" w:sz="4" w:space="0" w:color="000000"/>
              <w:right w:val="single" w:sz="4" w:space="0" w:color="000000"/>
            </w:tcBorders>
            <w:shd w:val="clear" w:color="auto" w:fill="auto"/>
            <w:vAlign w:val="center"/>
            <w:hideMark/>
          </w:tcPr>
          <w:p w14:paraId="0599B060"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1.4.2: Capacity of government institutions, private sector actors and financial institutions involved in exploration/exploitation of non-living marine resources strengthened (with a gender-sensitive approach) for adoption of innovative environmentally friendly exploratory and extractive methods and technologies.</w:t>
            </w:r>
          </w:p>
        </w:tc>
        <w:tc>
          <w:tcPr>
            <w:tcW w:w="631" w:type="dxa"/>
            <w:vMerge w:val="restart"/>
            <w:tcBorders>
              <w:top w:val="nil"/>
              <w:left w:val="nil"/>
              <w:bottom w:val="nil"/>
              <w:right w:val="nil"/>
            </w:tcBorders>
            <w:shd w:val="clear" w:color="auto" w:fill="auto"/>
            <w:vAlign w:val="center"/>
            <w:hideMark/>
          </w:tcPr>
          <w:p w14:paraId="74101290"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BCC</w:t>
            </w:r>
          </w:p>
        </w:tc>
        <w:tc>
          <w:tcPr>
            <w:tcW w:w="504" w:type="dxa"/>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27A5074A"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val="restart"/>
            <w:tcBorders>
              <w:top w:val="nil"/>
              <w:left w:val="single" w:sz="4" w:space="0" w:color="000000"/>
              <w:bottom w:val="nil"/>
              <w:right w:val="nil"/>
            </w:tcBorders>
            <w:shd w:val="clear" w:color="auto" w:fill="auto"/>
            <w:vAlign w:val="center"/>
            <w:hideMark/>
          </w:tcPr>
          <w:p w14:paraId="011567CC"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w:t>
            </w:r>
          </w:p>
        </w:tc>
        <w:tc>
          <w:tcPr>
            <w:tcW w:w="544" w:type="dxa"/>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2D3B9C48"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71200</w:t>
            </w:r>
          </w:p>
        </w:tc>
        <w:tc>
          <w:tcPr>
            <w:tcW w:w="1580" w:type="dxa"/>
            <w:tcBorders>
              <w:top w:val="single" w:sz="8" w:space="0" w:color="000000"/>
              <w:left w:val="nil"/>
              <w:bottom w:val="single" w:sz="4" w:space="0" w:color="000000"/>
              <w:right w:val="single" w:sz="4" w:space="0" w:color="000000"/>
            </w:tcBorders>
            <w:shd w:val="clear" w:color="auto" w:fill="auto"/>
            <w:vAlign w:val="bottom"/>
            <w:hideMark/>
          </w:tcPr>
          <w:p w14:paraId="62E73F36"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International Consultants</w:t>
            </w:r>
          </w:p>
        </w:tc>
        <w:tc>
          <w:tcPr>
            <w:tcW w:w="694" w:type="dxa"/>
            <w:tcBorders>
              <w:top w:val="single" w:sz="8" w:space="0" w:color="000000"/>
              <w:left w:val="nil"/>
              <w:bottom w:val="single" w:sz="4" w:space="0" w:color="000000"/>
              <w:right w:val="single" w:sz="4" w:space="0" w:color="000000"/>
            </w:tcBorders>
            <w:shd w:val="clear" w:color="auto" w:fill="auto"/>
            <w:noWrap/>
            <w:vAlign w:val="bottom"/>
            <w:hideMark/>
          </w:tcPr>
          <w:p w14:paraId="5C70E3C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8,000 </w:t>
            </w:r>
          </w:p>
        </w:tc>
        <w:tc>
          <w:tcPr>
            <w:tcW w:w="805" w:type="dxa"/>
            <w:tcBorders>
              <w:top w:val="single" w:sz="8" w:space="0" w:color="000000"/>
              <w:left w:val="nil"/>
              <w:bottom w:val="single" w:sz="4" w:space="0" w:color="000000"/>
              <w:right w:val="single" w:sz="4" w:space="0" w:color="000000"/>
            </w:tcBorders>
            <w:shd w:val="clear" w:color="auto" w:fill="auto"/>
            <w:noWrap/>
            <w:vAlign w:val="bottom"/>
            <w:hideMark/>
          </w:tcPr>
          <w:p w14:paraId="71DF33B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26" w:type="dxa"/>
            <w:tcBorders>
              <w:top w:val="single" w:sz="8" w:space="0" w:color="000000"/>
              <w:left w:val="nil"/>
              <w:bottom w:val="single" w:sz="4" w:space="0" w:color="000000"/>
              <w:right w:val="single" w:sz="4" w:space="0" w:color="000000"/>
            </w:tcBorders>
            <w:shd w:val="clear" w:color="auto" w:fill="auto"/>
            <w:noWrap/>
            <w:vAlign w:val="bottom"/>
            <w:hideMark/>
          </w:tcPr>
          <w:p w14:paraId="1ACEE47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2,400 </w:t>
            </w:r>
          </w:p>
        </w:tc>
        <w:tc>
          <w:tcPr>
            <w:tcW w:w="864" w:type="dxa"/>
            <w:tcBorders>
              <w:top w:val="single" w:sz="8" w:space="0" w:color="000000"/>
              <w:left w:val="nil"/>
              <w:bottom w:val="single" w:sz="4" w:space="0" w:color="000000"/>
              <w:right w:val="single" w:sz="4" w:space="0" w:color="000000"/>
            </w:tcBorders>
            <w:shd w:val="clear" w:color="auto" w:fill="auto"/>
            <w:noWrap/>
            <w:vAlign w:val="bottom"/>
            <w:hideMark/>
          </w:tcPr>
          <w:p w14:paraId="0E1EA67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34" w:type="dxa"/>
            <w:tcBorders>
              <w:top w:val="single" w:sz="8" w:space="0" w:color="000000"/>
              <w:left w:val="nil"/>
              <w:bottom w:val="single" w:sz="4" w:space="0" w:color="000000"/>
              <w:right w:val="single" w:sz="4" w:space="0" w:color="000000"/>
            </w:tcBorders>
            <w:shd w:val="clear" w:color="auto" w:fill="auto"/>
            <w:noWrap/>
            <w:vAlign w:val="bottom"/>
            <w:hideMark/>
          </w:tcPr>
          <w:p w14:paraId="48E597F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7" w:type="dxa"/>
            <w:tcBorders>
              <w:top w:val="single" w:sz="8" w:space="0" w:color="000000"/>
              <w:left w:val="nil"/>
              <w:bottom w:val="single" w:sz="4" w:space="0" w:color="000000"/>
              <w:right w:val="single" w:sz="4" w:space="0" w:color="000000"/>
            </w:tcBorders>
            <w:shd w:val="clear" w:color="auto" w:fill="auto"/>
            <w:noWrap/>
            <w:vAlign w:val="bottom"/>
            <w:hideMark/>
          </w:tcPr>
          <w:p w14:paraId="2B0301E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2D6C860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20,400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375DD012"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41 </w:t>
            </w:r>
          </w:p>
        </w:tc>
      </w:tr>
      <w:tr w:rsidR="007A7FA3" w:rsidRPr="007A7FA3" w14:paraId="26C3598B" w14:textId="77777777" w:rsidTr="007A7FA3">
        <w:trPr>
          <w:trHeight w:val="300"/>
        </w:trPr>
        <w:tc>
          <w:tcPr>
            <w:tcW w:w="1086" w:type="dxa"/>
            <w:vMerge/>
            <w:tcBorders>
              <w:top w:val="nil"/>
              <w:left w:val="single" w:sz="8" w:space="0" w:color="auto"/>
              <w:bottom w:val="single" w:sz="4" w:space="0" w:color="000000"/>
              <w:right w:val="nil"/>
            </w:tcBorders>
            <w:vAlign w:val="center"/>
            <w:hideMark/>
          </w:tcPr>
          <w:p w14:paraId="291DAE49"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72B3DE43"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7962B5EF"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5AEA8CEE"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732D7115"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31581EAD"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1C9DA9FE"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71800</w:t>
            </w:r>
          </w:p>
        </w:tc>
        <w:tc>
          <w:tcPr>
            <w:tcW w:w="1580" w:type="dxa"/>
            <w:tcBorders>
              <w:top w:val="nil"/>
              <w:left w:val="nil"/>
              <w:bottom w:val="single" w:sz="4" w:space="0" w:color="000000"/>
              <w:right w:val="single" w:sz="4" w:space="0" w:color="000000"/>
            </w:tcBorders>
            <w:shd w:val="clear" w:color="auto" w:fill="auto"/>
            <w:vAlign w:val="bottom"/>
            <w:hideMark/>
          </w:tcPr>
          <w:p w14:paraId="678F3243"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Contractual Services - Individuals</w:t>
            </w:r>
          </w:p>
        </w:tc>
        <w:tc>
          <w:tcPr>
            <w:tcW w:w="694" w:type="dxa"/>
            <w:tcBorders>
              <w:top w:val="nil"/>
              <w:left w:val="nil"/>
              <w:bottom w:val="single" w:sz="4" w:space="0" w:color="000000"/>
              <w:right w:val="single" w:sz="4" w:space="0" w:color="000000"/>
            </w:tcBorders>
            <w:shd w:val="clear" w:color="auto" w:fill="auto"/>
            <w:noWrap/>
            <w:vAlign w:val="bottom"/>
            <w:hideMark/>
          </w:tcPr>
          <w:p w14:paraId="7B882EF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19,800 </w:t>
            </w:r>
          </w:p>
        </w:tc>
        <w:tc>
          <w:tcPr>
            <w:tcW w:w="805" w:type="dxa"/>
            <w:tcBorders>
              <w:top w:val="nil"/>
              <w:left w:val="nil"/>
              <w:bottom w:val="single" w:sz="4" w:space="0" w:color="000000"/>
              <w:right w:val="single" w:sz="4" w:space="0" w:color="000000"/>
            </w:tcBorders>
            <w:shd w:val="clear" w:color="auto" w:fill="auto"/>
            <w:noWrap/>
            <w:vAlign w:val="bottom"/>
            <w:hideMark/>
          </w:tcPr>
          <w:p w14:paraId="327FD3B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27,000 </w:t>
            </w:r>
          </w:p>
        </w:tc>
        <w:tc>
          <w:tcPr>
            <w:tcW w:w="826" w:type="dxa"/>
            <w:tcBorders>
              <w:top w:val="nil"/>
              <w:left w:val="nil"/>
              <w:bottom w:val="single" w:sz="4" w:space="0" w:color="000000"/>
              <w:right w:val="single" w:sz="4" w:space="0" w:color="000000"/>
            </w:tcBorders>
            <w:shd w:val="clear" w:color="auto" w:fill="auto"/>
            <w:noWrap/>
            <w:vAlign w:val="bottom"/>
            <w:hideMark/>
          </w:tcPr>
          <w:p w14:paraId="6CEAD11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21,000 </w:t>
            </w:r>
          </w:p>
        </w:tc>
        <w:tc>
          <w:tcPr>
            <w:tcW w:w="864" w:type="dxa"/>
            <w:tcBorders>
              <w:top w:val="nil"/>
              <w:left w:val="nil"/>
              <w:bottom w:val="single" w:sz="4" w:space="0" w:color="000000"/>
              <w:right w:val="single" w:sz="4" w:space="0" w:color="000000"/>
            </w:tcBorders>
            <w:shd w:val="clear" w:color="auto" w:fill="auto"/>
            <w:noWrap/>
            <w:vAlign w:val="bottom"/>
            <w:hideMark/>
          </w:tcPr>
          <w:p w14:paraId="0764AB5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34" w:type="dxa"/>
            <w:tcBorders>
              <w:top w:val="nil"/>
              <w:left w:val="nil"/>
              <w:bottom w:val="single" w:sz="4" w:space="0" w:color="000000"/>
              <w:right w:val="single" w:sz="4" w:space="0" w:color="000000"/>
            </w:tcBorders>
            <w:shd w:val="clear" w:color="auto" w:fill="auto"/>
            <w:noWrap/>
            <w:vAlign w:val="bottom"/>
            <w:hideMark/>
          </w:tcPr>
          <w:p w14:paraId="3C0CE00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7" w:type="dxa"/>
            <w:tcBorders>
              <w:top w:val="nil"/>
              <w:left w:val="nil"/>
              <w:bottom w:val="single" w:sz="4" w:space="0" w:color="000000"/>
              <w:right w:val="single" w:sz="4" w:space="0" w:color="000000"/>
            </w:tcBorders>
            <w:shd w:val="clear" w:color="auto" w:fill="auto"/>
            <w:noWrap/>
            <w:vAlign w:val="bottom"/>
            <w:hideMark/>
          </w:tcPr>
          <w:p w14:paraId="54FB165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3F95622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67,800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60E405E7"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42 </w:t>
            </w:r>
          </w:p>
        </w:tc>
      </w:tr>
      <w:tr w:rsidR="007A7FA3" w:rsidRPr="007A7FA3" w14:paraId="09E7186D" w14:textId="77777777" w:rsidTr="007A7FA3">
        <w:trPr>
          <w:trHeight w:val="270"/>
        </w:trPr>
        <w:tc>
          <w:tcPr>
            <w:tcW w:w="1086" w:type="dxa"/>
            <w:vMerge/>
            <w:tcBorders>
              <w:top w:val="nil"/>
              <w:left w:val="single" w:sz="8" w:space="0" w:color="auto"/>
              <w:bottom w:val="single" w:sz="4" w:space="0" w:color="000000"/>
              <w:right w:val="nil"/>
            </w:tcBorders>
            <w:vAlign w:val="center"/>
            <w:hideMark/>
          </w:tcPr>
          <w:p w14:paraId="2F4EEF2E"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023A8EB5"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1B8164D0"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4E0535BD"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38EB6AA7"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3A675E16"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2A914E88"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71600</w:t>
            </w:r>
          </w:p>
        </w:tc>
        <w:tc>
          <w:tcPr>
            <w:tcW w:w="1580" w:type="dxa"/>
            <w:tcBorders>
              <w:top w:val="nil"/>
              <w:left w:val="nil"/>
              <w:bottom w:val="single" w:sz="4" w:space="0" w:color="000000"/>
              <w:right w:val="single" w:sz="4" w:space="0" w:color="000000"/>
            </w:tcBorders>
            <w:shd w:val="clear" w:color="auto" w:fill="auto"/>
            <w:vAlign w:val="bottom"/>
            <w:hideMark/>
          </w:tcPr>
          <w:p w14:paraId="237E7766"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Travel</w:t>
            </w:r>
          </w:p>
        </w:tc>
        <w:tc>
          <w:tcPr>
            <w:tcW w:w="694" w:type="dxa"/>
            <w:tcBorders>
              <w:top w:val="nil"/>
              <w:left w:val="nil"/>
              <w:bottom w:val="single" w:sz="4" w:space="0" w:color="000000"/>
              <w:right w:val="single" w:sz="4" w:space="0" w:color="000000"/>
            </w:tcBorders>
            <w:shd w:val="clear" w:color="auto" w:fill="auto"/>
            <w:noWrap/>
            <w:vAlign w:val="bottom"/>
            <w:hideMark/>
          </w:tcPr>
          <w:p w14:paraId="45B73C2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13,000 </w:t>
            </w:r>
          </w:p>
        </w:tc>
        <w:tc>
          <w:tcPr>
            <w:tcW w:w="805" w:type="dxa"/>
            <w:tcBorders>
              <w:top w:val="nil"/>
              <w:left w:val="nil"/>
              <w:bottom w:val="single" w:sz="4" w:space="0" w:color="000000"/>
              <w:right w:val="single" w:sz="4" w:space="0" w:color="000000"/>
            </w:tcBorders>
            <w:shd w:val="clear" w:color="auto" w:fill="auto"/>
            <w:noWrap/>
            <w:vAlign w:val="bottom"/>
            <w:hideMark/>
          </w:tcPr>
          <w:p w14:paraId="218C661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26" w:type="dxa"/>
            <w:tcBorders>
              <w:top w:val="nil"/>
              <w:left w:val="nil"/>
              <w:bottom w:val="single" w:sz="4" w:space="0" w:color="000000"/>
              <w:right w:val="single" w:sz="4" w:space="0" w:color="000000"/>
            </w:tcBorders>
            <w:shd w:val="clear" w:color="auto" w:fill="auto"/>
            <w:noWrap/>
            <w:vAlign w:val="bottom"/>
            <w:hideMark/>
          </w:tcPr>
          <w:p w14:paraId="223433E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13,000 </w:t>
            </w:r>
          </w:p>
        </w:tc>
        <w:tc>
          <w:tcPr>
            <w:tcW w:w="864" w:type="dxa"/>
            <w:tcBorders>
              <w:top w:val="nil"/>
              <w:left w:val="nil"/>
              <w:bottom w:val="single" w:sz="4" w:space="0" w:color="000000"/>
              <w:right w:val="single" w:sz="4" w:space="0" w:color="000000"/>
            </w:tcBorders>
            <w:shd w:val="clear" w:color="auto" w:fill="auto"/>
            <w:noWrap/>
            <w:vAlign w:val="bottom"/>
            <w:hideMark/>
          </w:tcPr>
          <w:p w14:paraId="47B6FDD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34" w:type="dxa"/>
            <w:tcBorders>
              <w:top w:val="nil"/>
              <w:left w:val="nil"/>
              <w:bottom w:val="single" w:sz="4" w:space="0" w:color="000000"/>
              <w:right w:val="single" w:sz="4" w:space="0" w:color="000000"/>
            </w:tcBorders>
            <w:shd w:val="clear" w:color="auto" w:fill="auto"/>
            <w:noWrap/>
            <w:vAlign w:val="bottom"/>
            <w:hideMark/>
          </w:tcPr>
          <w:p w14:paraId="5234859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7" w:type="dxa"/>
            <w:tcBorders>
              <w:top w:val="nil"/>
              <w:left w:val="nil"/>
              <w:bottom w:val="single" w:sz="4" w:space="0" w:color="000000"/>
              <w:right w:val="single" w:sz="4" w:space="0" w:color="000000"/>
            </w:tcBorders>
            <w:shd w:val="clear" w:color="auto" w:fill="auto"/>
            <w:noWrap/>
            <w:vAlign w:val="bottom"/>
            <w:hideMark/>
          </w:tcPr>
          <w:p w14:paraId="43F6721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60847E1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36,000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55E694CB"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43 </w:t>
            </w:r>
          </w:p>
        </w:tc>
      </w:tr>
      <w:tr w:rsidR="007A7FA3" w:rsidRPr="007A7FA3" w14:paraId="005DD95D" w14:textId="77777777" w:rsidTr="007A7FA3">
        <w:trPr>
          <w:trHeight w:val="300"/>
        </w:trPr>
        <w:tc>
          <w:tcPr>
            <w:tcW w:w="1086" w:type="dxa"/>
            <w:vMerge/>
            <w:tcBorders>
              <w:top w:val="nil"/>
              <w:left w:val="single" w:sz="8" w:space="0" w:color="auto"/>
              <w:bottom w:val="single" w:sz="4" w:space="0" w:color="000000"/>
              <w:right w:val="nil"/>
            </w:tcBorders>
            <w:vAlign w:val="center"/>
            <w:hideMark/>
          </w:tcPr>
          <w:p w14:paraId="01A0B790"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0DAEB801"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02D5A3AF"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58F51AB8"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4E0EF87F"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2F600BA9"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12AC1EF9"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72100</w:t>
            </w:r>
          </w:p>
        </w:tc>
        <w:tc>
          <w:tcPr>
            <w:tcW w:w="1580" w:type="dxa"/>
            <w:tcBorders>
              <w:top w:val="nil"/>
              <w:left w:val="nil"/>
              <w:bottom w:val="single" w:sz="4" w:space="0" w:color="000000"/>
              <w:right w:val="single" w:sz="4" w:space="0" w:color="000000"/>
            </w:tcBorders>
            <w:shd w:val="clear" w:color="auto" w:fill="auto"/>
            <w:vAlign w:val="bottom"/>
            <w:hideMark/>
          </w:tcPr>
          <w:p w14:paraId="702D025B"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Contractual Services - Companies</w:t>
            </w:r>
          </w:p>
        </w:tc>
        <w:tc>
          <w:tcPr>
            <w:tcW w:w="694" w:type="dxa"/>
            <w:tcBorders>
              <w:top w:val="nil"/>
              <w:left w:val="nil"/>
              <w:bottom w:val="single" w:sz="4" w:space="0" w:color="000000"/>
              <w:right w:val="single" w:sz="4" w:space="0" w:color="000000"/>
            </w:tcBorders>
            <w:shd w:val="clear" w:color="auto" w:fill="auto"/>
            <w:noWrap/>
            <w:vAlign w:val="bottom"/>
            <w:hideMark/>
          </w:tcPr>
          <w:p w14:paraId="09C05D5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14,000 </w:t>
            </w:r>
          </w:p>
        </w:tc>
        <w:tc>
          <w:tcPr>
            <w:tcW w:w="805" w:type="dxa"/>
            <w:tcBorders>
              <w:top w:val="nil"/>
              <w:left w:val="nil"/>
              <w:bottom w:val="single" w:sz="4" w:space="0" w:color="000000"/>
              <w:right w:val="single" w:sz="4" w:space="0" w:color="000000"/>
            </w:tcBorders>
            <w:shd w:val="clear" w:color="auto" w:fill="auto"/>
            <w:noWrap/>
            <w:vAlign w:val="bottom"/>
            <w:hideMark/>
          </w:tcPr>
          <w:p w14:paraId="33C984E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12,500 </w:t>
            </w:r>
          </w:p>
        </w:tc>
        <w:tc>
          <w:tcPr>
            <w:tcW w:w="826" w:type="dxa"/>
            <w:tcBorders>
              <w:top w:val="nil"/>
              <w:left w:val="nil"/>
              <w:bottom w:val="single" w:sz="4" w:space="0" w:color="000000"/>
              <w:right w:val="single" w:sz="4" w:space="0" w:color="000000"/>
            </w:tcBorders>
            <w:shd w:val="clear" w:color="auto" w:fill="auto"/>
            <w:noWrap/>
            <w:vAlign w:val="bottom"/>
            <w:hideMark/>
          </w:tcPr>
          <w:p w14:paraId="54FBA75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11,000 </w:t>
            </w:r>
          </w:p>
        </w:tc>
        <w:tc>
          <w:tcPr>
            <w:tcW w:w="864" w:type="dxa"/>
            <w:tcBorders>
              <w:top w:val="nil"/>
              <w:left w:val="nil"/>
              <w:bottom w:val="single" w:sz="4" w:space="0" w:color="000000"/>
              <w:right w:val="single" w:sz="4" w:space="0" w:color="000000"/>
            </w:tcBorders>
            <w:shd w:val="clear" w:color="auto" w:fill="auto"/>
            <w:noWrap/>
            <w:vAlign w:val="bottom"/>
            <w:hideMark/>
          </w:tcPr>
          <w:p w14:paraId="5550B61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34" w:type="dxa"/>
            <w:tcBorders>
              <w:top w:val="nil"/>
              <w:left w:val="nil"/>
              <w:bottom w:val="single" w:sz="4" w:space="0" w:color="000000"/>
              <w:right w:val="single" w:sz="4" w:space="0" w:color="000000"/>
            </w:tcBorders>
            <w:shd w:val="clear" w:color="auto" w:fill="auto"/>
            <w:noWrap/>
            <w:vAlign w:val="bottom"/>
            <w:hideMark/>
          </w:tcPr>
          <w:p w14:paraId="14673EC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7" w:type="dxa"/>
            <w:tcBorders>
              <w:top w:val="nil"/>
              <w:left w:val="nil"/>
              <w:bottom w:val="single" w:sz="4" w:space="0" w:color="000000"/>
              <w:right w:val="single" w:sz="4" w:space="0" w:color="000000"/>
            </w:tcBorders>
            <w:shd w:val="clear" w:color="auto" w:fill="auto"/>
            <w:noWrap/>
            <w:vAlign w:val="bottom"/>
            <w:hideMark/>
          </w:tcPr>
          <w:p w14:paraId="57DFC2F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3E4653F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37,500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2B0F2DD4"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44 </w:t>
            </w:r>
          </w:p>
        </w:tc>
      </w:tr>
      <w:tr w:rsidR="007A7FA3" w:rsidRPr="007A7FA3" w14:paraId="75B73606" w14:textId="77777777" w:rsidTr="007A7FA3">
        <w:trPr>
          <w:trHeight w:val="285"/>
        </w:trPr>
        <w:tc>
          <w:tcPr>
            <w:tcW w:w="1086" w:type="dxa"/>
            <w:vMerge/>
            <w:tcBorders>
              <w:top w:val="nil"/>
              <w:left w:val="single" w:sz="8" w:space="0" w:color="auto"/>
              <w:bottom w:val="single" w:sz="4" w:space="0" w:color="000000"/>
              <w:right w:val="nil"/>
            </w:tcBorders>
            <w:vAlign w:val="center"/>
            <w:hideMark/>
          </w:tcPr>
          <w:p w14:paraId="2B6872DE"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610B7D53"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10D3B6BE"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2516457B"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62744AD6"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2267D4B4"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0457B285"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72400</w:t>
            </w:r>
          </w:p>
        </w:tc>
        <w:tc>
          <w:tcPr>
            <w:tcW w:w="1580" w:type="dxa"/>
            <w:tcBorders>
              <w:top w:val="nil"/>
              <w:left w:val="nil"/>
              <w:bottom w:val="single" w:sz="4" w:space="0" w:color="000000"/>
              <w:right w:val="single" w:sz="4" w:space="0" w:color="000000"/>
            </w:tcBorders>
            <w:shd w:val="clear" w:color="auto" w:fill="auto"/>
            <w:vAlign w:val="bottom"/>
            <w:hideMark/>
          </w:tcPr>
          <w:p w14:paraId="3368437A"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Communic &amp; Audio Visual Equip</w:t>
            </w:r>
          </w:p>
        </w:tc>
        <w:tc>
          <w:tcPr>
            <w:tcW w:w="694" w:type="dxa"/>
            <w:tcBorders>
              <w:top w:val="nil"/>
              <w:left w:val="nil"/>
              <w:bottom w:val="single" w:sz="4" w:space="0" w:color="000000"/>
              <w:right w:val="single" w:sz="4" w:space="0" w:color="000000"/>
            </w:tcBorders>
            <w:shd w:val="clear" w:color="auto" w:fill="auto"/>
            <w:noWrap/>
            <w:vAlign w:val="bottom"/>
            <w:hideMark/>
          </w:tcPr>
          <w:p w14:paraId="41F16AC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3,800 </w:t>
            </w:r>
          </w:p>
        </w:tc>
        <w:tc>
          <w:tcPr>
            <w:tcW w:w="805" w:type="dxa"/>
            <w:tcBorders>
              <w:top w:val="nil"/>
              <w:left w:val="nil"/>
              <w:bottom w:val="single" w:sz="4" w:space="0" w:color="000000"/>
              <w:right w:val="single" w:sz="4" w:space="0" w:color="000000"/>
            </w:tcBorders>
            <w:shd w:val="clear" w:color="auto" w:fill="auto"/>
            <w:noWrap/>
            <w:vAlign w:val="bottom"/>
            <w:hideMark/>
          </w:tcPr>
          <w:p w14:paraId="659A046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7,000 </w:t>
            </w:r>
          </w:p>
        </w:tc>
        <w:tc>
          <w:tcPr>
            <w:tcW w:w="826" w:type="dxa"/>
            <w:tcBorders>
              <w:top w:val="nil"/>
              <w:left w:val="nil"/>
              <w:bottom w:val="single" w:sz="4" w:space="0" w:color="000000"/>
              <w:right w:val="single" w:sz="4" w:space="0" w:color="000000"/>
            </w:tcBorders>
            <w:shd w:val="clear" w:color="auto" w:fill="auto"/>
            <w:noWrap/>
            <w:vAlign w:val="bottom"/>
            <w:hideMark/>
          </w:tcPr>
          <w:p w14:paraId="60A7880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5,500 </w:t>
            </w:r>
          </w:p>
        </w:tc>
        <w:tc>
          <w:tcPr>
            <w:tcW w:w="864" w:type="dxa"/>
            <w:tcBorders>
              <w:top w:val="nil"/>
              <w:left w:val="nil"/>
              <w:bottom w:val="single" w:sz="4" w:space="0" w:color="000000"/>
              <w:right w:val="single" w:sz="4" w:space="0" w:color="000000"/>
            </w:tcBorders>
            <w:shd w:val="clear" w:color="auto" w:fill="auto"/>
            <w:noWrap/>
            <w:vAlign w:val="bottom"/>
            <w:hideMark/>
          </w:tcPr>
          <w:p w14:paraId="161B7A7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34" w:type="dxa"/>
            <w:tcBorders>
              <w:top w:val="nil"/>
              <w:left w:val="nil"/>
              <w:bottom w:val="single" w:sz="4" w:space="0" w:color="000000"/>
              <w:right w:val="single" w:sz="4" w:space="0" w:color="000000"/>
            </w:tcBorders>
            <w:shd w:val="clear" w:color="auto" w:fill="auto"/>
            <w:noWrap/>
            <w:vAlign w:val="bottom"/>
            <w:hideMark/>
          </w:tcPr>
          <w:p w14:paraId="3736315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7" w:type="dxa"/>
            <w:tcBorders>
              <w:top w:val="nil"/>
              <w:left w:val="nil"/>
              <w:bottom w:val="single" w:sz="4" w:space="0" w:color="000000"/>
              <w:right w:val="single" w:sz="4" w:space="0" w:color="000000"/>
            </w:tcBorders>
            <w:shd w:val="clear" w:color="auto" w:fill="auto"/>
            <w:noWrap/>
            <w:vAlign w:val="bottom"/>
            <w:hideMark/>
          </w:tcPr>
          <w:p w14:paraId="350F0DE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1D960F9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16,300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20E11389"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45 </w:t>
            </w:r>
          </w:p>
        </w:tc>
      </w:tr>
      <w:tr w:rsidR="007A7FA3" w:rsidRPr="007A7FA3" w14:paraId="2B0B8E8D" w14:textId="77777777" w:rsidTr="007A7FA3">
        <w:trPr>
          <w:trHeight w:val="450"/>
        </w:trPr>
        <w:tc>
          <w:tcPr>
            <w:tcW w:w="1086" w:type="dxa"/>
            <w:vMerge/>
            <w:tcBorders>
              <w:top w:val="nil"/>
              <w:left w:val="single" w:sz="8" w:space="0" w:color="auto"/>
              <w:bottom w:val="single" w:sz="4" w:space="0" w:color="000000"/>
              <w:right w:val="nil"/>
            </w:tcBorders>
            <w:vAlign w:val="center"/>
            <w:hideMark/>
          </w:tcPr>
          <w:p w14:paraId="10A07A6B"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7785269F"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4A27941A" w14:textId="77777777" w:rsidR="007A7FA3" w:rsidRPr="007A7FA3" w:rsidRDefault="007A7FA3" w:rsidP="007A7FA3">
            <w:pPr>
              <w:rPr>
                <w:rFonts w:ascii="Calibri" w:hAnsi="Calibri" w:cs="Calibri"/>
                <w:i/>
                <w:iCs/>
                <w:color w:val="000000"/>
                <w:sz w:val="13"/>
                <w:szCs w:val="13"/>
              </w:rPr>
            </w:pPr>
          </w:p>
        </w:tc>
        <w:tc>
          <w:tcPr>
            <w:tcW w:w="3763" w:type="dxa"/>
            <w:gridSpan w:val="5"/>
            <w:tcBorders>
              <w:top w:val="single" w:sz="4" w:space="0" w:color="000000"/>
              <w:left w:val="nil"/>
              <w:bottom w:val="single" w:sz="4" w:space="0" w:color="000000"/>
              <w:right w:val="single" w:sz="4" w:space="0" w:color="000000"/>
            </w:tcBorders>
            <w:shd w:val="clear" w:color="auto" w:fill="auto"/>
            <w:vAlign w:val="center"/>
            <w:hideMark/>
          </w:tcPr>
          <w:p w14:paraId="6B698A7A"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Total BCC</w:t>
            </w:r>
          </w:p>
        </w:tc>
        <w:tc>
          <w:tcPr>
            <w:tcW w:w="694" w:type="dxa"/>
            <w:tcBorders>
              <w:top w:val="nil"/>
              <w:left w:val="nil"/>
              <w:bottom w:val="single" w:sz="4" w:space="0" w:color="000000"/>
              <w:right w:val="single" w:sz="4" w:space="0" w:color="000000"/>
            </w:tcBorders>
            <w:shd w:val="clear" w:color="auto" w:fill="auto"/>
            <w:noWrap/>
            <w:vAlign w:val="bottom"/>
            <w:hideMark/>
          </w:tcPr>
          <w:p w14:paraId="4AF24CC7"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58,600 </w:t>
            </w:r>
          </w:p>
        </w:tc>
        <w:tc>
          <w:tcPr>
            <w:tcW w:w="805" w:type="dxa"/>
            <w:tcBorders>
              <w:top w:val="nil"/>
              <w:left w:val="nil"/>
              <w:bottom w:val="single" w:sz="4" w:space="0" w:color="000000"/>
              <w:right w:val="single" w:sz="4" w:space="0" w:color="000000"/>
            </w:tcBorders>
            <w:shd w:val="clear" w:color="auto" w:fill="auto"/>
            <w:noWrap/>
            <w:vAlign w:val="bottom"/>
            <w:hideMark/>
          </w:tcPr>
          <w:p w14:paraId="4C783BD8"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66,500 </w:t>
            </w:r>
          </w:p>
        </w:tc>
        <w:tc>
          <w:tcPr>
            <w:tcW w:w="826" w:type="dxa"/>
            <w:tcBorders>
              <w:top w:val="nil"/>
              <w:left w:val="nil"/>
              <w:bottom w:val="single" w:sz="4" w:space="0" w:color="000000"/>
              <w:right w:val="single" w:sz="4" w:space="0" w:color="000000"/>
            </w:tcBorders>
            <w:shd w:val="clear" w:color="auto" w:fill="auto"/>
            <w:noWrap/>
            <w:vAlign w:val="bottom"/>
            <w:hideMark/>
          </w:tcPr>
          <w:p w14:paraId="3B9CA73C"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52,900 </w:t>
            </w:r>
          </w:p>
        </w:tc>
        <w:tc>
          <w:tcPr>
            <w:tcW w:w="864" w:type="dxa"/>
            <w:tcBorders>
              <w:top w:val="nil"/>
              <w:left w:val="nil"/>
              <w:bottom w:val="single" w:sz="4" w:space="0" w:color="000000"/>
              <w:right w:val="single" w:sz="4" w:space="0" w:color="000000"/>
            </w:tcBorders>
            <w:shd w:val="clear" w:color="auto" w:fill="auto"/>
            <w:noWrap/>
            <w:vAlign w:val="bottom"/>
            <w:hideMark/>
          </w:tcPr>
          <w:p w14:paraId="03C87381"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34" w:type="dxa"/>
            <w:tcBorders>
              <w:top w:val="nil"/>
              <w:left w:val="nil"/>
              <w:bottom w:val="single" w:sz="4" w:space="0" w:color="000000"/>
              <w:right w:val="single" w:sz="4" w:space="0" w:color="000000"/>
            </w:tcBorders>
            <w:shd w:val="clear" w:color="auto" w:fill="auto"/>
            <w:noWrap/>
            <w:vAlign w:val="bottom"/>
            <w:hideMark/>
          </w:tcPr>
          <w:p w14:paraId="3C03D303"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27" w:type="dxa"/>
            <w:tcBorders>
              <w:top w:val="nil"/>
              <w:left w:val="nil"/>
              <w:bottom w:val="single" w:sz="4" w:space="0" w:color="000000"/>
              <w:right w:val="single" w:sz="4" w:space="0" w:color="000000"/>
            </w:tcBorders>
            <w:shd w:val="clear" w:color="auto" w:fill="auto"/>
            <w:noWrap/>
            <w:vAlign w:val="bottom"/>
            <w:hideMark/>
          </w:tcPr>
          <w:p w14:paraId="79C2E7F0"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980" w:type="dxa"/>
            <w:tcBorders>
              <w:top w:val="single" w:sz="8" w:space="0" w:color="000000"/>
              <w:left w:val="nil"/>
              <w:bottom w:val="single" w:sz="4" w:space="0" w:color="000000"/>
              <w:right w:val="nil"/>
            </w:tcBorders>
            <w:shd w:val="clear" w:color="auto" w:fill="auto"/>
            <w:noWrap/>
            <w:vAlign w:val="bottom"/>
            <w:hideMark/>
          </w:tcPr>
          <w:p w14:paraId="4548D7D3"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178,000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168C9A63"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66C53091" w14:textId="77777777" w:rsidTr="007A7FA3">
        <w:trPr>
          <w:trHeight w:val="315"/>
        </w:trPr>
        <w:tc>
          <w:tcPr>
            <w:tcW w:w="1086" w:type="dxa"/>
            <w:vMerge/>
            <w:tcBorders>
              <w:top w:val="nil"/>
              <w:left w:val="single" w:sz="8" w:space="0" w:color="auto"/>
              <w:bottom w:val="single" w:sz="4" w:space="0" w:color="000000"/>
              <w:right w:val="nil"/>
            </w:tcBorders>
            <w:vAlign w:val="center"/>
            <w:hideMark/>
          </w:tcPr>
          <w:p w14:paraId="75686EBE"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426D5FB7" w14:textId="77777777" w:rsidR="007A7FA3" w:rsidRPr="007A7FA3" w:rsidRDefault="007A7FA3" w:rsidP="007A7FA3">
            <w:pPr>
              <w:rPr>
                <w:rFonts w:ascii="Calibri" w:hAnsi="Calibri" w:cs="Calibri"/>
                <w:i/>
                <w:iCs/>
                <w:color w:val="000000"/>
                <w:sz w:val="13"/>
                <w:szCs w:val="13"/>
              </w:rPr>
            </w:pPr>
          </w:p>
        </w:tc>
        <w:tc>
          <w:tcPr>
            <w:tcW w:w="5779" w:type="dxa"/>
            <w:gridSpan w:val="6"/>
            <w:tcBorders>
              <w:top w:val="nil"/>
              <w:left w:val="nil"/>
              <w:bottom w:val="single" w:sz="4" w:space="0" w:color="000000"/>
              <w:right w:val="single" w:sz="4" w:space="0" w:color="000000"/>
            </w:tcBorders>
            <w:shd w:val="clear" w:color="auto" w:fill="auto"/>
            <w:vAlign w:val="center"/>
            <w:hideMark/>
          </w:tcPr>
          <w:p w14:paraId="78FDD082" w14:textId="77777777" w:rsidR="007A7FA3" w:rsidRPr="007A7FA3" w:rsidRDefault="007A7FA3" w:rsidP="007A7FA3">
            <w:pPr>
              <w:rPr>
                <w:rFonts w:ascii="Calibri" w:hAnsi="Calibri" w:cs="Calibri"/>
                <w:b/>
                <w:bCs/>
                <w:i/>
                <w:iCs/>
                <w:color w:val="000000"/>
                <w:sz w:val="13"/>
                <w:szCs w:val="13"/>
              </w:rPr>
            </w:pPr>
            <w:r w:rsidRPr="007A7FA3">
              <w:rPr>
                <w:rFonts w:ascii="Calibri" w:hAnsi="Calibri" w:cs="Calibri"/>
                <w:b/>
                <w:bCs/>
                <w:i/>
                <w:iCs/>
                <w:color w:val="000000"/>
                <w:sz w:val="13"/>
                <w:szCs w:val="13"/>
              </w:rPr>
              <w:t>Total Output 1.4.2</w:t>
            </w:r>
          </w:p>
        </w:tc>
        <w:tc>
          <w:tcPr>
            <w:tcW w:w="694" w:type="dxa"/>
            <w:tcBorders>
              <w:top w:val="nil"/>
              <w:left w:val="nil"/>
              <w:bottom w:val="single" w:sz="4" w:space="0" w:color="000000"/>
              <w:right w:val="single" w:sz="4" w:space="0" w:color="000000"/>
            </w:tcBorders>
            <w:shd w:val="clear" w:color="auto" w:fill="auto"/>
            <w:noWrap/>
            <w:vAlign w:val="bottom"/>
            <w:hideMark/>
          </w:tcPr>
          <w:p w14:paraId="3C35140C"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58,600 </w:t>
            </w:r>
          </w:p>
        </w:tc>
        <w:tc>
          <w:tcPr>
            <w:tcW w:w="805" w:type="dxa"/>
            <w:tcBorders>
              <w:top w:val="nil"/>
              <w:left w:val="nil"/>
              <w:bottom w:val="single" w:sz="4" w:space="0" w:color="000000"/>
              <w:right w:val="single" w:sz="4" w:space="0" w:color="000000"/>
            </w:tcBorders>
            <w:shd w:val="clear" w:color="auto" w:fill="auto"/>
            <w:noWrap/>
            <w:vAlign w:val="bottom"/>
            <w:hideMark/>
          </w:tcPr>
          <w:p w14:paraId="5B4EDDE9"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66,500 </w:t>
            </w:r>
          </w:p>
        </w:tc>
        <w:tc>
          <w:tcPr>
            <w:tcW w:w="826" w:type="dxa"/>
            <w:tcBorders>
              <w:top w:val="nil"/>
              <w:left w:val="nil"/>
              <w:bottom w:val="single" w:sz="4" w:space="0" w:color="000000"/>
              <w:right w:val="single" w:sz="4" w:space="0" w:color="000000"/>
            </w:tcBorders>
            <w:shd w:val="clear" w:color="auto" w:fill="auto"/>
            <w:noWrap/>
            <w:vAlign w:val="bottom"/>
            <w:hideMark/>
          </w:tcPr>
          <w:p w14:paraId="7BA40D68"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52,900 </w:t>
            </w:r>
          </w:p>
        </w:tc>
        <w:tc>
          <w:tcPr>
            <w:tcW w:w="864" w:type="dxa"/>
            <w:tcBorders>
              <w:top w:val="nil"/>
              <w:left w:val="nil"/>
              <w:bottom w:val="single" w:sz="4" w:space="0" w:color="000000"/>
              <w:right w:val="single" w:sz="4" w:space="0" w:color="000000"/>
            </w:tcBorders>
            <w:shd w:val="clear" w:color="auto" w:fill="auto"/>
            <w:noWrap/>
            <w:vAlign w:val="bottom"/>
            <w:hideMark/>
          </w:tcPr>
          <w:p w14:paraId="5FA33FD9"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34" w:type="dxa"/>
            <w:tcBorders>
              <w:top w:val="nil"/>
              <w:left w:val="nil"/>
              <w:bottom w:val="single" w:sz="4" w:space="0" w:color="000000"/>
              <w:right w:val="single" w:sz="4" w:space="0" w:color="000000"/>
            </w:tcBorders>
            <w:shd w:val="clear" w:color="auto" w:fill="auto"/>
            <w:noWrap/>
            <w:vAlign w:val="bottom"/>
            <w:hideMark/>
          </w:tcPr>
          <w:p w14:paraId="14D5456C"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27" w:type="dxa"/>
            <w:tcBorders>
              <w:top w:val="nil"/>
              <w:left w:val="nil"/>
              <w:bottom w:val="single" w:sz="4" w:space="0" w:color="000000"/>
              <w:right w:val="single" w:sz="4" w:space="0" w:color="000000"/>
            </w:tcBorders>
            <w:shd w:val="clear" w:color="auto" w:fill="auto"/>
            <w:noWrap/>
            <w:vAlign w:val="bottom"/>
            <w:hideMark/>
          </w:tcPr>
          <w:p w14:paraId="54D4EEB0"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980" w:type="dxa"/>
            <w:tcBorders>
              <w:top w:val="nil"/>
              <w:left w:val="nil"/>
              <w:bottom w:val="single" w:sz="4" w:space="0" w:color="000000"/>
              <w:right w:val="nil"/>
            </w:tcBorders>
            <w:shd w:val="clear" w:color="auto" w:fill="auto"/>
            <w:noWrap/>
            <w:vAlign w:val="bottom"/>
            <w:hideMark/>
          </w:tcPr>
          <w:p w14:paraId="07D5C775"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178,000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2F518E19"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53483C96" w14:textId="77777777" w:rsidTr="007A7FA3">
        <w:trPr>
          <w:trHeight w:val="300"/>
        </w:trPr>
        <w:tc>
          <w:tcPr>
            <w:tcW w:w="1086" w:type="dxa"/>
            <w:vMerge/>
            <w:tcBorders>
              <w:top w:val="nil"/>
              <w:left w:val="single" w:sz="8" w:space="0" w:color="auto"/>
              <w:bottom w:val="single" w:sz="4" w:space="0" w:color="000000"/>
              <w:right w:val="nil"/>
            </w:tcBorders>
            <w:vAlign w:val="center"/>
            <w:hideMark/>
          </w:tcPr>
          <w:p w14:paraId="35E52290" w14:textId="77777777" w:rsidR="007A7FA3" w:rsidRPr="007A7FA3" w:rsidRDefault="007A7FA3" w:rsidP="007A7FA3">
            <w:pPr>
              <w:rPr>
                <w:rFonts w:ascii="Calibri" w:hAnsi="Calibri" w:cs="Calibri"/>
                <w:i/>
                <w:iCs/>
                <w:color w:val="000000"/>
                <w:sz w:val="13"/>
                <w:szCs w:val="13"/>
              </w:rPr>
            </w:pPr>
          </w:p>
        </w:tc>
        <w:tc>
          <w:tcPr>
            <w:tcW w:w="6650" w:type="dxa"/>
            <w:gridSpan w:val="7"/>
            <w:tcBorders>
              <w:top w:val="nil"/>
              <w:left w:val="single" w:sz="4" w:space="0" w:color="000000"/>
              <w:bottom w:val="nil"/>
              <w:right w:val="single" w:sz="4" w:space="0" w:color="000000"/>
            </w:tcBorders>
            <w:shd w:val="clear" w:color="FEF2CB" w:fill="FEF2CB"/>
            <w:vAlign w:val="center"/>
            <w:hideMark/>
          </w:tcPr>
          <w:p w14:paraId="326BB9C4" w14:textId="77777777" w:rsidR="007A7FA3" w:rsidRPr="007A7FA3" w:rsidRDefault="007A7FA3" w:rsidP="007A7FA3">
            <w:pPr>
              <w:rPr>
                <w:rFonts w:ascii="Calibri" w:hAnsi="Calibri" w:cs="Calibri"/>
                <w:b/>
                <w:bCs/>
                <w:i/>
                <w:iCs/>
                <w:color w:val="000000"/>
                <w:sz w:val="13"/>
                <w:szCs w:val="13"/>
              </w:rPr>
            </w:pPr>
            <w:r w:rsidRPr="007A7FA3">
              <w:rPr>
                <w:rFonts w:ascii="Calibri" w:hAnsi="Calibri" w:cs="Calibri"/>
                <w:b/>
                <w:bCs/>
                <w:i/>
                <w:iCs/>
                <w:color w:val="000000"/>
                <w:sz w:val="13"/>
                <w:szCs w:val="13"/>
              </w:rPr>
              <w:t>Total Outcome 1.4</w:t>
            </w:r>
          </w:p>
        </w:tc>
        <w:tc>
          <w:tcPr>
            <w:tcW w:w="694" w:type="dxa"/>
            <w:tcBorders>
              <w:top w:val="nil"/>
              <w:left w:val="nil"/>
              <w:bottom w:val="single" w:sz="4" w:space="0" w:color="000000"/>
              <w:right w:val="single" w:sz="4" w:space="0" w:color="000000"/>
            </w:tcBorders>
            <w:shd w:val="clear" w:color="FEF2CB" w:fill="FEF2CB"/>
            <w:noWrap/>
            <w:vAlign w:val="bottom"/>
            <w:hideMark/>
          </w:tcPr>
          <w:p w14:paraId="69C26AAB"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128,600 </w:t>
            </w:r>
          </w:p>
        </w:tc>
        <w:tc>
          <w:tcPr>
            <w:tcW w:w="805" w:type="dxa"/>
            <w:tcBorders>
              <w:top w:val="nil"/>
              <w:left w:val="nil"/>
              <w:bottom w:val="single" w:sz="4" w:space="0" w:color="000000"/>
              <w:right w:val="single" w:sz="4" w:space="0" w:color="000000"/>
            </w:tcBorders>
            <w:shd w:val="clear" w:color="FEF2CB" w:fill="FEF2CB"/>
            <w:noWrap/>
            <w:vAlign w:val="bottom"/>
            <w:hideMark/>
          </w:tcPr>
          <w:p w14:paraId="6283137C"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66,500 </w:t>
            </w:r>
          </w:p>
        </w:tc>
        <w:tc>
          <w:tcPr>
            <w:tcW w:w="826" w:type="dxa"/>
            <w:tcBorders>
              <w:top w:val="nil"/>
              <w:left w:val="nil"/>
              <w:bottom w:val="single" w:sz="4" w:space="0" w:color="000000"/>
              <w:right w:val="single" w:sz="4" w:space="0" w:color="000000"/>
            </w:tcBorders>
            <w:shd w:val="clear" w:color="FEF2CB" w:fill="FEF2CB"/>
            <w:noWrap/>
            <w:vAlign w:val="bottom"/>
            <w:hideMark/>
          </w:tcPr>
          <w:p w14:paraId="598F756E"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52,900 </w:t>
            </w:r>
          </w:p>
        </w:tc>
        <w:tc>
          <w:tcPr>
            <w:tcW w:w="864" w:type="dxa"/>
            <w:tcBorders>
              <w:top w:val="nil"/>
              <w:left w:val="nil"/>
              <w:bottom w:val="single" w:sz="4" w:space="0" w:color="000000"/>
              <w:right w:val="single" w:sz="4" w:space="0" w:color="000000"/>
            </w:tcBorders>
            <w:shd w:val="clear" w:color="FEF2CB" w:fill="FEF2CB"/>
            <w:noWrap/>
            <w:vAlign w:val="bottom"/>
            <w:hideMark/>
          </w:tcPr>
          <w:p w14:paraId="6F98E0B0"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34" w:type="dxa"/>
            <w:tcBorders>
              <w:top w:val="nil"/>
              <w:left w:val="nil"/>
              <w:bottom w:val="single" w:sz="4" w:space="0" w:color="000000"/>
              <w:right w:val="single" w:sz="4" w:space="0" w:color="000000"/>
            </w:tcBorders>
            <w:shd w:val="clear" w:color="FEF2CB" w:fill="FEF2CB"/>
            <w:noWrap/>
            <w:vAlign w:val="bottom"/>
            <w:hideMark/>
          </w:tcPr>
          <w:p w14:paraId="56F0B713"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27" w:type="dxa"/>
            <w:tcBorders>
              <w:top w:val="nil"/>
              <w:left w:val="nil"/>
              <w:bottom w:val="single" w:sz="4" w:space="0" w:color="000000"/>
              <w:right w:val="single" w:sz="4" w:space="0" w:color="000000"/>
            </w:tcBorders>
            <w:shd w:val="clear" w:color="FEF2CB" w:fill="FEF2CB"/>
            <w:noWrap/>
            <w:vAlign w:val="bottom"/>
            <w:hideMark/>
          </w:tcPr>
          <w:p w14:paraId="6BAC268C"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980" w:type="dxa"/>
            <w:tcBorders>
              <w:top w:val="nil"/>
              <w:left w:val="nil"/>
              <w:bottom w:val="single" w:sz="4" w:space="0" w:color="000000"/>
              <w:right w:val="nil"/>
            </w:tcBorders>
            <w:shd w:val="clear" w:color="FEF2CB" w:fill="FEF2CB"/>
            <w:noWrap/>
            <w:vAlign w:val="bottom"/>
            <w:hideMark/>
          </w:tcPr>
          <w:p w14:paraId="464FB01C"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248,000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7A2407B2"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5056B583" w14:textId="77777777" w:rsidTr="007A7FA3">
        <w:trPr>
          <w:trHeight w:val="330"/>
        </w:trPr>
        <w:tc>
          <w:tcPr>
            <w:tcW w:w="7736" w:type="dxa"/>
            <w:gridSpan w:val="8"/>
            <w:tcBorders>
              <w:top w:val="single" w:sz="4" w:space="0" w:color="000000"/>
              <w:left w:val="single" w:sz="8" w:space="0" w:color="auto"/>
              <w:bottom w:val="single" w:sz="4" w:space="0" w:color="000000"/>
              <w:right w:val="single" w:sz="4" w:space="0" w:color="000000"/>
            </w:tcBorders>
            <w:shd w:val="clear" w:color="BDD6EE" w:fill="BDD6EE"/>
            <w:vAlign w:val="center"/>
            <w:hideMark/>
          </w:tcPr>
          <w:p w14:paraId="15492953" w14:textId="77777777" w:rsidR="007A7FA3" w:rsidRPr="007A7FA3" w:rsidRDefault="007A7FA3" w:rsidP="007A7FA3">
            <w:pPr>
              <w:rPr>
                <w:rFonts w:ascii="Calibri" w:hAnsi="Calibri" w:cs="Calibri"/>
                <w:b/>
                <w:bCs/>
                <w:i/>
                <w:iCs/>
                <w:color w:val="000000"/>
                <w:sz w:val="13"/>
                <w:szCs w:val="13"/>
              </w:rPr>
            </w:pPr>
            <w:r w:rsidRPr="007A7FA3">
              <w:rPr>
                <w:rFonts w:ascii="Calibri" w:hAnsi="Calibri" w:cs="Calibri"/>
                <w:b/>
                <w:bCs/>
                <w:i/>
                <w:iCs/>
                <w:color w:val="000000"/>
                <w:sz w:val="13"/>
                <w:szCs w:val="13"/>
              </w:rPr>
              <w:t xml:space="preserve">Total Component 1 </w:t>
            </w:r>
          </w:p>
        </w:tc>
        <w:tc>
          <w:tcPr>
            <w:tcW w:w="694" w:type="dxa"/>
            <w:tcBorders>
              <w:top w:val="nil"/>
              <w:left w:val="nil"/>
              <w:bottom w:val="single" w:sz="8" w:space="0" w:color="000000"/>
              <w:right w:val="single" w:sz="4" w:space="0" w:color="000000"/>
            </w:tcBorders>
            <w:shd w:val="clear" w:color="BDD6EE" w:fill="BDD6EE"/>
            <w:noWrap/>
            <w:vAlign w:val="bottom"/>
            <w:hideMark/>
          </w:tcPr>
          <w:p w14:paraId="32C31F08"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510,000 </w:t>
            </w:r>
          </w:p>
        </w:tc>
        <w:tc>
          <w:tcPr>
            <w:tcW w:w="805" w:type="dxa"/>
            <w:tcBorders>
              <w:top w:val="nil"/>
              <w:left w:val="nil"/>
              <w:bottom w:val="single" w:sz="8" w:space="0" w:color="000000"/>
              <w:right w:val="single" w:sz="4" w:space="0" w:color="000000"/>
            </w:tcBorders>
            <w:shd w:val="clear" w:color="BDD6EE" w:fill="BDD6EE"/>
            <w:noWrap/>
            <w:vAlign w:val="bottom"/>
            <w:hideMark/>
          </w:tcPr>
          <w:p w14:paraId="028A537F"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684,200 </w:t>
            </w:r>
          </w:p>
        </w:tc>
        <w:tc>
          <w:tcPr>
            <w:tcW w:w="826" w:type="dxa"/>
            <w:tcBorders>
              <w:top w:val="nil"/>
              <w:left w:val="nil"/>
              <w:bottom w:val="single" w:sz="8" w:space="0" w:color="000000"/>
              <w:right w:val="single" w:sz="4" w:space="0" w:color="000000"/>
            </w:tcBorders>
            <w:shd w:val="clear" w:color="BDD6EE" w:fill="BDD6EE"/>
            <w:noWrap/>
            <w:vAlign w:val="bottom"/>
            <w:hideMark/>
          </w:tcPr>
          <w:p w14:paraId="0FB1DD98"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531,100 </w:t>
            </w:r>
          </w:p>
        </w:tc>
        <w:tc>
          <w:tcPr>
            <w:tcW w:w="864" w:type="dxa"/>
            <w:tcBorders>
              <w:top w:val="nil"/>
              <w:left w:val="nil"/>
              <w:bottom w:val="single" w:sz="8" w:space="0" w:color="000000"/>
              <w:right w:val="single" w:sz="4" w:space="0" w:color="000000"/>
            </w:tcBorders>
            <w:shd w:val="clear" w:color="BDD6EE" w:fill="BDD6EE"/>
            <w:noWrap/>
            <w:vAlign w:val="bottom"/>
            <w:hideMark/>
          </w:tcPr>
          <w:p w14:paraId="358EDB60"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483,500 </w:t>
            </w:r>
          </w:p>
        </w:tc>
        <w:tc>
          <w:tcPr>
            <w:tcW w:w="834" w:type="dxa"/>
            <w:tcBorders>
              <w:top w:val="nil"/>
              <w:left w:val="nil"/>
              <w:bottom w:val="single" w:sz="8" w:space="0" w:color="000000"/>
              <w:right w:val="single" w:sz="4" w:space="0" w:color="000000"/>
            </w:tcBorders>
            <w:shd w:val="clear" w:color="BDD6EE" w:fill="BDD6EE"/>
            <w:noWrap/>
            <w:vAlign w:val="bottom"/>
            <w:hideMark/>
          </w:tcPr>
          <w:p w14:paraId="4482C379"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383,490 </w:t>
            </w:r>
          </w:p>
        </w:tc>
        <w:tc>
          <w:tcPr>
            <w:tcW w:w="827" w:type="dxa"/>
            <w:tcBorders>
              <w:top w:val="nil"/>
              <w:left w:val="nil"/>
              <w:bottom w:val="single" w:sz="8" w:space="0" w:color="000000"/>
              <w:right w:val="single" w:sz="4" w:space="0" w:color="000000"/>
            </w:tcBorders>
            <w:shd w:val="clear" w:color="BDD6EE" w:fill="BDD6EE"/>
            <w:noWrap/>
            <w:vAlign w:val="bottom"/>
            <w:hideMark/>
          </w:tcPr>
          <w:p w14:paraId="6791CB60"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246,000 </w:t>
            </w:r>
          </w:p>
        </w:tc>
        <w:tc>
          <w:tcPr>
            <w:tcW w:w="980" w:type="dxa"/>
            <w:tcBorders>
              <w:top w:val="nil"/>
              <w:left w:val="nil"/>
              <w:bottom w:val="single" w:sz="8" w:space="0" w:color="000000"/>
              <w:right w:val="nil"/>
            </w:tcBorders>
            <w:shd w:val="clear" w:color="BDD6EE" w:fill="BDD6EE"/>
            <w:noWrap/>
            <w:vAlign w:val="bottom"/>
            <w:hideMark/>
          </w:tcPr>
          <w:p w14:paraId="5F341A95"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2,838,290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6CECB7DE"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15B73AF4" w14:textId="77777777" w:rsidTr="007A7FA3">
        <w:trPr>
          <w:trHeight w:val="315"/>
        </w:trPr>
        <w:tc>
          <w:tcPr>
            <w:tcW w:w="1086" w:type="dxa"/>
            <w:vMerge w:val="restart"/>
            <w:tcBorders>
              <w:top w:val="nil"/>
              <w:left w:val="single" w:sz="8" w:space="0" w:color="auto"/>
              <w:bottom w:val="nil"/>
              <w:right w:val="single" w:sz="4" w:space="0" w:color="000000"/>
            </w:tcBorders>
            <w:shd w:val="clear" w:color="auto" w:fill="auto"/>
            <w:vAlign w:val="center"/>
            <w:hideMark/>
          </w:tcPr>
          <w:p w14:paraId="297E31CA"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b/>
                <w:bCs/>
                <w:i/>
                <w:iCs/>
                <w:color w:val="000000"/>
                <w:sz w:val="13"/>
                <w:szCs w:val="13"/>
              </w:rPr>
              <w:t xml:space="preserve">Component 2: </w:t>
            </w:r>
            <w:r w:rsidRPr="007A7FA3">
              <w:rPr>
                <w:rFonts w:ascii="Calibri" w:hAnsi="Calibri" w:cs="Calibri"/>
                <w:i/>
                <w:iCs/>
                <w:color w:val="000000"/>
                <w:sz w:val="13"/>
                <w:szCs w:val="13"/>
              </w:rPr>
              <w:t xml:space="preserve">Enhance sustainable and climate resilient marine living resources and their value chains in the BCLME </w:t>
            </w:r>
          </w:p>
        </w:tc>
        <w:tc>
          <w:tcPr>
            <w:tcW w:w="871"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6948EBFF"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 xml:space="preserve">2.1: Climate resilient and sustainably managed fisheries and seafood </w:t>
            </w:r>
          </w:p>
        </w:tc>
        <w:tc>
          <w:tcPr>
            <w:tcW w:w="2016"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2D9278C5"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2.1.1: Bilateral agreements for joint sustainable and climate resilient management of transboundary fish stocks (Cape horse mackerel, Cape hakes) developed and implemented to curb IUU fishing</w:t>
            </w:r>
          </w:p>
        </w:tc>
        <w:tc>
          <w:tcPr>
            <w:tcW w:w="631" w:type="dxa"/>
            <w:vMerge w:val="restart"/>
            <w:tcBorders>
              <w:top w:val="nil"/>
              <w:left w:val="nil"/>
              <w:bottom w:val="nil"/>
              <w:right w:val="nil"/>
            </w:tcBorders>
            <w:shd w:val="clear" w:color="auto" w:fill="auto"/>
            <w:vAlign w:val="center"/>
            <w:hideMark/>
          </w:tcPr>
          <w:p w14:paraId="672FDCF4"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BCC</w:t>
            </w: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323C701B"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val="restart"/>
            <w:tcBorders>
              <w:top w:val="nil"/>
              <w:left w:val="single" w:sz="4" w:space="0" w:color="000000"/>
              <w:bottom w:val="nil"/>
              <w:right w:val="nil"/>
            </w:tcBorders>
            <w:shd w:val="clear" w:color="auto" w:fill="auto"/>
            <w:vAlign w:val="center"/>
            <w:hideMark/>
          </w:tcPr>
          <w:p w14:paraId="53A59220"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w:t>
            </w: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11E3B90F"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71200</w:t>
            </w:r>
          </w:p>
        </w:tc>
        <w:tc>
          <w:tcPr>
            <w:tcW w:w="1580" w:type="dxa"/>
            <w:tcBorders>
              <w:top w:val="nil"/>
              <w:left w:val="nil"/>
              <w:bottom w:val="single" w:sz="4" w:space="0" w:color="000000"/>
              <w:right w:val="single" w:sz="4" w:space="0" w:color="000000"/>
            </w:tcBorders>
            <w:shd w:val="clear" w:color="auto" w:fill="auto"/>
            <w:vAlign w:val="bottom"/>
            <w:hideMark/>
          </w:tcPr>
          <w:p w14:paraId="683F2959"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International Consultants</w:t>
            </w:r>
          </w:p>
        </w:tc>
        <w:tc>
          <w:tcPr>
            <w:tcW w:w="694" w:type="dxa"/>
            <w:tcBorders>
              <w:top w:val="nil"/>
              <w:left w:val="nil"/>
              <w:bottom w:val="single" w:sz="4" w:space="0" w:color="000000"/>
              <w:right w:val="single" w:sz="4" w:space="0" w:color="000000"/>
            </w:tcBorders>
            <w:shd w:val="clear" w:color="auto" w:fill="auto"/>
            <w:noWrap/>
            <w:vAlign w:val="bottom"/>
            <w:hideMark/>
          </w:tcPr>
          <w:p w14:paraId="5A221E5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14,000 </w:t>
            </w:r>
          </w:p>
        </w:tc>
        <w:tc>
          <w:tcPr>
            <w:tcW w:w="805" w:type="dxa"/>
            <w:tcBorders>
              <w:top w:val="nil"/>
              <w:left w:val="nil"/>
              <w:bottom w:val="single" w:sz="4" w:space="0" w:color="000000"/>
              <w:right w:val="single" w:sz="4" w:space="0" w:color="000000"/>
            </w:tcBorders>
            <w:shd w:val="clear" w:color="auto" w:fill="auto"/>
            <w:noWrap/>
            <w:vAlign w:val="bottom"/>
            <w:hideMark/>
          </w:tcPr>
          <w:p w14:paraId="69F1BAE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14,000 </w:t>
            </w:r>
          </w:p>
        </w:tc>
        <w:tc>
          <w:tcPr>
            <w:tcW w:w="826" w:type="dxa"/>
            <w:tcBorders>
              <w:top w:val="nil"/>
              <w:left w:val="nil"/>
              <w:bottom w:val="single" w:sz="4" w:space="0" w:color="000000"/>
              <w:right w:val="single" w:sz="4" w:space="0" w:color="000000"/>
            </w:tcBorders>
            <w:shd w:val="clear" w:color="auto" w:fill="auto"/>
            <w:noWrap/>
            <w:vAlign w:val="bottom"/>
            <w:hideMark/>
          </w:tcPr>
          <w:p w14:paraId="799B1F1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64" w:type="dxa"/>
            <w:tcBorders>
              <w:top w:val="nil"/>
              <w:left w:val="nil"/>
              <w:bottom w:val="single" w:sz="4" w:space="0" w:color="000000"/>
              <w:right w:val="single" w:sz="4" w:space="0" w:color="000000"/>
            </w:tcBorders>
            <w:shd w:val="clear" w:color="auto" w:fill="auto"/>
            <w:noWrap/>
            <w:vAlign w:val="bottom"/>
            <w:hideMark/>
          </w:tcPr>
          <w:p w14:paraId="4F043E3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12,000 </w:t>
            </w:r>
          </w:p>
        </w:tc>
        <w:tc>
          <w:tcPr>
            <w:tcW w:w="834" w:type="dxa"/>
            <w:tcBorders>
              <w:top w:val="nil"/>
              <w:left w:val="nil"/>
              <w:bottom w:val="single" w:sz="4" w:space="0" w:color="000000"/>
              <w:right w:val="single" w:sz="4" w:space="0" w:color="000000"/>
            </w:tcBorders>
            <w:shd w:val="clear" w:color="auto" w:fill="auto"/>
            <w:noWrap/>
            <w:vAlign w:val="bottom"/>
            <w:hideMark/>
          </w:tcPr>
          <w:p w14:paraId="70D2EEC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7" w:type="dxa"/>
            <w:tcBorders>
              <w:top w:val="nil"/>
              <w:left w:val="nil"/>
              <w:bottom w:val="single" w:sz="4" w:space="0" w:color="000000"/>
              <w:right w:val="single" w:sz="4" w:space="0" w:color="000000"/>
            </w:tcBorders>
            <w:shd w:val="clear" w:color="auto" w:fill="auto"/>
            <w:noWrap/>
            <w:vAlign w:val="bottom"/>
            <w:hideMark/>
          </w:tcPr>
          <w:p w14:paraId="671F811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nil"/>
              <w:left w:val="nil"/>
              <w:bottom w:val="single" w:sz="4" w:space="0" w:color="000000"/>
              <w:right w:val="nil"/>
            </w:tcBorders>
            <w:shd w:val="clear" w:color="auto" w:fill="auto"/>
            <w:noWrap/>
            <w:vAlign w:val="bottom"/>
            <w:hideMark/>
          </w:tcPr>
          <w:p w14:paraId="3EA7405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315B46C8"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46</w:t>
            </w:r>
          </w:p>
        </w:tc>
      </w:tr>
      <w:tr w:rsidR="007A7FA3" w:rsidRPr="007A7FA3" w14:paraId="430BFA61" w14:textId="77777777" w:rsidTr="007A7FA3">
        <w:trPr>
          <w:trHeight w:val="255"/>
        </w:trPr>
        <w:tc>
          <w:tcPr>
            <w:tcW w:w="1086" w:type="dxa"/>
            <w:vMerge/>
            <w:tcBorders>
              <w:top w:val="nil"/>
              <w:left w:val="single" w:sz="8" w:space="0" w:color="auto"/>
              <w:bottom w:val="nil"/>
              <w:right w:val="single" w:sz="4" w:space="0" w:color="000000"/>
            </w:tcBorders>
            <w:vAlign w:val="center"/>
            <w:hideMark/>
          </w:tcPr>
          <w:p w14:paraId="315D6361"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66BA57AD"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15C28714"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62C4CE13"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33229781"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511AF938"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12D7AC84"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71800</w:t>
            </w:r>
          </w:p>
        </w:tc>
        <w:tc>
          <w:tcPr>
            <w:tcW w:w="1580" w:type="dxa"/>
            <w:tcBorders>
              <w:top w:val="nil"/>
              <w:left w:val="nil"/>
              <w:bottom w:val="single" w:sz="4" w:space="0" w:color="000000"/>
              <w:right w:val="single" w:sz="4" w:space="0" w:color="000000"/>
            </w:tcBorders>
            <w:shd w:val="clear" w:color="auto" w:fill="auto"/>
            <w:vAlign w:val="bottom"/>
            <w:hideMark/>
          </w:tcPr>
          <w:p w14:paraId="77020F41"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Contractual Services - Individuals</w:t>
            </w:r>
          </w:p>
        </w:tc>
        <w:tc>
          <w:tcPr>
            <w:tcW w:w="694" w:type="dxa"/>
            <w:tcBorders>
              <w:top w:val="nil"/>
              <w:left w:val="nil"/>
              <w:bottom w:val="single" w:sz="4" w:space="0" w:color="000000"/>
              <w:right w:val="single" w:sz="4" w:space="0" w:color="000000"/>
            </w:tcBorders>
            <w:shd w:val="clear" w:color="auto" w:fill="auto"/>
            <w:noWrap/>
            <w:vAlign w:val="bottom"/>
            <w:hideMark/>
          </w:tcPr>
          <w:p w14:paraId="25101F8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15,000 </w:t>
            </w:r>
          </w:p>
        </w:tc>
        <w:tc>
          <w:tcPr>
            <w:tcW w:w="805" w:type="dxa"/>
            <w:tcBorders>
              <w:top w:val="nil"/>
              <w:left w:val="nil"/>
              <w:bottom w:val="single" w:sz="4" w:space="0" w:color="000000"/>
              <w:right w:val="single" w:sz="4" w:space="0" w:color="000000"/>
            </w:tcBorders>
            <w:shd w:val="clear" w:color="auto" w:fill="auto"/>
            <w:noWrap/>
            <w:vAlign w:val="bottom"/>
            <w:hideMark/>
          </w:tcPr>
          <w:p w14:paraId="7695917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15,000 </w:t>
            </w:r>
          </w:p>
        </w:tc>
        <w:tc>
          <w:tcPr>
            <w:tcW w:w="826" w:type="dxa"/>
            <w:tcBorders>
              <w:top w:val="nil"/>
              <w:left w:val="nil"/>
              <w:bottom w:val="single" w:sz="4" w:space="0" w:color="000000"/>
              <w:right w:val="single" w:sz="4" w:space="0" w:color="000000"/>
            </w:tcBorders>
            <w:shd w:val="clear" w:color="auto" w:fill="auto"/>
            <w:noWrap/>
            <w:vAlign w:val="bottom"/>
            <w:hideMark/>
          </w:tcPr>
          <w:p w14:paraId="62FAA13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20,000 </w:t>
            </w:r>
          </w:p>
        </w:tc>
        <w:tc>
          <w:tcPr>
            <w:tcW w:w="864" w:type="dxa"/>
            <w:tcBorders>
              <w:top w:val="nil"/>
              <w:left w:val="nil"/>
              <w:bottom w:val="single" w:sz="4" w:space="0" w:color="000000"/>
              <w:right w:val="single" w:sz="4" w:space="0" w:color="000000"/>
            </w:tcBorders>
            <w:shd w:val="clear" w:color="auto" w:fill="auto"/>
            <w:noWrap/>
            <w:vAlign w:val="bottom"/>
            <w:hideMark/>
          </w:tcPr>
          <w:p w14:paraId="440818F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26,000 </w:t>
            </w:r>
          </w:p>
        </w:tc>
        <w:tc>
          <w:tcPr>
            <w:tcW w:w="834" w:type="dxa"/>
            <w:tcBorders>
              <w:top w:val="nil"/>
              <w:left w:val="nil"/>
              <w:bottom w:val="single" w:sz="4" w:space="0" w:color="000000"/>
              <w:right w:val="single" w:sz="4" w:space="0" w:color="000000"/>
            </w:tcBorders>
            <w:shd w:val="clear" w:color="auto" w:fill="auto"/>
            <w:noWrap/>
            <w:vAlign w:val="bottom"/>
            <w:hideMark/>
          </w:tcPr>
          <w:p w14:paraId="05B3A9D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7" w:type="dxa"/>
            <w:tcBorders>
              <w:top w:val="nil"/>
              <w:left w:val="nil"/>
              <w:bottom w:val="single" w:sz="4" w:space="0" w:color="000000"/>
              <w:right w:val="single" w:sz="4" w:space="0" w:color="000000"/>
            </w:tcBorders>
            <w:shd w:val="clear" w:color="auto" w:fill="auto"/>
            <w:noWrap/>
            <w:vAlign w:val="bottom"/>
            <w:hideMark/>
          </w:tcPr>
          <w:p w14:paraId="588716E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5185D96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76,000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16F1530E"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47</w:t>
            </w:r>
          </w:p>
        </w:tc>
      </w:tr>
      <w:tr w:rsidR="007A7FA3" w:rsidRPr="007A7FA3" w14:paraId="2FD3EF3C" w14:textId="77777777" w:rsidTr="007A7FA3">
        <w:trPr>
          <w:trHeight w:val="270"/>
        </w:trPr>
        <w:tc>
          <w:tcPr>
            <w:tcW w:w="1086" w:type="dxa"/>
            <w:vMerge/>
            <w:tcBorders>
              <w:top w:val="nil"/>
              <w:left w:val="single" w:sz="8" w:space="0" w:color="auto"/>
              <w:bottom w:val="nil"/>
              <w:right w:val="single" w:sz="4" w:space="0" w:color="000000"/>
            </w:tcBorders>
            <w:vAlign w:val="center"/>
            <w:hideMark/>
          </w:tcPr>
          <w:p w14:paraId="3D914137"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087FBCFE"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2781FFDE"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4141A5D7"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0E83F9CE"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78131F5C"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10A71039"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71600</w:t>
            </w:r>
          </w:p>
        </w:tc>
        <w:tc>
          <w:tcPr>
            <w:tcW w:w="1580" w:type="dxa"/>
            <w:tcBorders>
              <w:top w:val="nil"/>
              <w:left w:val="nil"/>
              <w:bottom w:val="single" w:sz="4" w:space="0" w:color="000000"/>
              <w:right w:val="single" w:sz="4" w:space="0" w:color="000000"/>
            </w:tcBorders>
            <w:shd w:val="clear" w:color="auto" w:fill="auto"/>
            <w:vAlign w:val="bottom"/>
            <w:hideMark/>
          </w:tcPr>
          <w:p w14:paraId="742621A9"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Travel</w:t>
            </w:r>
          </w:p>
        </w:tc>
        <w:tc>
          <w:tcPr>
            <w:tcW w:w="694" w:type="dxa"/>
            <w:tcBorders>
              <w:top w:val="nil"/>
              <w:left w:val="nil"/>
              <w:bottom w:val="single" w:sz="4" w:space="0" w:color="000000"/>
              <w:right w:val="single" w:sz="4" w:space="0" w:color="000000"/>
            </w:tcBorders>
            <w:shd w:val="clear" w:color="auto" w:fill="auto"/>
            <w:noWrap/>
            <w:vAlign w:val="bottom"/>
            <w:hideMark/>
          </w:tcPr>
          <w:p w14:paraId="75E6511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16,000 </w:t>
            </w:r>
          </w:p>
        </w:tc>
        <w:tc>
          <w:tcPr>
            <w:tcW w:w="805" w:type="dxa"/>
            <w:tcBorders>
              <w:top w:val="nil"/>
              <w:left w:val="nil"/>
              <w:bottom w:val="single" w:sz="4" w:space="0" w:color="000000"/>
              <w:right w:val="single" w:sz="4" w:space="0" w:color="000000"/>
            </w:tcBorders>
            <w:shd w:val="clear" w:color="auto" w:fill="auto"/>
            <w:noWrap/>
            <w:vAlign w:val="bottom"/>
            <w:hideMark/>
          </w:tcPr>
          <w:p w14:paraId="1FC2EE8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16,000 </w:t>
            </w:r>
          </w:p>
        </w:tc>
        <w:tc>
          <w:tcPr>
            <w:tcW w:w="826" w:type="dxa"/>
            <w:tcBorders>
              <w:top w:val="nil"/>
              <w:left w:val="nil"/>
              <w:bottom w:val="single" w:sz="4" w:space="0" w:color="000000"/>
              <w:right w:val="single" w:sz="4" w:space="0" w:color="000000"/>
            </w:tcBorders>
            <w:shd w:val="clear" w:color="auto" w:fill="auto"/>
            <w:noWrap/>
            <w:vAlign w:val="bottom"/>
            <w:hideMark/>
          </w:tcPr>
          <w:p w14:paraId="14446F0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18,000 </w:t>
            </w:r>
          </w:p>
        </w:tc>
        <w:tc>
          <w:tcPr>
            <w:tcW w:w="864" w:type="dxa"/>
            <w:tcBorders>
              <w:top w:val="nil"/>
              <w:left w:val="nil"/>
              <w:bottom w:val="single" w:sz="4" w:space="0" w:color="000000"/>
              <w:right w:val="single" w:sz="4" w:space="0" w:color="000000"/>
            </w:tcBorders>
            <w:shd w:val="clear" w:color="auto" w:fill="auto"/>
            <w:noWrap/>
            <w:vAlign w:val="bottom"/>
            <w:hideMark/>
          </w:tcPr>
          <w:p w14:paraId="20653BA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11,000 </w:t>
            </w:r>
          </w:p>
        </w:tc>
        <w:tc>
          <w:tcPr>
            <w:tcW w:w="834" w:type="dxa"/>
            <w:tcBorders>
              <w:top w:val="nil"/>
              <w:left w:val="nil"/>
              <w:bottom w:val="single" w:sz="4" w:space="0" w:color="000000"/>
              <w:right w:val="single" w:sz="4" w:space="0" w:color="000000"/>
            </w:tcBorders>
            <w:shd w:val="clear" w:color="auto" w:fill="auto"/>
            <w:noWrap/>
            <w:vAlign w:val="bottom"/>
            <w:hideMark/>
          </w:tcPr>
          <w:p w14:paraId="66AE987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7" w:type="dxa"/>
            <w:tcBorders>
              <w:top w:val="nil"/>
              <w:left w:val="nil"/>
              <w:bottom w:val="single" w:sz="4" w:space="0" w:color="000000"/>
              <w:right w:val="single" w:sz="4" w:space="0" w:color="000000"/>
            </w:tcBorders>
            <w:shd w:val="clear" w:color="auto" w:fill="auto"/>
            <w:noWrap/>
            <w:vAlign w:val="bottom"/>
            <w:hideMark/>
          </w:tcPr>
          <w:p w14:paraId="531CC1E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1148D57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61,000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32317EA3"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48</w:t>
            </w:r>
          </w:p>
        </w:tc>
      </w:tr>
      <w:tr w:rsidR="007A7FA3" w:rsidRPr="007A7FA3" w14:paraId="16FE8F0D" w14:textId="77777777" w:rsidTr="007A7FA3">
        <w:trPr>
          <w:trHeight w:val="300"/>
        </w:trPr>
        <w:tc>
          <w:tcPr>
            <w:tcW w:w="1086" w:type="dxa"/>
            <w:vMerge/>
            <w:tcBorders>
              <w:top w:val="nil"/>
              <w:left w:val="single" w:sz="8" w:space="0" w:color="auto"/>
              <w:bottom w:val="nil"/>
              <w:right w:val="single" w:sz="4" w:space="0" w:color="000000"/>
            </w:tcBorders>
            <w:vAlign w:val="center"/>
            <w:hideMark/>
          </w:tcPr>
          <w:p w14:paraId="708D973A"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02EF8263"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3969BC40"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2867A424"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2B10CF19"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3EE5B9A4"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0E0F8DF7"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71800</w:t>
            </w:r>
          </w:p>
        </w:tc>
        <w:tc>
          <w:tcPr>
            <w:tcW w:w="1580" w:type="dxa"/>
            <w:tcBorders>
              <w:top w:val="nil"/>
              <w:left w:val="nil"/>
              <w:bottom w:val="single" w:sz="4" w:space="0" w:color="000000"/>
              <w:right w:val="single" w:sz="4" w:space="0" w:color="000000"/>
            </w:tcBorders>
            <w:shd w:val="clear" w:color="auto" w:fill="auto"/>
            <w:vAlign w:val="bottom"/>
            <w:hideMark/>
          </w:tcPr>
          <w:p w14:paraId="05C5F7DA"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Contractual Services-Impl Partner</w:t>
            </w:r>
          </w:p>
        </w:tc>
        <w:tc>
          <w:tcPr>
            <w:tcW w:w="694" w:type="dxa"/>
            <w:tcBorders>
              <w:top w:val="nil"/>
              <w:left w:val="nil"/>
              <w:bottom w:val="single" w:sz="4" w:space="0" w:color="000000"/>
              <w:right w:val="single" w:sz="4" w:space="0" w:color="000000"/>
            </w:tcBorders>
            <w:shd w:val="clear" w:color="auto" w:fill="auto"/>
            <w:noWrap/>
            <w:vAlign w:val="bottom"/>
            <w:hideMark/>
          </w:tcPr>
          <w:p w14:paraId="16C225B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14,000 </w:t>
            </w:r>
          </w:p>
        </w:tc>
        <w:tc>
          <w:tcPr>
            <w:tcW w:w="805" w:type="dxa"/>
            <w:tcBorders>
              <w:top w:val="nil"/>
              <w:left w:val="nil"/>
              <w:bottom w:val="single" w:sz="4" w:space="0" w:color="000000"/>
              <w:right w:val="single" w:sz="4" w:space="0" w:color="000000"/>
            </w:tcBorders>
            <w:shd w:val="clear" w:color="auto" w:fill="auto"/>
            <w:noWrap/>
            <w:vAlign w:val="bottom"/>
            <w:hideMark/>
          </w:tcPr>
          <w:p w14:paraId="312E785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21,000 </w:t>
            </w:r>
          </w:p>
        </w:tc>
        <w:tc>
          <w:tcPr>
            <w:tcW w:w="826" w:type="dxa"/>
            <w:tcBorders>
              <w:top w:val="nil"/>
              <w:left w:val="nil"/>
              <w:bottom w:val="single" w:sz="4" w:space="0" w:color="000000"/>
              <w:right w:val="single" w:sz="4" w:space="0" w:color="000000"/>
            </w:tcBorders>
            <w:shd w:val="clear" w:color="auto" w:fill="auto"/>
            <w:noWrap/>
            <w:vAlign w:val="bottom"/>
            <w:hideMark/>
          </w:tcPr>
          <w:p w14:paraId="5ECB495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20,000 </w:t>
            </w:r>
          </w:p>
        </w:tc>
        <w:tc>
          <w:tcPr>
            <w:tcW w:w="864" w:type="dxa"/>
            <w:tcBorders>
              <w:top w:val="nil"/>
              <w:left w:val="nil"/>
              <w:bottom w:val="single" w:sz="4" w:space="0" w:color="000000"/>
              <w:right w:val="single" w:sz="4" w:space="0" w:color="000000"/>
            </w:tcBorders>
            <w:shd w:val="clear" w:color="auto" w:fill="auto"/>
            <w:noWrap/>
            <w:vAlign w:val="bottom"/>
            <w:hideMark/>
          </w:tcPr>
          <w:p w14:paraId="37C88C9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17,000 </w:t>
            </w:r>
          </w:p>
        </w:tc>
        <w:tc>
          <w:tcPr>
            <w:tcW w:w="834" w:type="dxa"/>
            <w:tcBorders>
              <w:top w:val="nil"/>
              <w:left w:val="nil"/>
              <w:bottom w:val="single" w:sz="4" w:space="0" w:color="000000"/>
              <w:right w:val="single" w:sz="4" w:space="0" w:color="000000"/>
            </w:tcBorders>
            <w:shd w:val="clear" w:color="auto" w:fill="auto"/>
            <w:noWrap/>
            <w:vAlign w:val="bottom"/>
            <w:hideMark/>
          </w:tcPr>
          <w:p w14:paraId="23C6EA8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7" w:type="dxa"/>
            <w:tcBorders>
              <w:top w:val="nil"/>
              <w:left w:val="nil"/>
              <w:bottom w:val="single" w:sz="4" w:space="0" w:color="000000"/>
              <w:right w:val="single" w:sz="4" w:space="0" w:color="000000"/>
            </w:tcBorders>
            <w:shd w:val="clear" w:color="auto" w:fill="auto"/>
            <w:noWrap/>
            <w:vAlign w:val="bottom"/>
            <w:hideMark/>
          </w:tcPr>
          <w:p w14:paraId="21201D2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680C22E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72,000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34A41D23"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49</w:t>
            </w:r>
          </w:p>
        </w:tc>
      </w:tr>
      <w:tr w:rsidR="007A7FA3" w:rsidRPr="007A7FA3" w14:paraId="488AAD4D" w14:textId="77777777" w:rsidTr="007A7FA3">
        <w:trPr>
          <w:trHeight w:val="300"/>
        </w:trPr>
        <w:tc>
          <w:tcPr>
            <w:tcW w:w="1086" w:type="dxa"/>
            <w:vMerge/>
            <w:tcBorders>
              <w:top w:val="nil"/>
              <w:left w:val="single" w:sz="8" w:space="0" w:color="auto"/>
              <w:bottom w:val="nil"/>
              <w:right w:val="single" w:sz="4" w:space="0" w:color="000000"/>
            </w:tcBorders>
            <w:vAlign w:val="center"/>
            <w:hideMark/>
          </w:tcPr>
          <w:p w14:paraId="3EC29634"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4A09105F"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58C5F14A"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3CC6897C"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27953F94"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23B4C8F7"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698E680C"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72400</w:t>
            </w:r>
          </w:p>
        </w:tc>
        <w:tc>
          <w:tcPr>
            <w:tcW w:w="1580" w:type="dxa"/>
            <w:tcBorders>
              <w:top w:val="nil"/>
              <w:left w:val="nil"/>
              <w:bottom w:val="single" w:sz="4" w:space="0" w:color="000000"/>
              <w:right w:val="single" w:sz="4" w:space="0" w:color="000000"/>
            </w:tcBorders>
            <w:shd w:val="clear" w:color="auto" w:fill="auto"/>
            <w:vAlign w:val="bottom"/>
            <w:hideMark/>
          </w:tcPr>
          <w:p w14:paraId="173A76AB"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Communic &amp; Audio Visual Equip</w:t>
            </w:r>
          </w:p>
        </w:tc>
        <w:tc>
          <w:tcPr>
            <w:tcW w:w="694" w:type="dxa"/>
            <w:tcBorders>
              <w:top w:val="nil"/>
              <w:left w:val="nil"/>
              <w:bottom w:val="single" w:sz="4" w:space="0" w:color="000000"/>
              <w:right w:val="single" w:sz="4" w:space="0" w:color="000000"/>
            </w:tcBorders>
            <w:shd w:val="clear" w:color="auto" w:fill="auto"/>
            <w:noWrap/>
            <w:vAlign w:val="bottom"/>
            <w:hideMark/>
          </w:tcPr>
          <w:p w14:paraId="38E73D9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05" w:type="dxa"/>
            <w:tcBorders>
              <w:top w:val="nil"/>
              <w:left w:val="nil"/>
              <w:bottom w:val="single" w:sz="4" w:space="0" w:color="000000"/>
              <w:right w:val="single" w:sz="4" w:space="0" w:color="000000"/>
            </w:tcBorders>
            <w:shd w:val="clear" w:color="auto" w:fill="auto"/>
            <w:noWrap/>
            <w:vAlign w:val="bottom"/>
            <w:hideMark/>
          </w:tcPr>
          <w:p w14:paraId="1A32779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11,000 </w:t>
            </w:r>
          </w:p>
        </w:tc>
        <w:tc>
          <w:tcPr>
            <w:tcW w:w="826" w:type="dxa"/>
            <w:tcBorders>
              <w:top w:val="nil"/>
              <w:left w:val="nil"/>
              <w:bottom w:val="single" w:sz="4" w:space="0" w:color="000000"/>
              <w:right w:val="single" w:sz="4" w:space="0" w:color="000000"/>
            </w:tcBorders>
            <w:shd w:val="clear" w:color="auto" w:fill="auto"/>
            <w:noWrap/>
            <w:vAlign w:val="bottom"/>
            <w:hideMark/>
          </w:tcPr>
          <w:p w14:paraId="1D21A18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64" w:type="dxa"/>
            <w:tcBorders>
              <w:top w:val="nil"/>
              <w:left w:val="nil"/>
              <w:bottom w:val="single" w:sz="4" w:space="0" w:color="000000"/>
              <w:right w:val="single" w:sz="4" w:space="0" w:color="000000"/>
            </w:tcBorders>
            <w:shd w:val="clear" w:color="auto" w:fill="auto"/>
            <w:noWrap/>
            <w:vAlign w:val="bottom"/>
            <w:hideMark/>
          </w:tcPr>
          <w:p w14:paraId="2E3DDC0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34" w:type="dxa"/>
            <w:tcBorders>
              <w:top w:val="nil"/>
              <w:left w:val="nil"/>
              <w:bottom w:val="single" w:sz="4" w:space="0" w:color="000000"/>
              <w:right w:val="single" w:sz="4" w:space="0" w:color="000000"/>
            </w:tcBorders>
            <w:shd w:val="clear" w:color="auto" w:fill="auto"/>
            <w:noWrap/>
            <w:vAlign w:val="bottom"/>
            <w:hideMark/>
          </w:tcPr>
          <w:p w14:paraId="162EF6A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7" w:type="dxa"/>
            <w:tcBorders>
              <w:top w:val="nil"/>
              <w:left w:val="nil"/>
              <w:bottom w:val="single" w:sz="4" w:space="0" w:color="000000"/>
              <w:right w:val="single" w:sz="4" w:space="0" w:color="000000"/>
            </w:tcBorders>
            <w:shd w:val="clear" w:color="auto" w:fill="auto"/>
            <w:noWrap/>
            <w:vAlign w:val="bottom"/>
            <w:hideMark/>
          </w:tcPr>
          <w:p w14:paraId="22B90CA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302848E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41,000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148189A8"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50</w:t>
            </w:r>
          </w:p>
        </w:tc>
      </w:tr>
      <w:tr w:rsidR="007A7FA3" w:rsidRPr="007A7FA3" w14:paraId="347AB9F9" w14:textId="77777777" w:rsidTr="007A7FA3">
        <w:trPr>
          <w:trHeight w:val="435"/>
        </w:trPr>
        <w:tc>
          <w:tcPr>
            <w:tcW w:w="1086" w:type="dxa"/>
            <w:vMerge/>
            <w:tcBorders>
              <w:top w:val="nil"/>
              <w:left w:val="single" w:sz="8" w:space="0" w:color="auto"/>
              <w:bottom w:val="nil"/>
              <w:right w:val="single" w:sz="4" w:space="0" w:color="000000"/>
            </w:tcBorders>
            <w:vAlign w:val="center"/>
            <w:hideMark/>
          </w:tcPr>
          <w:p w14:paraId="0B273074"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797A7E92"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6B569C39" w14:textId="77777777" w:rsidR="007A7FA3" w:rsidRPr="007A7FA3" w:rsidRDefault="007A7FA3" w:rsidP="007A7FA3">
            <w:pPr>
              <w:rPr>
                <w:rFonts w:ascii="Calibri" w:hAnsi="Calibri" w:cs="Calibri"/>
                <w:i/>
                <w:iCs/>
                <w:color w:val="000000"/>
                <w:sz w:val="13"/>
                <w:szCs w:val="13"/>
              </w:rPr>
            </w:pPr>
          </w:p>
        </w:tc>
        <w:tc>
          <w:tcPr>
            <w:tcW w:w="3763" w:type="dxa"/>
            <w:gridSpan w:val="5"/>
            <w:tcBorders>
              <w:top w:val="single" w:sz="4" w:space="0" w:color="000000"/>
              <w:left w:val="nil"/>
              <w:bottom w:val="single" w:sz="4" w:space="0" w:color="000000"/>
              <w:right w:val="single" w:sz="4" w:space="0" w:color="000000"/>
            </w:tcBorders>
            <w:shd w:val="clear" w:color="auto" w:fill="auto"/>
            <w:vAlign w:val="center"/>
            <w:hideMark/>
          </w:tcPr>
          <w:p w14:paraId="74B43A34"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Total BCC</w:t>
            </w:r>
          </w:p>
        </w:tc>
        <w:tc>
          <w:tcPr>
            <w:tcW w:w="694" w:type="dxa"/>
            <w:tcBorders>
              <w:top w:val="nil"/>
              <w:left w:val="nil"/>
              <w:bottom w:val="single" w:sz="4" w:space="0" w:color="000000"/>
              <w:right w:val="single" w:sz="4" w:space="0" w:color="000000"/>
            </w:tcBorders>
            <w:shd w:val="clear" w:color="auto" w:fill="auto"/>
            <w:noWrap/>
            <w:vAlign w:val="bottom"/>
            <w:hideMark/>
          </w:tcPr>
          <w:p w14:paraId="4129D4B4"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69,000 </w:t>
            </w:r>
          </w:p>
        </w:tc>
        <w:tc>
          <w:tcPr>
            <w:tcW w:w="805" w:type="dxa"/>
            <w:tcBorders>
              <w:top w:val="nil"/>
              <w:left w:val="nil"/>
              <w:bottom w:val="single" w:sz="4" w:space="0" w:color="000000"/>
              <w:right w:val="single" w:sz="4" w:space="0" w:color="000000"/>
            </w:tcBorders>
            <w:shd w:val="clear" w:color="auto" w:fill="auto"/>
            <w:noWrap/>
            <w:vAlign w:val="bottom"/>
            <w:hideMark/>
          </w:tcPr>
          <w:p w14:paraId="7CD1C1F2"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77,000 </w:t>
            </w:r>
          </w:p>
        </w:tc>
        <w:tc>
          <w:tcPr>
            <w:tcW w:w="826" w:type="dxa"/>
            <w:tcBorders>
              <w:top w:val="nil"/>
              <w:left w:val="nil"/>
              <w:bottom w:val="single" w:sz="4" w:space="0" w:color="000000"/>
              <w:right w:val="single" w:sz="4" w:space="0" w:color="000000"/>
            </w:tcBorders>
            <w:shd w:val="clear" w:color="auto" w:fill="auto"/>
            <w:noWrap/>
            <w:vAlign w:val="bottom"/>
            <w:hideMark/>
          </w:tcPr>
          <w:p w14:paraId="160A68D6"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78,000 </w:t>
            </w:r>
          </w:p>
        </w:tc>
        <w:tc>
          <w:tcPr>
            <w:tcW w:w="864" w:type="dxa"/>
            <w:tcBorders>
              <w:top w:val="nil"/>
              <w:left w:val="nil"/>
              <w:bottom w:val="single" w:sz="4" w:space="0" w:color="000000"/>
              <w:right w:val="single" w:sz="4" w:space="0" w:color="000000"/>
            </w:tcBorders>
            <w:shd w:val="clear" w:color="auto" w:fill="auto"/>
            <w:noWrap/>
            <w:vAlign w:val="bottom"/>
            <w:hideMark/>
          </w:tcPr>
          <w:p w14:paraId="2864A067"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76,000 </w:t>
            </w:r>
          </w:p>
        </w:tc>
        <w:tc>
          <w:tcPr>
            <w:tcW w:w="834" w:type="dxa"/>
            <w:tcBorders>
              <w:top w:val="nil"/>
              <w:left w:val="nil"/>
              <w:bottom w:val="single" w:sz="4" w:space="0" w:color="000000"/>
              <w:right w:val="single" w:sz="4" w:space="0" w:color="000000"/>
            </w:tcBorders>
            <w:shd w:val="clear" w:color="auto" w:fill="auto"/>
            <w:noWrap/>
            <w:vAlign w:val="bottom"/>
            <w:hideMark/>
          </w:tcPr>
          <w:p w14:paraId="376A4DE9"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27" w:type="dxa"/>
            <w:tcBorders>
              <w:top w:val="nil"/>
              <w:left w:val="nil"/>
              <w:bottom w:val="single" w:sz="4" w:space="0" w:color="000000"/>
              <w:right w:val="single" w:sz="4" w:space="0" w:color="000000"/>
            </w:tcBorders>
            <w:shd w:val="clear" w:color="auto" w:fill="auto"/>
            <w:noWrap/>
            <w:vAlign w:val="bottom"/>
            <w:hideMark/>
          </w:tcPr>
          <w:p w14:paraId="043BA9DB"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980" w:type="dxa"/>
            <w:tcBorders>
              <w:top w:val="single" w:sz="8" w:space="0" w:color="000000"/>
              <w:left w:val="nil"/>
              <w:bottom w:val="single" w:sz="4" w:space="0" w:color="000000"/>
              <w:right w:val="nil"/>
            </w:tcBorders>
            <w:shd w:val="clear" w:color="auto" w:fill="auto"/>
            <w:noWrap/>
            <w:vAlign w:val="bottom"/>
            <w:hideMark/>
          </w:tcPr>
          <w:p w14:paraId="7FEFF199"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300,000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33147FE1"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58BE9F64" w14:textId="77777777" w:rsidTr="007A7FA3">
        <w:trPr>
          <w:trHeight w:val="300"/>
        </w:trPr>
        <w:tc>
          <w:tcPr>
            <w:tcW w:w="1086" w:type="dxa"/>
            <w:vMerge/>
            <w:tcBorders>
              <w:top w:val="nil"/>
              <w:left w:val="single" w:sz="8" w:space="0" w:color="auto"/>
              <w:bottom w:val="nil"/>
              <w:right w:val="single" w:sz="4" w:space="0" w:color="000000"/>
            </w:tcBorders>
            <w:vAlign w:val="center"/>
            <w:hideMark/>
          </w:tcPr>
          <w:p w14:paraId="633D5A20"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43B76134" w14:textId="77777777" w:rsidR="007A7FA3" w:rsidRPr="007A7FA3" w:rsidRDefault="007A7FA3" w:rsidP="007A7FA3">
            <w:pPr>
              <w:rPr>
                <w:rFonts w:ascii="Calibri" w:hAnsi="Calibri" w:cs="Calibri"/>
                <w:i/>
                <w:iCs/>
                <w:color w:val="000000"/>
                <w:sz w:val="13"/>
                <w:szCs w:val="13"/>
              </w:rPr>
            </w:pPr>
          </w:p>
        </w:tc>
        <w:tc>
          <w:tcPr>
            <w:tcW w:w="5779" w:type="dxa"/>
            <w:gridSpan w:val="6"/>
            <w:tcBorders>
              <w:top w:val="nil"/>
              <w:left w:val="nil"/>
              <w:bottom w:val="single" w:sz="4" w:space="0" w:color="000000"/>
              <w:right w:val="single" w:sz="4" w:space="0" w:color="000000"/>
            </w:tcBorders>
            <w:shd w:val="clear" w:color="auto" w:fill="auto"/>
            <w:vAlign w:val="center"/>
            <w:hideMark/>
          </w:tcPr>
          <w:p w14:paraId="6D18F116" w14:textId="77777777" w:rsidR="007A7FA3" w:rsidRPr="007A7FA3" w:rsidRDefault="007A7FA3" w:rsidP="007A7FA3">
            <w:pPr>
              <w:rPr>
                <w:rFonts w:ascii="Calibri" w:hAnsi="Calibri" w:cs="Calibri"/>
                <w:b/>
                <w:bCs/>
                <w:i/>
                <w:iCs/>
                <w:color w:val="000000"/>
                <w:sz w:val="13"/>
                <w:szCs w:val="13"/>
              </w:rPr>
            </w:pPr>
            <w:r w:rsidRPr="007A7FA3">
              <w:rPr>
                <w:rFonts w:ascii="Calibri" w:hAnsi="Calibri" w:cs="Calibri"/>
                <w:b/>
                <w:bCs/>
                <w:i/>
                <w:iCs/>
                <w:color w:val="000000"/>
                <w:sz w:val="13"/>
                <w:szCs w:val="13"/>
              </w:rPr>
              <w:t>Total Output 2.1.1</w:t>
            </w:r>
          </w:p>
        </w:tc>
        <w:tc>
          <w:tcPr>
            <w:tcW w:w="694" w:type="dxa"/>
            <w:tcBorders>
              <w:top w:val="nil"/>
              <w:left w:val="nil"/>
              <w:bottom w:val="single" w:sz="4" w:space="0" w:color="000000"/>
              <w:right w:val="single" w:sz="4" w:space="0" w:color="000000"/>
            </w:tcBorders>
            <w:shd w:val="clear" w:color="auto" w:fill="auto"/>
            <w:noWrap/>
            <w:vAlign w:val="bottom"/>
            <w:hideMark/>
          </w:tcPr>
          <w:p w14:paraId="70E5DA17"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69,000 </w:t>
            </w:r>
          </w:p>
        </w:tc>
        <w:tc>
          <w:tcPr>
            <w:tcW w:w="805" w:type="dxa"/>
            <w:tcBorders>
              <w:top w:val="nil"/>
              <w:left w:val="nil"/>
              <w:bottom w:val="single" w:sz="4" w:space="0" w:color="000000"/>
              <w:right w:val="single" w:sz="4" w:space="0" w:color="000000"/>
            </w:tcBorders>
            <w:shd w:val="clear" w:color="auto" w:fill="auto"/>
            <w:noWrap/>
            <w:vAlign w:val="bottom"/>
            <w:hideMark/>
          </w:tcPr>
          <w:p w14:paraId="3CECA35C"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77,000 </w:t>
            </w:r>
          </w:p>
        </w:tc>
        <w:tc>
          <w:tcPr>
            <w:tcW w:w="826" w:type="dxa"/>
            <w:tcBorders>
              <w:top w:val="nil"/>
              <w:left w:val="nil"/>
              <w:bottom w:val="single" w:sz="4" w:space="0" w:color="000000"/>
              <w:right w:val="single" w:sz="4" w:space="0" w:color="000000"/>
            </w:tcBorders>
            <w:shd w:val="clear" w:color="auto" w:fill="auto"/>
            <w:noWrap/>
            <w:vAlign w:val="bottom"/>
            <w:hideMark/>
          </w:tcPr>
          <w:p w14:paraId="5D43D5C4"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78,000 </w:t>
            </w:r>
          </w:p>
        </w:tc>
        <w:tc>
          <w:tcPr>
            <w:tcW w:w="864" w:type="dxa"/>
            <w:tcBorders>
              <w:top w:val="nil"/>
              <w:left w:val="nil"/>
              <w:bottom w:val="single" w:sz="4" w:space="0" w:color="000000"/>
              <w:right w:val="single" w:sz="4" w:space="0" w:color="000000"/>
            </w:tcBorders>
            <w:shd w:val="clear" w:color="auto" w:fill="auto"/>
            <w:noWrap/>
            <w:vAlign w:val="bottom"/>
            <w:hideMark/>
          </w:tcPr>
          <w:p w14:paraId="0E6C95C6"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76,000 </w:t>
            </w:r>
          </w:p>
        </w:tc>
        <w:tc>
          <w:tcPr>
            <w:tcW w:w="834" w:type="dxa"/>
            <w:tcBorders>
              <w:top w:val="nil"/>
              <w:left w:val="nil"/>
              <w:bottom w:val="single" w:sz="4" w:space="0" w:color="000000"/>
              <w:right w:val="single" w:sz="4" w:space="0" w:color="000000"/>
            </w:tcBorders>
            <w:shd w:val="clear" w:color="auto" w:fill="auto"/>
            <w:noWrap/>
            <w:vAlign w:val="bottom"/>
            <w:hideMark/>
          </w:tcPr>
          <w:p w14:paraId="76BA9109"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27" w:type="dxa"/>
            <w:tcBorders>
              <w:top w:val="nil"/>
              <w:left w:val="nil"/>
              <w:bottom w:val="single" w:sz="4" w:space="0" w:color="000000"/>
              <w:right w:val="single" w:sz="4" w:space="0" w:color="000000"/>
            </w:tcBorders>
            <w:shd w:val="clear" w:color="auto" w:fill="auto"/>
            <w:noWrap/>
            <w:vAlign w:val="bottom"/>
            <w:hideMark/>
          </w:tcPr>
          <w:p w14:paraId="6E5B0ABE"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980" w:type="dxa"/>
            <w:tcBorders>
              <w:top w:val="nil"/>
              <w:left w:val="nil"/>
              <w:bottom w:val="single" w:sz="4" w:space="0" w:color="000000"/>
              <w:right w:val="nil"/>
            </w:tcBorders>
            <w:shd w:val="clear" w:color="auto" w:fill="auto"/>
            <w:noWrap/>
            <w:vAlign w:val="bottom"/>
            <w:hideMark/>
          </w:tcPr>
          <w:p w14:paraId="35B7FA42"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300,000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6E088AB8"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78E338C2" w14:textId="77777777" w:rsidTr="007A7FA3">
        <w:trPr>
          <w:trHeight w:val="240"/>
        </w:trPr>
        <w:tc>
          <w:tcPr>
            <w:tcW w:w="1086" w:type="dxa"/>
            <w:vMerge/>
            <w:tcBorders>
              <w:top w:val="nil"/>
              <w:left w:val="single" w:sz="8" w:space="0" w:color="auto"/>
              <w:bottom w:val="nil"/>
              <w:right w:val="single" w:sz="4" w:space="0" w:color="000000"/>
            </w:tcBorders>
            <w:vAlign w:val="center"/>
            <w:hideMark/>
          </w:tcPr>
          <w:p w14:paraId="23F5A48F"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21B6C4A3" w14:textId="77777777" w:rsidR="007A7FA3" w:rsidRPr="007A7FA3" w:rsidRDefault="007A7FA3" w:rsidP="007A7FA3">
            <w:pPr>
              <w:rPr>
                <w:rFonts w:ascii="Calibri" w:hAnsi="Calibri" w:cs="Calibri"/>
                <w:i/>
                <w:iCs/>
                <w:color w:val="000000"/>
                <w:sz w:val="13"/>
                <w:szCs w:val="13"/>
              </w:rPr>
            </w:pPr>
          </w:p>
        </w:tc>
        <w:tc>
          <w:tcPr>
            <w:tcW w:w="2016"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7BA26E03"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2.1.2: Sustainable and climate resilient mariculture opportunities and exploitation of other living marine resources at national levels identifies and plans for development and scaling up developed</w:t>
            </w:r>
          </w:p>
        </w:tc>
        <w:tc>
          <w:tcPr>
            <w:tcW w:w="631" w:type="dxa"/>
            <w:vMerge w:val="restart"/>
            <w:tcBorders>
              <w:top w:val="nil"/>
              <w:left w:val="nil"/>
              <w:bottom w:val="nil"/>
              <w:right w:val="nil"/>
            </w:tcBorders>
            <w:shd w:val="clear" w:color="auto" w:fill="auto"/>
            <w:vAlign w:val="center"/>
            <w:hideMark/>
          </w:tcPr>
          <w:p w14:paraId="21637043"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BCC</w:t>
            </w:r>
          </w:p>
        </w:tc>
        <w:tc>
          <w:tcPr>
            <w:tcW w:w="504" w:type="dxa"/>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7ED687E3"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val="restart"/>
            <w:tcBorders>
              <w:top w:val="nil"/>
              <w:left w:val="single" w:sz="4" w:space="0" w:color="000000"/>
              <w:bottom w:val="nil"/>
              <w:right w:val="nil"/>
            </w:tcBorders>
            <w:shd w:val="clear" w:color="auto" w:fill="auto"/>
            <w:vAlign w:val="center"/>
            <w:hideMark/>
          </w:tcPr>
          <w:p w14:paraId="07280F99"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w:t>
            </w:r>
          </w:p>
        </w:tc>
        <w:tc>
          <w:tcPr>
            <w:tcW w:w="544" w:type="dxa"/>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26EB0513"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71200</w:t>
            </w:r>
          </w:p>
        </w:tc>
        <w:tc>
          <w:tcPr>
            <w:tcW w:w="1580" w:type="dxa"/>
            <w:tcBorders>
              <w:top w:val="single" w:sz="8" w:space="0" w:color="000000"/>
              <w:left w:val="nil"/>
              <w:bottom w:val="single" w:sz="4" w:space="0" w:color="000000"/>
              <w:right w:val="single" w:sz="4" w:space="0" w:color="000000"/>
            </w:tcBorders>
            <w:shd w:val="clear" w:color="auto" w:fill="auto"/>
            <w:vAlign w:val="bottom"/>
            <w:hideMark/>
          </w:tcPr>
          <w:p w14:paraId="212E6EFD"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International Consultants</w:t>
            </w:r>
          </w:p>
        </w:tc>
        <w:tc>
          <w:tcPr>
            <w:tcW w:w="694" w:type="dxa"/>
            <w:tcBorders>
              <w:top w:val="single" w:sz="8" w:space="0" w:color="000000"/>
              <w:left w:val="nil"/>
              <w:bottom w:val="single" w:sz="4" w:space="0" w:color="000000"/>
              <w:right w:val="single" w:sz="4" w:space="0" w:color="000000"/>
            </w:tcBorders>
            <w:shd w:val="clear" w:color="auto" w:fill="auto"/>
            <w:noWrap/>
            <w:vAlign w:val="bottom"/>
            <w:hideMark/>
          </w:tcPr>
          <w:p w14:paraId="0D64A58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single" w:sz="8" w:space="0" w:color="000000"/>
              <w:left w:val="nil"/>
              <w:bottom w:val="single" w:sz="4" w:space="0" w:color="000000"/>
              <w:right w:val="single" w:sz="4" w:space="0" w:color="000000"/>
            </w:tcBorders>
            <w:shd w:val="clear" w:color="auto" w:fill="auto"/>
            <w:noWrap/>
            <w:vAlign w:val="bottom"/>
            <w:hideMark/>
          </w:tcPr>
          <w:p w14:paraId="692EAF5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40,000 </w:t>
            </w:r>
          </w:p>
        </w:tc>
        <w:tc>
          <w:tcPr>
            <w:tcW w:w="826" w:type="dxa"/>
            <w:tcBorders>
              <w:top w:val="single" w:sz="8" w:space="0" w:color="000000"/>
              <w:left w:val="nil"/>
              <w:bottom w:val="single" w:sz="4" w:space="0" w:color="000000"/>
              <w:right w:val="single" w:sz="4" w:space="0" w:color="000000"/>
            </w:tcBorders>
            <w:shd w:val="clear" w:color="auto" w:fill="auto"/>
            <w:noWrap/>
            <w:vAlign w:val="bottom"/>
            <w:hideMark/>
          </w:tcPr>
          <w:p w14:paraId="3F09762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30,000 </w:t>
            </w:r>
          </w:p>
        </w:tc>
        <w:tc>
          <w:tcPr>
            <w:tcW w:w="864" w:type="dxa"/>
            <w:tcBorders>
              <w:top w:val="single" w:sz="8" w:space="0" w:color="000000"/>
              <w:left w:val="nil"/>
              <w:bottom w:val="single" w:sz="4" w:space="0" w:color="000000"/>
              <w:right w:val="single" w:sz="4" w:space="0" w:color="000000"/>
            </w:tcBorders>
            <w:shd w:val="clear" w:color="auto" w:fill="auto"/>
            <w:noWrap/>
            <w:vAlign w:val="bottom"/>
            <w:hideMark/>
          </w:tcPr>
          <w:p w14:paraId="6906459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25,000 </w:t>
            </w:r>
          </w:p>
        </w:tc>
        <w:tc>
          <w:tcPr>
            <w:tcW w:w="834" w:type="dxa"/>
            <w:tcBorders>
              <w:top w:val="single" w:sz="8" w:space="0" w:color="000000"/>
              <w:left w:val="nil"/>
              <w:bottom w:val="single" w:sz="4" w:space="0" w:color="000000"/>
              <w:right w:val="single" w:sz="4" w:space="0" w:color="000000"/>
            </w:tcBorders>
            <w:shd w:val="clear" w:color="auto" w:fill="auto"/>
            <w:noWrap/>
            <w:vAlign w:val="bottom"/>
            <w:hideMark/>
          </w:tcPr>
          <w:p w14:paraId="30A90ED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20,000 </w:t>
            </w:r>
          </w:p>
        </w:tc>
        <w:tc>
          <w:tcPr>
            <w:tcW w:w="827" w:type="dxa"/>
            <w:tcBorders>
              <w:top w:val="single" w:sz="8" w:space="0" w:color="000000"/>
              <w:left w:val="nil"/>
              <w:bottom w:val="single" w:sz="4" w:space="0" w:color="000000"/>
              <w:right w:val="single" w:sz="4" w:space="0" w:color="000000"/>
            </w:tcBorders>
            <w:shd w:val="clear" w:color="auto" w:fill="auto"/>
            <w:noWrap/>
            <w:vAlign w:val="bottom"/>
            <w:hideMark/>
          </w:tcPr>
          <w:p w14:paraId="60AA5B0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21,000 </w:t>
            </w:r>
          </w:p>
        </w:tc>
        <w:tc>
          <w:tcPr>
            <w:tcW w:w="980" w:type="dxa"/>
            <w:tcBorders>
              <w:top w:val="single" w:sz="8" w:space="0" w:color="000000"/>
              <w:left w:val="nil"/>
              <w:bottom w:val="single" w:sz="4" w:space="0" w:color="000000"/>
              <w:right w:val="nil"/>
            </w:tcBorders>
            <w:shd w:val="clear" w:color="auto" w:fill="auto"/>
            <w:noWrap/>
            <w:vAlign w:val="bottom"/>
            <w:hideMark/>
          </w:tcPr>
          <w:p w14:paraId="0272824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136,000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7DFD48EA"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51</w:t>
            </w:r>
          </w:p>
        </w:tc>
      </w:tr>
      <w:tr w:rsidR="007A7FA3" w:rsidRPr="007A7FA3" w14:paraId="6FB74F00" w14:textId="77777777" w:rsidTr="007A7FA3">
        <w:trPr>
          <w:trHeight w:val="270"/>
        </w:trPr>
        <w:tc>
          <w:tcPr>
            <w:tcW w:w="1086" w:type="dxa"/>
            <w:vMerge/>
            <w:tcBorders>
              <w:top w:val="nil"/>
              <w:left w:val="single" w:sz="8" w:space="0" w:color="auto"/>
              <w:bottom w:val="nil"/>
              <w:right w:val="single" w:sz="4" w:space="0" w:color="000000"/>
            </w:tcBorders>
            <w:vAlign w:val="center"/>
            <w:hideMark/>
          </w:tcPr>
          <w:p w14:paraId="40057611"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2C8F534D"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117B84BF"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4AA049B6"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0238990C"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5054113D"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44262DA0"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71800</w:t>
            </w:r>
          </w:p>
        </w:tc>
        <w:tc>
          <w:tcPr>
            <w:tcW w:w="1580" w:type="dxa"/>
            <w:tcBorders>
              <w:top w:val="nil"/>
              <w:left w:val="nil"/>
              <w:bottom w:val="single" w:sz="4" w:space="0" w:color="000000"/>
              <w:right w:val="single" w:sz="4" w:space="0" w:color="000000"/>
            </w:tcBorders>
            <w:shd w:val="clear" w:color="auto" w:fill="auto"/>
            <w:vAlign w:val="bottom"/>
            <w:hideMark/>
          </w:tcPr>
          <w:p w14:paraId="07B12327"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Contractual Services - Individuals</w:t>
            </w:r>
          </w:p>
        </w:tc>
        <w:tc>
          <w:tcPr>
            <w:tcW w:w="694" w:type="dxa"/>
            <w:tcBorders>
              <w:top w:val="nil"/>
              <w:left w:val="nil"/>
              <w:bottom w:val="single" w:sz="4" w:space="0" w:color="000000"/>
              <w:right w:val="single" w:sz="4" w:space="0" w:color="000000"/>
            </w:tcBorders>
            <w:shd w:val="clear" w:color="auto" w:fill="auto"/>
            <w:noWrap/>
            <w:vAlign w:val="bottom"/>
            <w:hideMark/>
          </w:tcPr>
          <w:p w14:paraId="319E425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nil"/>
              <w:left w:val="nil"/>
              <w:bottom w:val="single" w:sz="4" w:space="0" w:color="000000"/>
              <w:right w:val="single" w:sz="4" w:space="0" w:color="000000"/>
            </w:tcBorders>
            <w:shd w:val="clear" w:color="auto" w:fill="auto"/>
            <w:noWrap/>
            <w:vAlign w:val="bottom"/>
            <w:hideMark/>
          </w:tcPr>
          <w:p w14:paraId="1F64062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44,000 </w:t>
            </w:r>
          </w:p>
        </w:tc>
        <w:tc>
          <w:tcPr>
            <w:tcW w:w="826" w:type="dxa"/>
            <w:tcBorders>
              <w:top w:val="nil"/>
              <w:left w:val="nil"/>
              <w:bottom w:val="single" w:sz="4" w:space="0" w:color="000000"/>
              <w:right w:val="single" w:sz="4" w:space="0" w:color="000000"/>
            </w:tcBorders>
            <w:shd w:val="clear" w:color="auto" w:fill="auto"/>
            <w:noWrap/>
            <w:vAlign w:val="bottom"/>
            <w:hideMark/>
          </w:tcPr>
          <w:p w14:paraId="5B4C09D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50,000 </w:t>
            </w:r>
          </w:p>
        </w:tc>
        <w:tc>
          <w:tcPr>
            <w:tcW w:w="864" w:type="dxa"/>
            <w:tcBorders>
              <w:top w:val="nil"/>
              <w:left w:val="nil"/>
              <w:bottom w:val="single" w:sz="4" w:space="0" w:color="000000"/>
              <w:right w:val="single" w:sz="4" w:space="0" w:color="000000"/>
            </w:tcBorders>
            <w:shd w:val="clear" w:color="auto" w:fill="auto"/>
            <w:noWrap/>
            <w:vAlign w:val="bottom"/>
            <w:hideMark/>
          </w:tcPr>
          <w:p w14:paraId="0F23300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50,000 </w:t>
            </w:r>
          </w:p>
        </w:tc>
        <w:tc>
          <w:tcPr>
            <w:tcW w:w="834" w:type="dxa"/>
            <w:tcBorders>
              <w:top w:val="nil"/>
              <w:left w:val="nil"/>
              <w:bottom w:val="single" w:sz="4" w:space="0" w:color="000000"/>
              <w:right w:val="single" w:sz="4" w:space="0" w:color="000000"/>
            </w:tcBorders>
            <w:shd w:val="clear" w:color="auto" w:fill="auto"/>
            <w:noWrap/>
            <w:vAlign w:val="bottom"/>
            <w:hideMark/>
          </w:tcPr>
          <w:p w14:paraId="53F5BCE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35,000 </w:t>
            </w:r>
          </w:p>
        </w:tc>
        <w:tc>
          <w:tcPr>
            <w:tcW w:w="827" w:type="dxa"/>
            <w:tcBorders>
              <w:top w:val="nil"/>
              <w:left w:val="nil"/>
              <w:bottom w:val="single" w:sz="4" w:space="0" w:color="000000"/>
              <w:right w:val="single" w:sz="4" w:space="0" w:color="000000"/>
            </w:tcBorders>
            <w:shd w:val="clear" w:color="auto" w:fill="auto"/>
            <w:noWrap/>
            <w:vAlign w:val="bottom"/>
            <w:hideMark/>
          </w:tcPr>
          <w:p w14:paraId="155DC82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33,000 </w:t>
            </w:r>
          </w:p>
        </w:tc>
        <w:tc>
          <w:tcPr>
            <w:tcW w:w="980" w:type="dxa"/>
            <w:tcBorders>
              <w:top w:val="single" w:sz="8" w:space="0" w:color="000000"/>
              <w:left w:val="nil"/>
              <w:bottom w:val="single" w:sz="4" w:space="0" w:color="000000"/>
              <w:right w:val="nil"/>
            </w:tcBorders>
            <w:shd w:val="clear" w:color="auto" w:fill="auto"/>
            <w:noWrap/>
            <w:vAlign w:val="bottom"/>
            <w:hideMark/>
          </w:tcPr>
          <w:p w14:paraId="49D399B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212,000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55BDDC3F"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52</w:t>
            </w:r>
          </w:p>
        </w:tc>
      </w:tr>
      <w:tr w:rsidR="007A7FA3" w:rsidRPr="007A7FA3" w14:paraId="150720C7" w14:textId="77777777" w:rsidTr="007A7FA3">
        <w:trPr>
          <w:trHeight w:val="300"/>
        </w:trPr>
        <w:tc>
          <w:tcPr>
            <w:tcW w:w="1086" w:type="dxa"/>
            <w:vMerge/>
            <w:tcBorders>
              <w:top w:val="nil"/>
              <w:left w:val="single" w:sz="8" w:space="0" w:color="auto"/>
              <w:bottom w:val="nil"/>
              <w:right w:val="single" w:sz="4" w:space="0" w:color="000000"/>
            </w:tcBorders>
            <w:vAlign w:val="center"/>
            <w:hideMark/>
          </w:tcPr>
          <w:p w14:paraId="665EA557"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57F9DBA3"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276BDEAC"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704A39E2"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6A9B854A"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6B556130"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457E7190"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71600</w:t>
            </w:r>
          </w:p>
        </w:tc>
        <w:tc>
          <w:tcPr>
            <w:tcW w:w="1580" w:type="dxa"/>
            <w:tcBorders>
              <w:top w:val="nil"/>
              <w:left w:val="nil"/>
              <w:bottom w:val="single" w:sz="4" w:space="0" w:color="000000"/>
              <w:right w:val="single" w:sz="4" w:space="0" w:color="000000"/>
            </w:tcBorders>
            <w:shd w:val="clear" w:color="auto" w:fill="auto"/>
            <w:vAlign w:val="bottom"/>
            <w:hideMark/>
          </w:tcPr>
          <w:p w14:paraId="1ED7765C"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Travel</w:t>
            </w:r>
          </w:p>
        </w:tc>
        <w:tc>
          <w:tcPr>
            <w:tcW w:w="694" w:type="dxa"/>
            <w:tcBorders>
              <w:top w:val="nil"/>
              <w:left w:val="nil"/>
              <w:bottom w:val="single" w:sz="4" w:space="0" w:color="000000"/>
              <w:right w:val="single" w:sz="4" w:space="0" w:color="000000"/>
            </w:tcBorders>
            <w:shd w:val="clear" w:color="auto" w:fill="auto"/>
            <w:noWrap/>
            <w:vAlign w:val="bottom"/>
            <w:hideMark/>
          </w:tcPr>
          <w:p w14:paraId="4AE4611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nil"/>
              <w:left w:val="nil"/>
              <w:bottom w:val="single" w:sz="4" w:space="0" w:color="000000"/>
              <w:right w:val="single" w:sz="4" w:space="0" w:color="000000"/>
            </w:tcBorders>
            <w:shd w:val="clear" w:color="auto" w:fill="auto"/>
            <w:noWrap/>
            <w:vAlign w:val="bottom"/>
            <w:hideMark/>
          </w:tcPr>
          <w:p w14:paraId="366E907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25,000 </w:t>
            </w:r>
          </w:p>
        </w:tc>
        <w:tc>
          <w:tcPr>
            <w:tcW w:w="826" w:type="dxa"/>
            <w:tcBorders>
              <w:top w:val="nil"/>
              <w:left w:val="nil"/>
              <w:bottom w:val="single" w:sz="4" w:space="0" w:color="000000"/>
              <w:right w:val="single" w:sz="4" w:space="0" w:color="000000"/>
            </w:tcBorders>
            <w:shd w:val="clear" w:color="auto" w:fill="auto"/>
            <w:noWrap/>
            <w:vAlign w:val="bottom"/>
            <w:hideMark/>
          </w:tcPr>
          <w:p w14:paraId="4AAA0E6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25,000 </w:t>
            </w:r>
          </w:p>
        </w:tc>
        <w:tc>
          <w:tcPr>
            <w:tcW w:w="864" w:type="dxa"/>
            <w:tcBorders>
              <w:top w:val="nil"/>
              <w:left w:val="nil"/>
              <w:bottom w:val="single" w:sz="4" w:space="0" w:color="000000"/>
              <w:right w:val="single" w:sz="4" w:space="0" w:color="000000"/>
            </w:tcBorders>
            <w:shd w:val="clear" w:color="auto" w:fill="auto"/>
            <w:noWrap/>
            <w:vAlign w:val="bottom"/>
            <w:hideMark/>
          </w:tcPr>
          <w:p w14:paraId="78F6B2E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20,000 </w:t>
            </w:r>
          </w:p>
        </w:tc>
        <w:tc>
          <w:tcPr>
            <w:tcW w:w="834" w:type="dxa"/>
            <w:tcBorders>
              <w:top w:val="nil"/>
              <w:left w:val="nil"/>
              <w:bottom w:val="single" w:sz="4" w:space="0" w:color="000000"/>
              <w:right w:val="single" w:sz="4" w:space="0" w:color="000000"/>
            </w:tcBorders>
            <w:shd w:val="clear" w:color="auto" w:fill="auto"/>
            <w:noWrap/>
            <w:vAlign w:val="bottom"/>
            <w:hideMark/>
          </w:tcPr>
          <w:p w14:paraId="2B3AE21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20,000 </w:t>
            </w:r>
          </w:p>
        </w:tc>
        <w:tc>
          <w:tcPr>
            <w:tcW w:w="827" w:type="dxa"/>
            <w:tcBorders>
              <w:top w:val="nil"/>
              <w:left w:val="nil"/>
              <w:bottom w:val="single" w:sz="4" w:space="0" w:color="000000"/>
              <w:right w:val="single" w:sz="4" w:space="0" w:color="000000"/>
            </w:tcBorders>
            <w:shd w:val="clear" w:color="auto" w:fill="auto"/>
            <w:noWrap/>
            <w:vAlign w:val="bottom"/>
            <w:hideMark/>
          </w:tcPr>
          <w:p w14:paraId="0D00B55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25,000 </w:t>
            </w:r>
          </w:p>
        </w:tc>
        <w:tc>
          <w:tcPr>
            <w:tcW w:w="980" w:type="dxa"/>
            <w:tcBorders>
              <w:top w:val="single" w:sz="8" w:space="0" w:color="000000"/>
              <w:left w:val="nil"/>
              <w:bottom w:val="single" w:sz="4" w:space="0" w:color="000000"/>
              <w:right w:val="nil"/>
            </w:tcBorders>
            <w:shd w:val="clear" w:color="auto" w:fill="auto"/>
            <w:noWrap/>
            <w:vAlign w:val="bottom"/>
            <w:hideMark/>
          </w:tcPr>
          <w:p w14:paraId="6F38D54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115,000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725A80AB"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53</w:t>
            </w:r>
          </w:p>
        </w:tc>
      </w:tr>
      <w:tr w:rsidR="007A7FA3" w:rsidRPr="007A7FA3" w14:paraId="59B7D441" w14:textId="77777777" w:rsidTr="007A7FA3">
        <w:trPr>
          <w:trHeight w:val="240"/>
        </w:trPr>
        <w:tc>
          <w:tcPr>
            <w:tcW w:w="1086" w:type="dxa"/>
            <w:vMerge/>
            <w:tcBorders>
              <w:top w:val="nil"/>
              <w:left w:val="single" w:sz="8" w:space="0" w:color="auto"/>
              <w:bottom w:val="nil"/>
              <w:right w:val="single" w:sz="4" w:space="0" w:color="000000"/>
            </w:tcBorders>
            <w:vAlign w:val="center"/>
            <w:hideMark/>
          </w:tcPr>
          <w:p w14:paraId="4D81211F"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6DE09041"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5B0B0054"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501873F3"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55251E86"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0C10CE14"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7BBE8F1B"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71800</w:t>
            </w:r>
          </w:p>
        </w:tc>
        <w:tc>
          <w:tcPr>
            <w:tcW w:w="1580" w:type="dxa"/>
            <w:tcBorders>
              <w:top w:val="nil"/>
              <w:left w:val="nil"/>
              <w:bottom w:val="single" w:sz="4" w:space="0" w:color="000000"/>
              <w:right w:val="single" w:sz="4" w:space="0" w:color="000000"/>
            </w:tcBorders>
            <w:shd w:val="clear" w:color="auto" w:fill="auto"/>
            <w:vAlign w:val="bottom"/>
            <w:hideMark/>
          </w:tcPr>
          <w:p w14:paraId="588507B4"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Contractual Services-Impl Partner</w:t>
            </w:r>
          </w:p>
        </w:tc>
        <w:tc>
          <w:tcPr>
            <w:tcW w:w="694" w:type="dxa"/>
            <w:tcBorders>
              <w:top w:val="nil"/>
              <w:left w:val="nil"/>
              <w:bottom w:val="single" w:sz="4" w:space="0" w:color="000000"/>
              <w:right w:val="single" w:sz="4" w:space="0" w:color="000000"/>
            </w:tcBorders>
            <w:shd w:val="clear" w:color="auto" w:fill="auto"/>
            <w:noWrap/>
            <w:vAlign w:val="bottom"/>
            <w:hideMark/>
          </w:tcPr>
          <w:p w14:paraId="028558D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nil"/>
              <w:left w:val="nil"/>
              <w:bottom w:val="single" w:sz="4" w:space="0" w:color="000000"/>
              <w:right w:val="single" w:sz="4" w:space="0" w:color="000000"/>
            </w:tcBorders>
            <w:shd w:val="clear" w:color="auto" w:fill="auto"/>
            <w:noWrap/>
            <w:vAlign w:val="bottom"/>
            <w:hideMark/>
          </w:tcPr>
          <w:p w14:paraId="50ADD86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35,000 </w:t>
            </w:r>
          </w:p>
        </w:tc>
        <w:tc>
          <w:tcPr>
            <w:tcW w:w="826" w:type="dxa"/>
            <w:tcBorders>
              <w:top w:val="nil"/>
              <w:left w:val="nil"/>
              <w:bottom w:val="single" w:sz="4" w:space="0" w:color="000000"/>
              <w:right w:val="single" w:sz="4" w:space="0" w:color="000000"/>
            </w:tcBorders>
            <w:shd w:val="clear" w:color="auto" w:fill="auto"/>
            <w:noWrap/>
            <w:vAlign w:val="bottom"/>
            <w:hideMark/>
          </w:tcPr>
          <w:p w14:paraId="3854501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40,000 </w:t>
            </w:r>
          </w:p>
        </w:tc>
        <w:tc>
          <w:tcPr>
            <w:tcW w:w="864" w:type="dxa"/>
            <w:tcBorders>
              <w:top w:val="nil"/>
              <w:left w:val="nil"/>
              <w:bottom w:val="single" w:sz="4" w:space="0" w:color="000000"/>
              <w:right w:val="single" w:sz="4" w:space="0" w:color="000000"/>
            </w:tcBorders>
            <w:shd w:val="clear" w:color="auto" w:fill="auto"/>
            <w:noWrap/>
            <w:vAlign w:val="bottom"/>
            <w:hideMark/>
          </w:tcPr>
          <w:p w14:paraId="1590B32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40,000 </w:t>
            </w:r>
          </w:p>
        </w:tc>
        <w:tc>
          <w:tcPr>
            <w:tcW w:w="834" w:type="dxa"/>
            <w:tcBorders>
              <w:top w:val="nil"/>
              <w:left w:val="nil"/>
              <w:bottom w:val="single" w:sz="4" w:space="0" w:color="000000"/>
              <w:right w:val="single" w:sz="4" w:space="0" w:color="000000"/>
            </w:tcBorders>
            <w:shd w:val="clear" w:color="auto" w:fill="auto"/>
            <w:noWrap/>
            <w:vAlign w:val="bottom"/>
            <w:hideMark/>
          </w:tcPr>
          <w:p w14:paraId="6B35DF9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40,000 </w:t>
            </w:r>
          </w:p>
        </w:tc>
        <w:tc>
          <w:tcPr>
            <w:tcW w:w="827" w:type="dxa"/>
            <w:tcBorders>
              <w:top w:val="nil"/>
              <w:left w:val="nil"/>
              <w:bottom w:val="single" w:sz="4" w:space="0" w:color="000000"/>
              <w:right w:val="single" w:sz="4" w:space="0" w:color="000000"/>
            </w:tcBorders>
            <w:shd w:val="clear" w:color="auto" w:fill="auto"/>
            <w:noWrap/>
            <w:vAlign w:val="bottom"/>
            <w:hideMark/>
          </w:tcPr>
          <w:p w14:paraId="0CCFB0C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20,000 </w:t>
            </w:r>
          </w:p>
        </w:tc>
        <w:tc>
          <w:tcPr>
            <w:tcW w:w="980" w:type="dxa"/>
            <w:tcBorders>
              <w:top w:val="single" w:sz="8" w:space="0" w:color="000000"/>
              <w:left w:val="nil"/>
              <w:bottom w:val="single" w:sz="4" w:space="0" w:color="000000"/>
              <w:right w:val="nil"/>
            </w:tcBorders>
            <w:shd w:val="clear" w:color="auto" w:fill="auto"/>
            <w:noWrap/>
            <w:vAlign w:val="bottom"/>
            <w:hideMark/>
          </w:tcPr>
          <w:p w14:paraId="16BE4F3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175,000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1DF1A0F0"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54</w:t>
            </w:r>
          </w:p>
        </w:tc>
      </w:tr>
      <w:tr w:rsidR="007A7FA3" w:rsidRPr="007A7FA3" w14:paraId="70DF5485" w14:textId="77777777" w:rsidTr="007A7FA3">
        <w:trPr>
          <w:trHeight w:val="270"/>
        </w:trPr>
        <w:tc>
          <w:tcPr>
            <w:tcW w:w="1086" w:type="dxa"/>
            <w:vMerge/>
            <w:tcBorders>
              <w:top w:val="nil"/>
              <w:left w:val="single" w:sz="8" w:space="0" w:color="auto"/>
              <w:bottom w:val="nil"/>
              <w:right w:val="single" w:sz="4" w:space="0" w:color="000000"/>
            </w:tcBorders>
            <w:vAlign w:val="center"/>
            <w:hideMark/>
          </w:tcPr>
          <w:p w14:paraId="7C569CDF"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21CD205C"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555F1AF3"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3C99B897"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704B4A4D"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136E56D3"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0B059108"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72400</w:t>
            </w:r>
          </w:p>
        </w:tc>
        <w:tc>
          <w:tcPr>
            <w:tcW w:w="1580" w:type="dxa"/>
            <w:tcBorders>
              <w:top w:val="nil"/>
              <w:left w:val="nil"/>
              <w:bottom w:val="single" w:sz="4" w:space="0" w:color="000000"/>
              <w:right w:val="single" w:sz="4" w:space="0" w:color="000000"/>
            </w:tcBorders>
            <w:shd w:val="clear" w:color="auto" w:fill="auto"/>
            <w:vAlign w:val="bottom"/>
            <w:hideMark/>
          </w:tcPr>
          <w:p w14:paraId="6F99921B"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Communic &amp; Audio Visual Equip</w:t>
            </w:r>
          </w:p>
        </w:tc>
        <w:tc>
          <w:tcPr>
            <w:tcW w:w="694" w:type="dxa"/>
            <w:tcBorders>
              <w:top w:val="nil"/>
              <w:left w:val="nil"/>
              <w:bottom w:val="single" w:sz="4" w:space="0" w:color="000000"/>
              <w:right w:val="single" w:sz="4" w:space="0" w:color="000000"/>
            </w:tcBorders>
            <w:shd w:val="clear" w:color="auto" w:fill="auto"/>
            <w:noWrap/>
            <w:vAlign w:val="bottom"/>
            <w:hideMark/>
          </w:tcPr>
          <w:p w14:paraId="71870A7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nil"/>
              <w:left w:val="nil"/>
              <w:bottom w:val="single" w:sz="4" w:space="0" w:color="000000"/>
              <w:right w:val="single" w:sz="4" w:space="0" w:color="000000"/>
            </w:tcBorders>
            <w:shd w:val="clear" w:color="auto" w:fill="auto"/>
            <w:noWrap/>
            <w:vAlign w:val="bottom"/>
            <w:hideMark/>
          </w:tcPr>
          <w:p w14:paraId="64A996C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12,000 </w:t>
            </w:r>
          </w:p>
        </w:tc>
        <w:tc>
          <w:tcPr>
            <w:tcW w:w="826" w:type="dxa"/>
            <w:tcBorders>
              <w:top w:val="nil"/>
              <w:left w:val="nil"/>
              <w:bottom w:val="single" w:sz="4" w:space="0" w:color="000000"/>
              <w:right w:val="single" w:sz="4" w:space="0" w:color="000000"/>
            </w:tcBorders>
            <w:shd w:val="clear" w:color="auto" w:fill="auto"/>
            <w:noWrap/>
            <w:vAlign w:val="bottom"/>
            <w:hideMark/>
          </w:tcPr>
          <w:p w14:paraId="5909390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12,000 </w:t>
            </w:r>
          </w:p>
        </w:tc>
        <w:tc>
          <w:tcPr>
            <w:tcW w:w="864" w:type="dxa"/>
            <w:tcBorders>
              <w:top w:val="nil"/>
              <w:left w:val="nil"/>
              <w:bottom w:val="single" w:sz="4" w:space="0" w:color="000000"/>
              <w:right w:val="single" w:sz="4" w:space="0" w:color="000000"/>
            </w:tcBorders>
            <w:shd w:val="clear" w:color="auto" w:fill="auto"/>
            <w:noWrap/>
            <w:vAlign w:val="bottom"/>
            <w:hideMark/>
          </w:tcPr>
          <w:p w14:paraId="51DD0C3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12,000 </w:t>
            </w:r>
          </w:p>
        </w:tc>
        <w:tc>
          <w:tcPr>
            <w:tcW w:w="834" w:type="dxa"/>
            <w:tcBorders>
              <w:top w:val="nil"/>
              <w:left w:val="nil"/>
              <w:bottom w:val="single" w:sz="4" w:space="0" w:color="000000"/>
              <w:right w:val="single" w:sz="4" w:space="0" w:color="000000"/>
            </w:tcBorders>
            <w:shd w:val="clear" w:color="auto" w:fill="auto"/>
            <w:noWrap/>
            <w:vAlign w:val="bottom"/>
            <w:hideMark/>
          </w:tcPr>
          <w:p w14:paraId="2829A76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12,000 </w:t>
            </w:r>
          </w:p>
        </w:tc>
        <w:tc>
          <w:tcPr>
            <w:tcW w:w="827" w:type="dxa"/>
            <w:tcBorders>
              <w:top w:val="nil"/>
              <w:left w:val="nil"/>
              <w:bottom w:val="single" w:sz="4" w:space="0" w:color="000000"/>
              <w:right w:val="single" w:sz="4" w:space="0" w:color="000000"/>
            </w:tcBorders>
            <w:shd w:val="clear" w:color="auto" w:fill="auto"/>
            <w:noWrap/>
            <w:vAlign w:val="bottom"/>
            <w:hideMark/>
          </w:tcPr>
          <w:p w14:paraId="610871C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980" w:type="dxa"/>
            <w:tcBorders>
              <w:top w:val="single" w:sz="8" w:space="0" w:color="000000"/>
              <w:left w:val="nil"/>
              <w:bottom w:val="single" w:sz="4" w:space="0" w:color="000000"/>
              <w:right w:val="nil"/>
            </w:tcBorders>
            <w:shd w:val="clear" w:color="auto" w:fill="auto"/>
            <w:noWrap/>
            <w:vAlign w:val="bottom"/>
            <w:hideMark/>
          </w:tcPr>
          <w:p w14:paraId="1C01210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58,000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725CE58D"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55</w:t>
            </w:r>
          </w:p>
        </w:tc>
      </w:tr>
      <w:tr w:rsidR="007A7FA3" w:rsidRPr="007A7FA3" w14:paraId="4C6103BC" w14:textId="77777777" w:rsidTr="007A7FA3">
        <w:trPr>
          <w:trHeight w:val="315"/>
        </w:trPr>
        <w:tc>
          <w:tcPr>
            <w:tcW w:w="1086" w:type="dxa"/>
            <w:vMerge/>
            <w:tcBorders>
              <w:top w:val="nil"/>
              <w:left w:val="single" w:sz="8" w:space="0" w:color="auto"/>
              <w:bottom w:val="nil"/>
              <w:right w:val="single" w:sz="4" w:space="0" w:color="000000"/>
            </w:tcBorders>
            <w:vAlign w:val="center"/>
            <w:hideMark/>
          </w:tcPr>
          <w:p w14:paraId="42BA6DB9"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05103258"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59680F2B" w14:textId="77777777" w:rsidR="007A7FA3" w:rsidRPr="007A7FA3" w:rsidRDefault="007A7FA3" w:rsidP="007A7FA3">
            <w:pPr>
              <w:rPr>
                <w:rFonts w:ascii="Calibri" w:hAnsi="Calibri" w:cs="Calibri"/>
                <w:i/>
                <w:iCs/>
                <w:color w:val="000000"/>
                <w:sz w:val="13"/>
                <w:szCs w:val="13"/>
              </w:rPr>
            </w:pPr>
          </w:p>
        </w:tc>
        <w:tc>
          <w:tcPr>
            <w:tcW w:w="3763" w:type="dxa"/>
            <w:gridSpan w:val="5"/>
            <w:tcBorders>
              <w:top w:val="single" w:sz="4" w:space="0" w:color="000000"/>
              <w:left w:val="nil"/>
              <w:bottom w:val="single" w:sz="4" w:space="0" w:color="000000"/>
              <w:right w:val="single" w:sz="4" w:space="0" w:color="000000"/>
            </w:tcBorders>
            <w:shd w:val="clear" w:color="auto" w:fill="auto"/>
            <w:vAlign w:val="center"/>
            <w:hideMark/>
          </w:tcPr>
          <w:p w14:paraId="081ABD1D"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Total BCC</w:t>
            </w:r>
          </w:p>
        </w:tc>
        <w:tc>
          <w:tcPr>
            <w:tcW w:w="694" w:type="dxa"/>
            <w:tcBorders>
              <w:top w:val="nil"/>
              <w:left w:val="nil"/>
              <w:bottom w:val="single" w:sz="4" w:space="0" w:color="000000"/>
              <w:right w:val="single" w:sz="4" w:space="0" w:color="000000"/>
            </w:tcBorders>
            <w:shd w:val="clear" w:color="auto" w:fill="auto"/>
            <w:noWrap/>
            <w:vAlign w:val="bottom"/>
            <w:hideMark/>
          </w:tcPr>
          <w:p w14:paraId="04D5C8DF"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05" w:type="dxa"/>
            <w:tcBorders>
              <w:top w:val="nil"/>
              <w:left w:val="nil"/>
              <w:bottom w:val="single" w:sz="4" w:space="0" w:color="000000"/>
              <w:right w:val="single" w:sz="4" w:space="0" w:color="000000"/>
            </w:tcBorders>
            <w:shd w:val="clear" w:color="auto" w:fill="auto"/>
            <w:noWrap/>
            <w:vAlign w:val="bottom"/>
            <w:hideMark/>
          </w:tcPr>
          <w:p w14:paraId="1887C37E"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156,000 </w:t>
            </w:r>
          </w:p>
        </w:tc>
        <w:tc>
          <w:tcPr>
            <w:tcW w:w="826" w:type="dxa"/>
            <w:tcBorders>
              <w:top w:val="nil"/>
              <w:left w:val="nil"/>
              <w:bottom w:val="single" w:sz="4" w:space="0" w:color="000000"/>
              <w:right w:val="single" w:sz="4" w:space="0" w:color="000000"/>
            </w:tcBorders>
            <w:shd w:val="clear" w:color="auto" w:fill="auto"/>
            <w:noWrap/>
            <w:vAlign w:val="bottom"/>
            <w:hideMark/>
          </w:tcPr>
          <w:p w14:paraId="2B638042"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157,000 </w:t>
            </w:r>
          </w:p>
        </w:tc>
        <w:tc>
          <w:tcPr>
            <w:tcW w:w="864" w:type="dxa"/>
            <w:tcBorders>
              <w:top w:val="nil"/>
              <w:left w:val="nil"/>
              <w:bottom w:val="single" w:sz="4" w:space="0" w:color="000000"/>
              <w:right w:val="single" w:sz="4" w:space="0" w:color="000000"/>
            </w:tcBorders>
            <w:shd w:val="clear" w:color="auto" w:fill="auto"/>
            <w:noWrap/>
            <w:vAlign w:val="bottom"/>
            <w:hideMark/>
          </w:tcPr>
          <w:p w14:paraId="233C2265"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147,000 </w:t>
            </w:r>
          </w:p>
        </w:tc>
        <w:tc>
          <w:tcPr>
            <w:tcW w:w="834" w:type="dxa"/>
            <w:tcBorders>
              <w:top w:val="nil"/>
              <w:left w:val="nil"/>
              <w:bottom w:val="single" w:sz="4" w:space="0" w:color="000000"/>
              <w:right w:val="single" w:sz="4" w:space="0" w:color="000000"/>
            </w:tcBorders>
            <w:shd w:val="clear" w:color="auto" w:fill="auto"/>
            <w:noWrap/>
            <w:vAlign w:val="bottom"/>
            <w:hideMark/>
          </w:tcPr>
          <w:p w14:paraId="55003BEE"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127,000 </w:t>
            </w:r>
          </w:p>
        </w:tc>
        <w:tc>
          <w:tcPr>
            <w:tcW w:w="827" w:type="dxa"/>
            <w:tcBorders>
              <w:top w:val="nil"/>
              <w:left w:val="nil"/>
              <w:bottom w:val="single" w:sz="4" w:space="0" w:color="000000"/>
              <w:right w:val="single" w:sz="4" w:space="0" w:color="000000"/>
            </w:tcBorders>
            <w:shd w:val="clear" w:color="auto" w:fill="auto"/>
            <w:noWrap/>
            <w:vAlign w:val="bottom"/>
            <w:hideMark/>
          </w:tcPr>
          <w:p w14:paraId="0507FEFE"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109,000 </w:t>
            </w:r>
          </w:p>
        </w:tc>
        <w:tc>
          <w:tcPr>
            <w:tcW w:w="980" w:type="dxa"/>
            <w:tcBorders>
              <w:top w:val="single" w:sz="8" w:space="0" w:color="000000"/>
              <w:left w:val="nil"/>
              <w:bottom w:val="single" w:sz="4" w:space="0" w:color="000000"/>
              <w:right w:val="nil"/>
            </w:tcBorders>
            <w:shd w:val="clear" w:color="auto" w:fill="auto"/>
            <w:noWrap/>
            <w:vAlign w:val="bottom"/>
            <w:hideMark/>
          </w:tcPr>
          <w:p w14:paraId="1ECE0E79"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696,000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620DF446"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24191C55" w14:textId="77777777" w:rsidTr="007A7FA3">
        <w:trPr>
          <w:trHeight w:val="270"/>
        </w:trPr>
        <w:tc>
          <w:tcPr>
            <w:tcW w:w="1086" w:type="dxa"/>
            <w:vMerge/>
            <w:tcBorders>
              <w:top w:val="nil"/>
              <w:left w:val="single" w:sz="8" w:space="0" w:color="auto"/>
              <w:bottom w:val="nil"/>
              <w:right w:val="single" w:sz="4" w:space="0" w:color="000000"/>
            </w:tcBorders>
            <w:vAlign w:val="center"/>
            <w:hideMark/>
          </w:tcPr>
          <w:p w14:paraId="40D92920"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660B84B1" w14:textId="77777777" w:rsidR="007A7FA3" w:rsidRPr="007A7FA3" w:rsidRDefault="007A7FA3" w:rsidP="007A7FA3">
            <w:pPr>
              <w:rPr>
                <w:rFonts w:ascii="Calibri" w:hAnsi="Calibri" w:cs="Calibri"/>
                <w:i/>
                <w:iCs/>
                <w:color w:val="000000"/>
                <w:sz w:val="13"/>
                <w:szCs w:val="13"/>
              </w:rPr>
            </w:pPr>
          </w:p>
        </w:tc>
        <w:tc>
          <w:tcPr>
            <w:tcW w:w="5779" w:type="dxa"/>
            <w:gridSpan w:val="6"/>
            <w:tcBorders>
              <w:top w:val="nil"/>
              <w:left w:val="nil"/>
              <w:bottom w:val="single" w:sz="4" w:space="0" w:color="000000"/>
              <w:right w:val="single" w:sz="4" w:space="0" w:color="000000"/>
            </w:tcBorders>
            <w:shd w:val="clear" w:color="auto" w:fill="auto"/>
            <w:vAlign w:val="center"/>
            <w:hideMark/>
          </w:tcPr>
          <w:p w14:paraId="62EE72DC" w14:textId="77777777" w:rsidR="007A7FA3" w:rsidRPr="007A7FA3" w:rsidRDefault="007A7FA3" w:rsidP="007A7FA3">
            <w:pPr>
              <w:rPr>
                <w:rFonts w:ascii="Calibri" w:hAnsi="Calibri" w:cs="Calibri"/>
                <w:b/>
                <w:bCs/>
                <w:i/>
                <w:iCs/>
                <w:color w:val="000000"/>
                <w:sz w:val="13"/>
                <w:szCs w:val="13"/>
              </w:rPr>
            </w:pPr>
            <w:r w:rsidRPr="007A7FA3">
              <w:rPr>
                <w:rFonts w:ascii="Calibri" w:hAnsi="Calibri" w:cs="Calibri"/>
                <w:b/>
                <w:bCs/>
                <w:i/>
                <w:iCs/>
                <w:color w:val="000000"/>
                <w:sz w:val="13"/>
                <w:szCs w:val="13"/>
              </w:rPr>
              <w:t>Total Output 2.1.2</w:t>
            </w:r>
          </w:p>
        </w:tc>
        <w:tc>
          <w:tcPr>
            <w:tcW w:w="694" w:type="dxa"/>
            <w:tcBorders>
              <w:top w:val="nil"/>
              <w:left w:val="nil"/>
              <w:bottom w:val="single" w:sz="4" w:space="0" w:color="000000"/>
              <w:right w:val="single" w:sz="4" w:space="0" w:color="000000"/>
            </w:tcBorders>
            <w:shd w:val="clear" w:color="auto" w:fill="auto"/>
            <w:noWrap/>
            <w:vAlign w:val="bottom"/>
            <w:hideMark/>
          </w:tcPr>
          <w:p w14:paraId="70B945B9"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05" w:type="dxa"/>
            <w:tcBorders>
              <w:top w:val="nil"/>
              <w:left w:val="nil"/>
              <w:bottom w:val="single" w:sz="4" w:space="0" w:color="000000"/>
              <w:right w:val="single" w:sz="4" w:space="0" w:color="000000"/>
            </w:tcBorders>
            <w:shd w:val="clear" w:color="auto" w:fill="auto"/>
            <w:noWrap/>
            <w:vAlign w:val="bottom"/>
            <w:hideMark/>
          </w:tcPr>
          <w:p w14:paraId="0EB4C851"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156,000 </w:t>
            </w:r>
          </w:p>
        </w:tc>
        <w:tc>
          <w:tcPr>
            <w:tcW w:w="826" w:type="dxa"/>
            <w:tcBorders>
              <w:top w:val="nil"/>
              <w:left w:val="nil"/>
              <w:bottom w:val="single" w:sz="4" w:space="0" w:color="000000"/>
              <w:right w:val="single" w:sz="4" w:space="0" w:color="000000"/>
            </w:tcBorders>
            <w:shd w:val="clear" w:color="auto" w:fill="auto"/>
            <w:noWrap/>
            <w:vAlign w:val="bottom"/>
            <w:hideMark/>
          </w:tcPr>
          <w:p w14:paraId="48757383"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157,000 </w:t>
            </w:r>
          </w:p>
        </w:tc>
        <w:tc>
          <w:tcPr>
            <w:tcW w:w="864" w:type="dxa"/>
            <w:tcBorders>
              <w:top w:val="nil"/>
              <w:left w:val="nil"/>
              <w:bottom w:val="single" w:sz="4" w:space="0" w:color="000000"/>
              <w:right w:val="single" w:sz="4" w:space="0" w:color="000000"/>
            </w:tcBorders>
            <w:shd w:val="clear" w:color="auto" w:fill="auto"/>
            <w:noWrap/>
            <w:vAlign w:val="bottom"/>
            <w:hideMark/>
          </w:tcPr>
          <w:p w14:paraId="5CDD493F"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147,000 </w:t>
            </w:r>
          </w:p>
        </w:tc>
        <w:tc>
          <w:tcPr>
            <w:tcW w:w="834" w:type="dxa"/>
            <w:tcBorders>
              <w:top w:val="nil"/>
              <w:left w:val="nil"/>
              <w:bottom w:val="single" w:sz="4" w:space="0" w:color="000000"/>
              <w:right w:val="single" w:sz="4" w:space="0" w:color="000000"/>
            </w:tcBorders>
            <w:shd w:val="clear" w:color="auto" w:fill="auto"/>
            <w:noWrap/>
            <w:vAlign w:val="bottom"/>
            <w:hideMark/>
          </w:tcPr>
          <w:p w14:paraId="304FDBDE"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127,000 </w:t>
            </w:r>
          </w:p>
        </w:tc>
        <w:tc>
          <w:tcPr>
            <w:tcW w:w="827" w:type="dxa"/>
            <w:tcBorders>
              <w:top w:val="nil"/>
              <w:left w:val="nil"/>
              <w:bottom w:val="single" w:sz="4" w:space="0" w:color="000000"/>
              <w:right w:val="single" w:sz="4" w:space="0" w:color="000000"/>
            </w:tcBorders>
            <w:shd w:val="clear" w:color="auto" w:fill="auto"/>
            <w:noWrap/>
            <w:vAlign w:val="bottom"/>
            <w:hideMark/>
          </w:tcPr>
          <w:p w14:paraId="02B28F4C"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109,000 </w:t>
            </w:r>
          </w:p>
        </w:tc>
        <w:tc>
          <w:tcPr>
            <w:tcW w:w="980" w:type="dxa"/>
            <w:tcBorders>
              <w:top w:val="nil"/>
              <w:left w:val="nil"/>
              <w:bottom w:val="single" w:sz="4" w:space="0" w:color="000000"/>
              <w:right w:val="nil"/>
            </w:tcBorders>
            <w:shd w:val="clear" w:color="auto" w:fill="auto"/>
            <w:noWrap/>
            <w:vAlign w:val="bottom"/>
            <w:hideMark/>
          </w:tcPr>
          <w:p w14:paraId="172FFA34"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696,000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269E5B16"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6788A205" w14:textId="77777777" w:rsidTr="007A7FA3">
        <w:trPr>
          <w:trHeight w:val="270"/>
        </w:trPr>
        <w:tc>
          <w:tcPr>
            <w:tcW w:w="1086" w:type="dxa"/>
            <w:vMerge/>
            <w:tcBorders>
              <w:top w:val="nil"/>
              <w:left w:val="single" w:sz="8" w:space="0" w:color="auto"/>
              <w:bottom w:val="nil"/>
              <w:right w:val="single" w:sz="4" w:space="0" w:color="000000"/>
            </w:tcBorders>
            <w:vAlign w:val="center"/>
            <w:hideMark/>
          </w:tcPr>
          <w:p w14:paraId="7260AB56"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019A06DF" w14:textId="77777777" w:rsidR="007A7FA3" w:rsidRPr="007A7FA3" w:rsidRDefault="007A7FA3" w:rsidP="007A7FA3">
            <w:pPr>
              <w:rPr>
                <w:rFonts w:ascii="Calibri" w:hAnsi="Calibri" w:cs="Calibri"/>
                <w:i/>
                <w:iCs/>
                <w:color w:val="000000"/>
                <w:sz w:val="13"/>
                <w:szCs w:val="13"/>
              </w:rPr>
            </w:pPr>
          </w:p>
        </w:tc>
        <w:tc>
          <w:tcPr>
            <w:tcW w:w="2016"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0D06399C"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2.1.3: Third-party sustainability and climate resilience certifications for fish and seafood products undertaken</w:t>
            </w:r>
          </w:p>
        </w:tc>
        <w:tc>
          <w:tcPr>
            <w:tcW w:w="631" w:type="dxa"/>
            <w:vMerge w:val="restart"/>
            <w:tcBorders>
              <w:top w:val="nil"/>
              <w:left w:val="nil"/>
              <w:bottom w:val="nil"/>
              <w:right w:val="nil"/>
            </w:tcBorders>
            <w:shd w:val="clear" w:color="auto" w:fill="auto"/>
            <w:vAlign w:val="center"/>
            <w:hideMark/>
          </w:tcPr>
          <w:p w14:paraId="42DCC9AC"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BCC</w:t>
            </w:r>
          </w:p>
        </w:tc>
        <w:tc>
          <w:tcPr>
            <w:tcW w:w="504" w:type="dxa"/>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2B31B313"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val="restart"/>
            <w:tcBorders>
              <w:top w:val="nil"/>
              <w:left w:val="single" w:sz="4" w:space="0" w:color="000000"/>
              <w:bottom w:val="nil"/>
              <w:right w:val="nil"/>
            </w:tcBorders>
            <w:shd w:val="clear" w:color="auto" w:fill="auto"/>
            <w:vAlign w:val="center"/>
            <w:hideMark/>
          </w:tcPr>
          <w:p w14:paraId="2CAFAB22"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w:t>
            </w:r>
          </w:p>
        </w:tc>
        <w:tc>
          <w:tcPr>
            <w:tcW w:w="544" w:type="dxa"/>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6A44F8E9"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71200</w:t>
            </w:r>
          </w:p>
        </w:tc>
        <w:tc>
          <w:tcPr>
            <w:tcW w:w="1580" w:type="dxa"/>
            <w:tcBorders>
              <w:top w:val="single" w:sz="8" w:space="0" w:color="000000"/>
              <w:left w:val="nil"/>
              <w:bottom w:val="single" w:sz="4" w:space="0" w:color="000000"/>
              <w:right w:val="single" w:sz="4" w:space="0" w:color="000000"/>
            </w:tcBorders>
            <w:shd w:val="clear" w:color="auto" w:fill="auto"/>
            <w:vAlign w:val="bottom"/>
            <w:hideMark/>
          </w:tcPr>
          <w:p w14:paraId="730E005F"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International Consultants</w:t>
            </w:r>
          </w:p>
        </w:tc>
        <w:tc>
          <w:tcPr>
            <w:tcW w:w="694" w:type="dxa"/>
            <w:tcBorders>
              <w:top w:val="single" w:sz="8" w:space="0" w:color="000000"/>
              <w:left w:val="nil"/>
              <w:bottom w:val="single" w:sz="4" w:space="0" w:color="000000"/>
              <w:right w:val="single" w:sz="4" w:space="0" w:color="000000"/>
            </w:tcBorders>
            <w:shd w:val="clear" w:color="auto" w:fill="auto"/>
            <w:noWrap/>
            <w:vAlign w:val="bottom"/>
            <w:hideMark/>
          </w:tcPr>
          <w:p w14:paraId="7B3134C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single" w:sz="8" w:space="0" w:color="000000"/>
              <w:left w:val="nil"/>
              <w:bottom w:val="single" w:sz="4" w:space="0" w:color="000000"/>
              <w:right w:val="single" w:sz="4" w:space="0" w:color="000000"/>
            </w:tcBorders>
            <w:shd w:val="clear" w:color="auto" w:fill="auto"/>
            <w:noWrap/>
            <w:vAlign w:val="bottom"/>
            <w:hideMark/>
          </w:tcPr>
          <w:p w14:paraId="29C257F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6" w:type="dxa"/>
            <w:tcBorders>
              <w:top w:val="single" w:sz="8" w:space="0" w:color="000000"/>
              <w:left w:val="nil"/>
              <w:bottom w:val="single" w:sz="4" w:space="0" w:color="000000"/>
              <w:right w:val="single" w:sz="4" w:space="0" w:color="000000"/>
            </w:tcBorders>
            <w:shd w:val="clear" w:color="auto" w:fill="auto"/>
            <w:noWrap/>
            <w:vAlign w:val="bottom"/>
            <w:hideMark/>
          </w:tcPr>
          <w:p w14:paraId="1FB45B1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64" w:type="dxa"/>
            <w:tcBorders>
              <w:top w:val="single" w:sz="8" w:space="0" w:color="000000"/>
              <w:left w:val="nil"/>
              <w:bottom w:val="single" w:sz="4" w:space="0" w:color="000000"/>
              <w:right w:val="single" w:sz="4" w:space="0" w:color="000000"/>
            </w:tcBorders>
            <w:shd w:val="clear" w:color="auto" w:fill="auto"/>
            <w:noWrap/>
            <w:vAlign w:val="bottom"/>
            <w:hideMark/>
          </w:tcPr>
          <w:p w14:paraId="6517777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32,000 </w:t>
            </w:r>
          </w:p>
        </w:tc>
        <w:tc>
          <w:tcPr>
            <w:tcW w:w="834" w:type="dxa"/>
            <w:tcBorders>
              <w:top w:val="single" w:sz="8" w:space="0" w:color="000000"/>
              <w:left w:val="nil"/>
              <w:bottom w:val="single" w:sz="4" w:space="0" w:color="000000"/>
              <w:right w:val="single" w:sz="4" w:space="0" w:color="000000"/>
            </w:tcBorders>
            <w:shd w:val="clear" w:color="auto" w:fill="auto"/>
            <w:noWrap/>
            <w:vAlign w:val="bottom"/>
            <w:hideMark/>
          </w:tcPr>
          <w:p w14:paraId="504E0E1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33,000 </w:t>
            </w:r>
          </w:p>
        </w:tc>
        <w:tc>
          <w:tcPr>
            <w:tcW w:w="827" w:type="dxa"/>
            <w:tcBorders>
              <w:top w:val="single" w:sz="8" w:space="0" w:color="000000"/>
              <w:left w:val="nil"/>
              <w:bottom w:val="single" w:sz="4" w:space="0" w:color="000000"/>
              <w:right w:val="single" w:sz="4" w:space="0" w:color="000000"/>
            </w:tcBorders>
            <w:shd w:val="clear" w:color="auto" w:fill="auto"/>
            <w:noWrap/>
            <w:vAlign w:val="bottom"/>
            <w:hideMark/>
          </w:tcPr>
          <w:p w14:paraId="5D7F01E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6C79300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65,000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00340AA2"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56</w:t>
            </w:r>
          </w:p>
        </w:tc>
      </w:tr>
      <w:tr w:rsidR="007A7FA3" w:rsidRPr="007A7FA3" w14:paraId="4A47D012" w14:textId="77777777" w:rsidTr="007A7FA3">
        <w:trPr>
          <w:trHeight w:val="255"/>
        </w:trPr>
        <w:tc>
          <w:tcPr>
            <w:tcW w:w="1086" w:type="dxa"/>
            <w:vMerge/>
            <w:tcBorders>
              <w:top w:val="nil"/>
              <w:left w:val="single" w:sz="8" w:space="0" w:color="auto"/>
              <w:bottom w:val="nil"/>
              <w:right w:val="single" w:sz="4" w:space="0" w:color="000000"/>
            </w:tcBorders>
            <w:vAlign w:val="center"/>
            <w:hideMark/>
          </w:tcPr>
          <w:p w14:paraId="7FBC8A5B"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7F14CCE6"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5C059FE5"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5ED3F645"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049BAC5B"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632FD920"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3DA99810"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71800</w:t>
            </w:r>
          </w:p>
        </w:tc>
        <w:tc>
          <w:tcPr>
            <w:tcW w:w="1580" w:type="dxa"/>
            <w:tcBorders>
              <w:top w:val="nil"/>
              <w:left w:val="nil"/>
              <w:bottom w:val="single" w:sz="4" w:space="0" w:color="000000"/>
              <w:right w:val="single" w:sz="4" w:space="0" w:color="000000"/>
            </w:tcBorders>
            <w:shd w:val="clear" w:color="auto" w:fill="auto"/>
            <w:vAlign w:val="bottom"/>
            <w:hideMark/>
          </w:tcPr>
          <w:p w14:paraId="2E3B65D2"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Contractual Services - Individuals</w:t>
            </w:r>
          </w:p>
        </w:tc>
        <w:tc>
          <w:tcPr>
            <w:tcW w:w="694" w:type="dxa"/>
            <w:tcBorders>
              <w:top w:val="nil"/>
              <w:left w:val="nil"/>
              <w:bottom w:val="single" w:sz="4" w:space="0" w:color="000000"/>
              <w:right w:val="single" w:sz="4" w:space="0" w:color="000000"/>
            </w:tcBorders>
            <w:shd w:val="clear" w:color="auto" w:fill="auto"/>
            <w:noWrap/>
            <w:vAlign w:val="bottom"/>
            <w:hideMark/>
          </w:tcPr>
          <w:p w14:paraId="37BDF21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nil"/>
              <w:left w:val="nil"/>
              <w:bottom w:val="single" w:sz="4" w:space="0" w:color="000000"/>
              <w:right w:val="single" w:sz="4" w:space="0" w:color="000000"/>
            </w:tcBorders>
            <w:shd w:val="clear" w:color="auto" w:fill="auto"/>
            <w:noWrap/>
            <w:vAlign w:val="bottom"/>
            <w:hideMark/>
          </w:tcPr>
          <w:p w14:paraId="0CFE580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6" w:type="dxa"/>
            <w:tcBorders>
              <w:top w:val="nil"/>
              <w:left w:val="nil"/>
              <w:bottom w:val="single" w:sz="4" w:space="0" w:color="000000"/>
              <w:right w:val="single" w:sz="4" w:space="0" w:color="000000"/>
            </w:tcBorders>
            <w:shd w:val="clear" w:color="auto" w:fill="auto"/>
            <w:noWrap/>
            <w:vAlign w:val="bottom"/>
            <w:hideMark/>
          </w:tcPr>
          <w:p w14:paraId="1483799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64" w:type="dxa"/>
            <w:tcBorders>
              <w:top w:val="nil"/>
              <w:left w:val="nil"/>
              <w:bottom w:val="single" w:sz="4" w:space="0" w:color="000000"/>
              <w:right w:val="single" w:sz="4" w:space="0" w:color="000000"/>
            </w:tcBorders>
            <w:shd w:val="clear" w:color="auto" w:fill="auto"/>
            <w:noWrap/>
            <w:vAlign w:val="bottom"/>
            <w:hideMark/>
          </w:tcPr>
          <w:p w14:paraId="12DCF53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40,000 </w:t>
            </w:r>
          </w:p>
        </w:tc>
        <w:tc>
          <w:tcPr>
            <w:tcW w:w="834" w:type="dxa"/>
            <w:tcBorders>
              <w:top w:val="nil"/>
              <w:left w:val="nil"/>
              <w:bottom w:val="single" w:sz="4" w:space="0" w:color="000000"/>
              <w:right w:val="single" w:sz="4" w:space="0" w:color="000000"/>
            </w:tcBorders>
            <w:shd w:val="clear" w:color="auto" w:fill="auto"/>
            <w:noWrap/>
            <w:vAlign w:val="bottom"/>
            <w:hideMark/>
          </w:tcPr>
          <w:p w14:paraId="41B82AE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47,000 </w:t>
            </w:r>
          </w:p>
        </w:tc>
        <w:tc>
          <w:tcPr>
            <w:tcW w:w="827" w:type="dxa"/>
            <w:tcBorders>
              <w:top w:val="nil"/>
              <w:left w:val="nil"/>
              <w:bottom w:val="single" w:sz="4" w:space="0" w:color="000000"/>
              <w:right w:val="single" w:sz="4" w:space="0" w:color="000000"/>
            </w:tcBorders>
            <w:shd w:val="clear" w:color="auto" w:fill="auto"/>
            <w:noWrap/>
            <w:vAlign w:val="bottom"/>
            <w:hideMark/>
          </w:tcPr>
          <w:p w14:paraId="5151C2C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48AAC36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87,000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5A174891"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57</w:t>
            </w:r>
          </w:p>
        </w:tc>
      </w:tr>
      <w:tr w:rsidR="007A7FA3" w:rsidRPr="007A7FA3" w14:paraId="286073BA" w14:textId="77777777" w:rsidTr="007A7FA3">
        <w:trPr>
          <w:trHeight w:val="270"/>
        </w:trPr>
        <w:tc>
          <w:tcPr>
            <w:tcW w:w="1086" w:type="dxa"/>
            <w:vMerge/>
            <w:tcBorders>
              <w:top w:val="nil"/>
              <w:left w:val="single" w:sz="8" w:space="0" w:color="auto"/>
              <w:bottom w:val="nil"/>
              <w:right w:val="single" w:sz="4" w:space="0" w:color="000000"/>
            </w:tcBorders>
            <w:vAlign w:val="center"/>
            <w:hideMark/>
          </w:tcPr>
          <w:p w14:paraId="400623DF"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469AF9FA"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4274CF1A"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1639E5C6"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4630A1CA"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52BB9973"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01FAAD2B"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71600</w:t>
            </w:r>
          </w:p>
        </w:tc>
        <w:tc>
          <w:tcPr>
            <w:tcW w:w="1580" w:type="dxa"/>
            <w:tcBorders>
              <w:top w:val="nil"/>
              <w:left w:val="nil"/>
              <w:bottom w:val="single" w:sz="4" w:space="0" w:color="000000"/>
              <w:right w:val="single" w:sz="4" w:space="0" w:color="000000"/>
            </w:tcBorders>
            <w:shd w:val="clear" w:color="auto" w:fill="auto"/>
            <w:vAlign w:val="bottom"/>
            <w:hideMark/>
          </w:tcPr>
          <w:p w14:paraId="08D1FCAD"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Travel</w:t>
            </w:r>
          </w:p>
        </w:tc>
        <w:tc>
          <w:tcPr>
            <w:tcW w:w="694" w:type="dxa"/>
            <w:tcBorders>
              <w:top w:val="nil"/>
              <w:left w:val="nil"/>
              <w:bottom w:val="single" w:sz="4" w:space="0" w:color="000000"/>
              <w:right w:val="single" w:sz="4" w:space="0" w:color="000000"/>
            </w:tcBorders>
            <w:shd w:val="clear" w:color="auto" w:fill="auto"/>
            <w:noWrap/>
            <w:vAlign w:val="bottom"/>
            <w:hideMark/>
          </w:tcPr>
          <w:p w14:paraId="7AD7393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nil"/>
              <w:left w:val="nil"/>
              <w:bottom w:val="single" w:sz="4" w:space="0" w:color="000000"/>
              <w:right w:val="single" w:sz="4" w:space="0" w:color="000000"/>
            </w:tcBorders>
            <w:shd w:val="clear" w:color="auto" w:fill="auto"/>
            <w:noWrap/>
            <w:vAlign w:val="bottom"/>
            <w:hideMark/>
          </w:tcPr>
          <w:p w14:paraId="2DBABE9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6" w:type="dxa"/>
            <w:tcBorders>
              <w:top w:val="nil"/>
              <w:left w:val="nil"/>
              <w:bottom w:val="single" w:sz="4" w:space="0" w:color="000000"/>
              <w:right w:val="single" w:sz="4" w:space="0" w:color="000000"/>
            </w:tcBorders>
            <w:shd w:val="clear" w:color="auto" w:fill="auto"/>
            <w:noWrap/>
            <w:vAlign w:val="bottom"/>
            <w:hideMark/>
          </w:tcPr>
          <w:p w14:paraId="702DE29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64" w:type="dxa"/>
            <w:tcBorders>
              <w:top w:val="nil"/>
              <w:left w:val="nil"/>
              <w:bottom w:val="single" w:sz="4" w:space="0" w:color="000000"/>
              <w:right w:val="single" w:sz="4" w:space="0" w:color="000000"/>
            </w:tcBorders>
            <w:shd w:val="clear" w:color="auto" w:fill="auto"/>
            <w:noWrap/>
            <w:vAlign w:val="bottom"/>
            <w:hideMark/>
          </w:tcPr>
          <w:p w14:paraId="2B5ACF3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25,000 </w:t>
            </w:r>
          </w:p>
        </w:tc>
        <w:tc>
          <w:tcPr>
            <w:tcW w:w="834" w:type="dxa"/>
            <w:tcBorders>
              <w:top w:val="nil"/>
              <w:left w:val="nil"/>
              <w:bottom w:val="single" w:sz="4" w:space="0" w:color="000000"/>
              <w:right w:val="single" w:sz="4" w:space="0" w:color="000000"/>
            </w:tcBorders>
            <w:shd w:val="clear" w:color="auto" w:fill="auto"/>
            <w:noWrap/>
            <w:vAlign w:val="bottom"/>
            <w:hideMark/>
          </w:tcPr>
          <w:p w14:paraId="55CC3D5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25,000 </w:t>
            </w:r>
          </w:p>
        </w:tc>
        <w:tc>
          <w:tcPr>
            <w:tcW w:w="827" w:type="dxa"/>
            <w:tcBorders>
              <w:top w:val="nil"/>
              <w:left w:val="nil"/>
              <w:bottom w:val="single" w:sz="4" w:space="0" w:color="000000"/>
              <w:right w:val="single" w:sz="4" w:space="0" w:color="000000"/>
            </w:tcBorders>
            <w:shd w:val="clear" w:color="auto" w:fill="auto"/>
            <w:noWrap/>
            <w:vAlign w:val="bottom"/>
            <w:hideMark/>
          </w:tcPr>
          <w:p w14:paraId="1759C33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69A3E16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4F0C5D34"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58</w:t>
            </w:r>
          </w:p>
        </w:tc>
      </w:tr>
      <w:tr w:rsidR="007A7FA3" w:rsidRPr="007A7FA3" w14:paraId="32BE624F" w14:textId="77777777" w:rsidTr="007A7FA3">
        <w:trPr>
          <w:trHeight w:val="240"/>
        </w:trPr>
        <w:tc>
          <w:tcPr>
            <w:tcW w:w="1086" w:type="dxa"/>
            <w:vMerge/>
            <w:tcBorders>
              <w:top w:val="nil"/>
              <w:left w:val="single" w:sz="8" w:space="0" w:color="auto"/>
              <w:bottom w:val="nil"/>
              <w:right w:val="single" w:sz="4" w:space="0" w:color="000000"/>
            </w:tcBorders>
            <w:vAlign w:val="center"/>
            <w:hideMark/>
          </w:tcPr>
          <w:p w14:paraId="17446643"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3613DAF4"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32C3887A"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12576EE3"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3F45C7A4"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7308BBDC"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311BEC98"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72100</w:t>
            </w:r>
          </w:p>
        </w:tc>
        <w:tc>
          <w:tcPr>
            <w:tcW w:w="1580" w:type="dxa"/>
            <w:tcBorders>
              <w:top w:val="nil"/>
              <w:left w:val="nil"/>
              <w:bottom w:val="single" w:sz="4" w:space="0" w:color="000000"/>
              <w:right w:val="single" w:sz="4" w:space="0" w:color="000000"/>
            </w:tcBorders>
            <w:shd w:val="clear" w:color="auto" w:fill="auto"/>
            <w:vAlign w:val="bottom"/>
            <w:hideMark/>
          </w:tcPr>
          <w:p w14:paraId="17505EDC"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Contractual Services - Companies</w:t>
            </w:r>
          </w:p>
        </w:tc>
        <w:tc>
          <w:tcPr>
            <w:tcW w:w="694" w:type="dxa"/>
            <w:tcBorders>
              <w:top w:val="nil"/>
              <w:left w:val="nil"/>
              <w:bottom w:val="single" w:sz="4" w:space="0" w:color="000000"/>
              <w:right w:val="single" w:sz="4" w:space="0" w:color="000000"/>
            </w:tcBorders>
            <w:shd w:val="clear" w:color="auto" w:fill="auto"/>
            <w:noWrap/>
            <w:vAlign w:val="bottom"/>
            <w:hideMark/>
          </w:tcPr>
          <w:p w14:paraId="0153D70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nil"/>
              <w:left w:val="nil"/>
              <w:bottom w:val="single" w:sz="4" w:space="0" w:color="000000"/>
              <w:right w:val="single" w:sz="4" w:space="0" w:color="000000"/>
            </w:tcBorders>
            <w:shd w:val="clear" w:color="auto" w:fill="auto"/>
            <w:noWrap/>
            <w:vAlign w:val="bottom"/>
            <w:hideMark/>
          </w:tcPr>
          <w:p w14:paraId="086C9E0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6" w:type="dxa"/>
            <w:tcBorders>
              <w:top w:val="nil"/>
              <w:left w:val="nil"/>
              <w:bottom w:val="single" w:sz="4" w:space="0" w:color="000000"/>
              <w:right w:val="single" w:sz="4" w:space="0" w:color="000000"/>
            </w:tcBorders>
            <w:shd w:val="clear" w:color="auto" w:fill="auto"/>
            <w:noWrap/>
            <w:vAlign w:val="bottom"/>
            <w:hideMark/>
          </w:tcPr>
          <w:p w14:paraId="49F749C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64" w:type="dxa"/>
            <w:tcBorders>
              <w:top w:val="nil"/>
              <w:left w:val="nil"/>
              <w:bottom w:val="single" w:sz="4" w:space="0" w:color="000000"/>
              <w:right w:val="single" w:sz="4" w:space="0" w:color="000000"/>
            </w:tcBorders>
            <w:shd w:val="clear" w:color="auto" w:fill="auto"/>
            <w:noWrap/>
            <w:vAlign w:val="bottom"/>
            <w:hideMark/>
          </w:tcPr>
          <w:p w14:paraId="2ED58D4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12,000 </w:t>
            </w:r>
          </w:p>
        </w:tc>
        <w:tc>
          <w:tcPr>
            <w:tcW w:w="834" w:type="dxa"/>
            <w:tcBorders>
              <w:top w:val="nil"/>
              <w:left w:val="nil"/>
              <w:bottom w:val="single" w:sz="4" w:space="0" w:color="000000"/>
              <w:right w:val="single" w:sz="4" w:space="0" w:color="000000"/>
            </w:tcBorders>
            <w:shd w:val="clear" w:color="auto" w:fill="auto"/>
            <w:noWrap/>
            <w:vAlign w:val="bottom"/>
            <w:hideMark/>
          </w:tcPr>
          <w:p w14:paraId="519AA1D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12,000 </w:t>
            </w:r>
          </w:p>
        </w:tc>
        <w:tc>
          <w:tcPr>
            <w:tcW w:w="827" w:type="dxa"/>
            <w:tcBorders>
              <w:top w:val="nil"/>
              <w:left w:val="nil"/>
              <w:bottom w:val="single" w:sz="4" w:space="0" w:color="000000"/>
              <w:right w:val="single" w:sz="4" w:space="0" w:color="000000"/>
            </w:tcBorders>
            <w:shd w:val="clear" w:color="auto" w:fill="auto"/>
            <w:noWrap/>
            <w:vAlign w:val="bottom"/>
            <w:hideMark/>
          </w:tcPr>
          <w:p w14:paraId="343F409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799CF2D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24,000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151DC940"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59</w:t>
            </w:r>
          </w:p>
        </w:tc>
      </w:tr>
      <w:tr w:rsidR="007A7FA3" w:rsidRPr="007A7FA3" w14:paraId="3EFDD50E" w14:textId="77777777" w:rsidTr="007A7FA3">
        <w:trPr>
          <w:trHeight w:val="240"/>
        </w:trPr>
        <w:tc>
          <w:tcPr>
            <w:tcW w:w="1086" w:type="dxa"/>
            <w:vMerge/>
            <w:tcBorders>
              <w:top w:val="nil"/>
              <w:left w:val="single" w:sz="8" w:space="0" w:color="auto"/>
              <w:bottom w:val="nil"/>
              <w:right w:val="single" w:sz="4" w:space="0" w:color="000000"/>
            </w:tcBorders>
            <w:vAlign w:val="center"/>
            <w:hideMark/>
          </w:tcPr>
          <w:p w14:paraId="4CCE442B"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201A0CCD"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2269CC85"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4FD7DF0F"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27952D00"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20EC17B8"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1C56A299"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72400</w:t>
            </w:r>
          </w:p>
        </w:tc>
        <w:tc>
          <w:tcPr>
            <w:tcW w:w="1580" w:type="dxa"/>
            <w:tcBorders>
              <w:top w:val="nil"/>
              <w:left w:val="nil"/>
              <w:bottom w:val="single" w:sz="4" w:space="0" w:color="000000"/>
              <w:right w:val="single" w:sz="4" w:space="0" w:color="000000"/>
            </w:tcBorders>
            <w:shd w:val="clear" w:color="auto" w:fill="auto"/>
            <w:vAlign w:val="bottom"/>
            <w:hideMark/>
          </w:tcPr>
          <w:p w14:paraId="42A87643"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Communic &amp; Audio Visual Equip</w:t>
            </w:r>
          </w:p>
        </w:tc>
        <w:tc>
          <w:tcPr>
            <w:tcW w:w="694" w:type="dxa"/>
            <w:tcBorders>
              <w:top w:val="nil"/>
              <w:left w:val="nil"/>
              <w:bottom w:val="single" w:sz="4" w:space="0" w:color="000000"/>
              <w:right w:val="single" w:sz="4" w:space="0" w:color="000000"/>
            </w:tcBorders>
            <w:shd w:val="clear" w:color="auto" w:fill="auto"/>
            <w:noWrap/>
            <w:vAlign w:val="bottom"/>
            <w:hideMark/>
          </w:tcPr>
          <w:p w14:paraId="53CDC86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nil"/>
              <w:left w:val="nil"/>
              <w:bottom w:val="single" w:sz="4" w:space="0" w:color="000000"/>
              <w:right w:val="single" w:sz="4" w:space="0" w:color="000000"/>
            </w:tcBorders>
            <w:shd w:val="clear" w:color="auto" w:fill="auto"/>
            <w:noWrap/>
            <w:vAlign w:val="bottom"/>
            <w:hideMark/>
          </w:tcPr>
          <w:p w14:paraId="188DC5A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6" w:type="dxa"/>
            <w:tcBorders>
              <w:top w:val="nil"/>
              <w:left w:val="nil"/>
              <w:bottom w:val="single" w:sz="4" w:space="0" w:color="000000"/>
              <w:right w:val="single" w:sz="4" w:space="0" w:color="000000"/>
            </w:tcBorders>
            <w:shd w:val="clear" w:color="auto" w:fill="auto"/>
            <w:noWrap/>
            <w:vAlign w:val="bottom"/>
            <w:hideMark/>
          </w:tcPr>
          <w:p w14:paraId="11E44DE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64" w:type="dxa"/>
            <w:tcBorders>
              <w:top w:val="nil"/>
              <w:left w:val="nil"/>
              <w:bottom w:val="single" w:sz="4" w:space="0" w:color="000000"/>
              <w:right w:val="single" w:sz="4" w:space="0" w:color="000000"/>
            </w:tcBorders>
            <w:shd w:val="clear" w:color="auto" w:fill="auto"/>
            <w:noWrap/>
            <w:vAlign w:val="bottom"/>
            <w:hideMark/>
          </w:tcPr>
          <w:p w14:paraId="7E8DF75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12,000 </w:t>
            </w:r>
          </w:p>
        </w:tc>
        <w:tc>
          <w:tcPr>
            <w:tcW w:w="834" w:type="dxa"/>
            <w:tcBorders>
              <w:top w:val="nil"/>
              <w:left w:val="nil"/>
              <w:bottom w:val="single" w:sz="4" w:space="0" w:color="000000"/>
              <w:right w:val="single" w:sz="4" w:space="0" w:color="000000"/>
            </w:tcBorders>
            <w:shd w:val="clear" w:color="auto" w:fill="auto"/>
            <w:noWrap/>
            <w:vAlign w:val="bottom"/>
            <w:hideMark/>
          </w:tcPr>
          <w:p w14:paraId="27562BE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12,000 </w:t>
            </w:r>
          </w:p>
        </w:tc>
        <w:tc>
          <w:tcPr>
            <w:tcW w:w="827" w:type="dxa"/>
            <w:tcBorders>
              <w:top w:val="nil"/>
              <w:left w:val="nil"/>
              <w:bottom w:val="single" w:sz="4" w:space="0" w:color="000000"/>
              <w:right w:val="single" w:sz="4" w:space="0" w:color="000000"/>
            </w:tcBorders>
            <w:shd w:val="clear" w:color="auto" w:fill="auto"/>
            <w:noWrap/>
            <w:vAlign w:val="bottom"/>
            <w:hideMark/>
          </w:tcPr>
          <w:p w14:paraId="2FDE32F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7A566B4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24,000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605F3194"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60</w:t>
            </w:r>
          </w:p>
        </w:tc>
      </w:tr>
      <w:tr w:rsidR="007A7FA3" w:rsidRPr="007A7FA3" w14:paraId="302718F8" w14:textId="77777777" w:rsidTr="007A7FA3">
        <w:trPr>
          <w:trHeight w:val="240"/>
        </w:trPr>
        <w:tc>
          <w:tcPr>
            <w:tcW w:w="1086" w:type="dxa"/>
            <w:vMerge/>
            <w:tcBorders>
              <w:top w:val="nil"/>
              <w:left w:val="single" w:sz="8" w:space="0" w:color="auto"/>
              <w:bottom w:val="nil"/>
              <w:right w:val="single" w:sz="4" w:space="0" w:color="000000"/>
            </w:tcBorders>
            <w:vAlign w:val="center"/>
            <w:hideMark/>
          </w:tcPr>
          <w:p w14:paraId="2AE34F35"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6D6264EA"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72C65BD7" w14:textId="77777777" w:rsidR="007A7FA3" w:rsidRPr="007A7FA3" w:rsidRDefault="007A7FA3" w:rsidP="007A7FA3">
            <w:pPr>
              <w:rPr>
                <w:rFonts w:ascii="Calibri" w:hAnsi="Calibri" w:cs="Calibri"/>
                <w:i/>
                <w:iCs/>
                <w:color w:val="000000"/>
                <w:sz w:val="13"/>
                <w:szCs w:val="13"/>
              </w:rPr>
            </w:pPr>
          </w:p>
        </w:tc>
        <w:tc>
          <w:tcPr>
            <w:tcW w:w="3763" w:type="dxa"/>
            <w:gridSpan w:val="5"/>
            <w:tcBorders>
              <w:top w:val="single" w:sz="4" w:space="0" w:color="000000"/>
              <w:left w:val="nil"/>
              <w:bottom w:val="single" w:sz="4" w:space="0" w:color="000000"/>
              <w:right w:val="single" w:sz="4" w:space="0" w:color="000000"/>
            </w:tcBorders>
            <w:shd w:val="clear" w:color="auto" w:fill="auto"/>
            <w:vAlign w:val="center"/>
            <w:hideMark/>
          </w:tcPr>
          <w:p w14:paraId="3EBE4A9B"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Total BCC</w:t>
            </w:r>
          </w:p>
        </w:tc>
        <w:tc>
          <w:tcPr>
            <w:tcW w:w="694" w:type="dxa"/>
            <w:tcBorders>
              <w:top w:val="nil"/>
              <w:left w:val="nil"/>
              <w:bottom w:val="single" w:sz="4" w:space="0" w:color="000000"/>
              <w:right w:val="single" w:sz="4" w:space="0" w:color="000000"/>
            </w:tcBorders>
            <w:shd w:val="clear" w:color="auto" w:fill="auto"/>
            <w:noWrap/>
            <w:vAlign w:val="bottom"/>
            <w:hideMark/>
          </w:tcPr>
          <w:p w14:paraId="2540EDC2"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05" w:type="dxa"/>
            <w:tcBorders>
              <w:top w:val="nil"/>
              <w:left w:val="nil"/>
              <w:bottom w:val="single" w:sz="4" w:space="0" w:color="000000"/>
              <w:right w:val="single" w:sz="4" w:space="0" w:color="000000"/>
            </w:tcBorders>
            <w:shd w:val="clear" w:color="auto" w:fill="auto"/>
            <w:noWrap/>
            <w:vAlign w:val="bottom"/>
            <w:hideMark/>
          </w:tcPr>
          <w:p w14:paraId="46EDEFF6"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26" w:type="dxa"/>
            <w:tcBorders>
              <w:top w:val="nil"/>
              <w:left w:val="nil"/>
              <w:bottom w:val="single" w:sz="4" w:space="0" w:color="000000"/>
              <w:right w:val="single" w:sz="4" w:space="0" w:color="000000"/>
            </w:tcBorders>
            <w:shd w:val="clear" w:color="auto" w:fill="auto"/>
            <w:noWrap/>
            <w:vAlign w:val="bottom"/>
            <w:hideMark/>
          </w:tcPr>
          <w:p w14:paraId="311B8AF5"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64" w:type="dxa"/>
            <w:tcBorders>
              <w:top w:val="nil"/>
              <w:left w:val="nil"/>
              <w:bottom w:val="single" w:sz="4" w:space="0" w:color="000000"/>
              <w:right w:val="single" w:sz="4" w:space="0" w:color="000000"/>
            </w:tcBorders>
            <w:shd w:val="clear" w:color="auto" w:fill="auto"/>
            <w:noWrap/>
            <w:vAlign w:val="bottom"/>
            <w:hideMark/>
          </w:tcPr>
          <w:p w14:paraId="08AEA3A3"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121,000 </w:t>
            </w:r>
          </w:p>
        </w:tc>
        <w:tc>
          <w:tcPr>
            <w:tcW w:w="834" w:type="dxa"/>
            <w:tcBorders>
              <w:top w:val="nil"/>
              <w:left w:val="nil"/>
              <w:bottom w:val="single" w:sz="4" w:space="0" w:color="000000"/>
              <w:right w:val="single" w:sz="4" w:space="0" w:color="000000"/>
            </w:tcBorders>
            <w:shd w:val="clear" w:color="auto" w:fill="auto"/>
            <w:noWrap/>
            <w:vAlign w:val="bottom"/>
            <w:hideMark/>
          </w:tcPr>
          <w:p w14:paraId="2EC85465"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129,000 </w:t>
            </w:r>
          </w:p>
        </w:tc>
        <w:tc>
          <w:tcPr>
            <w:tcW w:w="827" w:type="dxa"/>
            <w:tcBorders>
              <w:top w:val="nil"/>
              <w:left w:val="nil"/>
              <w:bottom w:val="single" w:sz="4" w:space="0" w:color="000000"/>
              <w:right w:val="single" w:sz="4" w:space="0" w:color="000000"/>
            </w:tcBorders>
            <w:shd w:val="clear" w:color="auto" w:fill="auto"/>
            <w:noWrap/>
            <w:vAlign w:val="bottom"/>
            <w:hideMark/>
          </w:tcPr>
          <w:p w14:paraId="565A78A9"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980" w:type="dxa"/>
            <w:tcBorders>
              <w:top w:val="single" w:sz="8" w:space="0" w:color="000000"/>
              <w:left w:val="nil"/>
              <w:bottom w:val="single" w:sz="4" w:space="0" w:color="000000"/>
              <w:right w:val="nil"/>
            </w:tcBorders>
            <w:shd w:val="clear" w:color="auto" w:fill="auto"/>
            <w:noWrap/>
            <w:vAlign w:val="bottom"/>
            <w:hideMark/>
          </w:tcPr>
          <w:p w14:paraId="67D3E0A8"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250,000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465E7123"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5CFE86D9" w14:textId="77777777" w:rsidTr="007A7FA3">
        <w:trPr>
          <w:trHeight w:val="255"/>
        </w:trPr>
        <w:tc>
          <w:tcPr>
            <w:tcW w:w="1086" w:type="dxa"/>
            <w:vMerge/>
            <w:tcBorders>
              <w:top w:val="nil"/>
              <w:left w:val="single" w:sz="8" w:space="0" w:color="auto"/>
              <w:bottom w:val="nil"/>
              <w:right w:val="single" w:sz="4" w:space="0" w:color="000000"/>
            </w:tcBorders>
            <w:vAlign w:val="center"/>
            <w:hideMark/>
          </w:tcPr>
          <w:p w14:paraId="66F59FFC"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780761BB" w14:textId="77777777" w:rsidR="007A7FA3" w:rsidRPr="007A7FA3" w:rsidRDefault="007A7FA3" w:rsidP="007A7FA3">
            <w:pPr>
              <w:rPr>
                <w:rFonts w:ascii="Calibri" w:hAnsi="Calibri" w:cs="Calibri"/>
                <w:i/>
                <w:iCs/>
                <w:color w:val="000000"/>
                <w:sz w:val="13"/>
                <w:szCs w:val="13"/>
              </w:rPr>
            </w:pPr>
          </w:p>
        </w:tc>
        <w:tc>
          <w:tcPr>
            <w:tcW w:w="5779" w:type="dxa"/>
            <w:gridSpan w:val="6"/>
            <w:tcBorders>
              <w:top w:val="nil"/>
              <w:left w:val="nil"/>
              <w:bottom w:val="single" w:sz="4" w:space="0" w:color="000000"/>
              <w:right w:val="single" w:sz="4" w:space="0" w:color="000000"/>
            </w:tcBorders>
            <w:shd w:val="clear" w:color="auto" w:fill="auto"/>
            <w:vAlign w:val="center"/>
            <w:hideMark/>
          </w:tcPr>
          <w:p w14:paraId="4E3D454F" w14:textId="77777777" w:rsidR="007A7FA3" w:rsidRPr="007A7FA3" w:rsidRDefault="007A7FA3" w:rsidP="007A7FA3">
            <w:pPr>
              <w:rPr>
                <w:rFonts w:ascii="Calibri" w:hAnsi="Calibri" w:cs="Calibri"/>
                <w:b/>
                <w:bCs/>
                <w:i/>
                <w:iCs/>
                <w:color w:val="000000"/>
                <w:sz w:val="13"/>
                <w:szCs w:val="13"/>
              </w:rPr>
            </w:pPr>
            <w:r w:rsidRPr="007A7FA3">
              <w:rPr>
                <w:rFonts w:ascii="Calibri" w:hAnsi="Calibri" w:cs="Calibri"/>
                <w:b/>
                <w:bCs/>
                <w:i/>
                <w:iCs/>
                <w:color w:val="000000"/>
                <w:sz w:val="13"/>
                <w:szCs w:val="13"/>
              </w:rPr>
              <w:t>Total Output 2.1.3</w:t>
            </w:r>
          </w:p>
        </w:tc>
        <w:tc>
          <w:tcPr>
            <w:tcW w:w="694" w:type="dxa"/>
            <w:tcBorders>
              <w:top w:val="nil"/>
              <w:left w:val="nil"/>
              <w:bottom w:val="single" w:sz="4" w:space="0" w:color="000000"/>
              <w:right w:val="single" w:sz="4" w:space="0" w:color="000000"/>
            </w:tcBorders>
            <w:shd w:val="clear" w:color="auto" w:fill="auto"/>
            <w:noWrap/>
            <w:vAlign w:val="bottom"/>
            <w:hideMark/>
          </w:tcPr>
          <w:p w14:paraId="1F98C3A3"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05" w:type="dxa"/>
            <w:tcBorders>
              <w:top w:val="nil"/>
              <w:left w:val="nil"/>
              <w:bottom w:val="single" w:sz="4" w:space="0" w:color="000000"/>
              <w:right w:val="single" w:sz="4" w:space="0" w:color="000000"/>
            </w:tcBorders>
            <w:shd w:val="clear" w:color="auto" w:fill="auto"/>
            <w:noWrap/>
            <w:vAlign w:val="bottom"/>
            <w:hideMark/>
          </w:tcPr>
          <w:p w14:paraId="4296192F"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26" w:type="dxa"/>
            <w:tcBorders>
              <w:top w:val="nil"/>
              <w:left w:val="nil"/>
              <w:bottom w:val="single" w:sz="4" w:space="0" w:color="000000"/>
              <w:right w:val="single" w:sz="4" w:space="0" w:color="000000"/>
            </w:tcBorders>
            <w:shd w:val="clear" w:color="auto" w:fill="auto"/>
            <w:noWrap/>
            <w:vAlign w:val="bottom"/>
            <w:hideMark/>
          </w:tcPr>
          <w:p w14:paraId="1350F92B"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64" w:type="dxa"/>
            <w:tcBorders>
              <w:top w:val="nil"/>
              <w:left w:val="nil"/>
              <w:bottom w:val="single" w:sz="4" w:space="0" w:color="000000"/>
              <w:right w:val="single" w:sz="4" w:space="0" w:color="000000"/>
            </w:tcBorders>
            <w:shd w:val="clear" w:color="auto" w:fill="auto"/>
            <w:noWrap/>
            <w:vAlign w:val="bottom"/>
            <w:hideMark/>
          </w:tcPr>
          <w:p w14:paraId="247398FA"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121,000 </w:t>
            </w:r>
          </w:p>
        </w:tc>
        <w:tc>
          <w:tcPr>
            <w:tcW w:w="834" w:type="dxa"/>
            <w:tcBorders>
              <w:top w:val="nil"/>
              <w:left w:val="nil"/>
              <w:bottom w:val="single" w:sz="4" w:space="0" w:color="000000"/>
              <w:right w:val="single" w:sz="4" w:space="0" w:color="000000"/>
            </w:tcBorders>
            <w:shd w:val="clear" w:color="auto" w:fill="auto"/>
            <w:noWrap/>
            <w:vAlign w:val="bottom"/>
            <w:hideMark/>
          </w:tcPr>
          <w:p w14:paraId="01C064B3"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129,000 </w:t>
            </w:r>
          </w:p>
        </w:tc>
        <w:tc>
          <w:tcPr>
            <w:tcW w:w="827" w:type="dxa"/>
            <w:tcBorders>
              <w:top w:val="nil"/>
              <w:left w:val="nil"/>
              <w:bottom w:val="single" w:sz="4" w:space="0" w:color="000000"/>
              <w:right w:val="single" w:sz="4" w:space="0" w:color="000000"/>
            </w:tcBorders>
            <w:shd w:val="clear" w:color="auto" w:fill="auto"/>
            <w:noWrap/>
            <w:vAlign w:val="bottom"/>
            <w:hideMark/>
          </w:tcPr>
          <w:p w14:paraId="4CE3CB24"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980" w:type="dxa"/>
            <w:tcBorders>
              <w:top w:val="nil"/>
              <w:left w:val="nil"/>
              <w:bottom w:val="single" w:sz="4" w:space="0" w:color="000000"/>
              <w:right w:val="nil"/>
            </w:tcBorders>
            <w:shd w:val="clear" w:color="auto" w:fill="auto"/>
            <w:noWrap/>
            <w:vAlign w:val="bottom"/>
            <w:hideMark/>
          </w:tcPr>
          <w:p w14:paraId="59F5130C"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250,000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29E8A494"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40AEB8A7" w14:textId="77777777" w:rsidTr="007A7FA3">
        <w:trPr>
          <w:trHeight w:val="240"/>
        </w:trPr>
        <w:tc>
          <w:tcPr>
            <w:tcW w:w="1086" w:type="dxa"/>
            <w:vMerge/>
            <w:tcBorders>
              <w:top w:val="nil"/>
              <w:left w:val="single" w:sz="8" w:space="0" w:color="auto"/>
              <w:bottom w:val="nil"/>
              <w:right w:val="single" w:sz="4" w:space="0" w:color="000000"/>
            </w:tcBorders>
            <w:vAlign w:val="center"/>
            <w:hideMark/>
          </w:tcPr>
          <w:p w14:paraId="2B881ECE" w14:textId="77777777" w:rsidR="007A7FA3" w:rsidRPr="007A7FA3" w:rsidRDefault="007A7FA3" w:rsidP="007A7FA3">
            <w:pPr>
              <w:rPr>
                <w:rFonts w:ascii="Calibri" w:hAnsi="Calibri" w:cs="Calibri"/>
                <w:i/>
                <w:iCs/>
                <w:color w:val="000000"/>
                <w:sz w:val="13"/>
                <w:szCs w:val="13"/>
              </w:rPr>
            </w:pPr>
          </w:p>
        </w:tc>
        <w:tc>
          <w:tcPr>
            <w:tcW w:w="6650" w:type="dxa"/>
            <w:gridSpan w:val="7"/>
            <w:tcBorders>
              <w:top w:val="single" w:sz="4" w:space="0" w:color="000000"/>
              <w:left w:val="nil"/>
              <w:bottom w:val="single" w:sz="4" w:space="0" w:color="000000"/>
              <w:right w:val="single" w:sz="4" w:space="0" w:color="000000"/>
            </w:tcBorders>
            <w:shd w:val="clear" w:color="FEF2CB" w:fill="FEF2CB"/>
            <w:vAlign w:val="center"/>
            <w:hideMark/>
          </w:tcPr>
          <w:p w14:paraId="201294DD" w14:textId="77777777" w:rsidR="007A7FA3" w:rsidRPr="007A7FA3" w:rsidRDefault="007A7FA3" w:rsidP="007A7FA3">
            <w:pPr>
              <w:rPr>
                <w:rFonts w:ascii="Calibri" w:hAnsi="Calibri" w:cs="Calibri"/>
                <w:b/>
                <w:bCs/>
                <w:i/>
                <w:iCs/>
                <w:color w:val="000000"/>
                <w:sz w:val="13"/>
                <w:szCs w:val="13"/>
              </w:rPr>
            </w:pPr>
            <w:r w:rsidRPr="007A7FA3">
              <w:rPr>
                <w:rFonts w:ascii="Calibri" w:hAnsi="Calibri" w:cs="Calibri"/>
                <w:b/>
                <w:bCs/>
                <w:i/>
                <w:iCs/>
                <w:color w:val="000000"/>
                <w:sz w:val="13"/>
                <w:szCs w:val="13"/>
              </w:rPr>
              <w:t>Total Outcome 2.1</w:t>
            </w:r>
          </w:p>
        </w:tc>
        <w:tc>
          <w:tcPr>
            <w:tcW w:w="694" w:type="dxa"/>
            <w:tcBorders>
              <w:top w:val="nil"/>
              <w:left w:val="nil"/>
              <w:bottom w:val="single" w:sz="4" w:space="0" w:color="000000"/>
              <w:right w:val="single" w:sz="4" w:space="0" w:color="000000"/>
            </w:tcBorders>
            <w:shd w:val="clear" w:color="FEF2CB" w:fill="FEF2CB"/>
            <w:noWrap/>
            <w:vAlign w:val="bottom"/>
            <w:hideMark/>
          </w:tcPr>
          <w:p w14:paraId="03E59577"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69,000 </w:t>
            </w:r>
          </w:p>
        </w:tc>
        <w:tc>
          <w:tcPr>
            <w:tcW w:w="805" w:type="dxa"/>
            <w:tcBorders>
              <w:top w:val="nil"/>
              <w:left w:val="nil"/>
              <w:bottom w:val="single" w:sz="4" w:space="0" w:color="000000"/>
              <w:right w:val="single" w:sz="4" w:space="0" w:color="000000"/>
            </w:tcBorders>
            <w:shd w:val="clear" w:color="FEF2CB" w:fill="FEF2CB"/>
            <w:noWrap/>
            <w:vAlign w:val="bottom"/>
            <w:hideMark/>
          </w:tcPr>
          <w:p w14:paraId="19A3AC08"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233,000 </w:t>
            </w:r>
          </w:p>
        </w:tc>
        <w:tc>
          <w:tcPr>
            <w:tcW w:w="826" w:type="dxa"/>
            <w:tcBorders>
              <w:top w:val="nil"/>
              <w:left w:val="nil"/>
              <w:bottom w:val="single" w:sz="4" w:space="0" w:color="000000"/>
              <w:right w:val="single" w:sz="4" w:space="0" w:color="000000"/>
            </w:tcBorders>
            <w:shd w:val="clear" w:color="FEF2CB" w:fill="FEF2CB"/>
            <w:noWrap/>
            <w:vAlign w:val="bottom"/>
            <w:hideMark/>
          </w:tcPr>
          <w:p w14:paraId="370B726B"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235,000 </w:t>
            </w:r>
          </w:p>
        </w:tc>
        <w:tc>
          <w:tcPr>
            <w:tcW w:w="864" w:type="dxa"/>
            <w:tcBorders>
              <w:top w:val="nil"/>
              <w:left w:val="nil"/>
              <w:bottom w:val="single" w:sz="4" w:space="0" w:color="000000"/>
              <w:right w:val="single" w:sz="4" w:space="0" w:color="000000"/>
            </w:tcBorders>
            <w:shd w:val="clear" w:color="FEF2CB" w:fill="FEF2CB"/>
            <w:noWrap/>
            <w:vAlign w:val="bottom"/>
            <w:hideMark/>
          </w:tcPr>
          <w:p w14:paraId="4D313F99"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344,000 </w:t>
            </w:r>
          </w:p>
        </w:tc>
        <w:tc>
          <w:tcPr>
            <w:tcW w:w="834" w:type="dxa"/>
            <w:tcBorders>
              <w:top w:val="nil"/>
              <w:left w:val="nil"/>
              <w:bottom w:val="single" w:sz="4" w:space="0" w:color="000000"/>
              <w:right w:val="single" w:sz="4" w:space="0" w:color="000000"/>
            </w:tcBorders>
            <w:shd w:val="clear" w:color="FEF2CB" w:fill="FEF2CB"/>
            <w:noWrap/>
            <w:vAlign w:val="bottom"/>
            <w:hideMark/>
          </w:tcPr>
          <w:p w14:paraId="7561AA6B"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256,000 </w:t>
            </w:r>
          </w:p>
        </w:tc>
        <w:tc>
          <w:tcPr>
            <w:tcW w:w="827" w:type="dxa"/>
            <w:tcBorders>
              <w:top w:val="nil"/>
              <w:left w:val="nil"/>
              <w:bottom w:val="single" w:sz="4" w:space="0" w:color="000000"/>
              <w:right w:val="single" w:sz="4" w:space="0" w:color="000000"/>
            </w:tcBorders>
            <w:shd w:val="clear" w:color="FEF2CB" w:fill="FEF2CB"/>
            <w:noWrap/>
            <w:vAlign w:val="bottom"/>
            <w:hideMark/>
          </w:tcPr>
          <w:p w14:paraId="3ED3C2E8"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109,000 </w:t>
            </w:r>
          </w:p>
        </w:tc>
        <w:tc>
          <w:tcPr>
            <w:tcW w:w="980" w:type="dxa"/>
            <w:tcBorders>
              <w:top w:val="nil"/>
              <w:left w:val="nil"/>
              <w:bottom w:val="single" w:sz="4" w:space="0" w:color="000000"/>
              <w:right w:val="nil"/>
            </w:tcBorders>
            <w:shd w:val="clear" w:color="FEF2CB" w:fill="FEF2CB"/>
            <w:noWrap/>
            <w:vAlign w:val="bottom"/>
            <w:hideMark/>
          </w:tcPr>
          <w:p w14:paraId="5CE917D2"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1,246,000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7543AF73"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5BCD4CB8" w14:textId="77777777" w:rsidTr="007A7FA3">
        <w:trPr>
          <w:trHeight w:val="300"/>
        </w:trPr>
        <w:tc>
          <w:tcPr>
            <w:tcW w:w="1086" w:type="dxa"/>
            <w:vMerge/>
            <w:tcBorders>
              <w:top w:val="nil"/>
              <w:left w:val="single" w:sz="8" w:space="0" w:color="auto"/>
              <w:bottom w:val="nil"/>
              <w:right w:val="single" w:sz="4" w:space="0" w:color="000000"/>
            </w:tcBorders>
            <w:vAlign w:val="center"/>
            <w:hideMark/>
          </w:tcPr>
          <w:p w14:paraId="09EEAB79" w14:textId="77777777" w:rsidR="007A7FA3" w:rsidRPr="007A7FA3" w:rsidRDefault="007A7FA3" w:rsidP="007A7FA3">
            <w:pPr>
              <w:rPr>
                <w:rFonts w:ascii="Calibri" w:hAnsi="Calibri" w:cs="Calibri"/>
                <w:i/>
                <w:iCs/>
                <w:color w:val="000000"/>
                <w:sz w:val="13"/>
                <w:szCs w:val="13"/>
              </w:rPr>
            </w:pPr>
          </w:p>
        </w:tc>
        <w:tc>
          <w:tcPr>
            <w:tcW w:w="871"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2434FB67"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 xml:space="preserve">2.2: Market growth and </w:t>
            </w:r>
            <w:r w:rsidRPr="007A7FA3">
              <w:rPr>
                <w:rFonts w:ascii="Calibri" w:hAnsi="Calibri" w:cs="Calibri"/>
                <w:i/>
                <w:iCs/>
                <w:color w:val="000000"/>
                <w:sz w:val="13"/>
                <w:szCs w:val="13"/>
              </w:rPr>
              <w:lastRenderedPageBreak/>
              <w:t>diversification for BCLME sustainable and climate resilient marine commodities in domestic and international markets and improved socio-economic conditions of fishing communities</w:t>
            </w:r>
          </w:p>
        </w:tc>
        <w:tc>
          <w:tcPr>
            <w:tcW w:w="2016" w:type="dxa"/>
            <w:vMerge w:val="restart"/>
            <w:tcBorders>
              <w:top w:val="nil"/>
              <w:left w:val="nil"/>
              <w:bottom w:val="single" w:sz="4" w:space="0" w:color="000000"/>
              <w:right w:val="single" w:sz="4" w:space="0" w:color="000000"/>
            </w:tcBorders>
            <w:shd w:val="clear" w:color="auto" w:fill="auto"/>
            <w:vAlign w:val="center"/>
            <w:hideMark/>
          </w:tcPr>
          <w:p w14:paraId="1F9D6BF9"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lastRenderedPageBreak/>
              <w:t xml:space="preserve">2.2.1: Fish, seafood and mariculture market research and </w:t>
            </w:r>
            <w:r w:rsidRPr="007A7FA3">
              <w:rPr>
                <w:rFonts w:ascii="Calibri" w:hAnsi="Calibri" w:cs="Calibri"/>
                <w:i/>
                <w:iCs/>
                <w:color w:val="000000"/>
                <w:sz w:val="13"/>
                <w:szCs w:val="13"/>
              </w:rPr>
              <w:lastRenderedPageBreak/>
              <w:t>analysis that takes into consideration climate change impacts developed at national and regional levels</w:t>
            </w:r>
          </w:p>
        </w:tc>
        <w:tc>
          <w:tcPr>
            <w:tcW w:w="631" w:type="dxa"/>
            <w:vMerge w:val="restart"/>
            <w:tcBorders>
              <w:top w:val="nil"/>
              <w:left w:val="nil"/>
              <w:bottom w:val="nil"/>
              <w:right w:val="nil"/>
            </w:tcBorders>
            <w:shd w:val="clear" w:color="auto" w:fill="auto"/>
            <w:vAlign w:val="center"/>
            <w:hideMark/>
          </w:tcPr>
          <w:p w14:paraId="7543E2DB"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lastRenderedPageBreak/>
              <w:t>BCC</w:t>
            </w:r>
          </w:p>
        </w:tc>
        <w:tc>
          <w:tcPr>
            <w:tcW w:w="504" w:type="dxa"/>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4862DCA0"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val="restart"/>
            <w:tcBorders>
              <w:top w:val="nil"/>
              <w:left w:val="single" w:sz="4" w:space="0" w:color="000000"/>
              <w:bottom w:val="nil"/>
              <w:right w:val="nil"/>
            </w:tcBorders>
            <w:shd w:val="clear" w:color="auto" w:fill="auto"/>
            <w:vAlign w:val="center"/>
            <w:hideMark/>
          </w:tcPr>
          <w:p w14:paraId="13B6C3B7"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w:t>
            </w:r>
          </w:p>
        </w:tc>
        <w:tc>
          <w:tcPr>
            <w:tcW w:w="544" w:type="dxa"/>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657EF1EF"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71200</w:t>
            </w:r>
          </w:p>
        </w:tc>
        <w:tc>
          <w:tcPr>
            <w:tcW w:w="1580" w:type="dxa"/>
            <w:tcBorders>
              <w:top w:val="single" w:sz="8" w:space="0" w:color="000000"/>
              <w:left w:val="nil"/>
              <w:bottom w:val="single" w:sz="4" w:space="0" w:color="000000"/>
              <w:right w:val="single" w:sz="4" w:space="0" w:color="000000"/>
            </w:tcBorders>
            <w:shd w:val="clear" w:color="auto" w:fill="auto"/>
            <w:vAlign w:val="bottom"/>
            <w:hideMark/>
          </w:tcPr>
          <w:p w14:paraId="52144F57"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International Consultants</w:t>
            </w:r>
          </w:p>
        </w:tc>
        <w:tc>
          <w:tcPr>
            <w:tcW w:w="694" w:type="dxa"/>
            <w:tcBorders>
              <w:top w:val="single" w:sz="8" w:space="0" w:color="000000"/>
              <w:left w:val="nil"/>
              <w:bottom w:val="single" w:sz="4" w:space="0" w:color="000000"/>
              <w:right w:val="single" w:sz="4" w:space="0" w:color="000000"/>
            </w:tcBorders>
            <w:shd w:val="clear" w:color="auto" w:fill="auto"/>
            <w:noWrap/>
            <w:vAlign w:val="bottom"/>
            <w:hideMark/>
          </w:tcPr>
          <w:p w14:paraId="70349D8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05" w:type="dxa"/>
            <w:tcBorders>
              <w:top w:val="single" w:sz="8" w:space="0" w:color="000000"/>
              <w:left w:val="nil"/>
              <w:bottom w:val="single" w:sz="4" w:space="0" w:color="000000"/>
              <w:right w:val="single" w:sz="4" w:space="0" w:color="000000"/>
            </w:tcBorders>
            <w:shd w:val="clear" w:color="auto" w:fill="auto"/>
            <w:noWrap/>
            <w:vAlign w:val="bottom"/>
            <w:hideMark/>
          </w:tcPr>
          <w:p w14:paraId="2D8D78C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22,000 </w:t>
            </w:r>
          </w:p>
        </w:tc>
        <w:tc>
          <w:tcPr>
            <w:tcW w:w="826" w:type="dxa"/>
            <w:tcBorders>
              <w:top w:val="single" w:sz="8" w:space="0" w:color="000000"/>
              <w:left w:val="nil"/>
              <w:bottom w:val="single" w:sz="4" w:space="0" w:color="000000"/>
              <w:right w:val="single" w:sz="4" w:space="0" w:color="000000"/>
            </w:tcBorders>
            <w:shd w:val="clear" w:color="auto" w:fill="auto"/>
            <w:noWrap/>
            <w:vAlign w:val="bottom"/>
            <w:hideMark/>
          </w:tcPr>
          <w:p w14:paraId="2760221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20,000 </w:t>
            </w:r>
          </w:p>
        </w:tc>
        <w:tc>
          <w:tcPr>
            <w:tcW w:w="864" w:type="dxa"/>
            <w:tcBorders>
              <w:top w:val="single" w:sz="8" w:space="0" w:color="000000"/>
              <w:left w:val="nil"/>
              <w:bottom w:val="single" w:sz="4" w:space="0" w:color="000000"/>
              <w:right w:val="single" w:sz="4" w:space="0" w:color="000000"/>
            </w:tcBorders>
            <w:shd w:val="clear" w:color="auto" w:fill="auto"/>
            <w:noWrap/>
            <w:vAlign w:val="bottom"/>
            <w:hideMark/>
          </w:tcPr>
          <w:p w14:paraId="2E07DEF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34" w:type="dxa"/>
            <w:tcBorders>
              <w:top w:val="single" w:sz="8" w:space="0" w:color="000000"/>
              <w:left w:val="nil"/>
              <w:bottom w:val="single" w:sz="4" w:space="0" w:color="000000"/>
              <w:right w:val="single" w:sz="4" w:space="0" w:color="000000"/>
            </w:tcBorders>
            <w:shd w:val="clear" w:color="auto" w:fill="auto"/>
            <w:noWrap/>
            <w:vAlign w:val="bottom"/>
            <w:hideMark/>
          </w:tcPr>
          <w:p w14:paraId="7F0155B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7" w:type="dxa"/>
            <w:tcBorders>
              <w:top w:val="single" w:sz="8" w:space="0" w:color="000000"/>
              <w:left w:val="nil"/>
              <w:bottom w:val="single" w:sz="4" w:space="0" w:color="000000"/>
              <w:right w:val="single" w:sz="4" w:space="0" w:color="000000"/>
            </w:tcBorders>
            <w:shd w:val="clear" w:color="auto" w:fill="auto"/>
            <w:noWrap/>
            <w:vAlign w:val="bottom"/>
            <w:hideMark/>
          </w:tcPr>
          <w:p w14:paraId="714218D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0FC07F9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52,000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66EAE12C"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61</w:t>
            </w:r>
          </w:p>
        </w:tc>
      </w:tr>
      <w:tr w:rsidR="007A7FA3" w:rsidRPr="007A7FA3" w14:paraId="30DD403F" w14:textId="77777777" w:rsidTr="007A7FA3">
        <w:trPr>
          <w:trHeight w:val="285"/>
        </w:trPr>
        <w:tc>
          <w:tcPr>
            <w:tcW w:w="1086" w:type="dxa"/>
            <w:vMerge/>
            <w:tcBorders>
              <w:top w:val="nil"/>
              <w:left w:val="single" w:sz="8" w:space="0" w:color="auto"/>
              <w:bottom w:val="nil"/>
              <w:right w:val="single" w:sz="4" w:space="0" w:color="000000"/>
            </w:tcBorders>
            <w:vAlign w:val="center"/>
            <w:hideMark/>
          </w:tcPr>
          <w:p w14:paraId="6E0512B8"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53AC21EA"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0D9DFEA1"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013E1A31"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467F8A04"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25DE887C"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6526B17F"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71800</w:t>
            </w:r>
          </w:p>
        </w:tc>
        <w:tc>
          <w:tcPr>
            <w:tcW w:w="1580" w:type="dxa"/>
            <w:tcBorders>
              <w:top w:val="nil"/>
              <w:left w:val="nil"/>
              <w:bottom w:val="single" w:sz="4" w:space="0" w:color="000000"/>
              <w:right w:val="single" w:sz="4" w:space="0" w:color="000000"/>
            </w:tcBorders>
            <w:shd w:val="clear" w:color="auto" w:fill="auto"/>
            <w:vAlign w:val="bottom"/>
            <w:hideMark/>
          </w:tcPr>
          <w:p w14:paraId="187434AC"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Contractual Services - Individuals</w:t>
            </w:r>
          </w:p>
        </w:tc>
        <w:tc>
          <w:tcPr>
            <w:tcW w:w="694" w:type="dxa"/>
            <w:tcBorders>
              <w:top w:val="nil"/>
              <w:left w:val="nil"/>
              <w:bottom w:val="single" w:sz="4" w:space="0" w:color="000000"/>
              <w:right w:val="single" w:sz="4" w:space="0" w:color="000000"/>
            </w:tcBorders>
            <w:shd w:val="clear" w:color="auto" w:fill="auto"/>
            <w:noWrap/>
            <w:vAlign w:val="bottom"/>
            <w:hideMark/>
          </w:tcPr>
          <w:p w14:paraId="3D1574A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9,000 </w:t>
            </w:r>
          </w:p>
        </w:tc>
        <w:tc>
          <w:tcPr>
            <w:tcW w:w="805" w:type="dxa"/>
            <w:tcBorders>
              <w:top w:val="nil"/>
              <w:left w:val="nil"/>
              <w:bottom w:val="single" w:sz="4" w:space="0" w:color="000000"/>
              <w:right w:val="single" w:sz="4" w:space="0" w:color="000000"/>
            </w:tcBorders>
            <w:shd w:val="clear" w:color="auto" w:fill="auto"/>
            <w:noWrap/>
            <w:vAlign w:val="bottom"/>
            <w:hideMark/>
          </w:tcPr>
          <w:p w14:paraId="7B2970D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20,000 </w:t>
            </w:r>
          </w:p>
        </w:tc>
        <w:tc>
          <w:tcPr>
            <w:tcW w:w="826" w:type="dxa"/>
            <w:tcBorders>
              <w:top w:val="nil"/>
              <w:left w:val="nil"/>
              <w:bottom w:val="single" w:sz="4" w:space="0" w:color="000000"/>
              <w:right w:val="single" w:sz="4" w:space="0" w:color="000000"/>
            </w:tcBorders>
            <w:shd w:val="clear" w:color="auto" w:fill="auto"/>
            <w:noWrap/>
            <w:vAlign w:val="bottom"/>
            <w:hideMark/>
          </w:tcPr>
          <w:p w14:paraId="7FDB45E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20,000 </w:t>
            </w:r>
          </w:p>
        </w:tc>
        <w:tc>
          <w:tcPr>
            <w:tcW w:w="864" w:type="dxa"/>
            <w:tcBorders>
              <w:top w:val="nil"/>
              <w:left w:val="nil"/>
              <w:bottom w:val="single" w:sz="4" w:space="0" w:color="000000"/>
              <w:right w:val="single" w:sz="4" w:space="0" w:color="000000"/>
            </w:tcBorders>
            <w:shd w:val="clear" w:color="auto" w:fill="auto"/>
            <w:noWrap/>
            <w:vAlign w:val="bottom"/>
            <w:hideMark/>
          </w:tcPr>
          <w:p w14:paraId="1A152ED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34" w:type="dxa"/>
            <w:tcBorders>
              <w:top w:val="nil"/>
              <w:left w:val="nil"/>
              <w:bottom w:val="single" w:sz="4" w:space="0" w:color="000000"/>
              <w:right w:val="single" w:sz="4" w:space="0" w:color="000000"/>
            </w:tcBorders>
            <w:shd w:val="clear" w:color="auto" w:fill="auto"/>
            <w:noWrap/>
            <w:vAlign w:val="bottom"/>
            <w:hideMark/>
          </w:tcPr>
          <w:p w14:paraId="39B2E76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7" w:type="dxa"/>
            <w:tcBorders>
              <w:top w:val="nil"/>
              <w:left w:val="nil"/>
              <w:bottom w:val="single" w:sz="4" w:space="0" w:color="000000"/>
              <w:right w:val="single" w:sz="4" w:space="0" w:color="000000"/>
            </w:tcBorders>
            <w:shd w:val="clear" w:color="auto" w:fill="auto"/>
            <w:noWrap/>
            <w:vAlign w:val="bottom"/>
            <w:hideMark/>
          </w:tcPr>
          <w:p w14:paraId="1F64AA4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73E4EDF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49,000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3089C87D"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62</w:t>
            </w:r>
          </w:p>
        </w:tc>
      </w:tr>
      <w:tr w:rsidR="007A7FA3" w:rsidRPr="007A7FA3" w14:paraId="360A7D75" w14:textId="77777777" w:rsidTr="007A7FA3">
        <w:trPr>
          <w:trHeight w:val="270"/>
        </w:trPr>
        <w:tc>
          <w:tcPr>
            <w:tcW w:w="1086" w:type="dxa"/>
            <w:vMerge/>
            <w:tcBorders>
              <w:top w:val="nil"/>
              <w:left w:val="single" w:sz="8" w:space="0" w:color="auto"/>
              <w:bottom w:val="nil"/>
              <w:right w:val="single" w:sz="4" w:space="0" w:color="000000"/>
            </w:tcBorders>
            <w:vAlign w:val="center"/>
            <w:hideMark/>
          </w:tcPr>
          <w:p w14:paraId="32F68CC0"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37826FC0"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2205F5F7"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59B9B6B5"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44A31D83"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40B009AD"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3C6FF895"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71600</w:t>
            </w:r>
          </w:p>
        </w:tc>
        <w:tc>
          <w:tcPr>
            <w:tcW w:w="1580" w:type="dxa"/>
            <w:tcBorders>
              <w:top w:val="nil"/>
              <w:left w:val="nil"/>
              <w:bottom w:val="single" w:sz="4" w:space="0" w:color="000000"/>
              <w:right w:val="single" w:sz="4" w:space="0" w:color="000000"/>
            </w:tcBorders>
            <w:shd w:val="clear" w:color="auto" w:fill="auto"/>
            <w:vAlign w:val="bottom"/>
            <w:hideMark/>
          </w:tcPr>
          <w:p w14:paraId="2EA03197"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Travel</w:t>
            </w:r>
          </w:p>
        </w:tc>
        <w:tc>
          <w:tcPr>
            <w:tcW w:w="694" w:type="dxa"/>
            <w:tcBorders>
              <w:top w:val="nil"/>
              <w:left w:val="nil"/>
              <w:bottom w:val="single" w:sz="4" w:space="0" w:color="000000"/>
              <w:right w:val="single" w:sz="4" w:space="0" w:color="000000"/>
            </w:tcBorders>
            <w:shd w:val="clear" w:color="auto" w:fill="auto"/>
            <w:noWrap/>
            <w:vAlign w:val="bottom"/>
            <w:hideMark/>
          </w:tcPr>
          <w:p w14:paraId="529B2FF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4,000 </w:t>
            </w:r>
          </w:p>
        </w:tc>
        <w:tc>
          <w:tcPr>
            <w:tcW w:w="805" w:type="dxa"/>
            <w:tcBorders>
              <w:top w:val="nil"/>
              <w:left w:val="nil"/>
              <w:bottom w:val="single" w:sz="4" w:space="0" w:color="000000"/>
              <w:right w:val="single" w:sz="4" w:space="0" w:color="000000"/>
            </w:tcBorders>
            <w:shd w:val="clear" w:color="auto" w:fill="auto"/>
            <w:noWrap/>
            <w:vAlign w:val="bottom"/>
            <w:hideMark/>
          </w:tcPr>
          <w:p w14:paraId="268B125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25,000 </w:t>
            </w:r>
          </w:p>
        </w:tc>
        <w:tc>
          <w:tcPr>
            <w:tcW w:w="826" w:type="dxa"/>
            <w:tcBorders>
              <w:top w:val="nil"/>
              <w:left w:val="nil"/>
              <w:bottom w:val="single" w:sz="4" w:space="0" w:color="000000"/>
              <w:right w:val="single" w:sz="4" w:space="0" w:color="000000"/>
            </w:tcBorders>
            <w:shd w:val="clear" w:color="auto" w:fill="auto"/>
            <w:noWrap/>
            <w:vAlign w:val="bottom"/>
            <w:hideMark/>
          </w:tcPr>
          <w:p w14:paraId="404B224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25,000 </w:t>
            </w:r>
          </w:p>
        </w:tc>
        <w:tc>
          <w:tcPr>
            <w:tcW w:w="864" w:type="dxa"/>
            <w:tcBorders>
              <w:top w:val="nil"/>
              <w:left w:val="nil"/>
              <w:bottom w:val="single" w:sz="4" w:space="0" w:color="000000"/>
              <w:right w:val="single" w:sz="4" w:space="0" w:color="000000"/>
            </w:tcBorders>
            <w:shd w:val="clear" w:color="auto" w:fill="auto"/>
            <w:noWrap/>
            <w:vAlign w:val="bottom"/>
            <w:hideMark/>
          </w:tcPr>
          <w:p w14:paraId="1D6F61C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34" w:type="dxa"/>
            <w:tcBorders>
              <w:top w:val="nil"/>
              <w:left w:val="nil"/>
              <w:bottom w:val="single" w:sz="4" w:space="0" w:color="000000"/>
              <w:right w:val="single" w:sz="4" w:space="0" w:color="000000"/>
            </w:tcBorders>
            <w:shd w:val="clear" w:color="auto" w:fill="auto"/>
            <w:noWrap/>
            <w:vAlign w:val="bottom"/>
            <w:hideMark/>
          </w:tcPr>
          <w:p w14:paraId="5507C50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7" w:type="dxa"/>
            <w:tcBorders>
              <w:top w:val="nil"/>
              <w:left w:val="nil"/>
              <w:bottom w:val="single" w:sz="4" w:space="0" w:color="000000"/>
              <w:right w:val="single" w:sz="4" w:space="0" w:color="000000"/>
            </w:tcBorders>
            <w:shd w:val="clear" w:color="auto" w:fill="auto"/>
            <w:noWrap/>
            <w:vAlign w:val="bottom"/>
            <w:hideMark/>
          </w:tcPr>
          <w:p w14:paraId="261F337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1605B7A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54,000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7463DC61"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63</w:t>
            </w:r>
          </w:p>
        </w:tc>
      </w:tr>
      <w:tr w:rsidR="007A7FA3" w:rsidRPr="007A7FA3" w14:paraId="6E340C85" w14:textId="77777777" w:rsidTr="007A7FA3">
        <w:trPr>
          <w:trHeight w:val="270"/>
        </w:trPr>
        <w:tc>
          <w:tcPr>
            <w:tcW w:w="1086" w:type="dxa"/>
            <w:vMerge/>
            <w:tcBorders>
              <w:top w:val="nil"/>
              <w:left w:val="single" w:sz="8" w:space="0" w:color="auto"/>
              <w:bottom w:val="nil"/>
              <w:right w:val="single" w:sz="4" w:space="0" w:color="000000"/>
            </w:tcBorders>
            <w:vAlign w:val="center"/>
            <w:hideMark/>
          </w:tcPr>
          <w:p w14:paraId="4B7BD409"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688231A3"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65B72848"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3E914BD7"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67175058"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047226A0"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2A4075C2"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71800</w:t>
            </w:r>
          </w:p>
        </w:tc>
        <w:tc>
          <w:tcPr>
            <w:tcW w:w="1580" w:type="dxa"/>
            <w:tcBorders>
              <w:top w:val="nil"/>
              <w:left w:val="nil"/>
              <w:bottom w:val="single" w:sz="4" w:space="0" w:color="000000"/>
              <w:right w:val="single" w:sz="4" w:space="0" w:color="000000"/>
            </w:tcBorders>
            <w:shd w:val="clear" w:color="auto" w:fill="auto"/>
            <w:vAlign w:val="bottom"/>
            <w:hideMark/>
          </w:tcPr>
          <w:p w14:paraId="05F25EB5"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Contractual Services-Impl Partner</w:t>
            </w:r>
          </w:p>
        </w:tc>
        <w:tc>
          <w:tcPr>
            <w:tcW w:w="694" w:type="dxa"/>
            <w:tcBorders>
              <w:top w:val="nil"/>
              <w:left w:val="nil"/>
              <w:bottom w:val="single" w:sz="4" w:space="0" w:color="000000"/>
              <w:right w:val="single" w:sz="4" w:space="0" w:color="000000"/>
            </w:tcBorders>
            <w:shd w:val="clear" w:color="auto" w:fill="auto"/>
            <w:noWrap/>
            <w:vAlign w:val="bottom"/>
            <w:hideMark/>
          </w:tcPr>
          <w:p w14:paraId="3E28075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nil"/>
              <w:left w:val="nil"/>
              <w:bottom w:val="single" w:sz="4" w:space="0" w:color="000000"/>
              <w:right w:val="single" w:sz="4" w:space="0" w:color="000000"/>
            </w:tcBorders>
            <w:shd w:val="clear" w:color="auto" w:fill="auto"/>
            <w:noWrap/>
            <w:vAlign w:val="bottom"/>
            <w:hideMark/>
          </w:tcPr>
          <w:p w14:paraId="20AD85C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40,000 </w:t>
            </w:r>
          </w:p>
        </w:tc>
        <w:tc>
          <w:tcPr>
            <w:tcW w:w="826" w:type="dxa"/>
            <w:tcBorders>
              <w:top w:val="nil"/>
              <w:left w:val="nil"/>
              <w:bottom w:val="single" w:sz="4" w:space="0" w:color="000000"/>
              <w:right w:val="single" w:sz="4" w:space="0" w:color="000000"/>
            </w:tcBorders>
            <w:shd w:val="clear" w:color="auto" w:fill="auto"/>
            <w:noWrap/>
            <w:vAlign w:val="bottom"/>
            <w:hideMark/>
          </w:tcPr>
          <w:p w14:paraId="3BF28EA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35,000 </w:t>
            </w:r>
          </w:p>
        </w:tc>
        <w:tc>
          <w:tcPr>
            <w:tcW w:w="864" w:type="dxa"/>
            <w:tcBorders>
              <w:top w:val="nil"/>
              <w:left w:val="nil"/>
              <w:bottom w:val="single" w:sz="4" w:space="0" w:color="000000"/>
              <w:right w:val="single" w:sz="4" w:space="0" w:color="000000"/>
            </w:tcBorders>
            <w:shd w:val="clear" w:color="auto" w:fill="auto"/>
            <w:noWrap/>
            <w:vAlign w:val="bottom"/>
            <w:hideMark/>
          </w:tcPr>
          <w:p w14:paraId="635717D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34" w:type="dxa"/>
            <w:tcBorders>
              <w:top w:val="nil"/>
              <w:left w:val="nil"/>
              <w:bottom w:val="single" w:sz="4" w:space="0" w:color="000000"/>
              <w:right w:val="single" w:sz="4" w:space="0" w:color="000000"/>
            </w:tcBorders>
            <w:shd w:val="clear" w:color="auto" w:fill="auto"/>
            <w:noWrap/>
            <w:vAlign w:val="bottom"/>
            <w:hideMark/>
          </w:tcPr>
          <w:p w14:paraId="1F3BAE3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7" w:type="dxa"/>
            <w:tcBorders>
              <w:top w:val="nil"/>
              <w:left w:val="nil"/>
              <w:bottom w:val="single" w:sz="4" w:space="0" w:color="000000"/>
              <w:right w:val="single" w:sz="4" w:space="0" w:color="000000"/>
            </w:tcBorders>
            <w:shd w:val="clear" w:color="auto" w:fill="auto"/>
            <w:noWrap/>
            <w:vAlign w:val="bottom"/>
            <w:hideMark/>
          </w:tcPr>
          <w:p w14:paraId="4F98270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1B1E6C0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75,000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7923D1C9"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64</w:t>
            </w:r>
          </w:p>
        </w:tc>
      </w:tr>
      <w:tr w:rsidR="007A7FA3" w:rsidRPr="007A7FA3" w14:paraId="3C05605E" w14:textId="77777777" w:rsidTr="007A7FA3">
        <w:trPr>
          <w:trHeight w:val="240"/>
        </w:trPr>
        <w:tc>
          <w:tcPr>
            <w:tcW w:w="1086" w:type="dxa"/>
            <w:vMerge/>
            <w:tcBorders>
              <w:top w:val="nil"/>
              <w:left w:val="single" w:sz="8" w:space="0" w:color="auto"/>
              <w:bottom w:val="nil"/>
              <w:right w:val="single" w:sz="4" w:space="0" w:color="000000"/>
            </w:tcBorders>
            <w:vAlign w:val="center"/>
            <w:hideMark/>
          </w:tcPr>
          <w:p w14:paraId="5DD137EF"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3E5BC223"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61338B49"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11734FCE"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0FC954FA"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39CDA4B5"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21347BD6"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72400</w:t>
            </w:r>
          </w:p>
        </w:tc>
        <w:tc>
          <w:tcPr>
            <w:tcW w:w="1580" w:type="dxa"/>
            <w:tcBorders>
              <w:top w:val="nil"/>
              <w:left w:val="nil"/>
              <w:bottom w:val="single" w:sz="4" w:space="0" w:color="000000"/>
              <w:right w:val="single" w:sz="4" w:space="0" w:color="000000"/>
            </w:tcBorders>
            <w:shd w:val="clear" w:color="auto" w:fill="auto"/>
            <w:vAlign w:val="bottom"/>
            <w:hideMark/>
          </w:tcPr>
          <w:p w14:paraId="757F908A"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Communic &amp; Audio Visual Equip</w:t>
            </w:r>
          </w:p>
        </w:tc>
        <w:tc>
          <w:tcPr>
            <w:tcW w:w="694" w:type="dxa"/>
            <w:tcBorders>
              <w:top w:val="nil"/>
              <w:left w:val="nil"/>
              <w:bottom w:val="single" w:sz="4" w:space="0" w:color="000000"/>
              <w:right w:val="single" w:sz="4" w:space="0" w:color="000000"/>
            </w:tcBorders>
            <w:shd w:val="clear" w:color="auto" w:fill="auto"/>
            <w:noWrap/>
            <w:vAlign w:val="bottom"/>
            <w:hideMark/>
          </w:tcPr>
          <w:p w14:paraId="39D8E92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5,000 </w:t>
            </w:r>
          </w:p>
        </w:tc>
        <w:tc>
          <w:tcPr>
            <w:tcW w:w="805" w:type="dxa"/>
            <w:tcBorders>
              <w:top w:val="nil"/>
              <w:left w:val="nil"/>
              <w:bottom w:val="single" w:sz="4" w:space="0" w:color="000000"/>
              <w:right w:val="single" w:sz="4" w:space="0" w:color="000000"/>
            </w:tcBorders>
            <w:shd w:val="clear" w:color="auto" w:fill="auto"/>
            <w:noWrap/>
            <w:vAlign w:val="bottom"/>
            <w:hideMark/>
          </w:tcPr>
          <w:p w14:paraId="51747F8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5,000 </w:t>
            </w:r>
          </w:p>
        </w:tc>
        <w:tc>
          <w:tcPr>
            <w:tcW w:w="826" w:type="dxa"/>
            <w:tcBorders>
              <w:top w:val="nil"/>
              <w:left w:val="nil"/>
              <w:bottom w:val="single" w:sz="4" w:space="0" w:color="000000"/>
              <w:right w:val="single" w:sz="4" w:space="0" w:color="000000"/>
            </w:tcBorders>
            <w:shd w:val="clear" w:color="auto" w:fill="auto"/>
            <w:noWrap/>
            <w:vAlign w:val="bottom"/>
            <w:hideMark/>
          </w:tcPr>
          <w:p w14:paraId="7D4CAD5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64" w:type="dxa"/>
            <w:tcBorders>
              <w:top w:val="nil"/>
              <w:left w:val="nil"/>
              <w:bottom w:val="single" w:sz="4" w:space="0" w:color="000000"/>
              <w:right w:val="single" w:sz="4" w:space="0" w:color="000000"/>
            </w:tcBorders>
            <w:shd w:val="clear" w:color="auto" w:fill="auto"/>
            <w:noWrap/>
            <w:vAlign w:val="bottom"/>
            <w:hideMark/>
          </w:tcPr>
          <w:p w14:paraId="01A2B9E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34" w:type="dxa"/>
            <w:tcBorders>
              <w:top w:val="nil"/>
              <w:left w:val="nil"/>
              <w:bottom w:val="single" w:sz="4" w:space="0" w:color="000000"/>
              <w:right w:val="single" w:sz="4" w:space="0" w:color="000000"/>
            </w:tcBorders>
            <w:shd w:val="clear" w:color="auto" w:fill="auto"/>
            <w:noWrap/>
            <w:vAlign w:val="bottom"/>
            <w:hideMark/>
          </w:tcPr>
          <w:p w14:paraId="5AC2778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7" w:type="dxa"/>
            <w:tcBorders>
              <w:top w:val="nil"/>
              <w:left w:val="nil"/>
              <w:bottom w:val="single" w:sz="4" w:space="0" w:color="000000"/>
              <w:right w:val="single" w:sz="4" w:space="0" w:color="000000"/>
            </w:tcBorders>
            <w:shd w:val="clear" w:color="auto" w:fill="auto"/>
            <w:noWrap/>
            <w:vAlign w:val="bottom"/>
            <w:hideMark/>
          </w:tcPr>
          <w:p w14:paraId="71717BF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29ADC84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0AE987A4"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65</w:t>
            </w:r>
          </w:p>
        </w:tc>
      </w:tr>
      <w:tr w:rsidR="007A7FA3" w:rsidRPr="007A7FA3" w14:paraId="73FBC2F8" w14:textId="77777777" w:rsidTr="007A7FA3">
        <w:trPr>
          <w:trHeight w:val="240"/>
        </w:trPr>
        <w:tc>
          <w:tcPr>
            <w:tcW w:w="1086" w:type="dxa"/>
            <w:vMerge/>
            <w:tcBorders>
              <w:top w:val="nil"/>
              <w:left w:val="single" w:sz="8" w:space="0" w:color="auto"/>
              <w:bottom w:val="nil"/>
              <w:right w:val="single" w:sz="4" w:space="0" w:color="000000"/>
            </w:tcBorders>
            <w:vAlign w:val="center"/>
            <w:hideMark/>
          </w:tcPr>
          <w:p w14:paraId="354EBC0F"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289150FC"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69DC9C9A" w14:textId="77777777" w:rsidR="007A7FA3" w:rsidRPr="007A7FA3" w:rsidRDefault="007A7FA3" w:rsidP="007A7FA3">
            <w:pPr>
              <w:rPr>
                <w:rFonts w:ascii="Calibri" w:hAnsi="Calibri" w:cs="Calibri"/>
                <w:i/>
                <w:iCs/>
                <w:color w:val="000000"/>
                <w:sz w:val="13"/>
                <w:szCs w:val="13"/>
              </w:rPr>
            </w:pPr>
          </w:p>
        </w:tc>
        <w:tc>
          <w:tcPr>
            <w:tcW w:w="3763" w:type="dxa"/>
            <w:gridSpan w:val="5"/>
            <w:tcBorders>
              <w:top w:val="single" w:sz="4" w:space="0" w:color="000000"/>
              <w:left w:val="nil"/>
              <w:bottom w:val="single" w:sz="4" w:space="0" w:color="000000"/>
              <w:right w:val="single" w:sz="4" w:space="0" w:color="000000"/>
            </w:tcBorders>
            <w:shd w:val="clear" w:color="auto" w:fill="auto"/>
            <w:vAlign w:val="center"/>
            <w:hideMark/>
          </w:tcPr>
          <w:p w14:paraId="4F709D9B"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Total BCC</w:t>
            </w:r>
          </w:p>
        </w:tc>
        <w:tc>
          <w:tcPr>
            <w:tcW w:w="694" w:type="dxa"/>
            <w:tcBorders>
              <w:top w:val="nil"/>
              <w:left w:val="nil"/>
              <w:bottom w:val="single" w:sz="4" w:space="0" w:color="000000"/>
              <w:right w:val="single" w:sz="4" w:space="0" w:color="000000"/>
            </w:tcBorders>
            <w:shd w:val="clear" w:color="auto" w:fill="auto"/>
            <w:noWrap/>
            <w:vAlign w:val="bottom"/>
            <w:hideMark/>
          </w:tcPr>
          <w:p w14:paraId="2E5B1F19"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28,000 </w:t>
            </w:r>
          </w:p>
        </w:tc>
        <w:tc>
          <w:tcPr>
            <w:tcW w:w="805" w:type="dxa"/>
            <w:tcBorders>
              <w:top w:val="nil"/>
              <w:left w:val="nil"/>
              <w:bottom w:val="single" w:sz="4" w:space="0" w:color="000000"/>
              <w:right w:val="single" w:sz="4" w:space="0" w:color="000000"/>
            </w:tcBorders>
            <w:shd w:val="clear" w:color="auto" w:fill="auto"/>
            <w:noWrap/>
            <w:vAlign w:val="bottom"/>
            <w:hideMark/>
          </w:tcPr>
          <w:p w14:paraId="78C4C91C"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112,000 </w:t>
            </w:r>
          </w:p>
        </w:tc>
        <w:tc>
          <w:tcPr>
            <w:tcW w:w="826" w:type="dxa"/>
            <w:tcBorders>
              <w:top w:val="nil"/>
              <w:left w:val="nil"/>
              <w:bottom w:val="single" w:sz="4" w:space="0" w:color="000000"/>
              <w:right w:val="single" w:sz="4" w:space="0" w:color="000000"/>
            </w:tcBorders>
            <w:shd w:val="clear" w:color="auto" w:fill="auto"/>
            <w:noWrap/>
            <w:vAlign w:val="bottom"/>
            <w:hideMark/>
          </w:tcPr>
          <w:p w14:paraId="30643EDE"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110,000 </w:t>
            </w:r>
          </w:p>
        </w:tc>
        <w:tc>
          <w:tcPr>
            <w:tcW w:w="864" w:type="dxa"/>
            <w:tcBorders>
              <w:top w:val="nil"/>
              <w:left w:val="nil"/>
              <w:bottom w:val="single" w:sz="4" w:space="0" w:color="000000"/>
              <w:right w:val="single" w:sz="4" w:space="0" w:color="000000"/>
            </w:tcBorders>
            <w:shd w:val="clear" w:color="auto" w:fill="auto"/>
            <w:noWrap/>
            <w:vAlign w:val="bottom"/>
            <w:hideMark/>
          </w:tcPr>
          <w:p w14:paraId="10CCA2B1"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34" w:type="dxa"/>
            <w:tcBorders>
              <w:top w:val="nil"/>
              <w:left w:val="nil"/>
              <w:bottom w:val="single" w:sz="4" w:space="0" w:color="000000"/>
              <w:right w:val="single" w:sz="4" w:space="0" w:color="000000"/>
            </w:tcBorders>
            <w:shd w:val="clear" w:color="auto" w:fill="auto"/>
            <w:noWrap/>
            <w:vAlign w:val="bottom"/>
            <w:hideMark/>
          </w:tcPr>
          <w:p w14:paraId="158A2430"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27" w:type="dxa"/>
            <w:tcBorders>
              <w:top w:val="nil"/>
              <w:left w:val="nil"/>
              <w:bottom w:val="single" w:sz="4" w:space="0" w:color="000000"/>
              <w:right w:val="single" w:sz="4" w:space="0" w:color="000000"/>
            </w:tcBorders>
            <w:shd w:val="clear" w:color="auto" w:fill="auto"/>
            <w:noWrap/>
            <w:vAlign w:val="bottom"/>
            <w:hideMark/>
          </w:tcPr>
          <w:p w14:paraId="6F9B0EA4"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980" w:type="dxa"/>
            <w:tcBorders>
              <w:top w:val="single" w:sz="8" w:space="0" w:color="000000"/>
              <w:left w:val="nil"/>
              <w:bottom w:val="single" w:sz="4" w:space="0" w:color="000000"/>
              <w:right w:val="nil"/>
            </w:tcBorders>
            <w:shd w:val="clear" w:color="auto" w:fill="auto"/>
            <w:noWrap/>
            <w:vAlign w:val="bottom"/>
            <w:hideMark/>
          </w:tcPr>
          <w:p w14:paraId="2A8D952D"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250,000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14A0B2E5"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41EDF157" w14:textId="77777777" w:rsidTr="007A7FA3">
        <w:trPr>
          <w:trHeight w:val="255"/>
        </w:trPr>
        <w:tc>
          <w:tcPr>
            <w:tcW w:w="1086" w:type="dxa"/>
            <w:vMerge/>
            <w:tcBorders>
              <w:top w:val="nil"/>
              <w:left w:val="single" w:sz="8" w:space="0" w:color="auto"/>
              <w:bottom w:val="nil"/>
              <w:right w:val="single" w:sz="4" w:space="0" w:color="000000"/>
            </w:tcBorders>
            <w:vAlign w:val="center"/>
            <w:hideMark/>
          </w:tcPr>
          <w:p w14:paraId="1C73A4C0"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1B840895" w14:textId="77777777" w:rsidR="007A7FA3" w:rsidRPr="007A7FA3" w:rsidRDefault="007A7FA3" w:rsidP="007A7FA3">
            <w:pPr>
              <w:rPr>
                <w:rFonts w:ascii="Calibri" w:hAnsi="Calibri" w:cs="Calibri"/>
                <w:i/>
                <w:iCs/>
                <w:color w:val="000000"/>
                <w:sz w:val="13"/>
                <w:szCs w:val="13"/>
              </w:rPr>
            </w:pPr>
          </w:p>
        </w:tc>
        <w:tc>
          <w:tcPr>
            <w:tcW w:w="5779" w:type="dxa"/>
            <w:gridSpan w:val="6"/>
            <w:tcBorders>
              <w:top w:val="nil"/>
              <w:left w:val="nil"/>
              <w:bottom w:val="single" w:sz="4" w:space="0" w:color="000000"/>
              <w:right w:val="single" w:sz="4" w:space="0" w:color="000000"/>
            </w:tcBorders>
            <w:shd w:val="clear" w:color="auto" w:fill="auto"/>
            <w:vAlign w:val="center"/>
            <w:hideMark/>
          </w:tcPr>
          <w:p w14:paraId="334A03C3" w14:textId="77777777" w:rsidR="007A7FA3" w:rsidRPr="007A7FA3" w:rsidRDefault="007A7FA3" w:rsidP="007A7FA3">
            <w:pPr>
              <w:rPr>
                <w:rFonts w:ascii="Calibri" w:hAnsi="Calibri" w:cs="Calibri"/>
                <w:b/>
                <w:bCs/>
                <w:i/>
                <w:iCs/>
                <w:color w:val="000000"/>
                <w:sz w:val="13"/>
                <w:szCs w:val="13"/>
              </w:rPr>
            </w:pPr>
            <w:r w:rsidRPr="007A7FA3">
              <w:rPr>
                <w:rFonts w:ascii="Calibri" w:hAnsi="Calibri" w:cs="Calibri"/>
                <w:b/>
                <w:bCs/>
                <w:i/>
                <w:iCs/>
                <w:color w:val="000000"/>
                <w:sz w:val="13"/>
                <w:szCs w:val="13"/>
              </w:rPr>
              <w:t>Total Output 2.2.1</w:t>
            </w:r>
          </w:p>
        </w:tc>
        <w:tc>
          <w:tcPr>
            <w:tcW w:w="694" w:type="dxa"/>
            <w:tcBorders>
              <w:top w:val="nil"/>
              <w:left w:val="nil"/>
              <w:bottom w:val="single" w:sz="4" w:space="0" w:color="000000"/>
              <w:right w:val="single" w:sz="4" w:space="0" w:color="000000"/>
            </w:tcBorders>
            <w:shd w:val="clear" w:color="auto" w:fill="auto"/>
            <w:noWrap/>
            <w:vAlign w:val="bottom"/>
            <w:hideMark/>
          </w:tcPr>
          <w:p w14:paraId="397F1C31"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28,000 </w:t>
            </w:r>
          </w:p>
        </w:tc>
        <w:tc>
          <w:tcPr>
            <w:tcW w:w="805" w:type="dxa"/>
            <w:tcBorders>
              <w:top w:val="nil"/>
              <w:left w:val="nil"/>
              <w:bottom w:val="single" w:sz="4" w:space="0" w:color="000000"/>
              <w:right w:val="single" w:sz="4" w:space="0" w:color="000000"/>
            </w:tcBorders>
            <w:shd w:val="clear" w:color="auto" w:fill="auto"/>
            <w:noWrap/>
            <w:vAlign w:val="bottom"/>
            <w:hideMark/>
          </w:tcPr>
          <w:p w14:paraId="5C696129"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112,000 </w:t>
            </w:r>
          </w:p>
        </w:tc>
        <w:tc>
          <w:tcPr>
            <w:tcW w:w="826" w:type="dxa"/>
            <w:tcBorders>
              <w:top w:val="nil"/>
              <w:left w:val="nil"/>
              <w:bottom w:val="single" w:sz="4" w:space="0" w:color="000000"/>
              <w:right w:val="single" w:sz="4" w:space="0" w:color="000000"/>
            </w:tcBorders>
            <w:shd w:val="clear" w:color="auto" w:fill="auto"/>
            <w:noWrap/>
            <w:vAlign w:val="bottom"/>
            <w:hideMark/>
          </w:tcPr>
          <w:p w14:paraId="51C1482C"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110,000 </w:t>
            </w:r>
          </w:p>
        </w:tc>
        <w:tc>
          <w:tcPr>
            <w:tcW w:w="864" w:type="dxa"/>
            <w:tcBorders>
              <w:top w:val="nil"/>
              <w:left w:val="nil"/>
              <w:bottom w:val="single" w:sz="4" w:space="0" w:color="000000"/>
              <w:right w:val="single" w:sz="4" w:space="0" w:color="000000"/>
            </w:tcBorders>
            <w:shd w:val="clear" w:color="auto" w:fill="auto"/>
            <w:noWrap/>
            <w:vAlign w:val="bottom"/>
            <w:hideMark/>
          </w:tcPr>
          <w:p w14:paraId="7EFA977F"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34" w:type="dxa"/>
            <w:tcBorders>
              <w:top w:val="nil"/>
              <w:left w:val="nil"/>
              <w:bottom w:val="single" w:sz="4" w:space="0" w:color="000000"/>
              <w:right w:val="single" w:sz="4" w:space="0" w:color="000000"/>
            </w:tcBorders>
            <w:shd w:val="clear" w:color="auto" w:fill="auto"/>
            <w:noWrap/>
            <w:vAlign w:val="bottom"/>
            <w:hideMark/>
          </w:tcPr>
          <w:p w14:paraId="6E92E955"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27" w:type="dxa"/>
            <w:tcBorders>
              <w:top w:val="nil"/>
              <w:left w:val="nil"/>
              <w:bottom w:val="single" w:sz="4" w:space="0" w:color="000000"/>
              <w:right w:val="single" w:sz="4" w:space="0" w:color="000000"/>
            </w:tcBorders>
            <w:shd w:val="clear" w:color="auto" w:fill="auto"/>
            <w:noWrap/>
            <w:vAlign w:val="bottom"/>
            <w:hideMark/>
          </w:tcPr>
          <w:p w14:paraId="150E4802"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980" w:type="dxa"/>
            <w:tcBorders>
              <w:top w:val="nil"/>
              <w:left w:val="nil"/>
              <w:bottom w:val="single" w:sz="4" w:space="0" w:color="000000"/>
              <w:right w:val="nil"/>
            </w:tcBorders>
            <w:shd w:val="clear" w:color="auto" w:fill="auto"/>
            <w:noWrap/>
            <w:vAlign w:val="bottom"/>
            <w:hideMark/>
          </w:tcPr>
          <w:p w14:paraId="5FED3E61"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250,000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2B7EFE49"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327FD46A" w14:textId="77777777" w:rsidTr="007A7FA3">
        <w:trPr>
          <w:trHeight w:val="270"/>
        </w:trPr>
        <w:tc>
          <w:tcPr>
            <w:tcW w:w="1086" w:type="dxa"/>
            <w:vMerge/>
            <w:tcBorders>
              <w:top w:val="nil"/>
              <w:left w:val="single" w:sz="8" w:space="0" w:color="auto"/>
              <w:bottom w:val="nil"/>
              <w:right w:val="single" w:sz="4" w:space="0" w:color="000000"/>
            </w:tcBorders>
            <w:vAlign w:val="center"/>
            <w:hideMark/>
          </w:tcPr>
          <w:p w14:paraId="605060A2"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06981261" w14:textId="77777777" w:rsidR="007A7FA3" w:rsidRPr="007A7FA3" w:rsidRDefault="007A7FA3" w:rsidP="007A7FA3">
            <w:pPr>
              <w:rPr>
                <w:rFonts w:ascii="Calibri" w:hAnsi="Calibri" w:cs="Calibri"/>
                <w:i/>
                <w:iCs/>
                <w:color w:val="000000"/>
                <w:sz w:val="13"/>
                <w:szCs w:val="13"/>
              </w:rPr>
            </w:pPr>
          </w:p>
        </w:tc>
        <w:tc>
          <w:tcPr>
            <w:tcW w:w="2016" w:type="dxa"/>
            <w:vMerge w:val="restart"/>
            <w:tcBorders>
              <w:top w:val="nil"/>
              <w:left w:val="nil"/>
              <w:bottom w:val="single" w:sz="4" w:space="0" w:color="000000"/>
              <w:right w:val="single" w:sz="4" w:space="0" w:color="000000"/>
            </w:tcBorders>
            <w:shd w:val="clear" w:color="auto" w:fill="auto"/>
            <w:vAlign w:val="center"/>
            <w:hideMark/>
          </w:tcPr>
          <w:p w14:paraId="1305B974"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2.2.2: Capacities for sustainable and climate resilient value chains developed (with a gender sensitive approach) for new and diversified fish and seafood products, including mariculture</w:t>
            </w:r>
          </w:p>
        </w:tc>
        <w:tc>
          <w:tcPr>
            <w:tcW w:w="631" w:type="dxa"/>
            <w:vMerge w:val="restart"/>
            <w:tcBorders>
              <w:top w:val="nil"/>
              <w:left w:val="nil"/>
              <w:bottom w:val="nil"/>
              <w:right w:val="nil"/>
            </w:tcBorders>
            <w:shd w:val="clear" w:color="auto" w:fill="auto"/>
            <w:vAlign w:val="center"/>
            <w:hideMark/>
          </w:tcPr>
          <w:p w14:paraId="5DA8630B"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BCC</w:t>
            </w:r>
          </w:p>
        </w:tc>
        <w:tc>
          <w:tcPr>
            <w:tcW w:w="504" w:type="dxa"/>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1FEC76EA"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val="restart"/>
            <w:tcBorders>
              <w:top w:val="nil"/>
              <w:left w:val="single" w:sz="4" w:space="0" w:color="000000"/>
              <w:bottom w:val="nil"/>
              <w:right w:val="nil"/>
            </w:tcBorders>
            <w:shd w:val="clear" w:color="auto" w:fill="auto"/>
            <w:vAlign w:val="center"/>
            <w:hideMark/>
          </w:tcPr>
          <w:p w14:paraId="4D9AA149"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w:t>
            </w:r>
          </w:p>
        </w:tc>
        <w:tc>
          <w:tcPr>
            <w:tcW w:w="544" w:type="dxa"/>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402A42CA"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71200</w:t>
            </w:r>
          </w:p>
        </w:tc>
        <w:tc>
          <w:tcPr>
            <w:tcW w:w="1580" w:type="dxa"/>
            <w:tcBorders>
              <w:top w:val="single" w:sz="8" w:space="0" w:color="000000"/>
              <w:left w:val="nil"/>
              <w:bottom w:val="single" w:sz="4" w:space="0" w:color="000000"/>
              <w:right w:val="single" w:sz="4" w:space="0" w:color="000000"/>
            </w:tcBorders>
            <w:shd w:val="clear" w:color="auto" w:fill="auto"/>
            <w:vAlign w:val="bottom"/>
            <w:hideMark/>
          </w:tcPr>
          <w:p w14:paraId="30510DFC"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International Consultants</w:t>
            </w:r>
          </w:p>
        </w:tc>
        <w:tc>
          <w:tcPr>
            <w:tcW w:w="694" w:type="dxa"/>
            <w:tcBorders>
              <w:top w:val="single" w:sz="8" w:space="0" w:color="000000"/>
              <w:left w:val="nil"/>
              <w:bottom w:val="single" w:sz="4" w:space="0" w:color="000000"/>
              <w:right w:val="single" w:sz="4" w:space="0" w:color="000000"/>
            </w:tcBorders>
            <w:shd w:val="clear" w:color="auto" w:fill="auto"/>
            <w:noWrap/>
            <w:vAlign w:val="bottom"/>
            <w:hideMark/>
          </w:tcPr>
          <w:p w14:paraId="309244C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single" w:sz="8" w:space="0" w:color="000000"/>
              <w:left w:val="nil"/>
              <w:bottom w:val="single" w:sz="4" w:space="0" w:color="000000"/>
              <w:right w:val="single" w:sz="4" w:space="0" w:color="000000"/>
            </w:tcBorders>
            <w:shd w:val="clear" w:color="auto" w:fill="auto"/>
            <w:noWrap/>
            <w:vAlign w:val="bottom"/>
            <w:hideMark/>
          </w:tcPr>
          <w:p w14:paraId="7665640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26" w:type="dxa"/>
            <w:tcBorders>
              <w:top w:val="single" w:sz="8" w:space="0" w:color="000000"/>
              <w:left w:val="nil"/>
              <w:bottom w:val="single" w:sz="4" w:space="0" w:color="000000"/>
              <w:right w:val="single" w:sz="4" w:space="0" w:color="000000"/>
            </w:tcBorders>
            <w:shd w:val="clear" w:color="auto" w:fill="auto"/>
            <w:noWrap/>
            <w:vAlign w:val="bottom"/>
            <w:hideMark/>
          </w:tcPr>
          <w:p w14:paraId="2ABB434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11,000 </w:t>
            </w:r>
          </w:p>
        </w:tc>
        <w:tc>
          <w:tcPr>
            <w:tcW w:w="864" w:type="dxa"/>
            <w:tcBorders>
              <w:top w:val="single" w:sz="8" w:space="0" w:color="000000"/>
              <w:left w:val="nil"/>
              <w:bottom w:val="single" w:sz="4" w:space="0" w:color="000000"/>
              <w:right w:val="single" w:sz="4" w:space="0" w:color="000000"/>
            </w:tcBorders>
            <w:shd w:val="clear" w:color="auto" w:fill="auto"/>
            <w:noWrap/>
            <w:vAlign w:val="bottom"/>
            <w:hideMark/>
          </w:tcPr>
          <w:p w14:paraId="6D11A40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14,000 </w:t>
            </w:r>
          </w:p>
        </w:tc>
        <w:tc>
          <w:tcPr>
            <w:tcW w:w="834" w:type="dxa"/>
            <w:tcBorders>
              <w:top w:val="single" w:sz="8" w:space="0" w:color="000000"/>
              <w:left w:val="nil"/>
              <w:bottom w:val="single" w:sz="4" w:space="0" w:color="000000"/>
              <w:right w:val="single" w:sz="4" w:space="0" w:color="000000"/>
            </w:tcBorders>
            <w:shd w:val="clear" w:color="auto" w:fill="auto"/>
            <w:noWrap/>
            <w:vAlign w:val="bottom"/>
            <w:hideMark/>
          </w:tcPr>
          <w:p w14:paraId="58CEB68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7" w:type="dxa"/>
            <w:tcBorders>
              <w:top w:val="single" w:sz="8" w:space="0" w:color="000000"/>
              <w:left w:val="nil"/>
              <w:bottom w:val="single" w:sz="4" w:space="0" w:color="000000"/>
              <w:right w:val="single" w:sz="4" w:space="0" w:color="000000"/>
            </w:tcBorders>
            <w:shd w:val="clear" w:color="auto" w:fill="auto"/>
            <w:noWrap/>
            <w:vAlign w:val="bottom"/>
            <w:hideMark/>
          </w:tcPr>
          <w:p w14:paraId="0D3E0B9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204EE3C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35,000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0D84961F"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66</w:t>
            </w:r>
          </w:p>
        </w:tc>
      </w:tr>
      <w:tr w:rsidR="007A7FA3" w:rsidRPr="007A7FA3" w14:paraId="293E19D7" w14:textId="77777777" w:rsidTr="007A7FA3">
        <w:trPr>
          <w:trHeight w:val="315"/>
        </w:trPr>
        <w:tc>
          <w:tcPr>
            <w:tcW w:w="1086" w:type="dxa"/>
            <w:vMerge/>
            <w:tcBorders>
              <w:top w:val="nil"/>
              <w:left w:val="single" w:sz="8" w:space="0" w:color="auto"/>
              <w:bottom w:val="nil"/>
              <w:right w:val="single" w:sz="4" w:space="0" w:color="000000"/>
            </w:tcBorders>
            <w:vAlign w:val="center"/>
            <w:hideMark/>
          </w:tcPr>
          <w:p w14:paraId="6D04C657"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6B39DDA8"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25F95F28"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6AC45560"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090C2789"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32555636"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0ED92C3D"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71800</w:t>
            </w:r>
          </w:p>
        </w:tc>
        <w:tc>
          <w:tcPr>
            <w:tcW w:w="1580" w:type="dxa"/>
            <w:tcBorders>
              <w:top w:val="nil"/>
              <w:left w:val="nil"/>
              <w:bottom w:val="single" w:sz="4" w:space="0" w:color="000000"/>
              <w:right w:val="single" w:sz="4" w:space="0" w:color="000000"/>
            </w:tcBorders>
            <w:shd w:val="clear" w:color="auto" w:fill="auto"/>
            <w:vAlign w:val="bottom"/>
            <w:hideMark/>
          </w:tcPr>
          <w:p w14:paraId="3C82D2BD"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Contractual Services - Individuals</w:t>
            </w:r>
          </w:p>
        </w:tc>
        <w:tc>
          <w:tcPr>
            <w:tcW w:w="694" w:type="dxa"/>
            <w:tcBorders>
              <w:top w:val="nil"/>
              <w:left w:val="nil"/>
              <w:bottom w:val="single" w:sz="4" w:space="0" w:color="000000"/>
              <w:right w:val="single" w:sz="4" w:space="0" w:color="000000"/>
            </w:tcBorders>
            <w:shd w:val="clear" w:color="auto" w:fill="auto"/>
            <w:noWrap/>
            <w:vAlign w:val="bottom"/>
            <w:hideMark/>
          </w:tcPr>
          <w:p w14:paraId="01DB677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nil"/>
              <w:left w:val="nil"/>
              <w:bottom w:val="single" w:sz="4" w:space="0" w:color="000000"/>
              <w:right w:val="single" w:sz="4" w:space="0" w:color="000000"/>
            </w:tcBorders>
            <w:shd w:val="clear" w:color="auto" w:fill="auto"/>
            <w:noWrap/>
            <w:vAlign w:val="bottom"/>
            <w:hideMark/>
          </w:tcPr>
          <w:p w14:paraId="591C182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20,000 </w:t>
            </w:r>
          </w:p>
        </w:tc>
        <w:tc>
          <w:tcPr>
            <w:tcW w:w="826" w:type="dxa"/>
            <w:tcBorders>
              <w:top w:val="nil"/>
              <w:left w:val="nil"/>
              <w:bottom w:val="single" w:sz="4" w:space="0" w:color="000000"/>
              <w:right w:val="single" w:sz="4" w:space="0" w:color="000000"/>
            </w:tcBorders>
            <w:shd w:val="clear" w:color="auto" w:fill="auto"/>
            <w:noWrap/>
            <w:vAlign w:val="bottom"/>
            <w:hideMark/>
          </w:tcPr>
          <w:p w14:paraId="25D7F35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20,000 </w:t>
            </w:r>
          </w:p>
        </w:tc>
        <w:tc>
          <w:tcPr>
            <w:tcW w:w="864" w:type="dxa"/>
            <w:tcBorders>
              <w:top w:val="nil"/>
              <w:left w:val="nil"/>
              <w:bottom w:val="single" w:sz="4" w:space="0" w:color="000000"/>
              <w:right w:val="single" w:sz="4" w:space="0" w:color="000000"/>
            </w:tcBorders>
            <w:shd w:val="clear" w:color="auto" w:fill="auto"/>
            <w:noWrap/>
            <w:vAlign w:val="bottom"/>
            <w:hideMark/>
          </w:tcPr>
          <w:p w14:paraId="689FAA5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18,000 </w:t>
            </w:r>
          </w:p>
        </w:tc>
        <w:tc>
          <w:tcPr>
            <w:tcW w:w="834" w:type="dxa"/>
            <w:tcBorders>
              <w:top w:val="nil"/>
              <w:left w:val="nil"/>
              <w:bottom w:val="single" w:sz="4" w:space="0" w:color="000000"/>
              <w:right w:val="single" w:sz="4" w:space="0" w:color="000000"/>
            </w:tcBorders>
            <w:shd w:val="clear" w:color="auto" w:fill="auto"/>
            <w:noWrap/>
            <w:vAlign w:val="bottom"/>
            <w:hideMark/>
          </w:tcPr>
          <w:p w14:paraId="5056EC5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7" w:type="dxa"/>
            <w:tcBorders>
              <w:top w:val="nil"/>
              <w:left w:val="nil"/>
              <w:bottom w:val="single" w:sz="4" w:space="0" w:color="000000"/>
              <w:right w:val="single" w:sz="4" w:space="0" w:color="000000"/>
            </w:tcBorders>
            <w:shd w:val="clear" w:color="auto" w:fill="auto"/>
            <w:noWrap/>
            <w:vAlign w:val="bottom"/>
            <w:hideMark/>
          </w:tcPr>
          <w:p w14:paraId="31B51DB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0C42E9F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58,000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7E15E6A4"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67</w:t>
            </w:r>
          </w:p>
        </w:tc>
      </w:tr>
      <w:tr w:rsidR="007A7FA3" w:rsidRPr="007A7FA3" w14:paraId="2CA0BEDE" w14:textId="77777777" w:rsidTr="007A7FA3">
        <w:trPr>
          <w:trHeight w:val="270"/>
        </w:trPr>
        <w:tc>
          <w:tcPr>
            <w:tcW w:w="1086" w:type="dxa"/>
            <w:vMerge/>
            <w:tcBorders>
              <w:top w:val="nil"/>
              <w:left w:val="single" w:sz="8" w:space="0" w:color="auto"/>
              <w:bottom w:val="nil"/>
              <w:right w:val="single" w:sz="4" w:space="0" w:color="000000"/>
            </w:tcBorders>
            <w:vAlign w:val="center"/>
            <w:hideMark/>
          </w:tcPr>
          <w:p w14:paraId="4E72151C"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09A0C25E"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774D58E7"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6D587E11"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76E93E98"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6D134720"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179C84D9"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71600</w:t>
            </w:r>
          </w:p>
        </w:tc>
        <w:tc>
          <w:tcPr>
            <w:tcW w:w="1580" w:type="dxa"/>
            <w:tcBorders>
              <w:top w:val="nil"/>
              <w:left w:val="nil"/>
              <w:bottom w:val="single" w:sz="4" w:space="0" w:color="000000"/>
              <w:right w:val="single" w:sz="4" w:space="0" w:color="000000"/>
            </w:tcBorders>
            <w:shd w:val="clear" w:color="auto" w:fill="auto"/>
            <w:vAlign w:val="bottom"/>
            <w:hideMark/>
          </w:tcPr>
          <w:p w14:paraId="6AA133CC"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Travel</w:t>
            </w:r>
          </w:p>
        </w:tc>
        <w:tc>
          <w:tcPr>
            <w:tcW w:w="694" w:type="dxa"/>
            <w:tcBorders>
              <w:top w:val="nil"/>
              <w:left w:val="nil"/>
              <w:bottom w:val="single" w:sz="4" w:space="0" w:color="000000"/>
              <w:right w:val="single" w:sz="4" w:space="0" w:color="000000"/>
            </w:tcBorders>
            <w:shd w:val="clear" w:color="auto" w:fill="auto"/>
            <w:noWrap/>
            <w:vAlign w:val="bottom"/>
            <w:hideMark/>
          </w:tcPr>
          <w:p w14:paraId="454D177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nil"/>
              <w:left w:val="nil"/>
              <w:bottom w:val="single" w:sz="4" w:space="0" w:color="000000"/>
              <w:right w:val="single" w:sz="4" w:space="0" w:color="000000"/>
            </w:tcBorders>
            <w:shd w:val="clear" w:color="auto" w:fill="auto"/>
            <w:noWrap/>
            <w:vAlign w:val="bottom"/>
            <w:hideMark/>
          </w:tcPr>
          <w:p w14:paraId="398906F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16,000 </w:t>
            </w:r>
          </w:p>
        </w:tc>
        <w:tc>
          <w:tcPr>
            <w:tcW w:w="826" w:type="dxa"/>
            <w:tcBorders>
              <w:top w:val="nil"/>
              <w:left w:val="nil"/>
              <w:bottom w:val="single" w:sz="4" w:space="0" w:color="000000"/>
              <w:right w:val="single" w:sz="4" w:space="0" w:color="000000"/>
            </w:tcBorders>
            <w:shd w:val="clear" w:color="auto" w:fill="auto"/>
            <w:noWrap/>
            <w:vAlign w:val="bottom"/>
            <w:hideMark/>
          </w:tcPr>
          <w:p w14:paraId="58DD256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16,000 </w:t>
            </w:r>
          </w:p>
        </w:tc>
        <w:tc>
          <w:tcPr>
            <w:tcW w:w="864" w:type="dxa"/>
            <w:tcBorders>
              <w:top w:val="nil"/>
              <w:left w:val="nil"/>
              <w:bottom w:val="single" w:sz="4" w:space="0" w:color="000000"/>
              <w:right w:val="single" w:sz="4" w:space="0" w:color="000000"/>
            </w:tcBorders>
            <w:shd w:val="clear" w:color="auto" w:fill="auto"/>
            <w:noWrap/>
            <w:vAlign w:val="bottom"/>
            <w:hideMark/>
          </w:tcPr>
          <w:p w14:paraId="36F1651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14,000 </w:t>
            </w:r>
          </w:p>
        </w:tc>
        <w:tc>
          <w:tcPr>
            <w:tcW w:w="834" w:type="dxa"/>
            <w:tcBorders>
              <w:top w:val="nil"/>
              <w:left w:val="nil"/>
              <w:bottom w:val="single" w:sz="4" w:space="0" w:color="000000"/>
              <w:right w:val="single" w:sz="4" w:space="0" w:color="000000"/>
            </w:tcBorders>
            <w:shd w:val="clear" w:color="auto" w:fill="auto"/>
            <w:noWrap/>
            <w:vAlign w:val="bottom"/>
            <w:hideMark/>
          </w:tcPr>
          <w:p w14:paraId="65C020C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7" w:type="dxa"/>
            <w:tcBorders>
              <w:top w:val="nil"/>
              <w:left w:val="nil"/>
              <w:bottom w:val="single" w:sz="4" w:space="0" w:color="000000"/>
              <w:right w:val="single" w:sz="4" w:space="0" w:color="000000"/>
            </w:tcBorders>
            <w:shd w:val="clear" w:color="auto" w:fill="auto"/>
            <w:noWrap/>
            <w:vAlign w:val="bottom"/>
            <w:hideMark/>
          </w:tcPr>
          <w:p w14:paraId="16B69B6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7674BD3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46,000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778B0DE3"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68</w:t>
            </w:r>
          </w:p>
        </w:tc>
      </w:tr>
      <w:tr w:rsidR="007A7FA3" w:rsidRPr="007A7FA3" w14:paraId="35EC86F0" w14:textId="77777777" w:rsidTr="007A7FA3">
        <w:trPr>
          <w:trHeight w:val="240"/>
        </w:trPr>
        <w:tc>
          <w:tcPr>
            <w:tcW w:w="1086" w:type="dxa"/>
            <w:vMerge/>
            <w:tcBorders>
              <w:top w:val="nil"/>
              <w:left w:val="single" w:sz="8" w:space="0" w:color="auto"/>
              <w:bottom w:val="nil"/>
              <w:right w:val="single" w:sz="4" w:space="0" w:color="000000"/>
            </w:tcBorders>
            <w:vAlign w:val="center"/>
            <w:hideMark/>
          </w:tcPr>
          <w:p w14:paraId="2DC718CD"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4A0F3542"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447AF513"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3C18BA69"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1BB42630"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6929C352"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0237105D"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72100</w:t>
            </w:r>
          </w:p>
        </w:tc>
        <w:tc>
          <w:tcPr>
            <w:tcW w:w="1580" w:type="dxa"/>
            <w:tcBorders>
              <w:top w:val="nil"/>
              <w:left w:val="nil"/>
              <w:bottom w:val="single" w:sz="4" w:space="0" w:color="000000"/>
              <w:right w:val="single" w:sz="4" w:space="0" w:color="000000"/>
            </w:tcBorders>
            <w:shd w:val="clear" w:color="auto" w:fill="auto"/>
            <w:vAlign w:val="bottom"/>
            <w:hideMark/>
          </w:tcPr>
          <w:p w14:paraId="157B5EA9"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Contractual Services - Companies</w:t>
            </w:r>
          </w:p>
        </w:tc>
        <w:tc>
          <w:tcPr>
            <w:tcW w:w="694" w:type="dxa"/>
            <w:tcBorders>
              <w:top w:val="nil"/>
              <w:left w:val="nil"/>
              <w:bottom w:val="single" w:sz="4" w:space="0" w:color="000000"/>
              <w:right w:val="single" w:sz="4" w:space="0" w:color="000000"/>
            </w:tcBorders>
            <w:shd w:val="clear" w:color="auto" w:fill="auto"/>
            <w:noWrap/>
            <w:vAlign w:val="bottom"/>
            <w:hideMark/>
          </w:tcPr>
          <w:p w14:paraId="38EB269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nil"/>
              <w:left w:val="nil"/>
              <w:bottom w:val="single" w:sz="4" w:space="0" w:color="000000"/>
              <w:right w:val="single" w:sz="4" w:space="0" w:color="000000"/>
            </w:tcBorders>
            <w:shd w:val="clear" w:color="auto" w:fill="auto"/>
            <w:noWrap/>
            <w:vAlign w:val="bottom"/>
            <w:hideMark/>
          </w:tcPr>
          <w:p w14:paraId="3033DA8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16,000 </w:t>
            </w:r>
          </w:p>
        </w:tc>
        <w:tc>
          <w:tcPr>
            <w:tcW w:w="826" w:type="dxa"/>
            <w:tcBorders>
              <w:top w:val="nil"/>
              <w:left w:val="nil"/>
              <w:bottom w:val="single" w:sz="4" w:space="0" w:color="000000"/>
              <w:right w:val="single" w:sz="4" w:space="0" w:color="000000"/>
            </w:tcBorders>
            <w:shd w:val="clear" w:color="auto" w:fill="auto"/>
            <w:noWrap/>
            <w:vAlign w:val="bottom"/>
            <w:hideMark/>
          </w:tcPr>
          <w:p w14:paraId="5054247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15,000 </w:t>
            </w:r>
          </w:p>
        </w:tc>
        <w:tc>
          <w:tcPr>
            <w:tcW w:w="864" w:type="dxa"/>
            <w:tcBorders>
              <w:top w:val="nil"/>
              <w:left w:val="nil"/>
              <w:bottom w:val="single" w:sz="4" w:space="0" w:color="000000"/>
              <w:right w:val="single" w:sz="4" w:space="0" w:color="000000"/>
            </w:tcBorders>
            <w:shd w:val="clear" w:color="auto" w:fill="auto"/>
            <w:noWrap/>
            <w:vAlign w:val="bottom"/>
            <w:hideMark/>
          </w:tcPr>
          <w:p w14:paraId="4706FF5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11,000 </w:t>
            </w:r>
          </w:p>
        </w:tc>
        <w:tc>
          <w:tcPr>
            <w:tcW w:w="834" w:type="dxa"/>
            <w:tcBorders>
              <w:top w:val="nil"/>
              <w:left w:val="nil"/>
              <w:bottom w:val="single" w:sz="4" w:space="0" w:color="000000"/>
              <w:right w:val="single" w:sz="4" w:space="0" w:color="000000"/>
            </w:tcBorders>
            <w:shd w:val="clear" w:color="auto" w:fill="auto"/>
            <w:noWrap/>
            <w:vAlign w:val="bottom"/>
            <w:hideMark/>
          </w:tcPr>
          <w:p w14:paraId="727F2D0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7" w:type="dxa"/>
            <w:tcBorders>
              <w:top w:val="nil"/>
              <w:left w:val="nil"/>
              <w:bottom w:val="single" w:sz="4" w:space="0" w:color="000000"/>
              <w:right w:val="single" w:sz="4" w:space="0" w:color="000000"/>
            </w:tcBorders>
            <w:shd w:val="clear" w:color="auto" w:fill="auto"/>
            <w:noWrap/>
            <w:vAlign w:val="bottom"/>
            <w:hideMark/>
          </w:tcPr>
          <w:p w14:paraId="13EE959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42EDC96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42,000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37543E73"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69</w:t>
            </w:r>
          </w:p>
        </w:tc>
      </w:tr>
      <w:tr w:rsidR="007A7FA3" w:rsidRPr="007A7FA3" w14:paraId="5C62ED08" w14:textId="77777777" w:rsidTr="007A7FA3">
        <w:trPr>
          <w:trHeight w:val="315"/>
        </w:trPr>
        <w:tc>
          <w:tcPr>
            <w:tcW w:w="1086" w:type="dxa"/>
            <w:vMerge/>
            <w:tcBorders>
              <w:top w:val="nil"/>
              <w:left w:val="single" w:sz="8" w:space="0" w:color="auto"/>
              <w:bottom w:val="nil"/>
              <w:right w:val="single" w:sz="4" w:space="0" w:color="000000"/>
            </w:tcBorders>
            <w:vAlign w:val="center"/>
            <w:hideMark/>
          </w:tcPr>
          <w:p w14:paraId="4E0171C4"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2876381B"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5A533DB9"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4673BAD9"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60D3EC19"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3D15700C"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7A784496"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72400</w:t>
            </w:r>
          </w:p>
        </w:tc>
        <w:tc>
          <w:tcPr>
            <w:tcW w:w="1580" w:type="dxa"/>
            <w:tcBorders>
              <w:top w:val="nil"/>
              <w:left w:val="nil"/>
              <w:bottom w:val="single" w:sz="4" w:space="0" w:color="000000"/>
              <w:right w:val="single" w:sz="4" w:space="0" w:color="000000"/>
            </w:tcBorders>
            <w:shd w:val="clear" w:color="auto" w:fill="auto"/>
            <w:vAlign w:val="bottom"/>
            <w:hideMark/>
          </w:tcPr>
          <w:p w14:paraId="72EC3297"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Communic &amp; Audio Visual Equip</w:t>
            </w:r>
          </w:p>
        </w:tc>
        <w:tc>
          <w:tcPr>
            <w:tcW w:w="694" w:type="dxa"/>
            <w:tcBorders>
              <w:top w:val="nil"/>
              <w:left w:val="nil"/>
              <w:bottom w:val="single" w:sz="4" w:space="0" w:color="000000"/>
              <w:right w:val="single" w:sz="4" w:space="0" w:color="000000"/>
            </w:tcBorders>
            <w:shd w:val="clear" w:color="auto" w:fill="auto"/>
            <w:noWrap/>
            <w:vAlign w:val="bottom"/>
            <w:hideMark/>
          </w:tcPr>
          <w:p w14:paraId="6A5DADA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nil"/>
              <w:left w:val="nil"/>
              <w:bottom w:val="single" w:sz="4" w:space="0" w:color="000000"/>
              <w:right w:val="single" w:sz="4" w:space="0" w:color="000000"/>
            </w:tcBorders>
            <w:shd w:val="clear" w:color="auto" w:fill="auto"/>
            <w:noWrap/>
            <w:vAlign w:val="bottom"/>
            <w:hideMark/>
          </w:tcPr>
          <w:p w14:paraId="26DD02E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8,000 </w:t>
            </w:r>
          </w:p>
        </w:tc>
        <w:tc>
          <w:tcPr>
            <w:tcW w:w="826" w:type="dxa"/>
            <w:tcBorders>
              <w:top w:val="nil"/>
              <w:left w:val="nil"/>
              <w:bottom w:val="single" w:sz="4" w:space="0" w:color="000000"/>
              <w:right w:val="single" w:sz="4" w:space="0" w:color="000000"/>
            </w:tcBorders>
            <w:shd w:val="clear" w:color="auto" w:fill="auto"/>
            <w:noWrap/>
            <w:vAlign w:val="bottom"/>
            <w:hideMark/>
          </w:tcPr>
          <w:p w14:paraId="07C4C96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6,000 </w:t>
            </w:r>
          </w:p>
        </w:tc>
        <w:tc>
          <w:tcPr>
            <w:tcW w:w="864" w:type="dxa"/>
            <w:tcBorders>
              <w:top w:val="nil"/>
              <w:left w:val="nil"/>
              <w:bottom w:val="single" w:sz="4" w:space="0" w:color="000000"/>
              <w:right w:val="single" w:sz="4" w:space="0" w:color="000000"/>
            </w:tcBorders>
            <w:shd w:val="clear" w:color="auto" w:fill="auto"/>
            <w:noWrap/>
            <w:vAlign w:val="bottom"/>
            <w:hideMark/>
          </w:tcPr>
          <w:p w14:paraId="236E854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5,000 </w:t>
            </w:r>
          </w:p>
        </w:tc>
        <w:tc>
          <w:tcPr>
            <w:tcW w:w="834" w:type="dxa"/>
            <w:tcBorders>
              <w:top w:val="nil"/>
              <w:left w:val="nil"/>
              <w:bottom w:val="single" w:sz="4" w:space="0" w:color="000000"/>
              <w:right w:val="single" w:sz="4" w:space="0" w:color="000000"/>
            </w:tcBorders>
            <w:shd w:val="clear" w:color="auto" w:fill="auto"/>
            <w:noWrap/>
            <w:vAlign w:val="bottom"/>
            <w:hideMark/>
          </w:tcPr>
          <w:p w14:paraId="61FCA68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7" w:type="dxa"/>
            <w:tcBorders>
              <w:top w:val="nil"/>
              <w:left w:val="nil"/>
              <w:bottom w:val="single" w:sz="4" w:space="0" w:color="000000"/>
              <w:right w:val="single" w:sz="4" w:space="0" w:color="000000"/>
            </w:tcBorders>
            <w:shd w:val="clear" w:color="auto" w:fill="auto"/>
            <w:noWrap/>
            <w:vAlign w:val="bottom"/>
            <w:hideMark/>
          </w:tcPr>
          <w:p w14:paraId="348C59F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0763131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19,000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7EDF6CEE"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70</w:t>
            </w:r>
          </w:p>
        </w:tc>
      </w:tr>
      <w:tr w:rsidR="007A7FA3" w:rsidRPr="007A7FA3" w14:paraId="4601A03C" w14:textId="77777777" w:rsidTr="007A7FA3">
        <w:trPr>
          <w:trHeight w:val="240"/>
        </w:trPr>
        <w:tc>
          <w:tcPr>
            <w:tcW w:w="1086" w:type="dxa"/>
            <w:vMerge/>
            <w:tcBorders>
              <w:top w:val="nil"/>
              <w:left w:val="single" w:sz="8" w:space="0" w:color="auto"/>
              <w:bottom w:val="nil"/>
              <w:right w:val="single" w:sz="4" w:space="0" w:color="000000"/>
            </w:tcBorders>
            <w:vAlign w:val="center"/>
            <w:hideMark/>
          </w:tcPr>
          <w:p w14:paraId="5A2C2E70"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6BFE530E"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16C52E29" w14:textId="77777777" w:rsidR="007A7FA3" w:rsidRPr="007A7FA3" w:rsidRDefault="007A7FA3" w:rsidP="007A7FA3">
            <w:pPr>
              <w:rPr>
                <w:rFonts w:ascii="Calibri" w:hAnsi="Calibri" w:cs="Calibri"/>
                <w:i/>
                <w:iCs/>
                <w:color w:val="000000"/>
                <w:sz w:val="13"/>
                <w:szCs w:val="13"/>
              </w:rPr>
            </w:pPr>
          </w:p>
        </w:tc>
        <w:tc>
          <w:tcPr>
            <w:tcW w:w="3763" w:type="dxa"/>
            <w:gridSpan w:val="5"/>
            <w:tcBorders>
              <w:top w:val="single" w:sz="4" w:space="0" w:color="000000"/>
              <w:left w:val="nil"/>
              <w:bottom w:val="single" w:sz="4" w:space="0" w:color="000000"/>
              <w:right w:val="single" w:sz="4" w:space="0" w:color="000000"/>
            </w:tcBorders>
            <w:shd w:val="clear" w:color="auto" w:fill="auto"/>
            <w:vAlign w:val="center"/>
            <w:hideMark/>
          </w:tcPr>
          <w:p w14:paraId="258887EE"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Total BCC</w:t>
            </w:r>
          </w:p>
        </w:tc>
        <w:tc>
          <w:tcPr>
            <w:tcW w:w="694" w:type="dxa"/>
            <w:tcBorders>
              <w:top w:val="nil"/>
              <w:left w:val="nil"/>
              <w:bottom w:val="single" w:sz="4" w:space="0" w:color="000000"/>
              <w:right w:val="single" w:sz="4" w:space="0" w:color="000000"/>
            </w:tcBorders>
            <w:shd w:val="clear" w:color="auto" w:fill="auto"/>
            <w:noWrap/>
            <w:vAlign w:val="bottom"/>
            <w:hideMark/>
          </w:tcPr>
          <w:p w14:paraId="01D36F4F"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05" w:type="dxa"/>
            <w:tcBorders>
              <w:top w:val="nil"/>
              <w:left w:val="nil"/>
              <w:bottom w:val="single" w:sz="4" w:space="0" w:color="000000"/>
              <w:right w:val="single" w:sz="4" w:space="0" w:color="000000"/>
            </w:tcBorders>
            <w:shd w:val="clear" w:color="auto" w:fill="auto"/>
            <w:noWrap/>
            <w:vAlign w:val="bottom"/>
            <w:hideMark/>
          </w:tcPr>
          <w:p w14:paraId="2761E5DE"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70,000 </w:t>
            </w:r>
          </w:p>
        </w:tc>
        <w:tc>
          <w:tcPr>
            <w:tcW w:w="826" w:type="dxa"/>
            <w:tcBorders>
              <w:top w:val="nil"/>
              <w:left w:val="nil"/>
              <w:bottom w:val="single" w:sz="4" w:space="0" w:color="000000"/>
              <w:right w:val="single" w:sz="4" w:space="0" w:color="000000"/>
            </w:tcBorders>
            <w:shd w:val="clear" w:color="auto" w:fill="auto"/>
            <w:noWrap/>
            <w:vAlign w:val="bottom"/>
            <w:hideMark/>
          </w:tcPr>
          <w:p w14:paraId="71BC4A04"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68,000 </w:t>
            </w:r>
          </w:p>
        </w:tc>
        <w:tc>
          <w:tcPr>
            <w:tcW w:w="864" w:type="dxa"/>
            <w:tcBorders>
              <w:top w:val="nil"/>
              <w:left w:val="nil"/>
              <w:bottom w:val="single" w:sz="4" w:space="0" w:color="000000"/>
              <w:right w:val="single" w:sz="4" w:space="0" w:color="000000"/>
            </w:tcBorders>
            <w:shd w:val="clear" w:color="auto" w:fill="auto"/>
            <w:noWrap/>
            <w:vAlign w:val="bottom"/>
            <w:hideMark/>
          </w:tcPr>
          <w:p w14:paraId="5F708086"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62,000 </w:t>
            </w:r>
          </w:p>
        </w:tc>
        <w:tc>
          <w:tcPr>
            <w:tcW w:w="834" w:type="dxa"/>
            <w:tcBorders>
              <w:top w:val="nil"/>
              <w:left w:val="nil"/>
              <w:bottom w:val="single" w:sz="4" w:space="0" w:color="000000"/>
              <w:right w:val="single" w:sz="4" w:space="0" w:color="000000"/>
            </w:tcBorders>
            <w:shd w:val="clear" w:color="auto" w:fill="auto"/>
            <w:noWrap/>
            <w:vAlign w:val="bottom"/>
            <w:hideMark/>
          </w:tcPr>
          <w:p w14:paraId="79FF854B"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27" w:type="dxa"/>
            <w:tcBorders>
              <w:top w:val="nil"/>
              <w:left w:val="nil"/>
              <w:bottom w:val="single" w:sz="4" w:space="0" w:color="000000"/>
              <w:right w:val="single" w:sz="4" w:space="0" w:color="000000"/>
            </w:tcBorders>
            <w:shd w:val="clear" w:color="auto" w:fill="auto"/>
            <w:noWrap/>
            <w:vAlign w:val="bottom"/>
            <w:hideMark/>
          </w:tcPr>
          <w:p w14:paraId="5AA98EAC"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980" w:type="dxa"/>
            <w:tcBorders>
              <w:top w:val="single" w:sz="8" w:space="0" w:color="000000"/>
              <w:left w:val="nil"/>
              <w:bottom w:val="single" w:sz="4" w:space="0" w:color="000000"/>
              <w:right w:val="nil"/>
            </w:tcBorders>
            <w:shd w:val="clear" w:color="auto" w:fill="auto"/>
            <w:noWrap/>
            <w:vAlign w:val="bottom"/>
            <w:hideMark/>
          </w:tcPr>
          <w:p w14:paraId="35D34336"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200,000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04C64996"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0F2A6279" w14:textId="77777777" w:rsidTr="007A7FA3">
        <w:trPr>
          <w:trHeight w:val="300"/>
        </w:trPr>
        <w:tc>
          <w:tcPr>
            <w:tcW w:w="1086" w:type="dxa"/>
            <w:vMerge/>
            <w:tcBorders>
              <w:top w:val="nil"/>
              <w:left w:val="single" w:sz="8" w:space="0" w:color="auto"/>
              <w:bottom w:val="nil"/>
              <w:right w:val="single" w:sz="4" w:space="0" w:color="000000"/>
            </w:tcBorders>
            <w:vAlign w:val="center"/>
            <w:hideMark/>
          </w:tcPr>
          <w:p w14:paraId="476D0619"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3C8FC0ED" w14:textId="77777777" w:rsidR="007A7FA3" w:rsidRPr="007A7FA3" w:rsidRDefault="007A7FA3" w:rsidP="007A7FA3">
            <w:pPr>
              <w:rPr>
                <w:rFonts w:ascii="Calibri" w:hAnsi="Calibri" w:cs="Calibri"/>
                <w:i/>
                <w:iCs/>
                <w:color w:val="000000"/>
                <w:sz w:val="13"/>
                <w:szCs w:val="13"/>
              </w:rPr>
            </w:pPr>
          </w:p>
        </w:tc>
        <w:tc>
          <w:tcPr>
            <w:tcW w:w="5779" w:type="dxa"/>
            <w:gridSpan w:val="6"/>
            <w:tcBorders>
              <w:top w:val="nil"/>
              <w:left w:val="nil"/>
              <w:bottom w:val="single" w:sz="4" w:space="0" w:color="000000"/>
              <w:right w:val="single" w:sz="4" w:space="0" w:color="000000"/>
            </w:tcBorders>
            <w:shd w:val="clear" w:color="auto" w:fill="auto"/>
            <w:vAlign w:val="center"/>
            <w:hideMark/>
          </w:tcPr>
          <w:p w14:paraId="71E927C0" w14:textId="77777777" w:rsidR="007A7FA3" w:rsidRPr="007A7FA3" w:rsidRDefault="007A7FA3" w:rsidP="007A7FA3">
            <w:pPr>
              <w:rPr>
                <w:rFonts w:ascii="Calibri" w:hAnsi="Calibri" w:cs="Calibri"/>
                <w:b/>
                <w:bCs/>
                <w:i/>
                <w:iCs/>
                <w:color w:val="000000"/>
                <w:sz w:val="13"/>
                <w:szCs w:val="13"/>
              </w:rPr>
            </w:pPr>
            <w:r w:rsidRPr="007A7FA3">
              <w:rPr>
                <w:rFonts w:ascii="Calibri" w:hAnsi="Calibri" w:cs="Calibri"/>
                <w:b/>
                <w:bCs/>
                <w:i/>
                <w:iCs/>
                <w:color w:val="000000"/>
                <w:sz w:val="13"/>
                <w:szCs w:val="13"/>
              </w:rPr>
              <w:t>Total Output 2.2.2</w:t>
            </w:r>
          </w:p>
        </w:tc>
        <w:tc>
          <w:tcPr>
            <w:tcW w:w="694" w:type="dxa"/>
            <w:tcBorders>
              <w:top w:val="nil"/>
              <w:left w:val="nil"/>
              <w:bottom w:val="single" w:sz="4" w:space="0" w:color="000000"/>
              <w:right w:val="single" w:sz="4" w:space="0" w:color="000000"/>
            </w:tcBorders>
            <w:shd w:val="clear" w:color="auto" w:fill="auto"/>
            <w:noWrap/>
            <w:vAlign w:val="bottom"/>
            <w:hideMark/>
          </w:tcPr>
          <w:p w14:paraId="18A6E0EC"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05" w:type="dxa"/>
            <w:tcBorders>
              <w:top w:val="nil"/>
              <w:left w:val="nil"/>
              <w:bottom w:val="single" w:sz="4" w:space="0" w:color="000000"/>
              <w:right w:val="single" w:sz="4" w:space="0" w:color="000000"/>
            </w:tcBorders>
            <w:shd w:val="clear" w:color="auto" w:fill="auto"/>
            <w:noWrap/>
            <w:vAlign w:val="bottom"/>
            <w:hideMark/>
          </w:tcPr>
          <w:p w14:paraId="550F6E10"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70,000 </w:t>
            </w:r>
          </w:p>
        </w:tc>
        <w:tc>
          <w:tcPr>
            <w:tcW w:w="826" w:type="dxa"/>
            <w:tcBorders>
              <w:top w:val="nil"/>
              <w:left w:val="nil"/>
              <w:bottom w:val="single" w:sz="4" w:space="0" w:color="000000"/>
              <w:right w:val="single" w:sz="4" w:space="0" w:color="000000"/>
            </w:tcBorders>
            <w:shd w:val="clear" w:color="auto" w:fill="auto"/>
            <w:noWrap/>
            <w:vAlign w:val="bottom"/>
            <w:hideMark/>
          </w:tcPr>
          <w:p w14:paraId="4BFE3BB8"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68,000 </w:t>
            </w:r>
          </w:p>
        </w:tc>
        <w:tc>
          <w:tcPr>
            <w:tcW w:w="864" w:type="dxa"/>
            <w:tcBorders>
              <w:top w:val="nil"/>
              <w:left w:val="nil"/>
              <w:bottom w:val="single" w:sz="4" w:space="0" w:color="000000"/>
              <w:right w:val="single" w:sz="4" w:space="0" w:color="000000"/>
            </w:tcBorders>
            <w:shd w:val="clear" w:color="auto" w:fill="auto"/>
            <w:noWrap/>
            <w:vAlign w:val="bottom"/>
            <w:hideMark/>
          </w:tcPr>
          <w:p w14:paraId="7345EEDD"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62,000 </w:t>
            </w:r>
          </w:p>
        </w:tc>
        <w:tc>
          <w:tcPr>
            <w:tcW w:w="834" w:type="dxa"/>
            <w:tcBorders>
              <w:top w:val="nil"/>
              <w:left w:val="nil"/>
              <w:bottom w:val="single" w:sz="4" w:space="0" w:color="000000"/>
              <w:right w:val="single" w:sz="4" w:space="0" w:color="000000"/>
            </w:tcBorders>
            <w:shd w:val="clear" w:color="auto" w:fill="auto"/>
            <w:noWrap/>
            <w:vAlign w:val="bottom"/>
            <w:hideMark/>
          </w:tcPr>
          <w:p w14:paraId="5CE97923"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27" w:type="dxa"/>
            <w:tcBorders>
              <w:top w:val="nil"/>
              <w:left w:val="nil"/>
              <w:bottom w:val="single" w:sz="4" w:space="0" w:color="000000"/>
              <w:right w:val="single" w:sz="4" w:space="0" w:color="000000"/>
            </w:tcBorders>
            <w:shd w:val="clear" w:color="auto" w:fill="auto"/>
            <w:noWrap/>
            <w:vAlign w:val="bottom"/>
            <w:hideMark/>
          </w:tcPr>
          <w:p w14:paraId="03D92071"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980" w:type="dxa"/>
            <w:tcBorders>
              <w:top w:val="nil"/>
              <w:left w:val="nil"/>
              <w:bottom w:val="single" w:sz="4" w:space="0" w:color="000000"/>
              <w:right w:val="nil"/>
            </w:tcBorders>
            <w:shd w:val="clear" w:color="auto" w:fill="auto"/>
            <w:noWrap/>
            <w:vAlign w:val="bottom"/>
            <w:hideMark/>
          </w:tcPr>
          <w:p w14:paraId="3BBE31AB"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200,000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0A8443D1"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039DBD04" w14:textId="77777777" w:rsidTr="007A7FA3">
        <w:trPr>
          <w:trHeight w:val="285"/>
        </w:trPr>
        <w:tc>
          <w:tcPr>
            <w:tcW w:w="1086" w:type="dxa"/>
            <w:vMerge/>
            <w:tcBorders>
              <w:top w:val="nil"/>
              <w:left w:val="single" w:sz="8" w:space="0" w:color="auto"/>
              <w:bottom w:val="nil"/>
              <w:right w:val="single" w:sz="4" w:space="0" w:color="000000"/>
            </w:tcBorders>
            <w:vAlign w:val="center"/>
            <w:hideMark/>
          </w:tcPr>
          <w:p w14:paraId="6810829D"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5C6FA5E3" w14:textId="77777777" w:rsidR="007A7FA3" w:rsidRPr="007A7FA3" w:rsidRDefault="007A7FA3" w:rsidP="007A7FA3">
            <w:pPr>
              <w:rPr>
                <w:rFonts w:ascii="Calibri" w:hAnsi="Calibri" w:cs="Calibri"/>
                <w:i/>
                <w:iCs/>
                <w:color w:val="000000"/>
                <w:sz w:val="13"/>
                <w:szCs w:val="13"/>
              </w:rPr>
            </w:pPr>
          </w:p>
        </w:tc>
        <w:tc>
          <w:tcPr>
            <w:tcW w:w="2016" w:type="dxa"/>
            <w:vMerge w:val="restart"/>
            <w:tcBorders>
              <w:top w:val="nil"/>
              <w:left w:val="nil"/>
              <w:bottom w:val="single" w:sz="4" w:space="0" w:color="000000"/>
              <w:right w:val="single" w:sz="4" w:space="0" w:color="000000"/>
            </w:tcBorders>
            <w:shd w:val="clear" w:color="auto" w:fill="auto"/>
            <w:vAlign w:val="center"/>
            <w:hideMark/>
          </w:tcPr>
          <w:p w14:paraId="423BE209"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2.2.3: New climate resilient markets identified, explored and viable ones engaged</w:t>
            </w:r>
          </w:p>
        </w:tc>
        <w:tc>
          <w:tcPr>
            <w:tcW w:w="631" w:type="dxa"/>
            <w:vMerge w:val="restart"/>
            <w:tcBorders>
              <w:top w:val="nil"/>
              <w:left w:val="nil"/>
              <w:bottom w:val="nil"/>
              <w:right w:val="nil"/>
            </w:tcBorders>
            <w:shd w:val="clear" w:color="auto" w:fill="auto"/>
            <w:vAlign w:val="center"/>
            <w:hideMark/>
          </w:tcPr>
          <w:p w14:paraId="0E5B54AE"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BCC</w:t>
            </w:r>
          </w:p>
        </w:tc>
        <w:tc>
          <w:tcPr>
            <w:tcW w:w="504" w:type="dxa"/>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60CC4FC8"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val="restart"/>
            <w:tcBorders>
              <w:top w:val="nil"/>
              <w:left w:val="single" w:sz="4" w:space="0" w:color="000000"/>
              <w:bottom w:val="nil"/>
              <w:right w:val="nil"/>
            </w:tcBorders>
            <w:shd w:val="clear" w:color="auto" w:fill="auto"/>
            <w:vAlign w:val="center"/>
            <w:hideMark/>
          </w:tcPr>
          <w:p w14:paraId="191D8AD1"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w:t>
            </w:r>
          </w:p>
        </w:tc>
        <w:tc>
          <w:tcPr>
            <w:tcW w:w="544" w:type="dxa"/>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1D6341A1"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71200</w:t>
            </w:r>
          </w:p>
        </w:tc>
        <w:tc>
          <w:tcPr>
            <w:tcW w:w="1580" w:type="dxa"/>
            <w:tcBorders>
              <w:top w:val="single" w:sz="8" w:space="0" w:color="000000"/>
              <w:left w:val="nil"/>
              <w:bottom w:val="single" w:sz="4" w:space="0" w:color="000000"/>
              <w:right w:val="single" w:sz="4" w:space="0" w:color="000000"/>
            </w:tcBorders>
            <w:shd w:val="clear" w:color="auto" w:fill="auto"/>
            <w:vAlign w:val="bottom"/>
            <w:hideMark/>
          </w:tcPr>
          <w:p w14:paraId="03D97ED4"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International Consultants</w:t>
            </w:r>
          </w:p>
        </w:tc>
        <w:tc>
          <w:tcPr>
            <w:tcW w:w="694" w:type="dxa"/>
            <w:tcBorders>
              <w:top w:val="single" w:sz="8" w:space="0" w:color="000000"/>
              <w:left w:val="nil"/>
              <w:bottom w:val="single" w:sz="4" w:space="0" w:color="000000"/>
              <w:right w:val="single" w:sz="4" w:space="0" w:color="000000"/>
            </w:tcBorders>
            <w:shd w:val="clear" w:color="auto" w:fill="auto"/>
            <w:noWrap/>
            <w:vAlign w:val="bottom"/>
            <w:hideMark/>
          </w:tcPr>
          <w:p w14:paraId="49E34D7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single" w:sz="8" w:space="0" w:color="000000"/>
              <w:left w:val="nil"/>
              <w:bottom w:val="single" w:sz="4" w:space="0" w:color="000000"/>
              <w:right w:val="single" w:sz="4" w:space="0" w:color="000000"/>
            </w:tcBorders>
            <w:shd w:val="clear" w:color="auto" w:fill="auto"/>
            <w:noWrap/>
            <w:vAlign w:val="bottom"/>
            <w:hideMark/>
          </w:tcPr>
          <w:p w14:paraId="30201F9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6" w:type="dxa"/>
            <w:tcBorders>
              <w:top w:val="single" w:sz="8" w:space="0" w:color="000000"/>
              <w:left w:val="nil"/>
              <w:bottom w:val="single" w:sz="4" w:space="0" w:color="000000"/>
              <w:right w:val="single" w:sz="4" w:space="0" w:color="000000"/>
            </w:tcBorders>
            <w:shd w:val="clear" w:color="auto" w:fill="auto"/>
            <w:noWrap/>
            <w:vAlign w:val="bottom"/>
            <w:hideMark/>
          </w:tcPr>
          <w:p w14:paraId="5B685DE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35,000 </w:t>
            </w:r>
          </w:p>
        </w:tc>
        <w:tc>
          <w:tcPr>
            <w:tcW w:w="864" w:type="dxa"/>
            <w:tcBorders>
              <w:top w:val="single" w:sz="8" w:space="0" w:color="000000"/>
              <w:left w:val="nil"/>
              <w:bottom w:val="single" w:sz="4" w:space="0" w:color="000000"/>
              <w:right w:val="single" w:sz="4" w:space="0" w:color="000000"/>
            </w:tcBorders>
            <w:shd w:val="clear" w:color="auto" w:fill="auto"/>
            <w:noWrap/>
            <w:vAlign w:val="bottom"/>
            <w:hideMark/>
          </w:tcPr>
          <w:p w14:paraId="4DE88C9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20,000 </w:t>
            </w:r>
          </w:p>
        </w:tc>
        <w:tc>
          <w:tcPr>
            <w:tcW w:w="834" w:type="dxa"/>
            <w:tcBorders>
              <w:top w:val="single" w:sz="8" w:space="0" w:color="000000"/>
              <w:left w:val="nil"/>
              <w:bottom w:val="single" w:sz="4" w:space="0" w:color="000000"/>
              <w:right w:val="single" w:sz="4" w:space="0" w:color="000000"/>
            </w:tcBorders>
            <w:shd w:val="clear" w:color="auto" w:fill="auto"/>
            <w:noWrap/>
            <w:vAlign w:val="bottom"/>
            <w:hideMark/>
          </w:tcPr>
          <w:p w14:paraId="6D67475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18,000 </w:t>
            </w:r>
          </w:p>
        </w:tc>
        <w:tc>
          <w:tcPr>
            <w:tcW w:w="827" w:type="dxa"/>
            <w:tcBorders>
              <w:top w:val="single" w:sz="8" w:space="0" w:color="000000"/>
              <w:left w:val="nil"/>
              <w:bottom w:val="single" w:sz="4" w:space="0" w:color="000000"/>
              <w:right w:val="single" w:sz="4" w:space="0" w:color="000000"/>
            </w:tcBorders>
            <w:shd w:val="clear" w:color="auto" w:fill="auto"/>
            <w:noWrap/>
            <w:vAlign w:val="bottom"/>
            <w:hideMark/>
          </w:tcPr>
          <w:p w14:paraId="2E299CF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0D76A19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73,000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1B22081B"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71</w:t>
            </w:r>
          </w:p>
        </w:tc>
      </w:tr>
      <w:tr w:rsidR="007A7FA3" w:rsidRPr="007A7FA3" w14:paraId="0504C8D7" w14:textId="77777777" w:rsidTr="007A7FA3">
        <w:trPr>
          <w:trHeight w:val="240"/>
        </w:trPr>
        <w:tc>
          <w:tcPr>
            <w:tcW w:w="1086" w:type="dxa"/>
            <w:vMerge/>
            <w:tcBorders>
              <w:top w:val="nil"/>
              <w:left w:val="single" w:sz="8" w:space="0" w:color="auto"/>
              <w:bottom w:val="nil"/>
              <w:right w:val="single" w:sz="4" w:space="0" w:color="000000"/>
            </w:tcBorders>
            <w:vAlign w:val="center"/>
            <w:hideMark/>
          </w:tcPr>
          <w:p w14:paraId="556907B0"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3958BE7C"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1C9062D5"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6A2C394D"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3D9F3A74"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20925B2B"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29C05119"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71800</w:t>
            </w:r>
          </w:p>
        </w:tc>
        <w:tc>
          <w:tcPr>
            <w:tcW w:w="1580" w:type="dxa"/>
            <w:tcBorders>
              <w:top w:val="nil"/>
              <w:left w:val="nil"/>
              <w:bottom w:val="single" w:sz="4" w:space="0" w:color="000000"/>
              <w:right w:val="single" w:sz="4" w:space="0" w:color="000000"/>
            </w:tcBorders>
            <w:shd w:val="clear" w:color="auto" w:fill="auto"/>
            <w:vAlign w:val="bottom"/>
            <w:hideMark/>
          </w:tcPr>
          <w:p w14:paraId="51F3E2B4"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Contractual Services - Individuals</w:t>
            </w:r>
          </w:p>
        </w:tc>
        <w:tc>
          <w:tcPr>
            <w:tcW w:w="694" w:type="dxa"/>
            <w:tcBorders>
              <w:top w:val="nil"/>
              <w:left w:val="nil"/>
              <w:bottom w:val="single" w:sz="4" w:space="0" w:color="000000"/>
              <w:right w:val="single" w:sz="4" w:space="0" w:color="000000"/>
            </w:tcBorders>
            <w:shd w:val="clear" w:color="auto" w:fill="auto"/>
            <w:noWrap/>
            <w:vAlign w:val="bottom"/>
            <w:hideMark/>
          </w:tcPr>
          <w:p w14:paraId="144CFD3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nil"/>
              <w:left w:val="nil"/>
              <w:bottom w:val="single" w:sz="4" w:space="0" w:color="000000"/>
              <w:right w:val="single" w:sz="4" w:space="0" w:color="000000"/>
            </w:tcBorders>
            <w:shd w:val="clear" w:color="auto" w:fill="auto"/>
            <w:noWrap/>
            <w:vAlign w:val="bottom"/>
            <w:hideMark/>
          </w:tcPr>
          <w:p w14:paraId="689A068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6" w:type="dxa"/>
            <w:tcBorders>
              <w:top w:val="nil"/>
              <w:left w:val="nil"/>
              <w:bottom w:val="single" w:sz="4" w:space="0" w:color="000000"/>
              <w:right w:val="single" w:sz="4" w:space="0" w:color="000000"/>
            </w:tcBorders>
            <w:shd w:val="clear" w:color="auto" w:fill="auto"/>
            <w:noWrap/>
            <w:vAlign w:val="bottom"/>
            <w:hideMark/>
          </w:tcPr>
          <w:p w14:paraId="77FA79E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32,000 </w:t>
            </w:r>
          </w:p>
        </w:tc>
        <w:tc>
          <w:tcPr>
            <w:tcW w:w="864" w:type="dxa"/>
            <w:tcBorders>
              <w:top w:val="nil"/>
              <w:left w:val="nil"/>
              <w:bottom w:val="single" w:sz="4" w:space="0" w:color="000000"/>
              <w:right w:val="single" w:sz="4" w:space="0" w:color="000000"/>
            </w:tcBorders>
            <w:shd w:val="clear" w:color="auto" w:fill="auto"/>
            <w:noWrap/>
            <w:vAlign w:val="bottom"/>
            <w:hideMark/>
          </w:tcPr>
          <w:p w14:paraId="5F23B0F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33,000 </w:t>
            </w:r>
          </w:p>
        </w:tc>
        <w:tc>
          <w:tcPr>
            <w:tcW w:w="834" w:type="dxa"/>
            <w:tcBorders>
              <w:top w:val="nil"/>
              <w:left w:val="nil"/>
              <w:bottom w:val="single" w:sz="4" w:space="0" w:color="000000"/>
              <w:right w:val="single" w:sz="4" w:space="0" w:color="000000"/>
            </w:tcBorders>
            <w:shd w:val="clear" w:color="auto" w:fill="auto"/>
            <w:noWrap/>
            <w:vAlign w:val="bottom"/>
            <w:hideMark/>
          </w:tcPr>
          <w:p w14:paraId="7747EA8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18,000 </w:t>
            </w:r>
          </w:p>
        </w:tc>
        <w:tc>
          <w:tcPr>
            <w:tcW w:w="827" w:type="dxa"/>
            <w:tcBorders>
              <w:top w:val="nil"/>
              <w:left w:val="nil"/>
              <w:bottom w:val="single" w:sz="4" w:space="0" w:color="000000"/>
              <w:right w:val="single" w:sz="4" w:space="0" w:color="000000"/>
            </w:tcBorders>
            <w:shd w:val="clear" w:color="auto" w:fill="auto"/>
            <w:noWrap/>
            <w:vAlign w:val="bottom"/>
            <w:hideMark/>
          </w:tcPr>
          <w:p w14:paraId="1CFD739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42476DC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83,000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494C0912"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72</w:t>
            </w:r>
          </w:p>
        </w:tc>
      </w:tr>
      <w:tr w:rsidR="007A7FA3" w:rsidRPr="007A7FA3" w14:paraId="7718D5A6" w14:textId="77777777" w:rsidTr="007A7FA3">
        <w:trPr>
          <w:trHeight w:val="300"/>
        </w:trPr>
        <w:tc>
          <w:tcPr>
            <w:tcW w:w="1086" w:type="dxa"/>
            <w:vMerge/>
            <w:tcBorders>
              <w:top w:val="nil"/>
              <w:left w:val="single" w:sz="8" w:space="0" w:color="auto"/>
              <w:bottom w:val="nil"/>
              <w:right w:val="single" w:sz="4" w:space="0" w:color="000000"/>
            </w:tcBorders>
            <w:vAlign w:val="center"/>
            <w:hideMark/>
          </w:tcPr>
          <w:p w14:paraId="239996A8"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5635677F"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59D06361"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2A815DD3"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3FF93C79"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5791B91C"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0C774822"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71600</w:t>
            </w:r>
          </w:p>
        </w:tc>
        <w:tc>
          <w:tcPr>
            <w:tcW w:w="1580" w:type="dxa"/>
            <w:tcBorders>
              <w:top w:val="nil"/>
              <w:left w:val="nil"/>
              <w:bottom w:val="single" w:sz="4" w:space="0" w:color="000000"/>
              <w:right w:val="single" w:sz="4" w:space="0" w:color="000000"/>
            </w:tcBorders>
            <w:shd w:val="clear" w:color="auto" w:fill="auto"/>
            <w:vAlign w:val="bottom"/>
            <w:hideMark/>
          </w:tcPr>
          <w:p w14:paraId="5716F57A"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Travel</w:t>
            </w:r>
          </w:p>
        </w:tc>
        <w:tc>
          <w:tcPr>
            <w:tcW w:w="694" w:type="dxa"/>
            <w:tcBorders>
              <w:top w:val="nil"/>
              <w:left w:val="nil"/>
              <w:bottom w:val="single" w:sz="4" w:space="0" w:color="000000"/>
              <w:right w:val="single" w:sz="4" w:space="0" w:color="000000"/>
            </w:tcBorders>
            <w:shd w:val="clear" w:color="auto" w:fill="auto"/>
            <w:noWrap/>
            <w:vAlign w:val="bottom"/>
            <w:hideMark/>
          </w:tcPr>
          <w:p w14:paraId="26D41AD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nil"/>
              <w:left w:val="nil"/>
              <w:bottom w:val="single" w:sz="4" w:space="0" w:color="000000"/>
              <w:right w:val="single" w:sz="4" w:space="0" w:color="000000"/>
            </w:tcBorders>
            <w:shd w:val="clear" w:color="auto" w:fill="auto"/>
            <w:noWrap/>
            <w:vAlign w:val="bottom"/>
            <w:hideMark/>
          </w:tcPr>
          <w:p w14:paraId="32169BE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6" w:type="dxa"/>
            <w:tcBorders>
              <w:top w:val="nil"/>
              <w:left w:val="nil"/>
              <w:bottom w:val="single" w:sz="4" w:space="0" w:color="000000"/>
              <w:right w:val="single" w:sz="4" w:space="0" w:color="000000"/>
            </w:tcBorders>
            <w:shd w:val="clear" w:color="auto" w:fill="auto"/>
            <w:noWrap/>
            <w:vAlign w:val="bottom"/>
            <w:hideMark/>
          </w:tcPr>
          <w:p w14:paraId="2868833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64" w:type="dxa"/>
            <w:tcBorders>
              <w:top w:val="nil"/>
              <w:left w:val="nil"/>
              <w:bottom w:val="single" w:sz="4" w:space="0" w:color="000000"/>
              <w:right w:val="single" w:sz="4" w:space="0" w:color="000000"/>
            </w:tcBorders>
            <w:shd w:val="clear" w:color="auto" w:fill="auto"/>
            <w:noWrap/>
            <w:vAlign w:val="bottom"/>
            <w:hideMark/>
          </w:tcPr>
          <w:p w14:paraId="4C7E2CE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34" w:type="dxa"/>
            <w:tcBorders>
              <w:top w:val="nil"/>
              <w:left w:val="nil"/>
              <w:bottom w:val="single" w:sz="4" w:space="0" w:color="000000"/>
              <w:right w:val="single" w:sz="4" w:space="0" w:color="000000"/>
            </w:tcBorders>
            <w:shd w:val="clear" w:color="auto" w:fill="auto"/>
            <w:noWrap/>
            <w:vAlign w:val="bottom"/>
            <w:hideMark/>
          </w:tcPr>
          <w:p w14:paraId="1F8D203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12,000 </w:t>
            </w:r>
          </w:p>
        </w:tc>
        <w:tc>
          <w:tcPr>
            <w:tcW w:w="827" w:type="dxa"/>
            <w:tcBorders>
              <w:top w:val="nil"/>
              <w:left w:val="nil"/>
              <w:bottom w:val="single" w:sz="4" w:space="0" w:color="000000"/>
              <w:right w:val="single" w:sz="4" w:space="0" w:color="000000"/>
            </w:tcBorders>
            <w:shd w:val="clear" w:color="auto" w:fill="auto"/>
            <w:noWrap/>
            <w:vAlign w:val="bottom"/>
            <w:hideMark/>
          </w:tcPr>
          <w:p w14:paraId="04199B5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6569761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32,000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19E4BC4F"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73</w:t>
            </w:r>
          </w:p>
        </w:tc>
      </w:tr>
      <w:tr w:rsidR="007A7FA3" w:rsidRPr="007A7FA3" w14:paraId="5BA70640" w14:textId="77777777" w:rsidTr="007A7FA3">
        <w:trPr>
          <w:trHeight w:val="240"/>
        </w:trPr>
        <w:tc>
          <w:tcPr>
            <w:tcW w:w="1086" w:type="dxa"/>
            <w:vMerge/>
            <w:tcBorders>
              <w:top w:val="nil"/>
              <w:left w:val="single" w:sz="8" w:space="0" w:color="auto"/>
              <w:bottom w:val="nil"/>
              <w:right w:val="single" w:sz="4" w:space="0" w:color="000000"/>
            </w:tcBorders>
            <w:vAlign w:val="center"/>
            <w:hideMark/>
          </w:tcPr>
          <w:p w14:paraId="0EC92EEE"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571A0A0C"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1D0040EF"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2DC7CABF"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64B9C485"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45B518EE"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4F8A2A8B"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72100</w:t>
            </w:r>
          </w:p>
        </w:tc>
        <w:tc>
          <w:tcPr>
            <w:tcW w:w="1580" w:type="dxa"/>
            <w:tcBorders>
              <w:top w:val="nil"/>
              <w:left w:val="nil"/>
              <w:bottom w:val="single" w:sz="4" w:space="0" w:color="000000"/>
              <w:right w:val="single" w:sz="4" w:space="0" w:color="000000"/>
            </w:tcBorders>
            <w:shd w:val="clear" w:color="auto" w:fill="auto"/>
            <w:vAlign w:val="bottom"/>
            <w:hideMark/>
          </w:tcPr>
          <w:p w14:paraId="028EE64C"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Contractual Services - Companies</w:t>
            </w:r>
          </w:p>
        </w:tc>
        <w:tc>
          <w:tcPr>
            <w:tcW w:w="694" w:type="dxa"/>
            <w:tcBorders>
              <w:top w:val="nil"/>
              <w:left w:val="nil"/>
              <w:bottom w:val="single" w:sz="4" w:space="0" w:color="000000"/>
              <w:right w:val="single" w:sz="4" w:space="0" w:color="000000"/>
            </w:tcBorders>
            <w:shd w:val="clear" w:color="auto" w:fill="auto"/>
            <w:noWrap/>
            <w:vAlign w:val="bottom"/>
            <w:hideMark/>
          </w:tcPr>
          <w:p w14:paraId="3F25B63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nil"/>
              <w:left w:val="nil"/>
              <w:bottom w:val="single" w:sz="4" w:space="0" w:color="000000"/>
              <w:right w:val="single" w:sz="4" w:space="0" w:color="000000"/>
            </w:tcBorders>
            <w:shd w:val="clear" w:color="auto" w:fill="auto"/>
            <w:noWrap/>
            <w:vAlign w:val="bottom"/>
            <w:hideMark/>
          </w:tcPr>
          <w:p w14:paraId="24CD510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6" w:type="dxa"/>
            <w:tcBorders>
              <w:top w:val="nil"/>
              <w:left w:val="nil"/>
              <w:bottom w:val="single" w:sz="4" w:space="0" w:color="000000"/>
              <w:right w:val="single" w:sz="4" w:space="0" w:color="000000"/>
            </w:tcBorders>
            <w:shd w:val="clear" w:color="auto" w:fill="auto"/>
            <w:noWrap/>
            <w:vAlign w:val="bottom"/>
            <w:hideMark/>
          </w:tcPr>
          <w:p w14:paraId="73AB391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26,000 </w:t>
            </w:r>
          </w:p>
        </w:tc>
        <w:tc>
          <w:tcPr>
            <w:tcW w:w="864" w:type="dxa"/>
            <w:tcBorders>
              <w:top w:val="nil"/>
              <w:left w:val="nil"/>
              <w:bottom w:val="single" w:sz="4" w:space="0" w:color="000000"/>
              <w:right w:val="single" w:sz="4" w:space="0" w:color="000000"/>
            </w:tcBorders>
            <w:shd w:val="clear" w:color="auto" w:fill="auto"/>
            <w:noWrap/>
            <w:vAlign w:val="bottom"/>
            <w:hideMark/>
          </w:tcPr>
          <w:p w14:paraId="0ABADBC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27,000 </w:t>
            </w:r>
          </w:p>
        </w:tc>
        <w:tc>
          <w:tcPr>
            <w:tcW w:w="834" w:type="dxa"/>
            <w:tcBorders>
              <w:top w:val="nil"/>
              <w:left w:val="nil"/>
              <w:bottom w:val="single" w:sz="4" w:space="0" w:color="000000"/>
              <w:right w:val="single" w:sz="4" w:space="0" w:color="000000"/>
            </w:tcBorders>
            <w:shd w:val="clear" w:color="auto" w:fill="auto"/>
            <w:noWrap/>
            <w:vAlign w:val="bottom"/>
            <w:hideMark/>
          </w:tcPr>
          <w:p w14:paraId="3D8D939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25,000 </w:t>
            </w:r>
          </w:p>
        </w:tc>
        <w:tc>
          <w:tcPr>
            <w:tcW w:w="827" w:type="dxa"/>
            <w:tcBorders>
              <w:top w:val="nil"/>
              <w:left w:val="nil"/>
              <w:bottom w:val="single" w:sz="4" w:space="0" w:color="000000"/>
              <w:right w:val="single" w:sz="4" w:space="0" w:color="000000"/>
            </w:tcBorders>
            <w:shd w:val="clear" w:color="auto" w:fill="auto"/>
            <w:noWrap/>
            <w:vAlign w:val="bottom"/>
            <w:hideMark/>
          </w:tcPr>
          <w:p w14:paraId="7B63FA3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4582310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78,000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2EA06DF4"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74</w:t>
            </w:r>
          </w:p>
        </w:tc>
      </w:tr>
      <w:tr w:rsidR="007A7FA3" w:rsidRPr="007A7FA3" w14:paraId="0C7F9C1E" w14:textId="77777777" w:rsidTr="007A7FA3">
        <w:trPr>
          <w:trHeight w:val="240"/>
        </w:trPr>
        <w:tc>
          <w:tcPr>
            <w:tcW w:w="1086" w:type="dxa"/>
            <w:vMerge/>
            <w:tcBorders>
              <w:top w:val="nil"/>
              <w:left w:val="single" w:sz="8" w:space="0" w:color="auto"/>
              <w:bottom w:val="nil"/>
              <w:right w:val="single" w:sz="4" w:space="0" w:color="000000"/>
            </w:tcBorders>
            <w:vAlign w:val="center"/>
            <w:hideMark/>
          </w:tcPr>
          <w:p w14:paraId="31A7B292"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097A6568"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3790FC81"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5033C3C5"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6CEA2D69"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6EDD14F8"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327A69CD"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72400</w:t>
            </w:r>
          </w:p>
        </w:tc>
        <w:tc>
          <w:tcPr>
            <w:tcW w:w="1580" w:type="dxa"/>
            <w:tcBorders>
              <w:top w:val="nil"/>
              <w:left w:val="nil"/>
              <w:bottom w:val="single" w:sz="4" w:space="0" w:color="000000"/>
              <w:right w:val="single" w:sz="4" w:space="0" w:color="000000"/>
            </w:tcBorders>
            <w:shd w:val="clear" w:color="auto" w:fill="auto"/>
            <w:vAlign w:val="bottom"/>
            <w:hideMark/>
          </w:tcPr>
          <w:p w14:paraId="1D39B31E"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Communic &amp; Audio Visual Equip</w:t>
            </w:r>
          </w:p>
        </w:tc>
        <w:tc>
          <w:tcPr>
            <w:tcW w:w="694" w:type="dxa"/>
            <w:tcBorders>
              <w:top w:val="nil"/>
              <w:left w:val="nil"/>
              <w:bottom w:val="single" w:sz="4" w:space="0" w:color="000000"/>
              <w:right w:val="single" w:sz="4" w:space="0" w:color="000000"/>
            </w:tcBorders>
            <w:shd w:val="clear" w:color="auto" w:fill="auto"/>
            <w:noWrap/>
            <w:vAlign w:val="bottom"/>
            <w:hideMark/>
          </w:tcPr>
          <w:p w14:paraId="499950F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nil"/>
              <w:left w:val="nil"/>
              <w:bottom w:val="single" w:sz="4" w:space="0" w:color="000000"/>
              <w:right w:val="single" w:sz="4" w:space="0" w:color="000000"/>
            </w:tcBorders>
            <w:shd w:val="clear" w:color="auto" w:fill="auto"/>
            <w:noWrap/>
            <w:vAlign w:val="bottom"/>
            <w:hideMark/>
          </w:tcPr>
          <w:p w14:paraId="19C460D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6" w:type="dxa"/>
            <w:tcBorders>
              <w:top w:val="nil"/>
              <w:left w:val="nil"/>
              <w:bottom w:val="single" w:sz="4" w:space="0" w:color="000000"/>
              <w:right w:val="single" w:sz="4" w:space="0" w:color="000000"/>
            </w:tcBorders>
            <w:shd w:val="clear" w:color="auto" w:fill="auto"/>
            <w:noWrap/>
            <w:vAlign w:val="bottom"/>
            <w:hideMark/>
          </w:tcPr>
          <w:p w14:paraId="1DC2C4C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64" w:type="dxa"/>
            <w:tcBorders>
              <w:top w:val="nil"/>
              <w:left w:val="nil"/>
              <w:bottom w:val="single" w:sz="4" w:space="0" w:color="000000"/>
              <w:right w:val="single" w:sz="4" w:space="0" w:color="000000"/>
            </w:tcBorders>
            <w:shd w:val="clear" w:color="auto" w:fill="auto"/>
            <w:noWrap/>
            <w:vAlign w:val="bottom"/>
            <w:hideMark/>
          </w:tcPr>
          <w:p w14:paraId="54050A5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34" w:type="dxa"/>
            <w:tcBorders>
              <w:top w:val="nil"/>
              <w:left w:val="nil"/>
              <w:bottom w:val="single" w:sz="4" w:space="0" w:color="000000"/>
              <w:right w:val="single" w:sz="4" w:space="0" w:color="000000"/>
            </w:tcBorders>
            <w:shd w:val="clear" w:color="auto" w:fill="auto"/>
            <w:noWrap/>
            <w:vAlign w:val="bottom"/>
            <w:hideMark/>
          </w:tcPr>
          <w:p w14:paraId="606AC74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27" w:type="dxa"/>
            <w:tcBorders>
              <w:top w:val="nil"/>
              <w:left w:val="nil"/>
              <w:bottom w:val="single" w:sz="4" w:space="0" w:color="000000"/>
              <w:right w:val="single" w:sz="4" w:space="0" w:color="000000"/>
            </w:tcBorders>
            <w:shd w:val="clear" w:color="auto" w:fill="auto"/>
            <w:noWrap/>
            <w:vAlign w:val="bottom"/>
            <w:hideMark/>
          </w:tcPr>
          <w:p w14:paraId="7B6CE66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1BD0134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18804910"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75</w:t>
            </w:r>
          </w:p>
        </w:tc>
      </w:tr>
      <w:tr w:rsidR="007A7FA3" w:rsidRPr="007A7FA3" w14:paraId="6F8D0725" w14:textId="77777777" w:rsidTr="007A7FA3">
        <w:trPr>
          <w:trHeight w:val="240"/>
        </w:trPr>
        <w:tc>
          <w:tcPr>
            <w:tcW w:w="1086" w:type="dxa"/>
            <w:vMerge/>
            <w:tcBorders>
              <w:top w:val="nil"/>
              <w:left w:val="single" w:sz="8" w:space="0" w:color="auto"/>
              <w:bottom w:val="nil"/>
              <w:right w:val="single" w:sz="4" w:space="0" w:color="000000"/>
            </w:tcBorders>
            <w:vAlign w:val="center"/>
            <w:hideMark/>
          </w:tcPr>
          <w:p w14:paraId="1694F24F"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6B207825"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57AE0D2A" w14:textId="77777777" w:rsidR="007A7FA3" w:rsidRPr="007A7FA3" w:rsidRDefault="007A7FA3" w:rsidP="007A7FA3">
            <w:pPr>
              <w:rPr>
                <w:rFonts w:ascii="Calibri" w:hAnsi="Calibri" w:cs="Calibri"/>
                <w:i/>
                <w:iCs/>
                <w:color w:val="000000"/>
                <w:sz w:val="13"/>
                <w:szCs w:val="13"/>
              </w:rPr>
            </w:pPr>
          </w:p>
        </w:tc>
        <w:tc>
          <w:tcPr>
            <w:tcW w:w="3763" w:type="dxa"/>
            <w:gridSpan w:val="5"/>
            <w:tcBorders>
              <w:top w:val="single" w:sz="4" w:space="0" w:color="000000"/>
              <w:left w:val="nil"/>
              <w:bottom w:val="single" w:sz="4" w:space="0" w:color="000000"/>
              <w:right w:val="single" w:sz="4" w:space="0" w:color="000000"/>
            </w:tcBorders>
            <w:shd w:val="clear" w:color="auto" w:fill="auto"/>
            <w:vAlign w:val="center"/>
            <w:hideMark/>
          </w:tcPr>
          <w:p w14:paraId="4B3BE97C"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Total BCC</w:t>
            </w:r>
          </w:p>
        </w:tc>
        <w:tc>
          <w:tcPr>
            <w:tcW w:w="694" w:type="dxa"/>
            <w:tcBorders>
              <w:top w:val="nil"/>
              <w:left w:val="nil"/>
              <w:bottom w:val="single" w:sz="4" w:space="0" w:color="000000"/>
              <w:right w:val="single" w:sz="4" w:space="0" w:color="000000"/>
            </w:tcBorders>
            <w:shd w:val="clear" w:color="auto" w:fill="auto"/>
            <w:noWrap/>
            <w:vAlign w:val="bottom"/>
            <w:hideMark/>
          </w:tcPr>
          <w:p w14:paraId="54792318"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05" w:type="dxa"/>
            <w:tcBorders>
              <w:top w:val="nil"/>
              <w:left w:val="nil"/>
              <w:bottom w:val="single" w:sz="4" w:space="0" w:color="000000"/>
              <w:right w:val="single" w:sz="4" w:space="0" w:color="000000"/>
            </w:tcBorders>
            <w:shd w:val="clear" w:color="auto" w:fill="auto"/>
            <w:noWrap/>
            <w:vAlign w:val="bottom"/>
            <w:hideMark/>
          </w:tcPr>
          <w:p w14:paraId="464442E2"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26" w:type="dxa"/>
            <w:tcBorders>
              <w:top w:val="nil"/>
              <w:left w:val="nil"/>
              <w:bottom w:val="single" w:sz="4" w:space="0" w:color="000000"/>
              <w:right w:val="single" w:sz="4" w:space="0" w:color="000000"/>
            </w:tcBorders>
            <w:shd w:val="clear" w:color="auto" w:fill="auto"/>
            <w:noWrap/>
            <w:vAlign w:val="bottom"/>
            <w:hideMark/>
          </w:tcPr>
          <w:p w14:paraId="43C6B8E9"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113,000 </w:t>
            </w:r>
          </w:p>
        </w:tc>
        <w:tc>
          <w:tcPr>
            <w:tcW w:w="864" w:type="dxa"/>
            <w:tcBorders>
              <w:top w:val="nil"/>
              <w:left w:val="nil"/>
              <w:bottom w:val="single" w:sz="4" w:space="0" w:color="000000"/>
              <w:right w:val="single" w:sz="4" w:space="0" w:color="000000"/>
            </w:tcBorders>
            <w:shd w:val="clear" w:color="auto" w:fill="auto"/>
            <w:noWrap/>
            <w:vAlign w:val="bottom"/>
            <w:hideMark/>
          </w:tcPr>
          <w:p w14:paraId="39B09032"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100,000 </w:t>
            </w:r>
          </w:p>
        </w:tc>
        <w:tc>
          <w:tcPr>
            <w:tcW w:w="834" w:type="dxa"/>
            <w:tcBorders>
              <w:top w:val="nil"/>
              <w:left w:val="nil"/>
              <w:bottom w:val="single" w:sz="4" w:space="0" w:color="000000"/>
              <w:right w:val="single" w:sz="4" w:space="0" w:color="000000"/>
            </w:tcBorders>
            <w:shd w:val="clear" w:color="auto" w:fill="auto"/>
            <w:noWrap/>
            <w:vAlign w:val="bottom"/>
            <w:hideMark/>
          </w:tcPr>
          <w:p w14:paraId="4598A7EE"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83,000 </w:t>
            </w:r>
          </w:p>
        </w:tc>
        <w:tc>
          <w:tcPr>
            <w:tcW w:w="827" w:type="dxa"/>
            <w:tcBorders>
              <w:top w:val="nil"/>
              <w:left w:val="nil"/>
              <w:bottom w:val="single" w:sz="4" w:space="0" w:color="000000"/>
              <w:right w:val="single" w:sz="4" w:space="0" w:color="000000"/>
            </w:tcBorders>
            <w:shd w:val="clear" w:color="auto" w:fill="auto"/>
            <w:noWrap/>
            <w:vAlign w:val="bottom"/>
            <w:hideMark/>
          </w:tcPr>
          <w:p w14:paraId="0C6F202B"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980" w:type="dxa"/>
            <w:tcBorders>
              <w:top w:val="single" w:sz="8" w:space="0" w:color="000000"/>
              <w:left w:val="nil"/>
              <w:bottom w:val="single" w:sz="4" w:space="0" w:color="000000"/>
              <w:right w:val="nil"/>
            </w:tcBorders>
            <w:shd w:val="clear" w:color="auto" w:fill="auto"/>
            <w:noWrap/>
            <w:vAlign w:val="bottom"/>
            <w:hideMark/>
          </w:tcPr>
          <w:p w14:paraId="1E31C8C5"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296,000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76EFFB6A"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1E77B20C" w14:textId="77777777" w:rsidTr="007A7FA3">
        <w:trPr>
          <w:trHeight w:val="255"/>
        </w:trPr>
        <w:tc>
          <w:tcPr>
            <w:tcW w:w="1086" w:type="dxa"/>
            <w:vMerge/>
            <w:tcBorders>
              <w:top w:val="nil"/>
              <w:left w:val="single" w:sz="8" w:space="0" w:color="auto"/>
              <w:bottom w:val="nil"/>
              <w:right w:val="single" w:sz="4" w:space="0" w:color="000000"/>
            </w:tcBorders>
            <w:vAlign w:val="center"/>
            <w:hideMark/>
          </w:tcPr>
          <w:p w14:paraId="1057F72D" w14:textId="77777777" w:rsidR="007A7FA3" w:rsidRPr="007A7FA3" w:rsidRDefault="007A7FA3" w:rsidP="007A7FA3">
            <w:pPr>
              <w:rPr>
                <w:rFonts w:ascii="Calibri" w:hAnsi="Calibri" w:cs="Calibri"/>
                <w:i/>
                <w:iCs/>
                <w:color w:val="000000"/>
                <w:sz w:val="13"/>
                <w:szCs w:val="13"/>
              </w:rPr>
            </w:pPr>
          </w:p>
        </w:tc>
        <w:tc>
          <w:tcPr>
            <w:tcW w:w="871" w:type="dxa"/>
            <w:tcBorders>
              <w:top w:val="nil"/>
              <w:left w:val="nil"/>
              <w:bottom w:val="single" w:sz="4" w:space="0" w:color="000000"/>
              <w:right w:val="single" w:sz="4" w:space="0" w:color="000000"/>
            </w:tcBorders>
            <w:shd w:val="clear" w:color="auto" w:fill="auto"/>
            <w:vAlign w:val="center"/>
            <w:hideMark/>
          </w:tcPr>
          <w:p w14:paraId="19B24002"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 </w:t>
            </w:r>
          </w:p>
        </w:tc>
        <w:tc>
          <w:tcPr>
            <w:tcW w:w="5779" w:type="dxa"/>
            <w:gridSpan w:val="6"/>
            <w:tcBorders>
              <w:top w:val="nil"/>
              <w:left w:val="nil"/>
              <w:bottom w:val="single" w:sz="4" w:space="0" w:color="000000"/>
              <w:right w:val="single" w:sz="4" w:space="0" w:color="000000"/>
            </w:tcBorders>
            <w:shd w:val="clear" w:color="auto" w:fill="auto"/>
            <w:vAlign w:val="center"/>
            <w:hideMark/>
          </w:tcPr>
          <w:p w14:paraId="664E4B37" w14:textId="77777777" w:rsidR="007A7FA3" w:rsidRPr="007A7FA3" w:rsidRDefault="007A7FA3" w:rsidP="007A7FA3">
            <w:pPr>
              <w:rPr>
                <w:rFonts w:ascii="Calibri" w:hAnsi="Calibri" w:cs="Calibri"/>
                <w:b/>
                <w:bCs/>
                <w:i/>
                <w:iCs/>
                <w:color w:val="000000"/>
                <w:sz w:val="13"/>
                <w:szCs w:val="13"/>
              </w:rPr>
            </w:pPr>
            <w:r w:rsidRPr="007A7FA3">
              <w:rPr>
                <w:rFonts w:ascii="Calibri" w:hAnsi="Calibri" w:cs="Calibri"/>
                <w:b/>
                <w:bCs/>
                <w:i/>
                <w:iCs/>
                <w:color w:val="000000"/>
                <w:sz w:val="13"/>
                <w:szCs w:val="13"/>
              </w:rPr>
              <w:t>Total Output 2.2.3</w:t>
            </w:r>
          </w:p>
        </w:tc>
        <w:tc>
          <w:tcPr>
            <w:tcW w:w="694" w:type="dxa"/>
            <w:tcBorders>
              <w:top w:val="nil"/>
              <w:left w:val="nil"/>
              <w:bottom w:val="single" w:sz="4" w:space="0" w:color="000000"/>
              <w:right w:val="single" w:sz="4" w:space="0" w:color="000000"/>
            </w:tcBorders>
            <w:shd w:val="clear" w:color="auto" w:fill="auto"/>
            <w:noWrap/>
            <w:vAlign w:val="bottom"/>
            <w:hideMark/>
          </w:tcPr>
          <w:p w14:paraId="64A8698D"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05" w:type="dxa"/>
            <w:tcBorders>
              <w:top w:val="nil"/>
              <w:left w:val="nil"/>
              <w:bottom w:val="single" w:sz="4" w:space="0" w:color="000000"/>
              <w:right w:val="single" w:sz="4" w:space="0" w:color="000000"/>
            </w:tcBorders>
            <w:shd w:val="clear" w:color="auto" w:fill="auto"/>
            <w:noWrap/>
            <w:vAlign w:val="bottom"/>
            <w:hideMark/>
          </w:tcPr>
          <w:p w14:paraId="2BE627A2"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26" w:type="dxa"/>
            <w:tcBorders>
              <w:top w:val="nil"/>
              <w:left w:val="nil"/>
              <w:bottom w:val="single" w:sz="4" w:space="0" w:color="000000"/>
              <w:right w:val="single" w:sz="4" w:space="0" w:color="000000"/>
            </w:tcBorders>
            <w:shd w:val="clear" w:color="auto" w:fill="auto"/>
            <w:noWrap/>
            <w:vAlign w:val="bottom"/>
            <w:hideMark/>
          </w:tcPr>
          <w:p w14:paraId="378B2A6C"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113,000 </w:t>
            </w:r>
          </w:p>
        </w:tc>
        <w:tc>
          <w:tcPr>
            <w:tcW w:w="864" w:type="dxa"/>
            <w:tcBorders>
              <w:top w:val="nil"/>
              <w:left w:val="nil"/>
              <w:bottom w:val="single" w:sz="4" w:space="0" w:color="000000"/>
              <w:right w:val="single" w:sz="4" w:space="0" w:color="000000"/>
            </w:tcBorders>
            <w:shd w:val="clear" w:color="auto" w:fill="auto"/>
            <w:noWrap/>
            <w:vAlign w:val="bottom"/>
            <w:hideMark/>
          </w:tcPr>
          <w:p w14:paraId="70E75064"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100,000 </w:t>
            </w:r>
          </w:p>
        </w:tc>
        <w:tc>
          <w:tcPr>
            <w:tcW w:w="834" w:type="dxa"/>
            <w:tcBorders>
              <w:top w:val="nil"/>
              <w:left w:val="nil"/>
              <w:bottom w:val="single" w:sz="4" w:space="0" w:color="000000"/>
              <w:right w:val="single" w:sz="4" w:space="0" w:color="000000"/>
            </w:tcBorders>
            <w:shd w:val="clear" w:color="auto" w:fill="auto"/>
            <w:noWrap/>
            <w:vAlign w:val="bottom"/>
            <w:hideMark/>
          </w:tcPr>
          <w:p w14:paraId="75040064"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83,000 </w:t>
            </w:r>
          </w:p>
        </w:tc>
        <w:tc>
          <w:tcPr>
            <w:tcW w:w="827" w:type="dxa"/>
            <w:tcBorders>
              <w:top w:val="nil"/>
              <w:left w:val="nil"/>
              <w:bottom w:val="single" w:sz="4" w:space="0" w:color="000000"/>
              <w:right w:val="single" w:sz="4" w:space="0" w:color="000000"/>
            </w:tcBorders>
            <w:shd w:val="clear" w:color="auto" w:fill="auto"/>
            <w:noWrap/>
            <w:vAlign w:val="bottom"/>
            <w:hideMark/>
          </w:tcPr>
          <w:p w14:paraId="358FE41B"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980" w:type="dxa"/>
            <w:tcBorders>
              <w:top w:val="nil"/>
              <w:left w:val="nil"/>
              <w:bottom w:val="single" w:sz="4" w:space="0" w:color="000000"/>
              <w:right w:val="nil"/>
            </w:tcBorders>
            <w:shd w:val="clear" w:color="auto" w:fill="auto"/>
            <w:noWrap/>
            <w:vAlign w:val="bottom"/>
            <w:hideMark/>
          </w:tcPr>
          <w:p w14:paraId="6C2EA950"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296,000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5522432B"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15044E5E" w14:textId="77777777" w:rsidTr="007A7FA3">
        <w:trPr>
          <w:trHeight w:val="270"/>
        </w:trPr>
        <w:tc>
          <w:tcPr>
            <w:tcW w:w="1086" w:type="dxa"/>
            <w:vMerge/>
            <w:tcBorders>
              <w:top w:val="nil"/>
              <w:left w:val="single" w:sz="8" w:space="0" w:color="auto"/>
              <w:bottom w:val="nil"/>
              <w:right w:val="single" w:sz="4" w:space="0" w:color="000000"/>
            </w:tcBorders>
            <w:vAlign w:val="center"/>
            <w:hideMark/>
          </w:tcPr>
          <w:p w14:paraId="70F63FA3" w14:textId="77777777" w:rsidR="007A7FA3" w:rsidRPr="007A7FA3" w:rsidRDefault="007A7FA3" w:rsidP="007A7FA3">
            <w:pPr>
              <w:rPr>
                <w:rFonts w:ascii="Calibri" w:hAnsi="Calibri" w:cs="Calibri"/>
                <w:i/>
                <w:iCs/>
                <w:color w:val="000000"/>
                <w:sz w:val="13"/>
                <w:szCs w:val="13"/>
              </w:rPr>
            </w:pPr>
          </w:p>
        </w:tc>
        <w:tc>
          <w:tcPr>
            <w:tcW w:w="6650" w:type="dxa"/>
            <w:gridSpan w:val="7"/>
            <w:tcBorders>
              <w:top w:val="single" w:sz="4" w:space="0" w:color="000000"/>
              <w:left w:val="nil"/>
              <w:bottom w:val="nil"/>
              <w:right w:val="single" w:sz="4" w:space="0" w:color="000000"/>
            </w:tcBorders>
            <w:shd w:val="clear" w:color="FEF2CB" w:fill="FEF2CB"/>
            <w:vAlign w:val="center"/>
            <w:hideMark/>
          </w:tcPr>
          <w:p w14:paraId="31F442C8" w14:textId="77777777" w:rsidR="007A7FA3" w:rsidRPr="007A7FA3" w:rsidRDefault="007A7FA3" w:rsidP="007A7FA3">
            <w:pPr>
              <w:rPr>
                <w:rFonts w:ascii="Calibri" w:hAnsi="Calibri" w:cs="Calibri"/>
                <w:b/>
                <w:bCs/>
                <w:i/>
                <w:iCs/>
                <w:color w:val="000000"/>
                <w:sz w:val="13"/>
                <w:szCs w:val="13"/>
              </w:rPr>
            </w:pPr>
            <w:r w:rsidRPr="007A7FA3">
              <w:rPr>
                <w:rFonts w:ascii="Calibri" w:hAnsi="Calibri" w:cs="Calibri"/>
                <w:b/>
                <w:bCs/>
                <w:i/>
                <w:iCs/>
                <w:color w:val="000000"/>
                <w:sz w:val="13"/>
                <w:szCs w:val="13"/>
              </w:rPr>
              <w:t>Total Outcome 2.2</w:t>
            </w:r>
          </w:p>
        </w:tc>
        <w:tc>
          <w:tcPr>
            <w:tcW w:w="694" w:type="dxa"/>
            <w:tcBorders>
              <w:top w:val="nil"/>
              <w:left w:val="nil"/>
              <w:bottom w:val="single" w:sz="4" w:space="0" w:color="000000"/>
              <w:right w:val="single" w:sz="4" w:space="0" w:color="000000"/>
            </w:tcBorders>
            <w:shd w:val="clear" w:color="FEF2CB" w:fill="FEF2CB"/>
            <w:noWrap/>
            <w:vAlign w:val="bottom"/>
            <w:hideMark/>
          </w:tcPr>
          <w:p w14:paraId="02B2C229"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28,000 </w:t>
            </w:r>
          </w:p>
        </w:tc>
        <w:tc>
          <w:tcPr>
            <w:tcW w:w="805" w:type="dxa"/>
            <w:tcBorders>
              <w:top w:val="nil"/>
              <w:left w:val="nil"/>
              <w:bottom w:val="single" w:sz="4" w:space="0" w:color="000000"/>
              <w:right w:val="single" w:sz="4" w:space="0" w:color="000000"/>
            </w:tcBorders>
            <w:shd w:val="clear" w:color="FEF2CB" w:fill="FEF2CB"/>
            <w:noWrap/>
            <w:vAlign w:val="bottom"/>
            <w:hideMark/>
          </w:tcPr>
          <w:p w14:paraId="1ECF47A8"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182,000 </w:t>
            </w:r>
          </w:p>
        </w:tc>
        <w:tc>
          <w:tcPr>
            <w:tcW w:w="826" w:type="dxa"/>
            <w:tcBorders>
              <w:top w:val="nil"/>
              <w:left w:val="nil"/>
              <w:bottom w:val="single" w:sz="4" w:space="0" w:color="000000"/>
              <w:right w:val="single" w:sz="4" w:space="0" w:color="000000"/>
            </w:tcBorders>
            <w:shd w:val="clear" w:color="FEF2CB" w:fill="FEF2CB"/>
            <w:noWrap/>
            <w:vAlign w:val="bottom"/>
            <w:hideMark/>
          </w:tcPr>
          <w:p w14:paraId="10FCCAAF"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291,000 </w:t>
            </w:r>
          </w:p>
        </w:tc>
        <w:tc>
          <w:tcPr>
            <w:tcW w:w="864" w:type="dxa"/>
            <w:tcBorders>
              <w:top w:val="nil"/>
              <w:left w:val="nil"/>
              <w:bottom w:val="single" w:sz="4" w:space="0" w:color="000000"/>
              <w:right w:val="single" w:sz="4" w:space="0" w:color="000000"/>
            </w:tcBorders>
            <w:shd w:val="clear" w:color="FEF2CB" w:fill="FEF2CB"/>
            <w:noWrap/>
            <w:vAlign w:val="bottom"/>
            <w:hideMark/>
          </w:tcPr>
          <w:p w14:paraId="4CF84D1A"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162,000 </w:t>
            </w:r>
          </w:p>
        </w:tc>
        <w:tc>
          <w:tcPr>
            <w:tcW w:w="834" w:type="dxa"/>
            <w:tcBorders>
              <w:top w:val="nil"/>
              <w:left w:val="nil"/>
              <w:bottom w:val="single" w:sz="4" w:space="0" w:color="000000"/>
              <w:right w:val="single" w:sz="4" w:space="0" w:color="000000"/>
            </w:tcBorders>
            <w:shd w:val="clear" w:color="FEF2CB" w:fill="FEF2CB"/>
            <w:noWrap/>
            <w:vAlign w:val="bottom"/>
            <w:hideMark/>
          </w:tcPr>
          <w:p w14:paraId="6CB2BAC1"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83,000 </w:t>
            </w:r>
          </w:p>
        </w:tc>
        <w:tc>
          <w:tcPr>
            <w:tcW w:w="827" w:type="dxa"/>
            <w:tcBorders>
              <w:top w:val="nil"/>
              <w:left w:val="nil"/>
              <w:bottom w:val="single" w:sz="4" w:space="0" w:color="000000"/>
              <w:right w:val="single" w:sz="4" w:space="0" w:color="000000"/>
            </w:tcBorders>
            <w:shd w:val="clear" w:color="FEF2CB" w:fill="FEF2CB"/>
            <w:noWrap/>
            <w:vAlign w:val="bottom"/>
            <w:hideMark/>
          </w:tcPr>
          <w:p w14:paraId="1FB375ED"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980" w:type="dxa"/>
            <w:tcBorders>
              <w:top w:val="nil"/>
              <w:left w:val="nil"/>
              <w:bottom w:val="single" w:sz="4" w:space="0" w:color="000000"/>
              <w:right w:val="nil"/>
            </w:tcBorders>
            <w:shd w:val="clear" w:color="FEF2CB" w:fill="FEF2CB"/>
            <w:noWrap/>
            <w:vAlign w:val="bottom"/>
            <w:hideMark/>
          </w:tcPr>
          <w:p w14:paraId="42BFC9A8"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746,000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52A81396"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621B9F42" w14:textId="77777777" w:rsidTr="007A7FA3">
        <w:trPr>
          <w:trHeight w:val="300"/>
        </w:trPr>
        <w:tc>
          <w:tcPr>
            <w:tcW w:w="7736" w:type="dxa"/>
            <w:gridSpan w:val="8"/>
            <w:tcBorders>
              <w:top w:val="single" w:sz="4" w:space="0" w:color="000000"/>
              <w:left w:val="single" w:sz="8" w:space="0" w:color="auto"/>
              <w:bottom w:val="single" w:sz="4" w:space="0" w:color="000000"/>
              <w:right w:val="single" w:sz="4" w:space="0" w:color="000000"/>
            </w:tcBorders>
            <w:shd w:val="clear" w:color="BDD6EE" w:fill="BDD6EE"/>
            <w:vAlign w:val="center"/>
            <w:hideMark/>
          </w:tcPr>
          <w:p w14:paraId="613F1CB3" w14:textId="77777777" w:rsidR="007A7FA3" w:rsidRPr="007A7FA3" w:rsidRDefault="007A7FA3" w:rsidP="007A7FA3">
            <w:pPr>
              <w:rPr>
                <w:rFonts w:ascii="Calibri" w:hAnsi="Calibri" w:cs="Calibri"/>
                <w:b/>
                <w:bCs/>
                <w:i/>
                <w:iCs/>
                <w:color w:val="000000"/>
                <w:sz w:val="13"/>
                <w:szCs w:val="13"/>
              </w:rPr>
            </w:pPr>
            <w:r w:rsidRPr="007A7FA3">
              <w:rPr>
                <w:rFonts w:ascii="Calibri" w:hAnsi="Calibri" w:cs="Calibri"/>
                <w:b/>
                <w:bCs/>
                <w:i/>
                <w:iCs/>
                <w:color w:val="000000"/>
                <w:sz w:val="13"/>
                <w:szCs w:val="13"/>
              </w:rPr>
              <w:t>Total Component 2</w:t>
            </w:r>
          </w:p>
        </w:tc>
        <w:tc>
          <w:tcPr>
            <w:tcW w:w="694" w:type="dxa"/>
            <w:tcBorders>
              <w:top w:val="nil"/>
              <w:left w:val="nil"/>
              <w:bottom w:val="single" w:sz="8" w:space="0" w:color="000000"/>
              <w:right w:val="single" w:sz="4" w:space="0" w:color="000000"/>
            </w:tcBorders>
            <w:shd w:val="clear" w:color="BDD6EE" w:fill="BDD6EE"/>
            <w:noWrap/>
            <w:vAlign w:val="bottom"/>
            <w:hideMark/>
          </w:tcPr>
          <w:p w14:paraId="4D3CF3D7"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97,000 </w:t>
            </w:r>
          </w:p>
        </w:tc>
        <w:tc>
          <w:tcPr>
            <w:tcW w:w="805" w:type="dxa"/>
            <w:tcBorders>
              <w:top w:val="nil"/>
              <w:left w:val="nil"/>
              <w:bottom w:val="single" w:sz="8" w:space="0" w:color="000000"/>
              <w:right w:val="single" w:sz="4" w:space="0" w:color="000000"/>
            </w:tcBorders>
            <w:shd w:val="clear" w:color="BDD6EE" w:fill="BDD6EE"/>
            <w:noWrap/>
            <w:vAlign w:val="bottom"/>
            <w:hideMark/>
          </w:tcPr>
          <w:p w14:paraId="36635FC4"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415,000 </w:t>
            </w:r>
          </w:p>
        </w:tc>
        <w:tc>
          <w:tcPr>
            <w:tcW w:w="826" w:type="dxa"/>
            <w:tcBorders>
              <w:top w:val="nil"/>
              <w:left w:val="nil"/>
              <w:bottom w:val="single" w:sz="8" w:space="0" w:color="000000"/>
              <w:right w:val="single" w:sz="4" w:space="0" w:color="000000"/>
            </w:tcBorders>
            <w:shd w:val="clear" w:color="BDD6EE" w:fill="BDD6EE"/>
            <w:noWrap/>
            <w:vAlign w:val="bottom"/>
            <w:hideMark/>
          </w:tcPr>
          <w:p w14:paraId="1D5DA1D2"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526,000 </w:t>
            </w:r>
          </w:p>
        </w:tc>
        <w:tc>
          <w:tcPr>
            <w:tcW w:w="864" w:type="dxa"/>
            <w:tcBorders>
              <w:top w:val="nil"/>
              <w:left w:val="nil"/>
              <w:bottom w:val="single" w:sz="8" w:space="0" w:color="000000"/>
              <w:right w:val="single" w:sz="4" w:space="0" w:color="000000"/>
            </w:tcBorders>
            <w:shd w:val="clear" w:color="BDD6EE" w:fill="BDD6EE"/>
            <w:noWrap/>
            <w:vAlign w:val="bottom"/>
            <w:hideMark/>
          </w:tcPr>
          <w:p w14:paraId="2C15B0EF"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506,000 </w:t>
            </w:r>
          </w:p>
        </w:tc>
        <w:tc>
          <w:tcPr>
            <w:tcW w:w="834" w:type="dxa"/>
            <w:tcBorders>
              <w:top w:val="nil"/>
              <w:left w:val="nil"/>
              <w:bottom w:val="single" w:sz="8" w:space="0" w:color="000000"/>
              <w:right w:val="single" w:sz="4" w:space="0" w:color="000000"/>
            </w:tcBorders>
            <w:shd w:val="clear" w:color="BDD6EE" w:fill="BDD6EE"/>
            <w:noWrap/>
            <w:vAlign w:val="bottom"/>
            <w:hideMark/>
          </w:tcPr>
          <w:p w14:paraId="57318AC7"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339,000 </w:t>
            </w:r>
          </w:p>
        </w:tc>
        <w:tc>
          <w:tcPr>
            <w:tcW w:w="827" w:type="dxa"/>
            <w:tcBorders>
              <w:top w:val="nil"/>
              <w:left w:val="nil"/>
              <w:bottom w:val="single" w:sz="8" w:space="0" w:color="000000"/>
              <w:right w:val="single" w:sz="4" w:space="0" w:color="000000"/>
            </w:tcBorders>
            <w:shd w:val="clear" w:color="BDD6EE" w:fill="BDD6EE"/>
            <w:noWrap/>
            <w:vAlign w:val="bottom"/>
            <w:hideMark/>
          </w:tcPr>
          <w:p w14:paraId="22A5D8D9"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109,000 </w:t>
            </w:r>
          </w:p>
        </w:tc>
        <w:tc>
          <w:tcPr>
            <w:tcW w:w="980" w:type="dxa"/>
            <w:tcBorders>
              <w:top w:val="nil"/>
              <w:left w:val="nil"/>
              <w:bottom w:val="single" w:sz="8" w:space="0" w:color="000000"/>
              <w:right w:val="nil"/>
            </w:tcBorders>
            <w:shd w:val="clear" w:color="BDD6EE" w:fill="BDD6EE"/>
            <w:noWrap/>
            <w:vAlign w:val="bottom"/>
            <w:hideMark/>
          </w:tcPr>
          <w:p w14:paraId="4F7CCD87"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1,992,000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01E5A5F0"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7F18B798" w14:textId="77777777" w:rsidTr="007A7FA3">
        <w:trPr>
          <w:trHeight w:val="285"/>
        </w:trPr>
        <w:tc>
          <w:tcPr>
            <w:tcW w:w="1086" w:type="dxa"/>
            <w:vMerge w:val="restart"/>
            <w:tcBorders>
              <w:top w:val="nil"/>
              <w:left w:val="single" w:sz="8" w:space="0" w:color="auto"/>
              <w:bottom w:val="nil"/>
              <w:right w:val="single" w:sz="4" w:space="0" w:color="000000"/>
            </w:tcBorders>
            <w:shd w:val="clear" w:color="auto" w:fill="auto"/>
            <w:vAlign w:val="center"/>
            <w:hideMark/>
          </w:tcPr>
          <w:p w14:paraId="58B99439" w14:textId="77777777" w:rsidR="007A7FA3" w:rsidRPr="007A7FA3" w:rsidRDefault="007A7FA3" w:rsidP="007A7FA3">
            <w:pPr>
              <w:rPr>
                <w:rFonts w:ascii="Calibri" w:hAnsi="Calibri" w:cs="Calibri"/>
                <w:i/>
                <w:iCs/>
                <w:color w:val="000000"/>
                <w:sz w:val="13"/>
                <w:szCs w:val="13"/>
              </w:rPr>
            </w:pPr>
            <w:r w:rsidRPr="007A7FA3">
              <w:rPr>
                <w:rFonts w:ascii="Calibri" w:hAnsi="Calibri" w:cs="Calibri"/>
                <w:b/>
                <w:bCs/>
                <w:i/>
                <w:iCs/>
                <w:color w:val="000000"/>
                <w:sz w:val="13"/>
                <w:szCs w:val="13"/>
              </w:rPr>
              <w:t>Component 3:</w:t>
            </w:r>
            <w:r w:rsidRPr="007A7FA3">
              <w:rPr>
                <w:rFonts w:ascii="Calibri" w:hAnsi="Calibri" w:cs="Calibri"/>
                <w:i/>
                <w:iCs/>
                <w:color w:val="000000"/>
                <w:sz w:val="13"/>
                <w:szCs w:val="13"/>
              </w:rPr>
              <w:t xml:space="preserve"> Improve coastal and marine pollution management in the BCLME </w:t>
            </w:r>
          </w:p>
        </w:tc>
        <w:tc>
          <w:tcPr>
            <w:tcW w:w="871"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6278391A"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 xml:space="preserve">3.1 Reduced discharge of pollutants from ocean-based activities </w:t>
            </w:r>
          </w:p>
        </w:tc>
        <w:tc>
          <w:tcPr>
            <w:tcW w:w="2016"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393397F3"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3.1.1 Policy and legislative frameworks developed/updated/strengthened</w:t>
            </w:r>
            <w:r w:rsidRPr="007A7FA3">
              <w:rPr>
                <w:rFonts w:ascii="Calibri" w:hAnsi="Calibri" w:cs="Calibri"/>
                <w:i/>
                <w:iCs/>
                <w:color w:val="000000"/>
                <w:sz w:val="13"/>
                <w:szCs w:val="13"/>
              </w:rPr>
              <w:br w:type="page"/>
              <w:t>and related strategies in place to address pollution prevention and control and response from shipping and extractive industries in the BCLME</w:t>
            </w:r>
          </w:p>
        </w:tc>
        <w:tc>
          <w:tcPr>
            <w:tcW w:w="631" w:type="dxa"/>
            <w:vMerge w:val="restart"/>
            <w:tcBorders>
              <w:top w:val="nil"/>
              <w:left w:val="nil"/>
              <w:bottom w:val="nil"/>
              <w:right w:val="nil"/>
            </w:tcBorders>
            <w:shd w:val="clear" w:color="auto" w:fill="auto"/>
            <w:vAlign w:val="center"/>
            <w:hideMark/>
          </w:tcPr>
          <w:p w14:paraId="0B5928A3"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BCC</w:t>
            </w: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7678A325"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val="restart"/>
            <w:tcBorders>
              <w:top w:val="nil"/>
              <w:left w:val="single" w:sz="4" w:space="0" w:color="000000"/>
              <w:bottom w:val="nil"/>
              <w:right w:val="nil"/>
            </w:tcBorders>
            <w:shd w:val="clear" w:color="auto" w:fill="auto"/>
            <w:vAlign w:val="center"/>
            <w:hideMark/>
          </w:tcPr>
          <w:p w14:paraId="0D17A98C"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w:t>
            </w: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5FD010F0"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71200</w:t>
            </w:r>
          </w:p>
        </w:tc>
        <w:tc>
          <w:tcPr>
            <w:tcW w:w="1580" w:type="dxa"/>
            <w:tcBorders>
              <w:top w:val="nil"/>
              <w:left w:val="nil"/>
              <w:bottom w:val="single" w:sz="4" w:space="0" w:color="000000"/>
              <w:right w:val="single" w:sz="4" w:space="0" w:color="000000"/>
            </w:tcBorders>
            <w:shd w:val="clear" w:color="auto" w:fill="auto"/>
            <w:vAlign w:val="bottom"/>
            <w:hideMark/>
          </w:tcPr>
          <w:p w14:paraId="4C26A00D"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International Consultants</w:t>
            </w:r>
          </w:p>
        </w:tc>
        <w:tc>
          <w:tcPr>
            <w:tcW w:w="694" w:type="dxa"/>
            <w:tcBorders>
              <w:top w:val="nil"/>
              <w:left w:val="nil"/>
              <w:bottom w:val="single" w:sz="4" w:space="0" w:color="000000"/>
              <w:right w:val="single" w:sz="4" w:space="0" w:color="000000"/>
            </w:tcBorders>
            <w:shd w:val="clear" w:color="auto" w:fill="auto"/>
            <w:noWrap/>
            <w:vAlign w:val="bottom"/>
            <w:hideMark/>
          </w:tcPr>
          <w:p w14:paraId="00D6FCE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20,000 </w:t>
            </w:r>
          </w:p>
        </w:tc>
        <w:tc>
          <w:tcPr>
            <w:tcW w:w="805" w:type="dxa"/>
            <w:tcBorders>
              <w:top w:val="nil"/>
              <w:left w:val="nil"/>
              <w:bottom w:val="single" w:sz="4" w:space="0" w:color="000000"/>
              <w:right w:val="single" w:sz="4" w:space="0" w:color="000000"/>
            </w:tcBorders>
            <w:shd w:val="clear" w:color="auto" w:fill="auto"/>
            <w:noWrap/>
            <w:vAlign w:val="bottom"/>
            <w:hideMark/>
          </w:tcPr>
          <w:p w14:paraId="52B0C5C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30,000 </w:t>
            </w:r>
          </w:p>
        </w:tc>
        <w:tc>
          <w:tcPr>
            <w:tcW w:w="826" w:type="dxa"/>
            <w:tcBorders>
              <w:top w:val="nil"/>
              <w:left w:val="nil"/>
              <w:bottom w:val="single" w:sz="4" w:space="0" w:color="000000"/>
              <w:right w:val="single" w:sz="4" w:space="0" w:color="000000"/>
            </w:tcBorders>
            <w:shd w:val="clear" w:color="auto" w:fill="auto"/>
            <w:noWrap/>
            <w:vAlign w:val="bottom"/>
            <w:hideMark/>
          </w:tcPr>
          <w:p w14:paraId="62A0C61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64" w:type="dxa"/>
            <w:tcBorders>
              <w:top w:val="nil"/>
              <w:left w:val="nil"/>
              <w:bottom w:val="single" w:sz="4" w:space="0" w:color="000000"/>
              <w:right w:val="single" w:sz="4" w:space="0" w:color="000000"/>
            </w:tcBorders>
            <w:shd w:val="clear" w:color="auto" w:fill="auto"/>
            <w:noWrap/>
            <w:vAlign w:val="bottom"/>
            <w:hideMark/>
          </w:tcPr>
          <w:p w14:paraId="4CDCB21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34" w:type="dxa"/>
            <w:tcBorders>
              <w:top w:val="nil"/>
              <w:left w:val="nil"/>
              <w:bottom w:val="single" w:sz="4" w:space="0" w:color="000000"/>
              <w:right w:val="single" w:sz="4" w:space="0" w:color="000000"/>
            </w:tcBorders>
            <w:shd w:val="clear" w:color="auto" w:fill="auto"/>
            <w:noWrap/>
            <w:vAlign w:val="bottom"/>
            <w:hideMark/>
          </w:tcPr>
          <w:p w14:paraId="49A892E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7" w:type="dxa"/>
            <w:tcBorders>
              <w:top w:val="nil"/>
              <w:left w:val="nil"/>
              <w:bottom w:val="single" w:sz="4" w:space="0" w:color="000000"/>
              <w:right w:val="single" w:sz="4" w:space="0" w:color="000000"/>
            </w:tcBorders>
            <w:shd w:val="clear" w:color="auto" w:fill="auto"/>
            <w:noWrap/>
            <w:vAlign w:val="bottom"/>
            <w:hideMark/>
          </w:tcPr>
          <w:p w14:paraId="6318F93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nil"/>
              <w:left w:val="nil"/>
              <w:bottom w:val="single" w:sz="4" w:space="0" w:color="000000"/>
              <w:right w:val="nil"/>
            </w:tcBorders>
            <w:shd w:val="clear" w:color="auto" w:fill="auto"/>
            <w:noWrap/>
            <w:vAlign w:val="bottom"/>
            <w:hideMark/>
          </w:tcPr>
          <w:p w14:paraId="501CB30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780BFDE8"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76 </w:t>
            </w:r>
          </w:p>
        </w:tc>
      </w:tr>
      <w:tr w:rsidR="007A7FA3" w:rsidRPr="007A7FA3" w14:paraId="4164E3F0" w14:textId="77777777" w:rsidTr="007A7FA3">
        <w:trPr>
          <w:trHeight w:val="270"/>
        </w:trPr>
        <w:tc>
          <w:tcPr>
            <w:tcW w:w="1086" w:type="dxa"/>
            <w:vMerge/>
            <w:tcBorders>
              <w:top w:val="nil"/>
              <w:left w:val="single" w:sz="8" w:space="0" w:color="auto"/>
              <w:bottom w:val="nil"/>
              <w:right w:val="single" w:sz="4" w:space="0" w:color="000000"/>
            </w:tcBorders>
            <w:vAlign w:val="center"/>
            <w:hideMark/>
          </w:tcPr>
          <w:p w14:paraId="72484E68"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5AF4E64A"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00337E20"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527A51EA"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39A55201"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1647C9FB"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5B1C5EF3"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71300</w:t>
            </w:r>
          </w:p>
        </w:tc>
        <w:tc>
          <w:tcPr>
            <w:tcW w:w="1580" w:type="dxa"/>
            <w:tcBorders>
              <w:top w:val="nil"/>
              <w:left w:val="nil"/>
              <w:bottom w:val="single" w:sz="4" w:space="0" w:color="000000"/>
              <w:right w:val="single" w:sz="4" w:space="0" w:color="000000"/>
            </w:tcBorders>
            <w:shd w:val="clear" w:color="auto" w:fill="auto"/>
            <w:vAlign w:val="bottom"/>
            <w:hideMark/>
          </w:tcPr>
          <w:p w14:paraId="6A737607"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Local Consultants</w:t>
            </w:r>
          </w:p>
        </w:tc>
        <w:tc>
          <w:tcPr>
            <w:tcW w:w="694" w:type="dxa"/>
            <w:tcBorders>
              <w:top w:val="nil"/>
              <w:left w:val="nil"/>
              <w:bottom w:val="single" w:sz="4" w:space="0" w:color="000000"/>
              <w:right w:val="single" w:sz="4" w:space="0" w:color="000000"/>
            </w:tcBorders>
            <w:shd w:val="clear" w:color="auto" w:fill="auto"/>
            <w:noWrap/>
            <w:vAlign w:val="bottom"/>
            <w:hideMark/>
          </w:tcPr>
          <w:p w14:paraId="6A83DE0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05" w:type="dxa"/>
            <w:tcBorders>
              <w:top w:val="nil"/>
              <w:left w:val="nil"/>
              <w:bottom w:val="single" w:sz="4" w:space="0" w:color="000000"/>
              <w:right w:val="single" w:sz="4" w:space="0" w:color="000000"/>
            </w:tcBorders>
            <w:shd w:val="clear" w:color="auto" w:fill="auto"/>
            <w:noWrap/>
            <w:vAlign w:val="bottom"/>
            <w:hideMark/>
          </w:tcPr>
          <w:p w14:paraId="5FE8C90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15,000 </w:t>
            </w:r>
          </w:p>
        </w:tc>
        <w:tc>
          <w:tcPr>
            <w:tcW w:w="826" w:type="dxa"/>
            <w:tcBorders>
              <w:top w:val="nil"/>
              <w:left w:val="nil"/>
              <w:bottom w:val="single" w:sz="4" w:space="0" w:color="000000"/>
              <w:right w:val="single" w:sz="4" w:space="0" w:color="000000"/>
            </w:tcBorders>
            <w:shd w:val="clear" w:color="auto" w:fill="auto"/>
            <w:noWrap/>
            <w:vAlign w:val="bottom"/>
            <w:hideMark/>
          </w:tcPr>
          <w:p w14:paraId="00758E6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64" w:type="dxa"/>
            <w:tcBorders>
              <w:top w:val="nil"/>
              <w:left w:val="nil"/>
              <w:bottom w:val="single" w:sz="4" w:space="0" w:color="000000"/>
              <w:right w:val="single" w:sz="4" w:space="0" w:color="000000"/>
            </w:tcBorders>
            <w:shd w:val="clear" w:color="auto" w:fill="auto"/>
            <w:noWrap/>
            <w:vAlign w:val="bottom"/>
            <w:hideMark/>
          </w:tcPr>
          <w:p w14:paraId="38E5C6D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34" w:type="dxa"/>
            <w:tcBorders>
              <w:top w:val="nil"/>
              <w:left w:val="nil"/>
              <w:bottom w:val="single" w:sz="4" w:space="0" w:color="000000"/>
              <w:right w:val="single" w:sz="4" w:space="0" w:color="000000"/>
            </w:tcBorders>
            <w:shd w:val="clear" w:color="auto" w:fill="auto"/>
            <w:noWrap/>
            <w:vAlign w:val="bottom"/>
            <w:hideMark/>
          </w:tcPr>
          <w:p w14:paraId="620AC8E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7" w:type="dxa"/>
            <w:tcBorders>
              <w:top w:val="nil"/>
              <w:left w:val="nil"/>
              <w:bottom w:val="single" w:sz="4" w:space="0" w:color="000000"/>
              <w:right w:val="single" w:sz="4" w:space="0" w:color="000000"/>
            </w:tcBorders>
            <w:shd w:val="clear" w:color="auto" w:fill="auto"/>
            <w:noWrap/>
            <w:vAlign w:val="bottom"/>
            <w:hideMark/>
          </w:tcPr>
          <w:p w14:paraId="52CA293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309B56D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25,000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525FD46B"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77 </w:t>
            </w:r>
          </w:p>
        </w:tc>
      </w:tr>
      <w:tr w:rsidR="007A7FA3" w:rsidRPr="007A7FA3" w14:paraId="679E5826" w14:textId="77777777" w:rsidTr="007A7FA3">
        <w:trPr>
          <w:trHeight w:val="255"/>
        </w:trPr>
        <w:tc>
          <w:tcPr>
            <w:tcW w:w="1086" w:type="dxa"/>
            <w:vMerge/>
            <w:tcBorders>
              <w:top w:val="nil"/>
              <w:left w:val="single" w:sz="8" w:space="0" w:color="auto"/>
              <w:bottom w:val="nil"/>
              <w:right w:val="single" w:sz="4" w:space="0" w:color="000000"/>
            </w:tcBorders>
            <w:vAlign w:val="center"/>
            <w:hideMark/>
          </w:tcPr>
          <w:p w14:paraId="56894A93"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6BFEC1D1"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275E55A8"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6908C2B4"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102267D5"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12F61433"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05719663"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71600</w:t>
            </w:r>
          </w:p>
        </w:tc>
        <w:tc>
          <w:tcPr>
            <w:tcW w:w="1580" w:type="dxa"/>
            <w:tcBorders>
              <w:top w:val="nil"/>
              <w:left w:val="nil"/>
              <w:bottom w:val="single" w:sz="4" w:space="0" w:color="000000"/>
              <w:right w:val="single" w:sz="4" w:space="0" w:color="000000"/>
            </w:tcBorders>
            <w:shd w:val="clear" w:color="auto" w:fill="auto"/>
            <w:vAlign w:val="bottom"/>
            <w:hideMark/>
          </w:tcPr>
          <w:p w14:paraId="71A30DBB"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Travel</w:t>
            </w:r>
          </w:p>
        </w:tc>
        <w:tc>
          <w:tcPr>
            <w:tcW w:w="694" w:type="dxa"/>
            <w:tcBorders>
              <w:top w:val="nil"/>
              <w:left w:val="nil"/>
              <w:bottom w:val="single" w:sz="4" w:space="0" w:color="000000"/>
              <w:right w:val="single" w:sz="4" w:space="0" w:color="000000"/>
            </w:tcBorders>
            <w:shd w:val="clear" w:color="auto" w:fill="auto"/>
            <w:noWrap/>
            <w:vAlign w:val="bottom"/>
            <w:hideMark/>
          </w:tcPr>
          <w:p w14:paraId="1752C0D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8,000 </w:t>
            </w:r>
          </w:p>
        </w:tc>
        <w:tc>
          <w:tcPr>
            <w:tcW w:w="805" w:type="dxa"/>
            <w:tcBorders>
              <w:top w:val="nil"/>
              <w:left w:val="nil"/>
              <w:bottom w:val="single" w:sz="4" w:space="0" w:color="000000"/>
              <w:right w:val="single" w:sz="4" w:space="0" w:color="000000"/>
            </w:tcBorders>
            <w:shd w:val="clear" w:color="auto" w:fill="auto"/>
            <w:noWrap/>
            <w:vAlign w:val="bottom"/>
            <w:hideMark/>
          </w:tcPr>
          <w:p w14:paraId="5CBD909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26" w:type="dxa"/>
            <w:tcBorders>
              <w:top w:val="nil"/>
              <w:left w:val="nil"/>
              <w:bottom w:val="single" w:sz="4" w:space="0" w:color="000000"/>
              <w:right w:val="single" w:sz="4" w:space="0" w:color="000000"/>
            </w:tcBorders>
            <w:shd w:val="clear" w:color="auto" w:fill="auto"/>
            <w:noWrap/>
            <w:vAlign w:val="bottom"/>
            <w:hideMark/>
          </w:tcPr>
          <w:p w14:paraId="6F5FB99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64" w:type="dxa"/>
            <w:tcBorders>
              <w:top w:val="nil"/>
              <w:left w:val="nil"/>
              <w:bottom w:val="single" w:sz="4" w:space="0" w:color="000000"/>
              <w:right w:val="single" w:sz="4" w:space="0" w:color="000000"/>
            </w:tcBorders>
            <w:shd w:val="clear" w:color="auto" w:fill="auto"/>
            <w:noWrap/>
            <w:vAlign w:val="bottom"/>
            <w:hideMark/>
          </w:tcPr>
          <w:p w14:paraId="465F57B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34" w:type="dxa"/>
            <w:tcBorders>
              <w:top w:val="nil"/>
              <w:left w:val="nil"/>
              <w:bottom w:val="single" w:sz="4" w:space="0" w:color="000000"/>
              <w:right w:val="single" w:sz="4" w:space="0" w:color="000000"/>
            </w:tcBorders>
            <w:shd w:val="clear" w:color="auto" w:fill="auto"/>
            <w:noWrap/>
            <w:vAlign w:val="bottom"/>
            <w:hideMark/>
          </w:tcPr>
          <w:p w14:paraId="52B5693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7" w:type="dxa"/>
            <w:tcBorders>
              <w:top w:val="nil"/>
              <w:left w:val="nil"/>
              <w:bottom w:val="single" w:sz="4" w:space="0" w:color="000000"/>
              <w:right w:val="single" w:sz="4" w:space="0" w:color="000000"/>
            </w:tcBorders>
            <w:shd w:val="clear" w:color="auto" w:fill="auto"/>
            <w:noWrap/>
            <w:vAlign w:val="bottom"/>
            <w:hideMark/>
          </w:tcPr>
          <w:p w14:paraId="14932DD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6D5355E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18,000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31140205"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78 </w:t>
            </w:r>
          </w:p>
        </w:tc>
      </w:tr>
      <w:tr w:rsidR="007A7FA3" w:rsidRPr="007A7FA3" w14:paraId="5289FABA" w14:textId="77777777" w:rsidTr="007A7FA3">
        <w:trPr>
          <w:trHeight w:val="240"/>
        </w:trPr>
        <w:tc>
          <w:tcPr>
            <w:tcW w:w="1086" w:type="dxa"/>
            <w:vMerge/>
            <w:tcBorders>
              <w:top w:val="nil"/>
              <w:left w:val="single" w:sz="8" w:space="0" w:color="auto"/>
              <w:bottom w:val="nil"/>
              <w:right w:val="single" w:sz="4" w:space="0" w:color="000000"/>
            </w:tcBorders>
            <w:vAlign w:val="center"/>
            <w:hideMark/>
          </w:tcPr>
          <w:p w14:paraId="40A89DF2"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1FC01539"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26FAEA0D"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02F1ACFF"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0C8675ED"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1D66BCED"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096A8092"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72400</w:t>
            </w:r>
          </w:p>
        </w:tc>
        <w:tc>
          <w:tcPr>
            <w:tcW w:w="1580" w:type="dxa"/>
            <w:tcBorders>
              <w:top w:val="nil"/>
              <w:left w:val="nil"/>
              <w:bottom w:val="single" w:sz="4" w:space="0" w:color="000000"/>
              <w:right w:val="single" w:sz="4" w:space="0" w:color="000000"/>
            </w:tcBorders>
            <w:shd w:val="clear" w:color="auto" w:fill="auto"/>
            <w:vAlign w:val="bottom"/>
            <w:hideMark/>
          </w:tcPr>
          <w:p w14:paraId="55D31946"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Communic &amp; Audio Visual Equip</w:t>
            </w:r>
          </w:p>
        </w:tc>
        <w:tc>
          <w:tcPr>
            <w:tcW w:w="694" w:type="dxa"/>
            <w:tcBorders>
              <w:top w:val="nil"/>
              <w:left w:val="nil"/>
              <w:bottom w:val="single" w:sz="4" w:space="0" w:color="000000"/>
              <w:right w:val="single" w:sz="4" w:space="0" w:color="000000"/>
            </w:tcBorders>
            <w:shd w:val="clear" w:color="auto" w:fill="auto"/>
            <w:noWrap/>
            <w:vAlign w:val="bottom"/>
            <w:hideMark/>
          </w:tcPr>
          <w:p w14:paraId="1E7D656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4,000 </w:t>
            </w:r>
          </w:p>
        </w:tc>
        <w:tc>
          <w:tcPr>
            <w:tcW w:w="805" w:type="dxa"/>
            <w:tcBorders>
              <w:top w:val="nil"/>
              <w:left w:val="nil"/>
              <w:bottom w:val="single" w:sz="4" w:space="0" w:color="000000"/>
              <w:right w:val="single" w:sz="4" w:space="0" w:color="000000"/>
            </w:tcBorders>
            <w:shd w:val="clear" w:color="auto" w:fill="auto"/>
            <w:noWrap/>
            <w:vAlign w:val="bottom"/>
            <w:hideMark/>
          </w:tcPr>
          <w:p w14:paraId="4BA8608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3,000 </w:t>
            </w:r>
          </w:p>
        </w:tc>
        <w:tc>
          <w:tcPr>
            <w:tcW w:w="826" w:type="dxa"/>
            <w:tcBorders>
              <w:top w:val="nil"/>
              <w:left w:val="nil"/>
              <w:bottom w:val="single" w:sz="4" w:space="0" w:color="000000"/>
              <w:right w:val="single" w:sz="4" w:space="0" w:color="000000"/>
            </w:tcBorders>
            <w:shd w:val="clear" w:color="auto" w:fill="auto"/>
            <w:noWrap/>
            <w:vAlign w:val="bottom"/>
            <w:hideMark/>
          </w:tcPr>
          <w:p w14:paraId="158C371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64" w:type="dxa"/>
            <w:tcBorders>
              <w:top w:val="nil"/>
              <w:left w:val="nil"/>
              <w:bottom w:val="single" w:sz="4" w:space="0" w:color="000000"/>
              <w:right w:val="single" w:sz="4" w:space="0" w:color="000000"/>
            </w:tcBorders>
            <w:shd w:val="clear" w:color="auto" w:fill="auto"/>
            <w:noWrap/>
            <w:vAlign w:val="bottom"/>
            <w:hideMark/>
          </w:tcPr>
          <w:p w14:paraId="3F2B617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34" w:type="dxa"/>
            <w:tcBorders>
              <w:top w:val="nil"/>
              <w:left w:val="nil"/>
              <w:bottom w:val="single" w:sz="4" w:space="0" w:color="000000"/>
              <w:right w:val="single" w:sz="4" w:space="0" w:color="000000"/>
            </w:tcBorders>
            <w:shd w:val="clear" w:color="auto" w:fill="auto"/>
            <w:noWrap/>
            <w:vAlign w:val="bottom"/>
            <w:hideMark/>
          </w:tcPr>
          <w:p w14:paraId="7E4653A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7" w:type="dxa"/>
            <w:tcBorders>
              <w:top w:val="nil"/>
              <w:left w:val="nil"/>
              <w:bottom w:val="single" w:sz="4" w:space="0" w:color="000000"/>
              <w:right w:val="single" w:sz="4" w:space="0" w:color="000000"/>
            </w:tcBorders>
            <w:shd w:val="clear" w:color="auto" w:fill="auto"/>
            <w:noWrap/>
            <w:vAlign w:val="bottom"/>
            <w:hideMark/>
          </w:tcPr>
          <w:p w14:paraId="6B04874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27C5DB6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7,000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6C7EAB99"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79 </w:t>
            </w:r>
          </w:p>
        </w:tc>
      </w:tr>
      <w:tr w:rsidR="007A7FA3" w:rsidRPr="007A7FA3" w14:paraId="1C15B756" w14:textId="77777777" w:rsidTr="007A7FA3">
        <w:trPr>
          <w:trHeight w:val="720"/>
        </w:trPr>
        <w:tc>
          <w:tcPr>
            <w:tcW w:w="1086" w:type="dxa"/>
            <w:vMerge/>
            <w:tcBorders>
              <w:top w:val="nil"/>
              <w:left w:val="single" w:sz="8" w:space="0" w:color="auto"/>
              <w:bottom w:val="nil"/>
              <w:right w:val="single" w:sz="4" w:space="0" w:color="000000"/>
            </w:tcBorders>
            <w:vAlign w:val="center"/>
            <w:hideMark/>
          </w:tcPr>
          <w:p w14:paraId="12648C03"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365C0BC8"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043CD672" w14:textId="77777777" w:rsidR="007A7FA3" w:rsidRPr="007A7FA3" w:rsidRDefault="007A7FA3" w:rsidP="007A7FA3">
            <w:pPr>
              <w:rPr>
                <w:rFonts w:ascii="Calibri" w:hAnsi="Calibri" w:cs="Calibri"/>
                <w:i/>
                <w:iCs/>
                <w:color w:val="000000"/>
                <w:sz w:val="13"/>
                <w:szCs w:val="13"/>
              </w:rPr>
            </w:pPr>
          </w:p>
        </w:tc>
        <w:tc>
          <w:tcPr>
            <w:tcW w:w="3763" w:type="dxa"/>
            <w:gridSpan w:val="5"/>
            <w:tcBorders>
              <w:top w:val="single" w:sz="4" w:space="0" w:color="000000"/>
              <w:left w:val="nil"/>
              <w:bottom w:val="single" w:sz="4" w:space="0" w:color="000000"/>
              <w:right w:val="single" w:sz="4" w:space="0" w:color="000000"/>
            </w:tcBorders>
            <w:shd w:val="clear" w:color="auto" w:fill="auto"/>
            <w:vAlign w:val="center"/>
            <w:hideMark/>
          </w:tcPr>
          <w:p w14:paraId="2CFB7E46"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Total BCC</w:t>
            </w:r>
          </w:p>
        </w:tc>
        <w:tc>
          <w:tcPr>
            <w:tcW w:w="694" w:type="dxa"/>
            <w:tcBorders>
              <w:top w:val="nil"/>
              <w:left w:val="nil"/>
              <w:bottom w:val="single" w:sz="4" w:space="0" w:color="000000"/>
              <w:right w:val="single" w:sz="4" w:space="0" w:color="000000"/>
            </w:tcBorders>
            <w:shd w:val="clear" w:color="auto" w:fill="auto"/>
            <w:noWrap/>
            <w:vAlign w:val="bottom"/>
            <w:hideMark/>
          </w:tcPr>
          <w:p w14:paraId="4728195F"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42,000 </w:t>
            </w:r>
          </w:p>
        </w:tc>
        <w:tc>
          <w:tcPr>
            <w:tcW w:w="805" w:type="dxa"/>
            <w:tcBorders>
              <w:top w:val="nil"/>
              <w:left w:val="nil"/>
              <w:bottom w:val="single" w:sz="4" w:space="0" w:color="000000"/>
              <w:right w:val="single" w:sz="4" w:space="0" w:color="000000"/>
            </w:tcBorders>
            <w:shd w:val="clear" w:color="auto" w:fill="auto"/>
            <w:noWrap/>
            <w:vAlign w:val="bottom"/>
            <w:hideMark/>
          </w:tcPr>
          <w:p w14:paraId="68623876"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58,000 </w:t>
            </w:r>
          </w:p>
        </w:tc>
        <w:tc>
          <w:tcPr>
            <w:tcW w:w="826" w:type="dxa"/>
            <w:tcBorders>
              <w:top w:val="nil"/>
              <w:left w:val="nil"/>
              <w:bottom w:val="single" w:sz="4" w:space="0" w:color="000000"/>
              <w:right w:val="single" w:sz="4" w:space="0" w:color="000000"/>
            </w:tcBorders>
            <w:shd w:val="clear" w:color="auto" w:fill="auto"/>
            <w:noWrap/>
            <w:vAlign w:val="bottom"/>
            <w:hideMark/>
          </w:tcPr>
          <w:p w14:paraId="1B1CF6BD"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64" w:type="dxa"/>
            <w:tcBorders>
              <w:top w:val="nil"/>
              <w:left w:val="nil"/>
              <w:bottom w:val="single" w:sz="4" w:space="0" w:color="000000"/>
              <w:right w:val="single" w:sz="4" w:space="0" w:color="000000"/>
            </w:tcBorders>
            <w:shd w:val="clear" w:color="auto" w:fill="auto"/>
            <w:noWrap/>
            <w:vAlign w:val="bottom"/>
            <w:hideMark/>
          </w:tcPr>
          <w:p w14:paraId="41326B67"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34" w:type="dxa"/>
            <w:tcBorders>
              <w:top w:val="nil"/>
              <w:left w:val="nil"/>
              <w:bottom w:val="single" w:sz="4" w:space="0" w:color="000000"/>
              <w:right w:val="single" w:sz="4" w:space="0" w:color="000000"/>
            </w:tcBorders>
            <w:shd w:val="clear" w:color="auto" w:fill="auto"/>
            <w:noWrap/>
            <w:vAlign w:val="bottom"/>
            <w:hideMark/>
          </w:tcPr>
          <w:p w14:paraId="464F37D8"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27" w:type="dxa"/>
            <w:tcBorders>
              <w:top w:val="nil"/>
              <w:left w:val="nil"/>
              <w:bottom w:val="single" w:sz="4" w:space="0" w:color="000000"/>
              <w:right w:val="single" w:sz="4" w:space="0" w:color="000000"/>
            </w:tcBorders>
            <w:shd w:val="clear" w:color="auto" w:fill="auto"/>
            <w:noWrap/>
            <w:vAlign w:val="bottom"/>
            <w:hideMark/>
          </w:tcPr>
          <w:p w14:paraId="681E22BF"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980" w:type="dxa"/>
            <w:tcBorders>
              <w:top w:val="single" w:sz="8" w:space="0" w:color="000000"/>
              <w:left w:val="nil"/>
              <w:bottom w:val="single" w:sz="4" w:space="0" w:color="000000"/>
              <w:right w:val="nil"/>
            </w:tcBorders>
            <w:shd w:val="clear" w:color="auto" w:fill="auto"/>
            <w:noWrap/>
            <w:vAlign w:val="bottom"/>
            <w:hideMark/>
          </w:tcPr>
          <w:p w14:paraId="6727EBF3"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100,000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0193BF12"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7149D6B2" w14:textId="77777777" w:rsidTr="007A7FA3">
        <w:trPr>
          <w:trHeight w:val="270"/>
        </w:trPr>
        <w:tc>
          <w:tcPr>
            <w:tcW w:w="1086" w:type="dxa"/>
            <w:vMerge/>
            <w:tcBorders>
              <w:top w:val="nil"/>
              <w:left w:val="single" w:sz="8" w:space="0" w:color="auto"/>
              <w:bottom w:val="nil"/>
              <w:right w:val="single" w:sz="4" w:space="0" w:color="000000"/>
            </w:tcBorders>
            <w:vAlign w:val="center"/>
            <w:hideMark/>
          </w:tcPr>
          <w:p w14:paraId="08270EA7"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5D69C251" w14:textId="77777777" w:rsidR="007A7FA3" w:rsidRPr="007A7FA3" w:rsidRDefault="007A7FA3" w:rsidP="007A7FA3">
            <w:pPr>
              <w:rPr>
                <w:rFonts w:ascii="Calibri" w:hAnsi="Calibri" w:cs="Calibri"/>
                <w:i/>
                <w:iCs/>
                <w:color w:val="000000"/>
                <w:sz w:val="13"/>
                <w:szCs w:val="13"/>
              </w:rPr>
            </w:pPr>
          </w:p>
        </w:tc>
        <w:tc>
          <w:tcPr>
            <w:tcW w:w="5779" w:type="dxa"/>
            <w:gridSpan w:val="6"/>
            <w:tcBorders>
              <w:top w:val="nil"/>
              <w:left w:val="nil"/>
              <w:bottom w:val="single" w:sz="4" w:space="0" w:color="000000"/>
              <w:right w:val="single" w:sz="4" w:space="0" w:color="000000"/>
            </w:tcBorders>
            <w:shd w:val="clear" w:color="auto" w:fill="auto"/>
            <w:vAlign w:val="center"/>
            <w:hideMark/>
          </w:tcPr>
          <w:p w14:paraId="3D5094F9" w14:textId="77777777" w:rsidR="007A7FA3" w:rsidRPr="007A7FA3" w:rsidRDefault="007A7FA3" w:rsidP="007A7FA3">
            <w:pPr>
              <w:rPr>
                <w:rFonts w:ascii="Calibri" w:hAnsi="Calibri" w:cs="Calibri"/>
                <w:b/>
                <w:bCs/>
                <w:i/>
                <w:iCs/>
                <w:color w:val="000000"/>
                <w:sz w:val="13"/>
                <w:szCs w:val="13"/>
              </w:rPr>
            </w:pPr>
            <w:r w:rsidRPr="007A7FA3">
              <w:rPr>
                <w:rFonts w:ascii="Calibri" w:hAnsi="Calibri" w:cs="Calibri"/>
                <w:b/>
                <w:bCs/>
                <w:i/>
                <w:iCs/>
                <w:color w:val="000000"/>
                <w:sz w:val="13"/>
                <w:szCs w:val="13"/>
              </w:rPr>
              <w:t>Total Output 3.1.1</w:t>
            </w:r>
          </w:p>
        </w:tc>
        <w:tc>
          <w:tcPr>
            <w:tcW w:w="694" w:type="dxa"/>
            <w:tcBorders>
              <w:top w:val="nil"/>
              <w:left w:val="nil"/>
              <w:bottom w:val="single" w:sz="4" w:space="0" w:color="000000"/>
              <w:right w:val="single" w:sz="4" w:space="0" w:color="000000"/>
            </w:tcBorders>
            <w:shd w:val="clear" w:color="auto" w:fill="auto"/>
            <w:noWrap/>
            <w:vAlign w:val="bottom"/>
            <w:hideMark/>
          </w:tcPr>
          <w:p w14:paraId="576FFA0F"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42,000 </w:t>
            </w:r>
          </w:p>
        </w:tc>
        <w:tc>
          <w:tcPr>
            <w:tcW w:w="805" w:type="dxa"/>
            <w:tcBorders>
              <w:top w:val="nil"/>
              <w:left w:val="nil"/>
              <w:bottom w:val="single" w:sz="4" w:space="0" w:color="000000"/>
              <w:right w:val="single" w:sz="4" w:space="0" w:color="000000"/>
            </w:tcBorders>
            <w:shd w:val="clear" w:color="auto" w:fill="auto"/>
            <w:noWrap/>
            <w:vAlign w:val="bottom"/>
            <w:hideMark/>
          </w:tcPr>
          <w:p w14:paraId="7DD8F6F9"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58,000 </w:t>
            </w:r>
          </w:p>
        </w:tc>
        <w:tc>
          <w:tcPr>
            <w:tcW w:w="826" w:type="dxa"/>
            <w:tcBorders>
              <w:top w:val="nil"/>
              <w:left w:val="nil"/>
              <w:bottom w:val="single" w:sz="4" w:space="0" w:color="000000"/>
              <w:right w:val="single" w:sz="4" w:space="0" w:color="000000"/>
            </w:tcBorders>
            <w:shd w:val="clear" w:color="auto" w:fill="auto"/>
            <w:noWrap/>
            <w:vAlign w:val="bottom"/>
            <w:hideMark/>
          </w:tcPr>
          <w:p w14:paraId="0787B362"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64" w:type="dxa"/>
            <w:tcBorders>
              <w:top w:val="nil"/>
              <w:left w:val="nil"/>
              <w:bottom w:val="single" w:sz="4" w:space="0" w:color="000000"/>
              <w:right w:val="single" w:sz="4" w:space="0" w:color="000000"/>
            </w:tcBorders>
            <w:shd w:val="clear" w:color="auto" w:fill="auto"/>
            <w:noWrap/>
            <w:vAlign w:val="bottom"/>
            <w:hideMark/>
          </w:tcPr>
          <w:p w14:paraId="7BF97311"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34" w:type="dxa"/>
            <w:tcBorders>
              <w:top w:val="nil"/>
              <w:left w:val="nil"/>
              <w:bottom w:val="single" w:sz="4" w:space="0" w:color="000000"/>
              <w:right w:val="single" w:sz="4" w:space="0" w:color="000000"/>
            </w:tcBorders>
            <w:shd w:val="clear" w:color="auto" w:fill="auto"/>
            <w:noWrap/>
            <w:vAlign w:val="bottom"/>
            <w:hideMark/>
          </w:tcPr>
          <w:p w14:paraId="2BC0436C"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27" w:type="dxa"/>
            <w:tcBorders>
              <w:top w:val="nil"/>
              <w:left w:val="nil"/>
              <w:bottom w:val="single" w:sz="4" w:space="0" w:color="000000"/>
              <w:right w:val="single" w:sz="4" w:space="0" w:color="000000"/>
            </w:tcBorders>
            <w:shd w:val="clear" w:color="auto" w:fill="auto"/>
            <w:noWrap/>
            <w:vAlign w:val="bottom"/>
            <w:hideMark/>
          </w:tcPr>
          <w:p w14:paraId="09E73D9C"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980" w:type="dxa"/>
            <w:tcBorders>
              <w:top w:val="single" w:sz="8" w:space="0" w:color="000000"/>
              <w:left w:val="nil"/>
              <w:bottom w:val="single" w:sz="4" w:space="0" w:color="000000"/>
              <w:right w:val="nil"/>
            </w:tcBorders>
            <w:shd w:val="clear" w:color="auto" w:fill="auto"/>
            <w:noWrap/>
            <w:vAlign w:val="bottom"/>
            <w:hideMark/>
          </w:tcPr>
          <w:p w14:paraId="07334611"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100,000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5513BD16"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3B87F7C5" w14:textId="77777777" w:rsidTr="007A7FA3">
        <w:trPr>
          <w:trHeight w:val="270"/>
        </w:trPr>
        <w:tc>
          <w:tcPr>
            <w:tcW w:w="1086" w:type="dxa"/>
            <w:vMerge/>
            <w:tcBorders>
              <w:top w:val="nil"/>
              <w:left w:val="single" w:sz="8" w:space="0" w:color="auto"/>
              <w:bottom w:val="nil"/>
              <w:right w:val="single" w:sz="4" w:space="0" w:color="000000"/>
            </w:tcBorders>
            <w:vAlign w:val="center"/>
            <w:hideMark/>
          </w:tcPr>
          <w:p w14:paraId="38BE6579" w14:textId="77777777" w:rsidR="007A7FA3" w:rsidRPr="007A7FA3" w:rsidRDefault="007A7FA3" w:rsidP="007A7FA3">
            <w:pPr>
              <w:rPr>
                <w:rFonts w:ascii="Calibri" w:hAnsi="Calibri" w:cs="Calibri"/>
                <w:i/>
                <w:iCs/>
                <w:color w:val="000000"/>
                <w:sz w:val="13"/>
                <w:szCs w:val="13"/>
              </w:rPr>
            </w:pPr>
          </w:p>
        </w:tc>
        <w:tc>
          <w:tcPr>
            <w:tcW w:w="6650" w:type="dxa"/>
            <w:gridSpan w:val="7"/>
            <w:tcBorders>
              <w:top w:val="single" w:sz="4" w:space="0" w:color="000000"/>
              <w:left w:val="nil"/>
              <w:bottom w:val="single" w:sz="4" w:space="0" w:color="000000"/>
              <w:right w:val="single" w:sz="4" w:space="0" w:color="000000"/>
            </w:tcBorders>
            <w:shd w:val="clear" w:color="FEF2CB" w:fill="FEF2CB"/>
            <w:vAlign w:val="center"/>
            <w:hideMark/>
          </w:tcPr>
          <w:p w14:paraId="7B47A1B4" w14:textId="77777777" w:rsidR="007A7FA3" w:rsidRPr="007A7FA3" w:rsidRDefault="007A7FA3" w:rsidP="007A7FA3">
            <w:pPr>
              <w:rPr>
                <w:rFonts w:ascii="Calibri" w:hAnsi="Calibri" w:cs="Calibri"/>
                <w:b/>
                <w:bCs/>
                <w:i/>
                <w:iCs/>
                <w:color w:val="000000"/>
                <w:sz w:val="13"/>
                <w:szCs w:val="13"/>
              </w:rPr>
            </w:pPr>
            <w:r w:rsidRPr="007A7FA3">
              <w:rPr>
                <w:rFonts w:ascii="Calibri" w:hAnsi="Calibri" w:cs="Calibri"/>
                <w:b/>
                <w:bCs/>
                <w:i/>
                <w:iCs/>
                <w:color w:val="000000"/>
                <w:sz w:val="13"/>
                <w:szCs w:val="13"/>
              </w:rPr>
              <w:t>Total Outcome 3.1</w:t>
            </w:r>
          </w:p>
        </w:tc>
        <w:tc>
          <w:tcPr>
            <w:tcW w:w="694" w:type="dxa"/>
            <w:tcBorders>
              <w:top w:val="nil"/>
              <w:left w:val="nil"/>
              <w:bottom w:val="single" w:sz="4" w:space="0" w:color="000000"/>
              <w:right w:val="single" w:sz="4" w:space="0" w:color="000000"/>
            </w:tcBorders>
            <w:shd w:val="clear" w:color="FEF2CB" w:fill="FEF2CB"/>
            <w:noWrap/>
            <w:vAlign w:val="bottom"/>
            <w:hideMark/>
          </w:tcPr>
          <w:p w14:paraId="061372ED"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42,000 </w:t>
            </w:r>
          </w:p>
        </w:tc>
        <w:tc>
          <w:tcPr>
            <w:tcW w:w="805" w:type="dxa"/>
            <w:tcBorders>
              <w:top w:val="nil"/>
              <w:left w:val="nil"/>
              <w:bottom w:val="single" w:sz="4" w:space="0" w:color="000000"/>
              <w:right w:val="single" w:sz="4" w:space="0" w:color="000000"/>
            </w:tcBorders>
            <w:shd w:val="clear" w:color="FEF2CB" w:fill="FEF2CB"/>
            <w:noWrap/>
            <w:vAlign w:val="bottom"/>
            <w:hideMark/>
          </w:tcPr>
          <w:p w14:paraId="332C9D61"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58,000 </w:t>
            </w:r>
          </w:p>
        </w:tc>
        <w:tc>
          <w:tcPr>
            <w:tcW w:w="826" w:type="dxa"/>
            <w:tcBorders>
              <w:top w:val="nil"/>
              <w:left w:val="nil"/>
              <w:bottom w:val="single" w:sz="4" w:space="0" w:color="000000"/>
              <w:right w:val="single" w:sz="4" w:space="0" w:color="000000"/>
            </w:tcBorders>
            <w:shd w:val="clear" w:color="FEF2CB" w:fill="FEF2CB"/>
            <w:noWrap/>
            <w:vAlign w:val="bottom"/>
            <w:hideMark/>
          </w:tcPr>
          <w:p w14:paraId="519E5D51"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64" w:type="dxa"/>
            <w:tcBorders>
              <w:top w:val="nil"/>
              <w:left w:val="nil"/>
              <w:bottom w:val="single" w:sz="4" w:space="0" w:color="000000"/>
              <w:right w:val="single" w:sz="4" w:space="0" w:color="000000"/>
            </w:tcBorders>
            <w:shd w:val="clear" w:color="FEF2CB" w:fill="FEF2CB"/>
            <w:noWrap/>
            <w:vAlign w:val="bottom"/>
            <w:hideMark/>
          </w:tcPr>
          <w:p w14:paraId="436EC66A"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34" w:type="dxa"/>
            <w:tcBorders>
              <w:top w:val="nil"/>
              <w:left w:val="nil"/>
              <w:bottom w:val="single" w:sz="4" w:space="0" w:color="000000"/>
              <w:right w:val="single" w:sz="4" w:space="0" w:color="000000"/>
            </w:tcBorders>
            <w:shd w:val="clear" w:color="FEF2CB" w:fill="FEF2CB"/>
            <w:noWrap/>
            <w:vAlign w:val="bottom"/>
            <w:hideMark/>
          </w:tcPr>
          <w:p w14:paraId="0BBEB01F"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27" w:type="dxa"/>
            <w:tcBorders>
              <w:top w:val="nil"/>
              <w:left w:val="nil"/>
              <w:bottom w:val="single" w:sz="4" w:space="0" w:color="000000"/>
              <w:right w:val="single" w:sz="4" w:space="0" w:color="000000"/>
            </w:tcBorders>
            <w:shd w:val="clear" w:color="FEF2CB" w:fill="FEF2CB"/>
            <w:noWrap/>
            <w:vAlign w:val="bottom"/>
            <w:hideMark/>
          </w:tcPr>
          <w:p w14:paraId="2D77400C"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980" w:type="dxa"/>
            <w:tcBorders>
              <w:top w:val="nil"/>
              <w:left w:val="nil"/>
              <w:bottom w:val="single" w:sz="4" w:space="0" w:color="000000"/>
              <w:right w:val="nil"/>
            </w:tcBorders>
            <w:shd w:val="clear" w:color="FEF2CB" w:fill="FEF2CB"/>
            <w:noWrap/>
            <w:vAlign w:val="bottom"/>
            <w:hideMark/>
          </w:tcPr>
          <w:p w14:paraId="52E0DB55"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100,000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174B36F4"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06D3B2C3" w14:textId="77777777" w:rsidTr="007A7FA3">
        <w:trPr>
          <w:trHeight w:val="240"/>
        </w:trPr>
        <w:tc>
          <w:tcPr>
            <w:tcW w:w="1086" w:type="dxa"/>
            <w:vMerge/>
            <w:tcBorders>
              <w:top w:val="nil"/>
              <w:left w:val="single" w:sz="8" w:space="0" w:color="auto"/>
              <w:bottom w:val="nil"/>
              <w:right w:val="single" w:sz="4" w:space="0" w:color="000000"/>
            </w:tcBorders>
            <w:vAlign w:val="center"/>
            <w:hideMark/>
          </w:tcPr>
          <w:p w14:paraId="6A392531" w14:textId="77777777" w:rsidR="007A7FA3" w:rsidRPr="007A7FA3" w:rsidRDefault="007A7FA3" w:rsidP="007A7FA3">
            <w:pPr>
              <w:rPr>
                <w:rFonts w:ascii="Calibri" w:hAnsi="Calibri" w:cs="Calibri"/>
                <w:i/>
                <w:iCs/>
                <w:color w:val="000000"/>
                <w:sz w:val="13"/>
                <w:szCs w:val="13"/>
              </w:rPr>
            </w:pPr>
          </w:p>
        </w:tc>
        <w:tc>
          <w:tcPr>
            <w:tcW w:w="871"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2D54C6D5"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3.2: Reduced discharge of pollutants from land-based activities in priority coastal areas [and river basins] through Community-Level Stakeholder Engagement</w:t>
            </w:r>
          </w:p>
        </w:tc>
        <w:tc>
          <w:tcPr>
            <w:tcW w:w="2016" w:type="dxa"/>
            <w:vMerge w:val="restart"/>
            <w:tcBorders>
              <w:top w:val="nil"/>
              <w:left w:val="nil"/>
              <w:bottom w:val="single" w:sz="4" w:space="0" w:color="000000"/>
              <w:right w:val="single" w:sz="4" w:space="0" w:color="000000"/>
            </w:tcBorders>
            <w:shd w:val="clear" w:color="auto" w:fill="auto"/>
            <w:vAlign w:val="center"/>
            <w:hideMark/>
          </w:tcPr>
          <w:p w14:paraId="285CA0CA"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 xml:space="preserve">3.2.1: Pilot level community-based EBM and integrated watershed and coastal area management (IWCAM) approaches to pollution reduction demonstrated and addressed through demonstrations at [2-3] pilot sites by mid-project and ready for replication </w:t>
            </w:r>
          </w:p>
        </w:tc>
        <w:tc>
          <w:tcPr>
            <w:tcW w:w="631" w:type="dxa"/>
            <w:vMerge w:val="restart"/>
            <w:tcBorders>
              <w:top w:val="nil"/>
              <w:left w:val="nil"/>
              <w:bottom w:val="nil"/>
              <w:right w:val="nil"/>
            </w:tcBorders>
            <w:shd w:val="clear" w:color="auto" w:fill="auto"/>
            <w:vAlign w:val="center"/>
            <w:hideMark/>
          </w:tcPr>
          <w:p w14:paraId="04911CD5"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BCC</w:t>
            </w:r>
          </w:p>
        </w:tc>
        <w:tc>
          <w:tcPr>
            <w:tcW w:w="504" w:type="dxa"/>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4E0BDABD"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val="restart"/>
            <w:tcBorders>
              <w:top w:val="nil"/>
              <w:left w:val="single" w:sz="4" w:space="0" w:color="000000"/>
              <w:bottom w:val="nil"/>
              <w:right w:val="nil"/>
            </w:tcBorders>
            <w:shd w:val="clear" w:color="auto" w:fill="auto"/>
            <w:vAlign w:val="center"/>
            <w:hideMark/>
          </w:tcPr>
          <w:p w14:paraId="37D369D0"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w:t>
            </w:r>
          </w:p>
        </w:tc>
        <w:tc>
          <w:tcPr>
            <w:tcW w:w="544" w:type="dxa"/>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448F32A5"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71200</w:t>
            </w:r>
          </w:p>
        </w:tc>
        <w:tc>
          <w:tcPr>
            <w:tcW w:w="1580" w:type="dxa"/>
            <w:tcBorders>
              <w:top w:val="single" w:sz="8" w:space="0" w:color="000000"/>
              <w:left w:val="nil"/>
              <w:bottom w:val="single" w:sz="4" w:space="0" w:color="000000"/>
              <w:right w:val="single" w:sz="4" w:space="0" w:color="000000"/>
            </w:tcBorders>
            <w:shd w:val="clear" w:color="auto" w:fill="auto"/>
            <w:vAlign w:val="bottom"/>
            <w:hideMark/>
          </w:tcPr>
          <w:p w14:paraId="4496B4DD"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International Consultants</w:t>
            </w:r>
          </w:p>
        </w:tc>
        <w:tc>
          <w:tcPr>
            <w:tcW w:w="694" w:type="dxa"/>
            <w:tcBorders>
              <w:top w:val="single" w:sz="8" w:space="0" w:color="000000"/>
              <w:left w:val="nil"/>
              <w:bottom w:val="single" w:sz="4" w:space="0" w:color="000000"/>
              <w:right w:val="single" w:sz="4" w:space="0" w:color="000000"/>
            </w:tcBorders>
            <w:shd w:val="clear" w:color="auto" w:fill="auto"/>
            <w:noWrap/>
            <w:vAlign w:val="bottom"/>
            <w:hideMark/>
          </w:tcPr>
          <w:p w14:paraId="64A562B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05" w:type="dxa"/>
            <w:tcBorders>
              <w:top w:val="single" w:sz="8" w:space="0" w:color="000000"/>
              <w:left w:val="nil"/>
              <w:bottom w:val="single" w:sz="4" w:space="0" w:color="000000"/>
              <w:right w:val="single" w:sz="4" w:space="0" w:color="000000"/>
            </w:tcBorders>
            <w:shd w:val="clear" w:color="auto" w:fill="auto"/>
            <w:noWrap/>
            <w:vAlign w:val="bottom"/>
            <w:hideMark/>
          </w:tcPr>
          <w:p w14:paraId="37C8FDE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26" w:type="dxa"/>
            <w:tcBorders>
              <w:top w:val="single" w:sz="8" w:space="0" w:color="000000"/>
              <w:left w:val="nil"/>
              <w:bottom w:val="single" w:sz="4" w:space="0" w:color="000000"/>
              <w:right w:val="single" w:sz="4" w:space="0" w:color="000000"/>
            </w:tcBorders>
            <w:shd w:val="clear" w:color="auto" w:fill="auto"/>
            <w:noWrap/>
            <w:vAlign w:val="bottom"/>
            <w:hideMark/>
          </w:tcPr>
          <w:p w14:paraId="34C1E86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64" w:type="dxa"/>
            <w:tcBorders>
              <w:top w:val="single" w:sz="8" w:space="0" w:color="000000"/>
              <w:left w:val="nil"/>
              <w:bottom w:val="single" w:sz="4" w:space="0" w:color="000000"/>
              <w:right w:val="single" w:sz="4" w:space="0" w:color="000000"/>
            </w:tcBorders>
            <w:shd w:val="clear" w:color="auto" w:fill="auto"/>
            <w:noWrap/>
            <w:vAlign w:val="bottom"/>
            <w:hideMark/>
          </w:tcPr>
          <w:p w14:paraId="0DFC9A1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34" w:type="dxa"/>
            <w:tcBorders>
              <w:top w:val="single" w:sz="8" w:space="0" w:color="000000"/>
              <w:left w:val="nil"/>
              <w:bottom w:val="single" w:sz="4" w:space="0" w:color="000000"/>
              <w:right w:val="single" w:sz="4" w:space="0" w:color="000000"/>
            </w:tcBorders>
            <w:shd w:val="clear" w:color="auto" w:fill="auto"/>
            <w:noWrap/>
            <w:vAlign w:val="bottom"/>
            <w:hideMark/>
          </w:tcPr>
          <w:p w14:paraId="2EAF6D4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27" w:type="dxa"/>
            <w:tcBorders>
              <w:top w:val="single" w:sz="8" w:space="0" w:color="000000"/>
              <w:left w:val="nil"/>
              <w:bottom w:val="single" w:sz="4" w:space="0" w:color="000000"/>
              <w:right w:val="single" w:sz="4" w:space="0" w:color="000000"/>
            </w:tcBorders>
            <w:shd w:val="clear" w:color="auto" w:fill="auto"/>
            <w:noWrap/>
            <w:vAlign w:val="bottom"/>
            <w:hideMark/>
          </w:tcPr>
          <w:p w14:paraId="1B00BE6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980" w:type="dxa"/>
            <w:tcBorders>
              <w:top w:val="single" w:sz="8" w:space="0" w:color="000000"/>
              <w:left w:val="nil"/>
              <w:bottom w:val="single" w:sz="4" w:space="0" w:color="000000"/>
              <w:right w:val="nil"/>
            </w:tcBorders>
            <w:shd w:val="clear" w:color="auto" w:fill="auto"/>
            <w:noWrap/>
            <w:vAlign w:val="bottom"/>
            <w:hideMark/>
          </w:tcPr>
          <w:p w14:paraId="069514F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20520D44"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80 </w:t>
            </w:r>
          </w:p>
        </w:tc>
      </w:tr>
      <w:tr w:rsidR="007A7FA3" w:rsidRPr="007A7FA3" w14:paraId="1A42752E" w14:textId="77777777" w:rsidTr="007A7FA3">
        <w:trPr>
          <w:trHeight w:val="240"/>
        </w:trPr>
        <w:tc>
          <w:tcPr>
            <w:tcW w:w="1086" w:type="dxa"/>
            <w:vMerge/>
            <w:tcBorders>
              <w:top w:val="nil"/>
              <w:left w:val="single" w:sz="8" w:space="0" w:color="auto"/>
              <w:bottom w:val="nil"/>
              <w:right w:val="single" w:sz="4" w:space="0" w:color="000000"/>
            </w:tcBorders>
            <w:vAlign w:val="center"/>
            <w:hideMark/>
          </w:tcPr>
          <w:p w14:paraId="027D9A24"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278F0C81"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35DF77E6"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59078486"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1073FDF2"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4CE1EAA8"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11F3FC49"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71300</w:t>
            </w:r>
          </w:p>
        </w:tc>
        <w:tc>
          <w:tcPr>
            <w:tcW w:w="1580" w:type="dxa"/>
            <w:tcBorders>
              <w:top w:val="nil"/>
              <w:left w:val="nil"/>
              <w:bottom w:val="single" w:sz="4" w:space="0" w:color="000000"/>
              <w:right w:val="single" w:sz="4" w:space="0" w:color="000000"/>
            </w:tcBorders>
            <w:shd w:val="clear" w:color="auto" w:fill="auto"/>
            <w:vAlign w:val="bottom"/>
            <w:hideMark/>
          </w:tcPr>
          <w:p w14:paraId="58223A69"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Local Consultants</w:t>
            </w:r>
          </w:p>
        </w:tc>
        <w:tc>
          <w:tcPr>
            <w:tcW w:w="694" w:type="dxa"/>
            <w:tcBorders>
              <w:top w:val="nil"/>
              <w:left w:val="nil"/>
              <w:bottom w:val="single" w:sz="4" w:space="0" w:color="000000"/>
              <w:right w:val="single" w:sz="4" w:space="0" w:color="000000"/>
            </w:tcBorders>
            <w:shd w:val="clear" w:color="auto" w:fill="auto"/>
            <w:noWrap/>
            <w:vAlign w:val="bottom"/>
            <w:hideMark/>
          </w:tcPr>
          <w:p w14:paraId="3427A95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15,000 </w:t>
            </w:r>
          </w:p>
        </w:tc>
        <w:tc>
          <w:tcPr>
            <w:tcW w:w="805" w:type="dxa"/>
            <w:tcBorders>
              <w:top w:val="nil"/>
              <w:left w:val="nil"/>
              <w:bottom w:val="single" w:sz="4" w:space="0" w:color="000000"/>
              <w:right w:val="single" w:sz="4" w:space="0" w:color="000000"/>
            </w:tcBorders>
            <w:shd w:val="clear" w:color="auto" w:fill="auto"/>
            <w:noWrap/>
            <w:vAlign w:val="bottom"/>
            <w:hideMark/>
          </w:tcPr>
          <w:p w14:paraId="7097FDE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15,000 </w:t>
            </w:r>
          </w:p>
        </w:tc>
        <w:tc>
          <w:tcPr>
            <w:tcW w:w="826" w:type="dxa"/>
            <w:tcBorders>
              <w:top w:val="nil"/>
              <w:left w:val="nil"/>
              <w:bottom w:val="single" w:sz="4" w:space="0" w:color="000000"/>
              <w:right w:val="single" w:sz="4" w:space="0" w:color="000000"/>
            </w:tcBorders>
            <w:shd w:val="clear" w:color="auto" w:fill="auto"/>
            <w:noWrap/>
            <w:vAlign w:val="bottom"/>
            <w:hideMark/>
          </w:tcPr>
          <w:p w14:paraId="11F3EFC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19,000 </w:t>
            </w:r>
          </w:p>
        </w:tc>
        <w:tc>
          <w:tcPr>
            <w:tcW w:w="864" w:type="dxa"/>
            <w:tcBorders>
              <w:top w:val="nil"/>
              <w:left w:val="nil"/>
              <w:bottom w:val="single" w:sz="4" w:space="0" w:color="000000"/>
              <w:right w:val="single" w:sz="4" w:space="0" w:color="000000"/>
            </w:tcBorders>
            <w:shd w:val="clear" w:color="auto" w:fill="auto"/>
            <w:noWrap/>
            <w:vAlign w:val="bottom"/>
            <w:hideMark/>
          </w:tcPr>
          <w:p w14:paraId="5642073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18,000 </w:t>
            </w:r>
          </w:p>
        </w:tc>
        <w:tc>
          <w:tcPr>
            <w:tcW w:w="834" w:type="dxa"/>
            <w:tcBorders>
              <w:top w:val="nil"/>
              <w:left w:val="nil"/>
              <w:bottom w:val="single" w:sz="4" w:space="0" w:color="000000"/>
              <w:right w:val="single" w:sz="4" w:space="0" w:color="000000"/>
            </w:tcBorders>
            <w:shd w:val="clear" w:color="auto" w:fill="auto"/>
            <w:noWrap/>
            <w:vAlign w:val="bottom"/>
            <w:hideMark/>
          </w:tcPr>
          <w:p w14:paraId="3E1CDBF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15,000 </w:t>
            </w:r>
          </w:p>
        </w:tc>
        <w:tc>
          <w:tcPr>
            <w:tcW w:w="827" w:type="dxa"/>
            <w:tcBorders>
              <w:top w:val="nil"/>
              <w:left w:val="nil"/>
              <w:bottom w:val="single" w:sz="4" w:space="0" w:color="000000"/>
              <w:right w:val="single" w:sz="4" w:space="0" w:color="000000"/>
            </w:tcBorders>
            <w:shd w:val="clear" w:color="auto" w:fill="auto"/>
            <w:noWrap/>
            <w:vAlign w:val="bottom"/>
            <w:hideMark/>
          </w:tcPr>
          <w:p w14:paraId="742EA78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15,000 </w:t>
            </w:r>
          </w:p>
        </w:tc>
        <w:tc>
          <w:tcPr>
            <w:tcW w:w="980" w:type="dxa"/>
            <w:tcBorders>
              <w:top w:val="single" w:sz="8" w:space="0" w:color="000000"/>
              <w:left w:val="nil"/>
              <w:bottom w:val="single" w:sz="4" w:space="0" w:color="000000"/>
              <w:right w:val="nil"/>
            </w:tcBorders>
            <w:shd w:val="clear" w:color="auto" w:fill="auto"/>
            <w:noWrap/>
            <w:vAlign w:val="bottom"/>
            <w:hideMark/>
          </w:tcPr>
          <w:p w14:paraId="3CDD02D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97,000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05C2B911"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81 </w:t>
            </w:r>
          </w:p>
        </w:tc>
      </w:tr>
      <w:tr w:rsidR="007A7FA3" w:rsidRPr="007A7FA3" w14:paraId="31AEC5AA" w14:textId="77777777" w:rsidTr="007A7FA3">
        <w:trPr>
          <w:trHeight w:val="270"/>
        </w:trPr>
        <w:tc>
          <w:tcPr>
            <w:tcW w:w="1086" w:type="dxa"/>
            <w:vMerge/>
            <w:tcBorders>
              <w:top w:val="nil"/>
              <w:left w:val="single" w:sz="8" w:space="0" w:color="auto"/>
              <w:bottom w:val="nil"/>
              <w:right w:val="single" w:sz="4" w:space="0" w:color="000000"/>
            </w:tcBorders>
            <w:vAlign w:val="center"/>
            <w:hideMark/>
          </w:tcPr>
          <w:p w14:paraId="02961B70"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53A7543B"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55572C48"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0C4AB6A1"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294CE441"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05DD5A13"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17D530D2"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71600</w:t>
            </w:r>
          </w:p>
        </w:tc>
        <w:tc>
          <w:tcPr>
            <w:tcW w:w="1580" w:type="dxa"/>
            <w:tcBorders>
              <w:top w:val="nil"/>
              <w:left w:val="nil"/>
              <w:bottom w:val="single" w:sz="4" w:space="0" w:color="000000"/>
              <w:right w:val="single" w:sz="4" w:space="0" w:color="000000"/>
            </w:tcBorders>
            <w:shd w:val="clear" w:color="auto" w:fill="auto"/>
            <w:vAlign w:val="bottom"/>
            <w:hideMark/>
          </w:tcPr>
          <w:p w14:paraId="68BE9851"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Travel</w:t>
            </w:r>
          </w:p>
        </w:tc>
        <w:tc>
          <w:tcPr>
            <w:tcW w:w="694" w:type="dxa"/>
            <w:tcBorders>
              <w:top w:val="nil"/>
              <w:left w:val="nil"/>
              <w:bottom w:val="single" w:sz="4" w:space="0" w:color="000000"/>
              <w:right w:val="single" w:sz="4" w:space="0" w:color="000000"/>
            </w:tcBorders>
            <w:shd w:val="clear" w:color="auto" w:fill="auto"/>
            <w:noWrap/>
            <w:vAlign w:val="bottom"/>
            <w:hideMark/>
          </w:tcPr>
          <w:p w14:paraId="72E645D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05" w:type="dxa"/>
            <w:tcBorders>
              <w:top w:val="nil"/>
              <w:left w:val="nil"/>
              <w:bottom w:val="single" w:sz="4" w:space="0" w:color="000000"/>
              <w:right w:val="single" w:sz="4" w:space="0" w:color="000000"/>
            </w:tcBorders>
            <w:shd w:val="clear" w:color="auto" w:fill="auto"/>
            <w:noWrap/>
            <w:vAlign w:val="bottom"/>
            <w:hideMark/>
          </w:tcPr>
          <w:p w14:paraId="071186C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15,000 </w:t>
            </w:r>
          </w:p>
        </w:tc>
        <w:tc>
          <w:tcPr>
            <w:tcW w:w="826" w:type="dxa"/>
            <w:tcBorders>
              <w:top w:val="nil"/>
              <w:left w:val="nil"/>
              <w:bottom w:val="single" w:sz="4" w:space="0" w:color="000000"/>
              <w:right w:val="single" w:sz="4" w:space="0" w:color="000000"/>
            </w:tcBorders>
            <w:shd w:val="clear" w:color="auto" w:fill="auto"/>
            <w:noWrap/>
            <w:vAlign w:val="bottom"/>
            <w:hideMark/>
          </w:tcPr>
          <w:p w14:paraId="466CFD2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15,000 </w:t>
            </w:r>
          </w:p>
        </w:tc>
        <w:tc>
          <w:tcPr>
            <w:tcW w:w="864" w:type="dxa"/>
            <w:tcBorders>
              <w:top w:val="nil"/>
              <w:left w:val="nil"/>
              <w:bottom w:val="single" w:sz="4" w:space="0" w:color="000000"/>
              <w:right w:val="single" w:sz="4" w:space="0" w:color="000000"/>
            </w:tcBorders>
            <w:shd w:val="clear" w:color="auto" w:fill="auto"/>
            <w:noWrap/>
            <w:vAlign w:val="bottom"/>
            <w:hideMark/>
          </w:tcPr>
          <w:p w14:paraId="5E39829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15,000 </w:t>
            </w:r>
          </w:p>
        </w:tc>
        <w:tc>
          <w:tcPr>
            <w:tcW w:w="834" w:type="dxa"/>
            <w:tcBorders>
              <w:top w:val="nil"/>
              <w:left w:val="nil"/>
              <w:bottom w:val="single" w:sz="4" w:space="0" w:color="000000"/>
              <w:right w:val="single" w:sz="4" w:space="0" w:color="000000"/>
            </w:tcBorders>
            <w:shd w:val="clear" w:color="auto" w:fill="auto"/>
            <w:noWrap/>
            <w:vAlign w:val="bottom"/>
            <w:hideMark/>
          </w:tcPr>
          <w:p w14:paraId="5F547DA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15,000 </w:t>
            </w:r>
          </w:p>
        </w:tc>
        <w:tc>
          <w:tcPr>
            <w:tcW w:w="827" w:type="dxa"/>
            <w:tcBorders>
              <w:top w:val="nil"/>
              <w:left w:val="nil"/>
              <w:bottom w:val="single" w:sz="4" w:space="0" w:color="000000"/>
              <w:right w:val="single" w:sz="4" w:space="0" w:color="000000"/>
            </w:tcBorders>
            <w:shd w:val="clear" w:color="auto" w:fill="auto"/>
            <w:noWrap/>
            <w:vAlign w:val="bottom"/>
            <w:hideMark/>
          </w:tcPr>
          <w:p w14:paraId="4765477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12,000 </w:t>
            </w:r>
          </w:p>
        </w:tc>
        <w:tc>
          <w:tcPr>
            <w:tcW w:w="980" w:type="dxa"/>
            <w:tcBorders>
              <w:top w:val="single" w:sz="8" w:space="0" w:color="000000"/>
              <w:left w:val="nil"/>
              <w:bottom w:val="single" w:sz="4" w:space="0" w:color="000000"/>
              <w:right w:val="nil"/>
            </w:tcBorders>
            <w:shd w:val="clear" w:color="auto" w:fill="auto"/>
            <w:noWrap/>
            <w:vAlign w:val="bottom"/>
            <w:hideMark/>
          </w:tcPr>
          <w:p w14:paraId="1374356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82,000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6C3112E5"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82 </w:t>
            </w:r>
          </w:p>
        </w:tc>
      </w:tr>
      <w:tr w:rsidR="007A7FA3" w:rsidRPr="007A7FA3" w14:paraId="6F169DD3" w14:textId="77777777" w:rsidTr="007A7FA3">
        <w:trPr>
          <w:trHeight w:val="300"/>
        </w:trPr>
        <w:tc>
          <w:tcPr>
            <w:tcW w:w="1086" w:type="dxa"/>
            <w:vMerge/>
            <w:tcBorders>
              <w:top w:val="nil"/>
              <w:left w:val="single" w:sz="8" w:space="0" w:color="auto"/>
              <w:bottom w:val="nil"/>
              <w:right w:val="single" w:sz="4" w:space="0" w:color="000000"/>
            </w:tcBorders>
            <w:vAlign w:val="center"/>
            <w:hideMark/>
          </w:tcPr>
          <w:p w14:paraId="18E1E8F2"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2DB24BC1"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2C10FBAA"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2293665A"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0BCA4A03"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6A861B38"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35CF3425"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72100</w:t>
            </w:r>
          </w:p>
        </w:tc>
        <w:tc>
          <w:tcPr>
            <w:tcW w:w="1580" w:type="dxa"/>
            <w:tcBorders>
              <w:top w:val="nil"/>
              <w:left w:val="nil"/>
              <w:bottom w:val="single" w:sz="4" w:space="0" w:color="000000"/>
              <w:right w:val="single" w:sz="4" w:space="0" w:color="000000"/>
            </w:tcBorders>
            <w:shd w:val="clear" w:color="auto" w:fill="auto"/>
            <w:vAlign w:val="bottom"/>
            <w:hideMark/>
          </w:tcPr>
          <w:p w14:paraId="6910527F"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Contractual Services - Companies</w:t>
            </w:r>
          </w:p>
        </w:tc>
        <w:tc>
          <w:tcPr>
            <w:tcW w:w="694" w:type="dxa"/>
            <w:tcBorders>
              <w:top w:val="nil"/>
              <w:left w:val="nil"/>
              <w:bottom w:val="single" w:sz="4" w:space="0" w:color="000000"/>
              <w:right w:val="single" w:sz="4" w:space="0" w:color="000000"/>
            </w:tcBorders>
            <w:shd w:val="clear" w:color="auto" w:fill="auto"/>
            <w:noWrap/>
            <w:vAlign w:val="bottom"/>
            <w:hideMark/>
          </w:tcPr>
          <w:p w14:paraId="3239B0E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12,000 </w:t>
            </w:r>
          </w:p>
        </w:tc>
        <w:tc>
          <w:tcPr>
            <w:tcW w:w="805" w:type="dxa"/>
            <w:tcBorders>
              <w:top w:val="nil"/>
              <w:left w:val="nil"/>
              <w:bottom w:val="single" w:sz="4" w:space="0" w:color="000000"/>
              <w:right w:val="single" w:sz="4" w:space="0" w:color="000000"/>
            </w:tcBorders>
            <w:shd w:val="clear" w:color="auto" w:fill="auto"/>
            <w:noWrap/>
            <w:vAlign w:val="bottom"/>
            <w:hideMark/>
          </w:tcPr>
          <w:p w14:paraId="6A451EF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20,000 </w:t>
            </w:r>
          </w:p>
        </w:tc>
        <w:tc>
          <w:tcPr>
            <w:tcW w:w="826" w:type="dxa"/>
            <w:tcBorders>
              <w:top w:val="nil"/>
              <w:left w:val="nil"/>
              <w:bottom w:val="single" w:sz="4" w:space="0" w:color="000000"/>
              <w:right w:val="single" w:sz="4" w:space="0" w:color="000000"/>
            </w:tcBorders>
            <w:shd w:val="clear" w:color="auto" w:fill="auto"/>
            <w:noWrap/>
            <w:vAlign w:val="bottom"/>
            <w:hideMark/>
          </w:tcPr>
          <w:p w14:paraId="78C172F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20,000 </w:t>
            </w:r>
          </w:p>
        </w:tc>
        <w:tc>
          <w:tcPr>
            <w:tcW w:w="864" w:type="dxa"/>
            <w:tcBorders>
              <w:top w:val="nil"/>
              <w:left w:val="nil"/>
              <w:bottom w:val="single" w:sz="4" w:space="0" w:color="000000"/>
              <w:right w:val="single" w:sz="4" w:space="0" w:color="000000"/>
            </w:tcBorders>
            <w:shd w:val="clear" w:color="auto" w:fill="auto"/>
            <w:noWrap/>
            <w:vAlign w:val="bottom"/>
            <w:hideMark/>
          </w:tcPr>
          <w:p w14:paraId="306394D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20,000 </w:t>
            </w:r>
          </w:p>
        </w:tc>
        <w:tc>
          <w:tcPr>
            <w:tcW w:w="834" w:type="dxa"/>
            <w:tcBorders>
              <w:top w:val="nil"/>
              <w:left w:val="nil"/>
              <w:bottom w:val="single" w:sz="4" w:space="0" w:color="000000"/>
              <w:right w:val="single" w:sz="4" w:space="0" w:color="000000"/>
            </w:tcBorders>
            <w:shd w:val="clear" w:color="auto" w:fill="auto"/>
            <w:noWrap/>
            <w:vAlign w:val="bottom"/>
            <w:hideMark/>
          </w:tcPr>
          <w:p w14:paraId="7752D24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20,000 </w:t>
            </w:r>
          </w:p>
        </w:tc>
        <w:tc>
          <w:tcPr>
            <w:tcW w:w="827" w:type="dxa"/>
            <w:tcBorders>
              <w:top w:val="nil"/>
              <w:left w:val="nil"/>
              <w:bottom w:val="single" w:sz="4" w:space="0" w:color="000000"/>
              <w:right w:val="single" w:sz="4" w:space="0" w:color="000000"/>
            </w:tcBorders>
            <w:shd w:val="clear" w:color="auto" w:fill="auto"/>
            <w:noWrap/>
            <w:vAlign w:val="bottom"/>
            <w:hideMark/>
          </w:tcPr>
          <w:p w14:paraId="3F5AC30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15,000 </w:t>
            </w:r>
          </w:p>
        </w:tc>
        <w:tc>
          <w:tcPr>
            <w:tcW w:w="980" w:type="dxa"/>
            <w:tcBorders>
              <w:top w:val="single" w:sz="8" w:space="0" w:color="000000"/>
              <w:left w:val="nil"/>
              <w:bottom w:val="single" w:sz="4" w:space="0" w:color="000000"/>
              <w:right w:val="nil"/>
            </w:tcBorders>
            <w:shd w:val="clear" w:color="auto" w:fill="auto"/>
            <w:noWrap/>
            <w:vAlign w:val="bottom"/>
            <w:hideMark/>
          </w:tcPr>
          <w:p w14:paraId="17F851C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107,000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2C6663FD"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83 </w:t>
            </w:r>
          </w:p>
        </w:tc>
      </w:tr>
      <w:tr w:rsidR="007A7FA3" w:rsidRPr="007A7FA3" w14:paraId="6F6D392C" w14:textId="77777777" w:rsidTr="007A7FA3">
        <w:trPr>
          <w:trHeight w:val="300"/>
        </w:trPr>
        <w:tc>
          <w:tcPr>
            <w:tcW w:w="1086" w:type="dxa"/>
            <w:vMerge/>
            <w:tcBorders>
              <w:top w:val="nil"/>
              <w:left w:val="single" w:sz="8" w:space="0" w:color="auto"/>
              <w:bottom w:val="nil"/>
              <w:right w:val="single" w:sz="4" w:space="0" w:color="000000"/>
            </w:tcBorders>
            <w:vAlign w:val="center"/>
            <w:hideMark/>
          </w:tcPr>
          <w:p w14:paraId="51B19B57"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25A143D4"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36B3F315"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30814904"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6ADAF6DE"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6D3D895F"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6CCC02E9"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72400</w:t>
            </w:r>
          </w:p>
        </w:tc>
        <w:tc>
          <w:tcPr>
            <w:tcW w:w="1580" w:type="dxa"/>
            <w:tcBorders>
              <w:top w:val="nil"/>
              <w:left w:val="nil"/>
              <w:bottom w:val="single" w:sz="4" w:space="0" w:color="000000"/>
              <w:right w:val="single" w:sz="4" w:space="0" w:color="000000"/>
            </w:tcBorders>
            <w:shd w:val="clear" w:color="auto" w:fill="auto"/>
            <w:vAlign w:val="bottom"/>
            <w:hideMark/>
          </w:tcPr>
          <w:p w14:paraId="69989928"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Communic &amp; Audio Visual Equip</w:t>
            </w:r>
          </w:p>
        </w:tc>
        <w:tc>
          <w:tcPr>
            <w:tcW w:w="694" w:type="dxa"/>
            <w:tcBorders>
              <w:top w:val="nil"/>
              <w:left w:val="nil"/>
              <w:bottom w:val="single" w:sz="4" w:space="0" w:color="000000"/>
              <w:right w:val="single" w:sz="4" w:space="0" w:color="000000"/>
            </w:tcBorders>
            <w:shd w:val="clear" w:color="auto" w:fill="auto"/>
            <w:noWrap/>
            <w:vAlign w:val="bottom"/>
            <w:hideMark/>
          </w:tcPr>
          <w:p w14:paraId="1E387EC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8,000 </w:t>
            </w:r>
          </w:p>
        </w:tc>
        <w:tc>
          <w:tcPr>
            <w:tcW w:w="805" w:type="dxa"/>
            <w:tcBorders>
              <w:top w:val="nil"/>
              <w:left w:val="nil"/>
              <w:bottom w:val="single" w:sz="4" w:space="0" w:color="000000"/>
              <w:right w:val="single" w:sz="4" w:space="0" w:color="000000"/>
            </w:tcBorders>
            <w:shd w:val="clear" w:color="auto" w:fill="auto"/>
            <w:noWrap/>
            <w:vAlign w:val="bottom"/>
            <w:hideMark/>
          </w:tcPr>
          <w:p w14:paraId="7863892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26" w:type="dxa"/>
            <w:tcBorders>
              <w:top w:val="nil"/>
              <w:left w:val="nil"/>
              <w:bottom w:val="single" w:sz="4" w:space="0" w:color="000000"/>
              <w:right w:val="single" w:sz="4" w:space="0" w:color="000000"/>
            </w:tcBorders>
            <w:shd w:val="clear" w:color="auto" w:fill="auto"/>
            <w:noWrap/>
            <w:vAlign w:val="bottom"/>
            <w:hideMark/>
          </w:tcPr>
          <w:p w14:paraId="1D92861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64" w:type="dxa"/>
            <w:tcBorders>
              <w:top w:val="nil"/>
              <w:left w:val="nil"/>
              <w:bottom w:val="single" w:sz="4" w:space="0" w:color="000000"/>
              <w:right w:val="single" w:sz="4" w:space="0" w:color="000000"/>
            </w:tcBorders>
            <w:shd w:val="clear" w:color="auto" w:fill="auto"/>
            <w:noWrap/>
            <w:vAlign w:val="bottom"/>
            <w:hideMark/>
          </w:tcPr>
          <w:p w14:paraId="192F459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34" w:type="dxa"/>
            <w:tcBorders>
              <w:top w:val="nil"/>
              <w:left w:val="nil"/>
              <w:bottom w:val="single" w:sz="4" w:space="0" w:color="000000"/>
              <w:right w:val="single" w:sz="4" w:space="0" w:color="000000"/>
            </w:tcBorders>
            <w:shd w:val="clear" w:color="auto" w:fill="auto"/>
            <w:noWrap/>
            <w:vAlign w:val="bottom"/>
            <w:hideMark/>
          </w:tcPr>
          <w:p w14:paraId="458CDFB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27" w:type="dxa"/>
            <w:tcBorders>
              <w:top w:val="nil"/>
              <w:left w:val="nil"/>
              <w:bottom w:val="single" w:sz="4" w:space="0" w:color="000000"/>
              <w:right w:val="single" w:sz="4" w:space="0" w:color="000000"/>
            </w:tcBorders>
            <w:shd w:val="clear" w:color="auto" w:fill="auto"/>
            <w:noWrap/>
            <w:vAlign w:val="bottom"/>
            <w:hideMark/>
          </w:tcPr>
          <w:p w14:paraId="4870062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6,000 </w:t>
            </w:r>
          </w:p>
        </w:tc>
        <w:tc>
          <w:tcPr>
            <w:tcW w:w="980" w:type="dxa"/>
            <w:tcBorders>
              <w:top w:val="single" w:sz="8" w:space="0" w:color="000000"/>
              <w:left w:val="nil"/>
              <w:bottom w:val="single" w:sz="4" w:space="0" w:color="000000"/>
              <w:right w:val="nil"/>
            </w:tcBorders>
            <w:shd w:val="clear" w:color="auto" w:fill="auto"/>
            <w:noWrap/>
            <w:vAlign w:val="bottom"/>
            <w:hideMark/>
          </w:tcPr>
          <w:p w14:paraId="0CA85A9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54,000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31A704BB"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84 </w:t>
            </w:r>
          </w:p>
        </w:tc>
      </w:tr>
      <w:tr w:rsidR="007A7FA3" w:rsidRPr="007A7FA3" w14:paraId="2837F395" w14:textId="77777777" w:rsidTr="007A7FA3">
        <w:trPr>
          <w:trHeight w:val="570"/>
        </w:trPr>
        <w:tc>
          <w:tcPr>
            <w:tcW w:w="1086" w:type="dxa"/>
            <w:vMerge/>
            <w:tcBorders>
              <w:top w:val="nil"/>
              <w:left w:val="single" w:sz="8" w:space="0" w:color="auto"/>
              <w:bottom w:val="nil"/>
              <w:right w:val="single" w:sz="4" w:space="0" w:color="000000"/>
            </w:tcBorders>
            <w:vAlign w:val="center"/>
            <w:hideMark/>
          </w:tcPr>
          <w:p w14:paraId="4C373283"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7C99AA39"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2E24365B" w14:textId="77777777" w:rsidR="007A7FA3" w:rsidRPr="007A7FA3" w:rsidRDefault="007A7FA3" w:rsidP="007A7FA3">
            <w:pPr>
              <w:rPr>
                <w:rFonts w:ascii="Calibri" w:hAnsi="Calibri" w:cs="Calibri"/>
                <w:i/>
                <w:iCs/>
                <w:color w:val="000000"/>
                <w:sz w:val="13"/>
                <w:szCs w:val="13"/>
              </w:rPr>
            </w:pPr>
          </w:p>
        </w:tc>
        <w:tc>
          <w:tcPr>
            <w:tcW w:w="3763" w:type="dxa"/>
            <w:gridSpan w:val="5"/>
            <w:tcBorders>
              <w:top w:val="single" w:sz="4" w:space="0" w:color="000000"/>
              <w:left w:val="nil"/>
              <w:bottom w:val="single" w:sz="4" w:space="0" w:color="000000"/>
              <w:right w:val="single" w:sz="4" w:space="0" w:color="000000"/>
            </w:tcBorders>
            <w:shd w:val="clear" w:color="auto" w:fill="auto"/>
            <w:vAlign w:val="center"/>
            <w:hideMark/>
          </w:tcPr>
          <w:p w14:paraId="3E461F65"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Total BCC</w:t>
            </w:r>
          </w:p>
        </w:tc>
        <w:tc>
          <w:tcPr>
            <w:tcW w:w="694" w:type="dxa"/>
            <w:tcBorders>
              <w:top w:val="nil"/>
              <w:left w:val="nil"/>
              <w:bottom w:val="single" w:sz="4" w:space="0" w:color="000000"/>
              <w:right w:val="single" w:sz="4" w:space="0" w:color="000000"/>
            </w:tcBorders>
            <w:shd w:val="clear" w:color="auto" w:fill="auto"/>
            <w:noWrap/>
            <w:vAlign w:val="bottom"/>
            <w:hideMark/>
          </w:tcPr>
          <w:p w14:paraId="232F3378"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55,000 </w:t>
            </w:r>
          </w:p>
        </w:tc>
        <w:tc>
          <w:tcPr>
            <w:tcW w:w="805" w:type="dxa"/>
            <w:tcBorders>
              <w:top w:val="nil"/>
              <w:left w:val="nil"/>
              <w:bottom w:val="single" w:sz="4" w:space="0" w:color="000000"/>
              <w:right w:val="single" w:sz="4" w:space="0" w:color="000000"/>
            </w:tcBorders>
            <w:shd w:val="clear" w:color="auto" w:fill="auto"/>
            <w:noWrap/>
            <w:vAlign w:val="bottom"/>
            <w:hideMark/>
          </w:tcPr>
          <w:p w14:paraId="64D64AE6"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70,000 </w:t>
            </w:r>
          </w:p>
        </w:tc>
        <w:tc>
          <w:tcPr>
            <w:tcW w:w="826" w:type="dxa"/>
            <w:tcBorders>
              <w:top w:val="nil"/>
              <w:left w:val="nil"/>
              <w:bottom w:val="single" w:sz="4" w:space="0" w:color="000000"/>
              <w:right w:val="single" w:sz="4" w:space="0" w:color="000000"/>
            </w:tcBorders>
            <w:shd w:val="clear" w:color="auto" w:fill="auto"/>
            <w:noWrap/>
            <w:vAlign w:val="bottom"/>
            <w:hideMark/>
          </w:tcPr>
          <w:p w14:paraId="0C043E43"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74,000 </w:t>
            </w:r>
          </w:p>
        </w:tc>
        <w:tc>
          <w:tcPr>
            <w:tcW w:w="864" w:type="dxa"/>
            <w:tcBorders>
              <w:top w:val="nil"/>
              <w:left w:val="nil"/>
              <w:bottom w:val="single" w:sz="4" w:space="0" w:color="000000"/>
              <w:right w:val="single" w:sz="4" w:space="0" w:color="000000"/>
            </w:tcBorders>
            <w:shd w:val="clear" w:color="auto" w:fill="auto"/>
            <w:noWrap/>
            <w:vAlign w:val="bottom"/>
            <w:hideMark/>
          </w:tcPr>
          <w:p w14:paraId="19D5489D"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73,000 </w:t>
            </w:r>
          </w:p>
        </w:tc>
        <w:tc>
          <w:tcPr>
            <w:tcW w:w="834" w:type="dxa"/>
            <w:tcBorders>
              <w:top w:val="nil"/>
              <w:left w:val="nil"/>
              <w:bottom w:val="single" w:sz="4" w:space="0" w:color="000000"/>
              <w:right w:val="single" w:sz="4" w:space="0" w:color="000000"/>
            </w:tcBorders>
            <w:shd w:val="clear" w:color="auto" w:fill="auto"/>
            <w:noWrap/>
            <w:vAlign w:val="bottom"/>
            <w:hideMark/>
          </w:tcPr>
          <w:p w14:paraId="264F7253"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70,000 </w:t>
            </w:r>
          </w:p>
        </w:tc>
        <w:tc>
          <w:tcPr>
            <w:tcW w:w="827" w:type="dxa"/>
            <w:tcBorders>
              <w:top w:val="nil"/>
              <w:left w:val="nil"/>
              <w:bottom w:val="single" w:sz="4" w:space="0" w:color="000000"/>
              <w:right w:val="single" w:sz="4" w:space="0" w:color="000000"/>
            </w:tcBorders>
            <w:shd w:val="clear" w:color="auto" w:fill="auto"/>
            <w:noWrap/>
            <w:vAlign w:val="bottom"/>
            <w:hideMark/>
          </w:tcPr>
          <w:p w14:paraId="50E191F9"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58,000 </w:t>
            </w:r>
          </w:p>
        </w:tc>
        <w:tc>
          <w:tcPr>
            <w:tcW w:w="980" w:type="dxa"/>
            <w:tcBorders>
              <w:top w:val="single" w:sz="8" w:space="0" w:color="000000"/>
              <w:left w:val="nil"/>
              <w:bottom w:val="single" w:sz="4" w:space="0" w:color="000000"/>
              <w:right w:val="nil"/>
            </w:tcBorders>
            <w:shd w:val="clear" w:color="auto" w:fill="auto"/>
            <w:noWrap/>
            <w:vAlign w:val="bottom"/>
            <w:hideMark/>
          </w:tcPr>
          <w:p w14:paraId="78A9E3A8"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400,000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288F9AF2"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5F69CB97" w14:textId="77777777" w:rsidTr="007A7FA3">
        <w:trPr>
          <w:trHeight w:val="255"/>
        </w:trPr>
        <w:tc>
          <w:tcPr>
            <w:tcW w:w="1086" w:type="dxa"/>
            <w:vMerge/>
            <w:tcBorders>
              <w:top w:val="nil"/>
              <w:left w:val="single" w:sz="8" w:space="0" w:color="auto"/>
              <w:bottom w:val="nil"/>
              <w:right w:val="single" w:sz="4" w:space="0" w:color="000000"/>
            </w:tcBorders>
            <w:vAlign w:val="center"/>
            <w:hideMark/>
          </w:tcPr>
          <w:p w14:paraId="0588616A"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5C0DE185" w14:textId="77777777" w:rsidR="007A7FA3" w:rsidRPr="007A7FA3" w:rsidRDefault="007A7FA3" w:rsidP="007A7FA3">
            <w:pPr>
              <w:rPr>
                <w:rFonts w:ascii="Calibri" w:hAnsi="Calibri" w:cs="Calibri"/>
                <w:i/>
                <w:iCs/>
                <w:color w:val="000000"/>
                <w:sz w:val="13"/>
                <w:szCs w:val="13"/>
              </w:rPr>
            </w:pPr>
          </w:p>
        </w:tc>
        <w:tc>
          <w:tcPr>
            <w:tcW w:w="5779" w:type="dxa"/>
            <w:gridSpan w:val="6"/>
            <w:tcBorders>
              <w:top w:val="nil"/>
              <w:left w:val="nil"/>
              <w:bottom w:val="single" w:sz="4" w:space="0" w:color="000000"/>
              <w:right w:val="single" w:sz="4" w:space="0" w:color="000000"/>
            </w:tcBorders>
            <w:shd w:val="clear" w:color="auto" w:fill="auto"/>
            <w:vAlign w:val="center"/>
            <w:hideMark/>
          </w:tcPr>
          <w:p w14:paraId="1B918622" w14:textId="77777777" w:rsidR="007A7FA3" w:rsidRPr="007A7FA3" w:rsidRDefault="007A7FA3" w:rsidP="007A7FA3">
            <w:pPr>
              <w:rPr>
                <w:rFonts w:ascii="Calibri" w:hAnsi="Calibri" w:cs="Calibri"/>
                <w:b/>
                <w:bCs/>
                <w:i/>
                <w:iCs/>
                <w:color w:val="000000"/>
                <w:sz w:val="13"/>
                <w:szCs w:val="13"/>
              </w:rPr>
            </w:pPr>
            <w:r w:rsidRPr="007A7FA3">
              <w:rPr>
                <w:rFonts w:ascii="Calibri" w:hAnsi="Calibri" w:cs="Calibri"/>
                <w:b/>
                <w:bCs/>
                <w:i/>
                <w:iCs/>
                <w:color w:val="000000"/>
                <w:sz w:val="13"/>
                <w:szCs w:val="13"/>
              </w:rPr>
              <w:t>Total Output 3.2.1</w:t>
            </w:r>
          </w:p>
        </w:tc>
        <w:tc>
          <w:tcPr>
            <w:tcW w:w="694" w:type="dxa"/>
            <w:tcBorders>
              <w:top w:val="nil"/>
              <w:left w:val="nil"/>
              <w:bottom w:val="single" w:sz="4" w:space="0" w:color="000000"/>
              <w:right w:val="single" w:sz="4" w:space="0" w:color="000000"/>
            </w:tcBorders>
            <w:shd w:val="clear" w:color="auto" w:fill="auto"/>
            <w:noWrap/>
            <w:vAlign w:val="bottom"/>
            <w:hideMark/>
          </w:tcPr>
          <w:p w14:paraId="38D37F86"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55,000 </w:t>
            </w:r>
          </w:p>
        </w:tc>
        <w:tc>
          <w:tcPr>
            <w:tcW w:w="805" w:type="dxa"/>
            <w:tcBorders>
              <w:top w:val="nil"/>
              <w:left w:val="nil"/>
              <w:bottom w:val="single" w:sz="4" w:space="0" w:color="000000"/>
              <w:right w:val="single" w:sz="4" w:space="0" w:color="000000"/>
            </w:tcBorders>
            <w:shd w:val="clear" w:color="auto" w:fill="auto"/>
            <w:noWrap/>
            <w:vAlign w:val="bottom"/>
            <w:hideMark/>
          </w:tcPr>
          <w:p w14:paraId="24D001DC"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70,000 </w:t>
            </w:r>
          </w:p>
        </w:tc>
        <w:tc>
          <w:tcPr>
            <w:tcW w:w="826" w:type="dxa"/>
            <w:tcBorders>
              <w:top w:val="nil"/>
              <w:left w:val="nil"/>
              <w:bottom w:val="single" w:sz="4" w:space="0" w:color="000000"/>
              <w:right w:val="single" w:sz="4" w:space="0" w:color="000000"/>
            </w:tcBorders>
            <w:shd w:val="clear" w:color="auto" w:fill="auto"/>
            <w:noWrap/>
            <w:vAlign w:val="bottom"/>
            <w:hideMark/>
          </w:tcPr>
          <w:p w14:paraId="5AE42804"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74,000 </w:t>
            </w:r>
          </w:p>
        </w:tc>
        <w:tc>
          <w:tcPr>
            <w:tcW w:w="864" w:type="dxa"/>
            <w:tcBorders>
              <w:top w:val="nil"/>
              <w:left w:val="nil"/>
              <w:bottom w:val="single" w:sz="4" w:space="0" w:color="000000"/>
              <w:right w:val="single" w:sz="4" w:space="0" w:color="000000"/>
            </w:tcBorders>
            <w:shd w:val="clear" w:color="auto" w:fill="auto"/>
            <w:noWrap/>
            <w:vAlign w:val="bottom"/>
            <w:hideMark/>
          </w:tcPr>
          <w:p w14:paraId="7DE00C26"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73,000 </w:t>
            </w:r>
          </w:p>
        </w:tc>
        <w:tc>
          <w:tcPr>
            <w:tcW w:w="834" w:type="dxa"/>
            <w:tcBorders>
              <w:top w:val="nil"/>
              <w:left w:val="nil"/>
              <w:bottom w:val="single" w:sz="4" w:space="0" w:color="000000"/>
              <w:right w:val="single" w:sz="4" w:space="0" w:color="000000"/>
            </w:tcBorders>
            <w:shd w:val="clear" w:color="auto" w:fill="auto"/>
            <w:noWrap/>
            <w:vAlign w:val="bottom"/>
            <w:hideMark/>
          </w:tcPr>
          <w:p w14:paraId="173F00D3"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70,000 </w:t>
            </w:r>
          </w:p>
        </w:tc>
        <w:tc>
          <w:tcPr>
            <w:tcW w:w="827" w:type="dxa"/>
            <w:tcBorders>
              <w:top w:val="nil"/>
              <w:left w:val="nil"/>
              <w:bottom w:val="single" w:sz="4" w:space="0" w:color="000000"/>
              <w:right w:val="single" w:sz="4" w:space="0" w:color="000000"/>
            </w:tcBorders>
            <w:shd w:val="clear" w:color="auto" w:fill="auto"/>
            <w:noWrap/>
            <w:vAlign w:val="bottom"/>
            <w:hideMark/>
          </w:tcPr>
          <w:p w14:paraId="670F4B3C"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58,000 </w:t>
            </w:r>
          </w:p>
        </w:tc>
        <w:tc>
          <w:tcPr>
            <w:tcW w:w="980" w:type="dxa"/>
            <w:tcBorders>
              <w:top w:val="nil"/>
              <w:left w:val="nil"/>
              <w:bottom w:val="single" w:sz="4" w:space="0" w:color="000000"/>
              <w:right w:val="nil"/>
            </w:tcBorders>
            <w:shd w:val="clear" w:color="auto" w:fill="auto"/>
            <w:noWrap/>
            <w:vAlign w:val="bottom"/>
            <w:hideMark/>
          </w:tcPr>
          <w:p w14:paraId="50C6198F"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400,000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5ACF57D7"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4632D361" w14:textId="77777777" w:rsidTr="007A7FA3">
        <w:trPr>
          <w:trHeight w:val="300"/>
        </w:trPr>
        <w:tc>
          <w:tcPr>
            <w:tcW w:w="1086" w:type="dxa"/>
            <w:vMerge/>
            <w:tcBorders>
              <w:top w:val="nil"/>
              <w:left w:val="single" w:sz="8" w:space="0" w:color="auto"/>
              <w:bottom w:val="nil"/>
              <w:right w:val="single" w:sz="4" w:space="0" w:color="000000"/>
            </w:tcBorders>
            <w:vAlign w:val="center"/>
            <w:hideMark/>
          </w:tcPr>
          <w:p w14:paraId="78B43CB0"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35892E2A" w14:textId="77777777" w:rsidR="007A7FA3" w:rsidRPr="007A7FA3" w:rsidRDefault="007A7FA3" w:rsidP="007A7FA3">
            <w:pPr>
              <w:rPr>
                <w:rFonts w:ascii="Calibri" w:hAnsi="Calibri" w:cs="Calibri"/>
                <w:i/>
                <w:iCs/>
                <w:color w:val="000000"/>
                <w:sz w:val="13"/>
                <w:szCs w:val="13"/>
              </w:rPr>
            </w:pPr>
          </w:p>
        </w:tc>
        <w:tc>
          <w:tcPr>
            <w:tcW w:w="2016" w:type="dxa"/>
            <w:vMerge w:val="restart"/>
            <w:tcBorders>
              <w:top w:val="nil"/>
              <w:left w:val="nil"/>
              <w:bottom w:val="single" w:sz="4" w:space="0" w:color="000000"/>
              <w:right w:val="single" w:sz="4" w:space="0" w:color="000000"/>
            </w:tcBorders>
            <w:shd w:val="clear" w:color="auto" w:fill="auto"/>
            <w:vAlign w:val="center"/>
            <w:hideMark/>
          </w:tcPr>
          <w:p w14:paraId="6ABCCF68"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 xml:space="preserve">3.2.2 Community awareness, training and capacity building and implementation plans and best practices for pollution management undertaken (with a gender-sensitive approach) in selected pilot sites along the BCLME coast  </w:t>
            </w:r>
          </w:p>
        </w:tc>
        <w:tc>
          <w:tcPr>
            <w:tcW w:w="631" w:type="dxa"/>
            <w:vMerge w:val="restart"/>
            <w:tcBorders>
              <w:top w:val="nil"/>
              <w:left w:val="nil"/>
              <w:bottom w:val="nil"/>
              <w:right w:val="nil"/>
            </w:tcBorders>
            <w:shd w:val="clear" w:color="auto" w:fill="auto"/>
            <w:vAlign w:val="center"/>
            <w:hideMark/>
          </w:tcPr>
          <w:p w14:paraId="686DB3ED"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BCC</w:t>
            </w:r>
          </w:p>
        </w:tc>
        <w:tc>
          <w:tcPr>
            <w:tcW w:w="504" w:type="dxa"/>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539C818F"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val="restart"/>
            <w:tcBorders>
              <w:top w:val="nil"/>
              <w:left w:val="single" w:sz="4" w:space="0" w:color="000000"/>
              <w:bottom w:val="nil"/>
              <w:right w:val="nil"/>
            </w:tcBorders>
            <w:shd w:val="clear" w:color="auto" w:fill="auto"/>
            <w:vAlign w:val="center"/>
            <w:hideMark/>
          </w:tcPr>
          <w:p w14:paraId="36232B75"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w:t>
            </w:r>
          </w:p>
        </w:tc>
        <w:tc>
          <w:tcPr>
            <w:tcW w:w="544" w:type="dxa"/>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7E46FF8B"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71200</w:t>
            </w:r>
          </w:p>
        </w:tc>
        <w:tc>
          <w:tcPr>
            <w:tcW w:w="1580" w:type="dxa"/>
            <w:tcBorders>
              <w:top w:val="single" w:sz="8" w:space="0" w:color="000000"/>
              <w:left w:val="nil"/>
              <w:bottom w:val="single" w:sz="4" w:space="0" w:color="000000"/>
              <w:right w:val="single" w:sz="4" w:space="0" w:color="000000"/>
            </w:tcBorders>
            <w:shd w:val="clear" w:color="auto" w:fill="auto"/>
            <w:vAlign w:val="bottom"/>
            <w:hideMark/>
          </w:tcPr>
          <w:p w14:paraId="04C661C0"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International Consultants</w:t>
            </w:r>
          </w:p>
        </w:tc>
        <w:tc>
          <w:tcPr>
            <w:tcW w:w="694" w:type="dxa"/>
            <w:tcBorders>
              <w:top w:val="single" w:sz="8" w:space="0" w:color="000000"/>
              <w:left w:val="nil"/>
              <w:bottom w:val="single" w:sz="4" w:space="0" w:color="000000"/>
              <w:right w:val="single" w:sz="4" w:space="0" w:color="000000"/>
            </w:tcBorders>
            <w:shd w:val="clear" w:color="auto" w:fill="auto"/>
            <w:noWrap/>
            <w:vAlign w:val="bottom"/>
            <w:hideMark/>
          </w:tcPr>
          <w:p w14:paraId="49A0A5B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15,000 </w:t>
            </w:r>
          </w:p>
        </w:tc>
        <w:tc>
          <w:tcPr>
            <w:tcW w:w="805" w:type="dxa"/>
            <w:tcBorders>
              <w:top w:val="single" w:sz="8" w:space="0" w:color="000000"/>
              <w:left w:val="nil"/>
              <w:bottom w:val="single" w:sz="4" w:space="0" w:color="000000"/>
              <w:right w:val="single" w:sz="4" w:space="0" w:color="000000"/>
            </w:tcBorders>
            <w:shd w:val="clear" w:color="auto" w:fill="auto"/>
            <w:noWrap/>
            <w:vAlign w:val="bottom"/>
            <w:hideMark/>
          </w:tcPr>
          <w:p w14:paraId="33033D3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26" w:type="dxa"/>
            <w:tcBorders>
              <w:top w:val="single" w:sz="8" w:space="0" w:color="000000"/>
              <w:left w:val="nil"/>
              <w:bottom w:val="single" w:sz="4" w:space="0" w:color="000000"/>
              <w:right w:val="single" w:sz="4" w:space="0" w:color="000000"/>
            </w:tcBorders>
            <w:shd w:val="clear" w:color="auto" w:fill="auto"/>
            <w:noWrap/>
            <w:vAlign w:val="bottom"/>
            <w:hideMark/>
          </w:tcPr>
          <w:p w14:paraId="1E4F727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64" w:type="dxa"/>
            <w:tcBorders>
              <w:top w:val="single" w:sz="8" w:space="0" w:color="000000"/>
              <w:left w:val="nil"/>
              <w:bottom w:val="single" w:sz="4" w:space="0" w:color="000000"/>
              <w:right w:val="single" w:sz="4" w:space="0" w:color="000000"/>
            </w:tcBorders>
            <w:shd w:val="clear" w:color="auto" w:fill="auto"/>
            <w:noWrap/>
            <w:vAlign w:val="bottom"/>
            <w:hideMark/>
          </w:tcPr>
          <w:p w14:paraId="68E72E1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34" w:type="dxa"/>
            <w:tcBorders>
              <w:top w:val="single" w:sz="8" w:space="0" w:color="000000"/>
              <w:left w:val="nil"/>
              <w:bottom w:val="single" w:sz="4" w:space="0" w:color="000000"/>
              <w:right w:val="single" w:sz="4" w:space="0" w:color="000000"/>
            </w:tcBorders>
            <w:shd w:val="clear" w:color="auto" w:fill="auto"/>
            <w:noWrap/>
            <w:vAlign w:val="bottom"/>
            <w:hideMark/>
          </w:tcPr>
          <w:p w14:paraId="07E154E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7" w:type="dxa"/>
            <w:tcBorders>
              <w:top w:val="single" w:sz="8" w:space="0" w:color="000000"/>
              <w:left w:val="nil"/>
              <w:bottom w:val="single" w:sz="4" w:space="0" w:color="000000"/>
              <w:right w:val="single" w:sz="4" w:space="0" w:color="000000"/>
            </w:tcBorders>
            <w:shd w:val="clear" w:color="auto" w:fill="auto"/>
            <w:noWrap/>
            <w:vAlign w:val="bottom"/>
            <w:hideMark/>
          </w:tcPr>
          <w:p w14:paraId="6A81C14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0EE0D1E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25,000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61E26B14"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85 </w:t>
            </w:r>
          </w:p>
        </w:tc>
      </w:tr>
      <w:tr w:rsidR="007A7FA3" w:rsidRPr="007A7FA3" w14:paraId="3129FB6F" w14:textId="77777777" w:rsidTr="007A7FA3">
        <w:trPr>
          <w:trHeight w:val="300"/>
        </w:trPr>
        <w:tc>
          <w:tcPr>
            <w:tcW w:w="1086" w:type="dxa"/>
            <w:vMerge/>
            <w:tcBorders>
              <w:top w:val="nil"/>
              <w:left w:val="single" w:sz="8" w:space="0" w:color="auto"/>
              <w:bottom w:val="nil"/>
              <w:right w:val="single" w:sz="4" w:space="0" w:color="000000"/>
            </w:tcBorders>
            <w:vAlign w:val="center"/>
            <w:hideMark/>
          </w:tcPr>
          <w:p w14:paraId="26E40668"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14D69947"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07C2F5F0"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5D61B40E"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08455BF3"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67E52B1A"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5DB37CA1"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71800</w:t>
            </w:r>
          </w:p>
        </w:tc>
        <w:tc>
          <w:tcPr>
            <w:tcW w:w="1580" w:type="dxa"/>
            <w:tcBorders>
              <w:top w:val="nil"/>
              <w:left w:val="nil"/>
              <w:bottom w:val="single" w:sz="4" w:space="0" w:color="000000"/>
              <w:right w:val="single" w:sz="4" w:space="0" w:color="000000"/>
            </w:tcBorders>
            <w:shd w:val="clear" w:color="auto" w:fill="auto"/>
            <w:vAlign w:val="bottom"/>
            <w:hideMark/>
          </w:tcPr>
          <w:p w14:paraId="49C113D0"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Contractual Services - Individuals</w:t>
            </w:r>
          </w:p>
        </w:tc>
        <w:tc>
          <w:tcPr>
            <w:tcW w:w="694" w:type="dxa"/>
            <w:tcBorders>
              <w:top w:val="nil"/>
              <w:left w:val="nil"/>
              <w:bottom w:val="single" w:sz="4" w:space="0" w:color="000000"/>
              <w:right w:val="single" w:sz="4" w:space="0" w:color="000000"/>
            </w:tcBorders>
            <w:shd w:val="clear" w:color="auto" w:fill="auto"/>
            <w:noWrap/>
            <w:vAlign w:val="bottom"/>
            <w:hideMark/>
          </w:tcPr>
          <w:p w14:paraId="0F21FEE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3,000 </w:t>
            </w:r>
          </w:p>
        </w:tc>
        <w:tc>
          <w:tcPr>
            <w:tcW w:w="805" w:type="dxa"/>
            <w:tcBorders>
              <w:top w:val="nil"/>
              <w:left w:val="nil"/>
              <w:bottom w:val="single" w:sz="4" w:space="0" w:color="000000"/>
              <w:right w:val="single" w:sz="4" w:space="0" w:color="000000"/>
            </w:tcBorders>
            <w:shd w:val="clear" w:color="auto" w:fill="auto"/>
            <w:noWrap/>
            <w:vAlign w:val="bottom"/>
            <w:hideMark/>
          </w:tcPr>
          <w:p w14:paraId="263CFD2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4,000 </w:t>
            </w:r>
          </w:p>
        </w:tc>
        <w:tc>
          <w:tcPr>
            <w:tcW w:w="826" w:type="dxa"/>
            <w:tcBorders>
              <w:top w:val="nil"/>
              <w:left w:val="nil"/>
              <w:bottom w:val="single" w:sz="4" w:space="0" w:color="000000"/>
              <w:right w:val="single" w:sz="4" w:space="0" w:color="000000"/>
            </w:tcBorders>
            <w:shd w:val="clear" w:color="auto" w:fill="auto"/>
            <w:noWrap/>
            <w:vAlign w:val="bottom"/>
            <w:hideMark/>
          </w:tcPr>
          <w:p w14:paraId="0CC85FB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4,000 </w:t>
            </w:r>
          </w:p>
        </w:tc>
        <w:tc>
          <w:tcPr>
            <w:tcW w:w="864" w:type="dxa"/>
            <w:tcBorders>
              <w:top w:val="nil"/>
              <w:left w:val="nil"/>
              <w:bottom w:val="single" w:sz="4" w:space="0" w:color="000000"/>
              <w:right w:val="single" w:sz="4" w:space="0" w:color="000000"/>
            </w:tcBorders>
            <w:shd w:val="clear" w:color="auto" w:fill="auto"/>
            <w:noWrap/>
            <w:vAlign w:val="bottom"/>
            <w:hideMark/>
          </w:tcPr>
          <w:p w14:paraId="7E0DB3B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2,600 </w:t>
            </w:r>
          </w:p>
        </w:tc>
        <w:tc>
          <w:tcPr>
            <w:tcW w:w="834" w:type="dxa"/>
            <w:tcBorders>
              <w:top w:val="nil"/>
              <w:left w:val="nil"/>
              <w:bottom w:val="single" w:sz="4" w:space="0" w:color="000000"/>
              <w:right w:val="single" w:sz="4" w:space="0" w:color="000000"/>
            </w:tcBorders>
            <w:shd w:val="clear" w:color="auto" w:fill="auto"/>
            <w:noWrap/>
            <w:vAlign w:val="bottom"/>
            <w:hideMark/>
          </w:tcPr>
          <w:p w14:paraId="6EB38BE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 </w:t>
            </w:r>
          </w:p>
        </w:tc>
        <w:tc>
          <w:tcPr>
            <w:tcW w:w="827" w:type="dxa"/>
            <w:tcBorders>
              <w:top w:val="nil"/>
              <w:left w:val="nil"/>
              <w:bottom w:val="single" w:sz="4" w:space="0" w:color="000000"/>
              <w:right w:val="single" w:sz="4" w:space="0" w:color="000000"/>
            </w:tcBorders>
            <w:shd w:val="clear" w:color="auto" w:fill="auto"/>
            <w:noWrap/>
            <w:vAlign w:val="bottom"/>
            <w:hideMark/>
          </w:tcPr>
          <w:p w14:paraId="790C026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3,700 </w:t>
            </w:r>
          </w:p>
        </w:tc>
        <w:tc>
          <w:tcPr>
            <w:tcW w:w="980" w:type="dxa"/>
            <w:tcBorders>
              <w:top w:val="single" w:sz="8" w:space="0" w:color="000000"/>
              <w:left w:val="nil"/>
              <w:bottom w:val="single" w:sz="4" w:space="0" w:color="000000"/>
              <w:right w:val="nil"/>
            </w:tcBorders>
            <w:shd w:val="clear" w:color="auto" w:fill="auto"/>
            <w:noWrap/>
            <w:vAlign w:val="bottom"/>
            <w:hideMark/>
          </w:tcPr>
          <w:p w14:paraId="5CC4F44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19,300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0ADBE698"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86 </w:t>
            </w:r>
          </w:p>
        </w:tc>
      </w:tr>
      <w:tr w:rsidR="007A7FA3" w:rsidRPr="007A7FA3" w14:paraId="780C043C" w14:textId="77777777" w:rsidTr="007A7FA3">
        <w:trPr>
          <w:trHeight w:val="240"/>
        </w:trPr>
        <w:tc>
          <w:tcPr>
            <w:tcW w:w="1086" w:type="dxa"/>
            <w:vMerge/>
            <w:tcBorders>
              <w:top w:val="nil"/>
              <w:left w:val="single" w:sz="8" w:space="0" w:color="auto"/>
              <w:bottom w:val="nil"/>
              <w:right w:val="single" w:sz="4" w:space="0" w:color="000000"/>
            </w:tcBorders>
            <w:vAlign w:val="center"/>
            <w:hideMark/>
          </w:tcPr>
          <w:p w14:paraId="329F9D3A"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305F93FC"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5DBD0330"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37301DB5"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4BF0775A"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631FA64A"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503B429E"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71600</w:t>
            </w:r>
          </w:p>
        </w:tc>
        <w:tc>
          <w:tcPr>
            <w:tcW w:w="1580" w:type="dxa"/>
            <w:tcBorders>
              <w:top w:val="nil"/>
              <w:left w:val="nil"/>
              <w:bottom w:val="single" w:sz="4" w:space="0" w:color="000000"/>
              <w:right w:val="single" w:sz="4" w:space="0" w:color="000000"/>
            </w:tcBorders>
            <w:shd w:val="clear" w:color="auto" w:fill="auto"/>
            <w:vAlign w:val="bottom"/>
            <w:hideMark/>
          </w:tcPr>
          <w:p w14:paraId="0C778A28"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Travel</w:t>
            </w:r>
          </w:p>
        </w:tc>
        <w:tc>
          <w:tcPr>
            <w:tcW w:w="694" w:type="dxa"/>
            <w:tcBorders>
              <w:top w:val="nil"/>
              <w:left w:val="nil"/>
              <w:bottom w:val="single" w:sz="4" w:space="0" w:color="000000"/>
              <w:right w:val="single" w:sz="4" w:space="0" w:color="000000"/>
            </w:tcBorders>
            <w:shd w:val="clear" w:color="auto" w:fill="auto"/>
            <w:noWrap/>
            <w:vAlign w:val="bottom"/>
            <w:hideMark/>
          </w:tcPr>
          <w:p w14:paraId="60FBE37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5,000 </w:t>
            </w:r>
          </w:p>
        </w:tc>
        <w:tc>
          <w:tcPr>
            <w:tcW w:w="805" w:type="dxa"/>
            <w:tcBorders>
              <w:top w:val="nil"/>
              <w:left w:val="nil"/>
              <w:bottom w:val="single" w:sz="4" w:space="0" w:color="000000"/>
              <w:right w:val="single" w:sz="4" w:space="0" w:color="000000"/>
            </w:tcBorders>
            <w:shd w:val="clear" w:color="auto" w:fill="auto"/>
            <w:noWrap/>
            <w:vAlign w:val="bottom"/>
            <w:hideMark/>
          </w:tcPr>
          <w:p w14:paraId="3A5147C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5,000 </w:t>
            </w:r>
          </w:p>
        </w:tc>
        <w:tc>
          <w:tcPr>
            <w:tcW w:w="826" w:type="dxa"/>
            <w:tcBorders>
              <w:top w:val="nil"/>
              <w:left w:val="nil"/>
              <w:bottom w:val="single" w:sz="4" w:space="0" w:color="000000"/>
              <w:right w:val="single" w:sz="4" w:space="0" w:color="000000"/>
            </w:tcBorders>
            <w:shd w:val="clear" w:color="auto" w:fill="auto"/>
            <w:noWrap/>
            <w:vAlign w:val="bottom"/>
            <w:hideMark/>
          </w:tcPr>
          <w:p w14:paraId="5B3AB1E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6,600 </w:t>
            </w:r>
          </w:p>
        </w:tc>
        <w:tc>
          <w:tcPr>
            <w:tcW w:w="864" w:type="dxa"/>
            <w:tcBorders>
              <w:top w:val="nil"/>
              <w:left w:val="nil"/>
              <w:bottom w:val="single" w:sz="4" w:space="0" w:color="000000"/>
              <w:right w:val="single" w:sz="4" w:space="0" w:color="000000"/>
            </w:tcBorders>
            <w:shd w:val="clear" w:color="auto" w:fill="auto"/>
            <w:noWrap/>
            <w:vAlign w:val="bottom"/>
            <w:hideMark/>
          </w:tcPr>
          <w:p w14:paraId="75C8796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8,000 </w:t>
            </w:r>
          </w:p>
        </w:tc>
        <w:tc>
          <w:tcPr>
            <w:tcW w:w="834" w:type="dxa"/>
            <w:tcBorders>
              <w:top w:val="nil"/>
              <w:left w:val="nil"/>
              <w:bottom w:val="single" w:sz="4" w:space="0" w:color="000000"/>
              <w:right w:val="single" w:sz="4" w:space="0" w:color="000000"/>
            </w:tcBorders>
            <w:shd w:val="clear" w:color="auto" w:fill="auto"/>
            <w:noWrap/>
            <w:vAlign w:val="bottom"/>
            <w:hideMark/>
          </w:tcPr>
          <w:p w14:paraId="26E6805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6,000 </w:t>
            </w:r>
          </w:p>
        </w:tc>
        <w:tc>
          <w:tcPr>
            <w:tcW w:w="827" w:type="dxa"/>
            <w:tcBorders>
              <w:top w:val="nil"/>
              <w:left w:val="nil"/>
              <w:bottom w:val="single" w:sz="4" w:space="0" w:color="000000"/>
              <w:right w:val="single" w:sz="4" w:space="0" w:color="000000"/>
            </w:tcBorders>
            <w:shd w:val="clear" w:color="auto" w:fill="auto"/>
            <w:noWrap/>
            <w:vAlign w:val="bottom"/>
            <w:hideMark/>
          </w:tcPr>
          <w:p w14:paraId="73D689A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 </w:t>
            </w:r>
          </w:p>
        </w:tc>
        <w:tc>
          <w:tcPr>
            <w:tcW w:w="980" w:type="dxa"/>
            <w:tcBorders>
              <w:top w:val="single" w:sz="8" w:space="0" w:color="000000"/>
              <w:left w:val="nil"/>
              <w:bottom w:val="single" w:sz="4" w:space="0" w:color="000000"/>
              <w:right w:val="nil"/>
            </w:tcBorders>
            <w:shd w:val="clear" w:color="auto" w:fill="auto"/>
            <w:noWrap/>
            <w:vAlign w:val="bottom"/>
            <w:hideMark/>
          </w:tcPr>
          <w:p w14:paraId="086BDC2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31,600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2CE8BF9F"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87 </w:t>
            </w:r>
          </w:p>
        </w:tc>
      </w:tr>
      <w:tr w:rsidR="007A7FA3" w:rsidRPr="007A7FA3" w14:paraId="5C7EE578" w14:textId="77777777" w:rsidTr="007A7FA3">
        <w:trPr>
          <w:trHeight w:val="270"/>
        </w:trPr>
        <w:tc>
          <w:tcPr>
            <w:tcW w:w="1086" w:type="dxa"/>
            <w:vMerge/>
            <w:tcBorders>
              <w:top w:val="nil"/>
              <w:left w:val="single" w:sz="8" w:space="0" w:color="auto"/>
              <w:bottom w:val="nil"/>
              <w:right w:val="single" w:sz="4" w:space="0" w:color="000000"/>
            </w:tcBorders>
            <w:vAlign w:val="center"/>
            <w:hideMark/>
          </w:tcPr>
          <w:p w14:paraId="000B6AF6"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511307E7"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62230D06"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75B77A11"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1AD2C4AE"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22D00D45"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2299E38A"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72100</w:t>
            </w:r>
          </w:p>
        </w:tc>
        <w:tc>
          <w:tcPr>
            <w:tcW w:w="1580" w:type="dxa"/>
            <w:tcBorders>
              <w:top w:val="nil"/>
              <w:left w:val="nil"/>
              <w:bottom w:val="single" w:sz="4" w:space="0" w:color="000000"/>
              <w:right w:val="single" w:sz="4" w:space="0" w:color="000000"/>
            </w:tcBorders>
            <w:shd w:val="clear" w:color="auto" w:fill="auto"/>
            <w:vAlign w:val="bottom"/>
            <w:hideMark/>
          </w:tcPr>
          <w:p w14:paraId="04BAE5F3"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Contractual Services - Companies</w:t>
            </w:r>
          </w:p>
        </w:tc>
        <w:tc>
          <w:tcPr>
            <w:tcW w:w="694" w:type="dxa"/>
            <w:tcBorders>
              <w:top w:val="nil"/>
              <w:left w:val="nil"/>
              <w:bottom w:val="single" w:sz="4" w:space="0" w:color="000000"/>
              <w:right w:val="single" w:sz="4" w:space="0" w:color="000000"/>
            </w:tcBorders>
            <w:shd w:val="clear" w:color="auto" w:fill="auto"/>
            <w:noWrap/>
            <w:vAlign w:val="bottom"/>
            <w:hideMark/>
          </w:tcPr>
          <w:p w14:paraId="1114535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4,000 </w:t>
            </w:r>
          </w:p>
        </w:tc>
        <w:tc>
          <w:tcPr>
            <w:tcW w:w="805" w:type="dxa"/>
            <w:tcBorders>
              <w:top w:val="nil"/>
              <w:left w:val="nil"/>
              <w:bottom w:val="single" w:sz="4" w:space="0" w:color="000000"/>
              <w:right w:val="single" w:sz="4" w:space="0" w:color="000000"/>
            </w:tcBorders>
            <w:shd w:val="clear" w:color="auto" w:fill="auto"/>
            <w:noWrap/>
            <w:vAlign w:val="bottom"/>
            <w:hideMark/>
          </w:tcPr>
          <w:p w14:paraId="53CD6BE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4,000 </w:t>
            </w:r>
          </w:p>
        </w:tc>
        <w:tc>
          <w:tcPr>
            <w:tcW w:w="826" w:type="dxa"/>
            <w:tcBorders>
              <w:top w:val="nil"/>
              <w:left w:val="nil"/>
              <w:bottom w:val="single" w:sz="4" w:space="0" w:color="000000"/>
              <w:right w:val="single" w:sz="4" w:space="0" w:color="000000"/>
            </w:tcBorders>
            <w:shd w:val="clear" w:color="auto" w:fill="auto"/>
            <w:noWrap/>
            <w:vAlign w:val="bottom"/>
            <w:hideMark/>
          </w:tcPr>
          <w:p w14:paraId="0AB11AB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3,000 </w:t>
            </w:r>
          </w:p>
        </w:tc>
        <w:tc>
          <w:tcPr>
            <w:tcW w:w="864" w:type="dxa"/>
            <w:tcBorders>
              <w:top w:val="nil"/>
              <w:left w:val="nil"/>
              <w:bottom w:val="single" w:sz="4" w:space="0" w:color="000000"/>
              <w:right w:val="single" w:sz="4" w:space="0" w:color="000000"/>
            </w:tcBorders>
            <w:shd w:val="clear" w:color="auto" w:fill="auto"/>
            <w:noWrap/>
            <w:vAlign w:val="bottom"/>
            <w:hideMark/>
          </w:tcPr>
          <w:p w14:paraId="475BA9B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 </w:t>
            </w:r>
          </w:p>
        </w:tc>
        <w:tc>
          <w:tcPr>
            <w:tcW w:w="834" w:type="dxa"/>
            <w:tcBorders>
              <w:top w:val="nil"/>
              <w:left w:val="nil"/>
              <w:bottom w:val="single" w:sz="4" w:space="0" w:color="000000"/>
              <w:right w:val="single" w:sz="4" w:space="0" w:color="000000"/>
            </w:tcBorders>
            <w:shd w:val="clear" w:color="auto" w:fill="auto"/>
            <w:noWrap/>
            <w:vAlign w:val="bottom"/>
            <w:hideMark/>
          </w:tcPr>
          <w:p w14:paraId="228B92C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 </w:t>
            </w:r>
          </w:p>
        </w:tc>
        <w:tc>
          <w:tcPr>
            <w:tcW w:w="827" w:type="dxa"/>
            <w:tcBorders>
              <w:top w:val="nil"/>
              <w:left w:val="nil"/>
              <w:bottom w:val="single" w:sz="4" w:space="0" w:color="000000"/>
              <w:right w:val="single" w:sz="4" w:space="0" w:color="000000"/>
            </w:tcBorders>
            <w:shd w:val="clear" w:color="auto" w:fill="auto"/>
            <w:noWrap/>
            <w:vAlign w:val="bottom"/>
            <w:hideMark/>
          </w:tcPr>
          <w:p w14:paraId="5F8A8AF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 </w:t>
            </w:r>
          </w:p>
        </w:tc>
        <w:tc>
          <w:tcPr>
            <w:tcW w:w="980" w:type="dxa"/>
            <w:tcBorders>
              <w:top w:val="single" w:sz="8" w:space="0" w:color="000000"/>
              <w:left w:val="nil"/>
              <w:bottom w:val="single" w:sz="4" w:space="0" w:color="000000"/>
              <w:right w:val="nil"/>
            </w:tcBorders>
            <w:shd w:val="clear" w:color="auto" w:fill="auto"/>
            <w:noWrap/>
            <w:vAlign w:val="bottom"/>
            <w:hideMark/>
          </w:tcPr>
          <w:p w14:paraId="6102528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16,000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3124668C"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88 </w:t>
            </w:r>
          </w:p>
        </w:tc>
      </w:tr>
      <w:tr w:rsidR="007A7FA3" w:rsidRPr="007A7FA3" w14:paraId="52D812BE" w14:textId="77777777" w:rsidTr="007A7FA3">
        <w:trPr>
          <w:trHeight w:val="255"/>
        </w:trPr>
        <w:tc>
          <w:tcPr>
            <w:tcW w:w="1086" w:type="dxa"/>
            <w:vMerge/>
            <w:tcBorders>
              <w:top w:val="nil"/>
              <w:left w:val="single" w:sz="8" w:space="0" w:color="auto"/>
              <w:bottom w:val="nil"/>
              <w:right w:val="single" w:sz="4" w:space="0" w:color="000000"/>
            </w:tcBorders>
            <w:vAlign w:val="center"/>
            <w:hideMark/>
          </w:tcPr>
          <w:p w14:paraId="0B3619EB"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358D005F"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7D541898"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1E40887D"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2CC0F442"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01676172"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7612013E"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72400</w:t>
            </w:r>
          </w:p>
        </w:tc>
        <w:tc>
          <w:tcPr>
            <w:tcW w:w="1580" w:type="dxa"/>
            <w:tcBorders>
              <w:top w:val="nil"/>
              <w:left w:val="nil"/>
              <w:bottom w:val="single" w:sz="4" w:space="0" w:color="000000"/>
              <w:right w:val="single" w:sz="4" w:space="0" w:color="000000"/>
            </w:tcBorders>
            <w:shd w:val="clear" w:color="auto" w:fill="auto"/>
            <w:vAlign w:val="bottom"/>
            <w:hideMark/>
          </w:tcPr>
          <w:p w14:paraId="2BC69585"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Communic &amp; Audio Visual Equip</w:t>
            </w:r>
          </w:p>
        </w:tc>
        <w:tc>
          <w:tcPr>
            <w:tcW w:w="694" w:type="dxa"/>
            <w:tcBorders>
              <w:top w:val="nil"/>
              <w:left w:val="nil"/>
              <w:bottom w:val="single" w:sz="4" w:space="0" w:color="000000"/>
              <w:right w:val="single" w:sz="4" w:space="0" w:color="000000"/>
            </w:tcBorders>
            <w:shd w:val="clear" w:color="auto" w:fill="auto"/>
            <w:noWrap/>
            <w:vAlign w:val="bottom"/>
            <w:hideMark/>
          </w:tcPr>
          <w:p w14:paraId="7C62E73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 </w:t>
            </w:r>
          </w:p>
        </w:tc>
        <w:tc>
          <w:tcPr>
            <w:tcW w:w="805" w:type="dxa"/>
            <w:tcBorders>
              <w:top w:val="nil"/>
              <w:left w:val="nil"/>
              <w:bottom w:val="single" w:sz="4" w:space="0" w:color="000000"/>
              <w:right w:val="single" w:sz="4" w:space="0" w:color="000000"/>
            </w:tcBorders>
            <w:shd w:val="clear" w:color="auto" w:fill="auto"/>
            <w:noWrap/>
            <w:vAlign w:val="bottom"/>
            <w:hideMark/>
          </w:tcPr>
          <w:p w14:paraId="794CB89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800 </w:t>
            </w:r>
          </w:p>
        </w:tc>
        <w:tc>
          <w:tcPr>
            <w:tcW w:w="826" w:type="dxa"/>
            <w:tcBorders>
              <w:top w:val="nil"/>
              <w:left w:val="nil"/>
              <w:bottom w:val="single" w:sz="4" w:space="0" w:color="000000"/>
              <w:right w:val="single" w:sz="4" w:space="0" w:color="000000"/>
            </w:tcBorders>
            <w:shd w:val="clear" w:color="auto" w:fill="auto"/>
            <w:noWrap/>
            <w:vAlign w:val="bottom"/>
            <w:hideMark/>
          </w:tcPr>
          <w:p w14:paraId="0F51642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800 </w:t>
            </w:r>
          </w:p>
        </w:tc>
        <w:tc>
          <w:tcPr>
            <w:tcW w:w="864" w:type="dxa"/>
            <w:tcBorders>
              <w:top w:val="nil"/>
              <w:left w:val="nil"/>
              <w:bottom w:val="single" w:sz="4" w:space="0" w:color="000000"/>
              <w:right w:val="single" w:sz="4" w:space="0" w:color="000000"/>
            </w:tcBorders>
            <w:shd w:val="clear" w:color="auto" w:fill="auto"/>
            <w:noWrap/>
            <w:vAlign w:val="bottom"/>
            <w:hideMark/>
          </w:tcPr>
          <w:p w14:paraId="407AE42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800 </w:t>
            </w:r>
          </w:p>
        </w:tc>
        <w:tc>
          <w:tcPr>
            <w:tcW w:w="834" w:type="dxa"/>
            <w:tcBorders>
              <w:top w:val="nil"/>
              <w:left w:val="nil"/>
              <w:bottom w:val="single" w:sz="4" w:space="0" w:color="000000"/>
              <w:right w:val="single" w:sz="4" w:space="0" w:color="000000"/>
            </w:tcBorders>
            <w:shd w:val="clear" w:color="auto" w:fill="auto"/>
            <w:noWrap/>
            <w:vAlign w:val="bottom"/>
            <w:hideMark/>
          </w:tcPr>
          <w:p w14:paraId="4590C0A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800 </w:t>
            </w:r>
          </w:p>
        </w:tc>
        <w:tc>
          <w:tcPr>
            <w:tcW w:w="827" w:type="dxa"/>
            <w:tcBorders>
              <w:top w:val="nil"/>
              <w:left w:val="nil"/>
              <w:bottom w:val="single" w:sz="4" w:space="0" w:color="000000"/>
              <w:right w:val="single" w:sz="4" w:space="0" w:color="000000"/>
            </w:tcBorders>
            <w:shd w:val="clear" w:color="auto" w:fill="auto"/>
            <w:noWrap/>
            <w:vAlign w:val="bottom"/>
            <w:hideMark/>
          </w:tcPr>
          <w:p w14:paraId="5D3ACD5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600 </w:t>
            </w:r>
          </w:p>
        </w:tc>
        <w:tc>
          <w:tcPr>
            <w:tcW w:w="980" w:type="dxa"/>
            <w:tcBorders>
              <w:top w:val="single" w:sz="8" w:space="0" w:color="000000"/>
              <w:left w:val="nil"/>
              <w:bottom w:val="single" w:sz="4" w:space="0" w:color="000000"/>
              <w:right w:val="nil"/>
            </w:tcBorders>
            <w:shd w:val="clear" w:color="auto" w:fill="auto"/>
            <w:noWrap/>
            <w:vAlign w:val="bottom"/>
            <w:hideMark/>
          </w:tcPr>
          <w:p w14:paraId="33E5195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4,800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7709ED0D"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89 </w:t>
            </w:r>
          </w:p>
        </w:tc>
      </w:tr>
      <w:tr w:rsidR="007A7FA3" w:rsidRPr="007A7FA3" w14:paraId="11543ECC" w14:textId="77777777" w:rsidTr="007A7FA3">
        <w:trPr>
          <w:trHeight w:val="255"/>
        </w:trPr>
        <w:tc>
          <w:tcPr>
            <w:tcW w:w="1086" w:type="dxa"/>
            <w:vMerge/>
            <w:tcBorders>
              <w:top w:val="nil"/>
              <w:left w:val="single" w:sz="8" w:space="0" w:color="auto"/>
              <w:bottom w:val="nil"/>
              <w:right w:val="single" w:sz="4" w:space="0" w:color="000000"/>
            </w:tcBorders>
            <w:vAlign w:val="center"/>
            <w:hideMark/>
          </w:tcPr>
          <w:p w14:paraId="4653E927"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1C2446C0"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36BAF577" w14:textId="77777777" w:rsidR="007A7FA3" w:rsidRPr="007A7FA3" w:rsidRDefault="007A7FA3" w:rsidP="007A7FA3">
            <w:pPr>
              <w:rPr>
                <w:rFonts w:ascii="Calibri" w:hAnsi="Calibri" w:cs="Calibri"/>
                <w:i/>
                <w:iCs/>
                <w:color w:val="000000"/>
                <w:sz w:val="13"/>
                <w:szCs w:val="13"/>
              </w:rPr>
            </w:pPr>
          </w:p>
        </w:tc>
        <w:tc>
          <w:tcPr>
            <w:tcW w:w="3763" w:type="dxa"/>
            <w:gridSpan w:val="5"/>
            <w:tcBorders>
              <w:top w:val="single" w:sz="4" w:space="0" w:color="000000"/>
              <w:left w:val="nil"/>
              <w:bottom w:val="single" w:sz="4" w:space="0" w:color="000000"/>
              <w:right w:val="single" w:sz="4" w:space="0" w:color="000000"/>
            </w:tcBorders>
            <w:shd w:val="clear" w:color="auto" w:fill="auto"/>
            <w:vAlign w:val="center"/>
            <w:hideMark/>
          </w:tcPr>
          <w:p w14:paraId="3D67952C"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Total BCC</w:t>
            </w:r>
          </w:p>
        </w:tc>
        <w:tc>
          <w:tcPr>
            <w:tcW w:w="694" w:type="dxa"/>
            <w:tcBorders>
              <w:top w:val="nil"/>
              <w:left w:val="nil"/>
              <w:bottom w:val="single" w:sz="4" w:space="0" w:color="000000"/>
              <w:right w:val="single" w:sz="4" w:space="0" w:color="000000"/>
            </w:tcBorders>
            <w:shd w:val="clear" w:color="auto" w:fill="auto"/>
            <w:noWrap/>
            <w:vAlign w:val="bottom"/>
            <w:hideMark/>
          </w:tcPr>
          <w:p w14:paraId="49D282A3"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28,000 </w:t>
            </w:r>
          </w:p>
        </w:tc>
        <w:tc>
          <w:tcPr>
            <w:tcW w:w="805" w:type="dxa"/>
            <w:tcBorders>
              <w:top w:val="nil"/>
              <w:left w:val="nil"/>
              <w:bottom w:val="single" w:sz="4" w:space="0" w:color="000000"/>
              <w:right w:val="single" w:sz="4" w:space="0" w:color="000000"/>
            </w:tcBorders>
            <w:shd w:val="clear" w:color="auto" w:fill="auto"/>
            <w:noWrap/>
            <w:vAlign w:val="bottom"/>
            <w:hideMark/>
          </w:tcPr>
          <w:p w14:paraId="2BEA9643"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23,800 </w:t>
            </w:r>
          </w:p>
        </w:tc>
        <w:tc>
          <w:tcPr>
            <w:tcW w:w="826" w:type="dxa"/>
            <w:tcBorders>
              <w:top w:val="nil"/>
              <w:left w:val="nil"/>
              <w:bottom w:val="single" w:sz="4" w:space="0" w:color="000000"/>
              <w:right w:val="single" w:sz="4" w:space="0" w:color="000000"/>
            </w:tcBorders>
            <w:shd w:val="clear" w:color="auto" w:fill="auto"/>
            <w:noWrap/>
            <w:vAlign w:val="bottom"/>
            <w:hideMark/>
          </w:tcPr>
          <w:p w14:paraId="61934328"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14,400 </w:t>
            </w:r>
          </w:p>
        </w:tc>
        <w:tc>
          <w:tcPr>
            <w:tcW w:w="864" w:type="dxa"/>
            <w:tcBorders>
              <w:top w:val="nil"/>
              <w:left w:val="nil"/>
              <w:bottom w:val="single" w:sz="4" w:space="0" w:color="000000"/>
              <w:right w:val="single" w:sz="4" w:space="0" w:color="000000"/>
            </w:tcBorders>
            <w:shd w:val="clear" w:color="auto" w:fill="auto"/>
            <w:noWrap/>
            <w:vAlign w:val="bottom"/>
            <w:hideMark/>
          </w:tcPr>
          <w:p w14:paraId="698445EC"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13,400 </w:t>
            </w:r>
          </w:p>
        </w:tc>
        <w:tc>
          <w:tcPr>
            <w:tcW w:w="834" w:type="dxa"/>
            <w:tcBorders>
              <w:top w:val="nil"/>
              <w:left w:val="nil"/>
              <w:bottom w:val="single" w:sz="4" w:space="0" w:color="000000"/>
              <w:right w:val="single" w:sz="4" w:space="0" w:color="000000"/>
            </w:tcBorders>
            <w:shd w:val="clear" w:color="auto" w:fill="auto"/>
            <w:noWrap/>
            <w:vAlign w:val="bottom"/>
            <w:hideMark/>
          </w:tcPr>
          <w:p w14:paraId="127B5A42"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10,800 </w:t>
            </w:r>
          </w:p>
        </w:tc>
        <w:tc>
          <w:tcPr>
            <w:tcW w:w="827" w:type="dxa"/>
            <w:tcBorders>
              <w:top w:val="nil"/>
              <w:left w:val="nil"/>
              <w:bottom w:val="single" w:sz="4" w:space="0" w:color="000000"/>
              <w:right w:val="single" w:sz="4" w:space="0" w:color="000000"/>
            </w:tcBorders>
            <w:shd w:val="clear" w:color="auto" w:fill="auto"/>
            <w:noWrap/>
            <w:vAlign w:val="bottom"/>
            <w:hideMark/>
          </w:tcPr>
          <w:p w14:paraId="2142628E"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6,300 </w:t>
            </w:r>
          </w:p>
        </w:tc>
        <w:tc>
          <w:tcPr>
            <w:tcW w:w="980" w:type="dxa"/>
            <w:tcBorders>
              <w:top w:val="single" w:sz="8" w:space="0" w:color="000000"/>
              <w:left w:val="nil"/>
              <w:bottom w:val="single" w:sz="4" w:space="0" w:color="000000"/>
              <w:right w:val="nil"/>
            </w:tcBorders>
            <w:shd w:val="clear" w:color="auto" w:fill="auto"/>
            <w:noWrap/>
            <w:vAlign w:val="bottom"/>
            <w:hideMark/>
          </w:tcPr>
          <w:p w14:paraId="0ACBAD7E"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96,700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42CB6E53"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70880E99" w14:textId="77777777" w:rsidTr="007A7FA3">
        <w:trPr>
          <w:trHeight w:val="240"/>
        </w:trPr>
        <w:tc>
          <w:tcPr>
            <w:tcW w:w="1086" w:type="dxa"/>
            <w:vMerge/>
            <w:tcBorders>
              <w:top w:val="nil"/>
              <w:left w:val="single" w:sz="8" w:space="0" w:color="auto"/>
              <w:bottom w:val="nil"/>
              <w:right w:val="single" w:sz="4" w:space="0" w:color="000000"/>
            </w:tcBorders>
            <w:vAlign w:val="center"/>
            <w:hideMark/>
          </w:tcPr>
          <w:p w14:paraId="67F9C703"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7454B30D" w14:textId="77777777" w:rsidR="007A7FA3" w:rsidRPr="007A7FA3" w:rsidRDefault="007A7FA3" w:rsidP="007A7FA3">
            <w:pPr>
              <w:rPr>
                <w:rFonts w:ascii="Calibri" w:hAnsi="Calibri" w:cs="Calibri"/>
                <w:i/>
                <w:iCs/>
                <w:color w:val="000000"/>
                <w:sz w:val="13"/>
                <w:szCs w:val="13"/>
              </w:rPr>
            </w:pPr>
          </w:p>
        </w:tc>
        <w:tc>
          <w:tcPr>
            <w:tcW w:w="5779" w:type="dxa"/>
            <w:gridSpan w:val="6"/>
            <w:tcBorders>
              <w:top w:val="nil"/>
              <w:left w:val="nil"/>
              <w:bottom w:val="single" w:sz="4" w:space="0" w:color="000000"/>
              <w:right w:val="single" w:sz="4" w:space="0" w:color="000000"/>
            </w:tcBorders>
            <w:shd w:val="clear" w:color="auto" w:fill="auto"/>
            <w:vAlign w:val="center"/>
            <w:hideMark/>
          </w:tcPr>
          <w:p w14:paraId="7065E850" w14:textId="77777777" w:rsidR="007A7FA3" w:rsidRPr="007A7FA3" w:rsidRDefault="007A7FA3" w:rsidP="007A7FA3">
            <w:pPr>
              <w:rPr>
                <w:rFonts w:ascii="Calibri" w:hAnsi="Calibri" w:cs="Calibri"/>
                <w:b/>
                <w:bCs/>
                <w:i/>
                <w:iCs/>
                <w:color w:val="000000"/>
                <w:sz w:val="13"/>
                <w:szCs w:val="13"/>
              </w:rPr>
            </w:pPr>
            <w:r w:rsidRPr="007A7FA3">
              <w:rPr>
                <w:rFonts w:ascii="Calibri" w:hAnsi="Calibri" w:cs="Calibri"/>
                <w:b/>
                <w:bCs/>
                <w:i/>
                <w:iCs/>
                <w:color w:val="000000"/>
                <w:sz w:val="13"/>
                <w:szCs w:val="13"/>
              </w:rPr>
              <w:t>Total Output 3.2.2</w:t>
            </w:r>
          </w:p>
        </w:tc>
        <w:tc>
          <w:tcPr>
            <w:tcW w:w="694" w:type="dxa"/>
            <w:tcBorders>
              <w:top w:val="nil"/>
              <w:left w:val="nil"/>
              <w:bottom w:val="single" w:sz="4" w:space="0" w:color="000000"/>
              <w:right w:val="single" w:sz="4" w:space="0" w:color="000000"/>
            </w:tcBorders>
            <w:shd w:val="clear" w:color="auto" w:fill="auto"/>
            <w:noWrap/>
            <w:vAlign w:val="bottom"/>
            <w:hideMark/>
          </w:tcPr>
          <w:p w14:paraId="108E492A"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28,000 </w:t>
            </w:r>
          </w:p>
        </w:tc>
        <w:tc>
          <w:tcPr>
            <w:tcW w:w="805" w:type="dxa"/>
            <w:tcBorders>
              <w:top w:val="nil"/>
              <w:left w:val="nil"/>
              <w:bottom w:val="single" w:sz="4" w:space="0" w:color="000000"/>
              <w:right w:val="single" w:sz="4" w:space="0" w:color="000000"/>
            </w:tcBorders>
            <w:shd w:val="clear" w:color="auto" w:fill="auto"/>
            <w:noWrap/>
            <w:vAlign w:val="bottom"/>
            <w:hideMark/>
          </w:tcPr>
          <w:p w14:paraId="3D998CBA"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23,800 </w:t>
            </w:r>
          </w:p>
        </w:tc>
        <w:tc>
          <w:tcPr>
            <w:tcW w:w="826" w:type="dxa"/>
            <w:tcBorders>
              <w:top w:val="nil"/>
              <w:left w:val="nil"/>
              <w:bottom w:val="single" w:sz="4" w:space="0" w:color="000000"/>
              <w:right w:val="single" w:sz="4" w:space="0" w:color="000000"/>
            </w:tcBorders>
            <w:shd w:val="clear" w:color="auto" w:fill="auto"/>
            <w:noWrap/>
            <w:vAlign w:val="bottom"/>
            <w:hideMark/>
          </w:tcPr>
          <w:p w14:paraId="46B88573"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14,400 </w:t>
            </w:r>
          </w:p>
        </w:tc>
        <w:tc>
          <w:tcPr>
            <w:tcW w:w="864" w:type="dxa"/>
            <w:tcBorders>
              <w:top w:val="nil"/>
              <w:left w:val="nil"/>
              <w:bottom w:val="single" w:sz="4" w:space="0" w:color="000000"/>
              <w:right w:val="single" w:sz="4" w:space="0" w:color="000000"/>
            </w:tcBorders>
            <w:shd w:val="clear" w:color="auto" w:fill="auto"/>
            <w:noWrap/>
            <w:vAlign w:val="bottom"/>
            <w:hideMark/>
          </w:tcPr>
          <w:p w14:paraId="2FE46A5D"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13,400 </w:t>
            </w:r>
          </w:p>
        </w:tc>
        <w:tc>
          <w:tcPr>
            <w:tcW w:w="834" w:type="dxa"/>
            <w:tcBorders>
              <w:top w:val="nil"/>
              <w:left w:val="nil"/>
              <w:bottom w:val="single" w:sz="4" w:space="0" w:color="000000"/>
              <w:right w:val="single" w:sz="4" w:space="0" w:color="000000"/>
            </w:tcBorders>
            <w:shd w:val="clear" w:color="auto" w:fill="auto"/>
            <w:noWrap/>
            <w:vAlign w:val="bottom"/>
            <w:hideMark/>
          </w:tcPr>
          <w:p w14:paraId="68D1469A"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10,800 </w:t>
            </w:r>
          </w:p>
        </w:tc>
        <w:tc>
          <w:tcPr>
            <w:tcW w:w="827" w:type="dxa"/>
            <w:tcBorders>
              <w:top w:val="nil"/>
              <w:left w:val="nil"/>
              <w:bottom w:val="single" w:sz="4" w:space="0" w:color="000000"/>
              <w:right w:val="single" w:sz="4" w:space="0" w:color="000000"/>
            </w:tcBorders>
            <w:shd w:val="clear" w:color="auto" w:fill="auto"/>
            <w:noWrap/>
            <w:vAlign w:val="bottom"/>
            <w:hideMark/>
          </w:tcPr>
          <w:p w14:paraId="3F8E7376"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6,300 </w:t>
            </w:r>
          </w:p>
        </w:tc>
        <w:tc>
          <w:tcPr>
            <w:tcW w:w="980" w:type="dxa"/>
            <w:tcBorders>
              <w:top w:val="single" w:sz="8" w:space="0" w:color="000000"/>
              <w:left w:val="nil"/>
              <w:bottom w:val="single" w:sz="4" w:space="0" w:color="000000"/>
              <w:right w:val="nil"/>
            </w:tcBorders>
            <w:shd w:val="clear" w:color="auto" w:fill="auto"/>
            <w:noWrap/>
            <w:vAlign w:val="bottom"/>
            <w:hideMark/>
          </w:tcPr>
          <w:p w14:paraId="56F056D3"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96,700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5D3FB823"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4C9AAE93" w14:textId="77777777" w:rsidTr="007A7FA3">
        <w:trPr>
          <w:trHeight w:val="270"/>
        </w:trPr>
        <w:tc>
          <w:tcPr>
            <w:tcW w:w="1086" w:type="dxa"/>
            <w:vMerge/>
            <w:tcBorders>
              <w:top w:val="nil"/>
              <w:left w:val="single" w:sz="8" w:space="0" w:color="auto"/>
              <w:bottom w:val="nil"/>
              <w:right w:val="single" w:sz="4" w:space="0" w:color="000000"/>
            </w:tcBorders>
            <w:vAlign w:val="center"/>
            <w:hideMark/>
          </w:tcPr>
          <w:p w14:paraId="2EA4F566" w14:textId="77777777" w:rsidR="007A7FA3" w:rsidRPr="007A7FA3" w:rsidRDefault="007A7FA3" w:rsidP="007A7FA3">
            <w:pPr>
              <w:rPr>
                <w:rFonts w:ascii="Calibri" w:hAnsi="Calibri" w:cs="Calibri"/>
                <w:i/>
                <w:iCs/>
                <w:color w:val="000000"/>
                <w:sz w:val="13"/>
                <w:szCs w:val="13"/>
              </w:rPr>
            </w:pPr>
          </w:p>
        </w:tc>
        <w:tc>
          <w:tcPr>
            <w:tcW w:w="6650" w:type="dxa"/>
            <w:gridSpan w:val="7"/>
            <w:tcBorders>
              <w:top w:val="nil"/>
              <w:left w:val="nil"/>
              <w:bottom w:val="single" w:sz="4" w:space="0" w:color="000000"/>
              <w:right w:val="single" w:sz="4" w:space="0" w:color="000000"/>
            </w:tcBorders>
            <w:shd w:val="clear" w:color="FEF2CB" w:fill="FEF2CB"/>
            <w:vAlign w:val="center"/>
            <w:hideMark/>
          </w:tcPr>
          <w:p w14:paraId="0967209A" w14:textId="77777777" w:rsidR="007A7FA3" w:rsidRPr="007A7FA3" w:rsidRDefault="007A7FA3" w:rsidP="007A7FA3">
            <w:pPr>
              <w:rPr>
                <w:rFonts w:ascii="Calibri" w:hAnsi="Calibri" w:cs="Calibri"/>
                <w:b/>
                <w:bCs/>
                <w:i/>
                <w:iCs/>
                <w:color w:val="000000"/>
                <w:sz w:val="13"/>
                <w:szCs w:val="13"/>
              </w:rPr>
            </w:pPr>
            <w:r w:rsidRPr="007A7FA3">
              <w:rPr>
                <w:rFonts w:ascii="Calibri" w:hAnsi="Calibri" w:cs="Calibri"/>
                <w:b/>
                <w:bCs/>
                <w:i/>
                <w:iCs/>
                <w:color w:val="000000"/>
                <w:sz w:val="13"/>
                <w:szCs w:val="13"/>
              </w:rPr>
              <w:t>Total Outcome 3.2</w:t>
            </w:r>
          </w:p>
        </w:tc>
        <w:tc>
          <w:tcPr>
            <w:tcW w:w="694" w:type="dxa"/>
            <w:tcBorders>
              <w:top w:val="nil"/>
              <w:left w:val="nil"/>
              <w:bottom w:val="single" w:sz="4" w:space="0" w:color="000000"/>
              <w:right w:val="single" w:sz="4" w:space="0" w:color="000000"/>
            </w:tcBorders>
            <w:shd w:val="clear" w:color="FEF2CB" w:fill="FEF2CB"/>
            <w:noWrap/>
            <w:vAlign w:val="bottom"/>
            <w:hideMark/>
          </w:tcPr>
          <w:p w14:paraId="545A5F8D"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83,000 </w:t>
            </w:r>
          </w:p>
        </w:tc>
        <w:tc>
          <w:tcPr>
            <w:tcW w:w="805" w:type="dxa"/>
            <w:tcBorders>
              <w:top w:val="nil"/>
              <w:left w:val="nil"/>
              <w:bottom w:val="single" w:sz="4" w:space="0" w:color="000000"/>
              <w:right w:val="single" w:sz="4" w:space="0" w:color="000000"/>
            </w:tcBorders>
            <w:shd w:val="clear" w:color="FEF2CB" w:fill="FEF2CB"/>
            <w:noWrap/>
            <w:vAlign w:val="bottom"/>
            <w:hideMark/>
          </w:tcPr>
          <w:p w14:paraId="2A10997D"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93,800 </w:t>
            </w:r>
          </w:p>
        </w:tc>
        <w:tc>
          <w:tcPr>
            <w:tcW w:w="826" w:type="dxa"/>
            <w:tcBorders>
              <w:top w:val="nil"/>
              <w:left w:val="nil"/>
              <w:bottom w:val="single" w:sz="4" w:space="0" w:color="000000"/>
              <w:right w:val="single" w:sz="4" w:space="0" w:color="000000"/>
            </w:tcBorders>
            <w:shd w:val="clear" w:color="FEF2CB" w:fill="FEF2CB"/>
            <w:noWrap/>
            <w:vAlign w:val="bottom"/>
            <w:hideMark/>
          </w:tcPr>
          <w:p w14:paraId="59DD0E26"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88,400 </w:t>
            </w:r>
          </w:p>
        </w:tc>
        <w:tc>
          <w:tcPr>
            <w:tcW w:w="864" w:type="dxa"/>
            <w:tcBorders>
              <w:top w:val="nil"/>
              <w:left w:val="nil"/>
              <w:bottom w:val="single" w:sz="4" w:space="0" w:color="000000"/>
              <w:right w:val="single" w:sz="4" w:space="0" w:color="000000"/>
            </w:tcBorders>
            <w:shd w:val="clear" w:color="FEF2CB" w:fill="FEF2CB"/>
            <w:noWrap/>
            <w:vAlign w:val="bottom"/>
            <w:hideMark/>
          </w:tcPr>
          <w:p w14:paraId="1074BB6C"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86,400 </w:t>
            </w:r>
          </w:p>
        </w:tc>
        <w:tc>
          <w:tcPr>
            <w:tcW w:w="834" w:type="dxa"/>
            <w:tcBorders>
              <w:top w:val="nil"/>
              <w:left w:val="nil"/>
              <w:bottom w:val="single" w:sz="4" w:space="0" w:color="000000"/>
              <w:right w:val="single" w:sz="4" w:space="0" w:color="000000"/>
            </w:tcBorders>
            <w:shd w:val="clear" w:color="FEF2CB" w:fill="FEF2CB"/>
            <w:noWrap/>
            <w:vAlign w:val="bottom"/>
            <w:hideMark/>
          </w:tcPr>
          <w:p w14:paraId="6946DC1F"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80,800 </w:t>
            </w:r>
          </w:p>
        </w:tc>
        <w:tc>
          <w:tcPr>
            <w:tcW w:w="827" w:type="dxa"/>
            <w:tcBorders>
              <w:top w:val="nil"/>
              <w:left w:val="nil"/>
              <w:bottom w:val="single" w:sz="4" w:space="0" w:color="000000"/>
              <w:right w:val="single" w:sz="4" w:space="0" w:color="000000"/>
            </w:tcBorders>
            <w:shd w:val="clear" w:color="FEF2CB" w:fill="FEF2CB"/>
            <w:noWrap/>
            <w:vAlign w:val="bottom"/>
            <w:hideMark/>
          </w:tcPr>
          <w:p w14:paraId="5E7792D0"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64,300 </w:t>
            </w:r>
          </w:p>
        </w:tc>
        <w:tc>
          <w:tcPr>
            <w:tcW w:w="980" w:type="dxa"/>
            <w:tcBorders>
              <w:top w:val="nil"/>
              <w:left w:val="nil"/>
              <w:bottom w:val="single" w:sz="4" w:space="0" w:color="000000"/>
              <w:right w:val="nil"/>
            </w:tcBorders>
            <w:shd w:val="clear" w:color="FEF2CB" w:fill="FEF2CB"/>
            <w:noWrap/>
            <w:vAlign w:val="bottom"/>
            <w:hideMark/>
          </w:tcPr>
          <w:p w14:paraId="2C481193"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496,700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63D71056"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517CF527" w14:textId="77777777" w:rsidTr="007A7FA3">
        <w:trPr>
          <w:trHeight w:val="255"/>
        </w:trPr>
        <w:tc>
          <w:tcPr>
            <w:tcW w:w="1086" w:type="dxa"/>
            <w:vMerge/>
            <w:tcBorders>
              <w:top w:val="nil"/>
              <w:left w:val="single" w:sz="8" w:space="0" w:color="auto"/>
              <w:bottom w:val="nil"/>
              <w:right w:val="single" w:sz="4" w:space="0" w:color="000000"/>
            </w:tcBorders>
            <w:vAlign w:val="center"/>
            <w:hideMark/>
          </w:tcPr>
          <w:p w14:paraId="6528167D" w14:textId="77777777" w:rsidR="007A7FA3" w:rsidRPr="007A7FA3" w:rsidRDefault="007A7FA3" w:rsidP="007A7FA3">
            <w:pPr>
              <w:rPr>
                <w:rFonts w:ascii="Calibri" w:hAnsi="Calibri" w:cs="Calibri"/>
                <w:i/>
                <w:iCs/>
                <w:color w:val="000000"/>
                <w:sz w:val="13"/>
                <w:szCs w:val="13"/>
              </w:rPr>
            </w:pPr>
          </w:p>
        </w:tc>
        <w:tc>
          <w:tcPr>
            <w:tcW w:w="871"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4DF3B87D"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3.3: Strengthened regional cooperation and coordination, and increased institutional and technical capacity to undertake broad-scale monitoring and surveillance of marine pollution in priority transboundary and coastal hotspots of the BCLME</w:t>
            </w:r>
          </w:p>
        </w:tc>
        <w:tc>
          <w:tcPr>
            <w:tcW w:w="2016" w:type="dxa"/>
            <w:vMerge w:val="restart"/>
            <w:tcBorders>
              <w:top w:val="nil"/>
              <w:left w:val="nil"/>
              <w:bottom w:val="single" w:sz="4" w:space="0" w:color="000000"/>
              <w:right w:val="single" w:sz="4" w:space="0" w:color="000000"/>
            </w:tcBorders>
            <w:shd w:val="clear" w:color="auto" w:fill="auto"/>
            <w:vAlign w:val="center"/>
            <w:hideMark/>
          </w:tcPr>
          <w:p w14:paraId="19F96FA6"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3.3.1: Cooperative agreements and long-term programs for ecosystem health monitoring and compliance between countries formalized</w:t>
            </w:r>
          </w:p>
        </w:tc>
        <w:tc>
          <w:tcPr>
            <w:tcW w:w="631" w:type="dxa"/>
            <w:vMerge w:val="restart"/>
            <w:tcBorders>
              <w:top w:val="nil"/>
              <w:left w:val="nil"/>
              <w:bottom w:val="nil"/>
              <w:right w:val="nil"/>
            </w:tcBorders>
            <w:shd w:val="clear" w:color="auto" w:fill="auto"/>
            <w:vAlign w:val="center"/>
            <w:hideMark/>
          </w:tcPr>
          <w:p w14:paraId="113CFDC9"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BCC</w:t>
            </w:r>
          </w:p>
        </w:tc>
        <w:tc>
          <w:tcPr>
            <w:tcW w:w="504" w:type="dxa"/>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6BE0D09F"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val="restart"/>
            <w:tcBorders>
              <w:top w:val="nil"/>
              <w:left w:val="single" w:sz="4" w:space="0" w:color="000000"/>
              <w:bottom w:val="nil"/>
              <w:right w:val="nil"/>
            </w:tcBorders>
            <w:shd w:val="clear" w:color="auto" w:fill="auto"/>
            <w:vAlign w:val="center"/>
            <w:hideMark/>
          </w:tcPr>
          <w:p w14:paraId="2AB06457"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w:t>
            </w:r>
          </w:p>
        </w:tc>
        <w:tc>
          <w:tcPr>
            <w:tcW w:w="544" w:type="dxa"/>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4C062BC1"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71200</w:t>
            </w:r>
          </w:p>
        </w:tc>
        <w:tc>
          <w:tcPr>
            <w:tcW w:w="1580" w:type="dxa"/>
            <w:tcBorders>
              <w:top w:val="single" w:sz="8" w:space="0" w:color="000000"/>
              <w:left w:val="nil"/>
              <w:bottom w:val="single" w:sz="4" w:space="0" w:color="000000"/>
              <w:right w:val="single" w:sz="4" w:space="0" w:color="000000"/>
            </w:tcBorders>
            <w:shd w:val="clear" w:color="auto" w:fill="auto"/>
            <w:vAlign w:val="bottom"/>
            <w:hideMark/>
          </w:tcPr>
          <w:p w14:paraId="23C97643"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International Consultants</w:t>
            </w:r>
          </w:p>
        </w:tc>
        <w:tc>
          <w:tcPr>
            <w:tcW w:w="694" w:type="dxa"/>
            <w:tcBorders>
              <w:top w:val="single" w:sz="8" w:space="0" w:color="000000"/>
              <w:left w:val="nil"/>
              <w:bottom w:val="single" w:sz="4" w:space="0" w:color="000000"/>
              <w:right w:val="single" w:sz="4" w:space="0" w:color="000000"/>
            </w:tcBorders>
            <w:shd w:val="clear" w:color="auto" w:fill="auto"/>
            <w:noWrap/>
            <w:vAlign w:val="bottom"/>
            <w:hideMark/>
          </w:tcPr>
          <w:p w14:paraId="02CAB87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9,000 </w:t>
            </w:r>
          </w:p>
        </w:tc>
        <w:tc>
          <w:tcPr>
            <w:tcW w:w="805" w:type="dxa"/>
            <w:tcBorders>
              <w:top w:val="single" w:sz="8" w:space="0" w:color="000000"/>
              <w:left w:val="nil"/>
              <w:bottom w:val="single" w:sz="4" w:space="0" w:color="000000"/>
              <w:right w:val="single" w:sz="4" w:space="0" w:color="000000"/>
            </w:tcBorders>
            <w:shd w:val="clear" w:color="auto" w:fill="auto"/>
            <w:noWrap/>
            <w:vAlign w:val="bottom"/>
            <w:hideMark/>
          </w:tcPr>
          <w:p w14:paraId="3612813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26" w:type="dxa"/>
            <w:tcBorders>
              <w:top w:val="single" w:sz="8" w:space="0" w:color="000000"/>
              <w:left w:val="nil"/>
              <w:bottom w:val="single" w:sz="4" w:space="0" w:color="000000"/>
              <w:right w:val="single" w:sz="4" w:space="0" w:color="000000"/>
            </w:tcBorders>
            <w:shd w:val="clear" w:color="auto" w:fill="auto"/>
            <w:noWrap/>
            <w:vAlign w:val="bottom"/>
            <w:hideMark/>
          </w:tcPr>
          <w:p w14:paraId="7EF3333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11,000 </w:t>
            </w:r>
          </w:p>
        </w:tc>
        <w:tc>
          <w:tcPr>
            <w:tcW w:w="864" w:type="dxa"/>
            <w:tcBorders>
              <w:top w:val="single" w:sz="8" w:space="0" w:color="000000"/>
              <w:left w:val="nil"/>
              <w:bottom w:val="single" w:sz="4" w:space="0" w:color="000000"/>
              <w:right w:val="single" w:sz="4" w:space="0" w:color="000000"/>
            </w:tcBorders>
            <w:shd w:val="clear" w:color="auto" w:fill="auto"/>
            <w:noWrap/>
            <w:vAlign w:val="bottom"/>
            <w:hideMark/>
          </w:tcPr>
          <w:p w14:paraId="5300532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8,000 </w:t>
            </w:r>
          </w:p>
        </w:tc>
        <w:tc>
          <w:tcPr>
            <w:tcW w:w="834" w:type="dxa"/>
            <w:tcBorders>
              <w:top w:val="single" w:sz="8" w:space="0" w:color="000000"/>
              <w:left w:val="nil"/>
              <w:bottom w:val="single" w:sz="4" w:space="0" w:color="000000"/>
              <w:right w:val="single" w:sz="4" w:space="0" w:color="000000"/>
            </w:tcBorders>
            <w:shd w:val="clear" w:color="auto" w:fill="auto"/>
            <w:noWrap/>
            <w:vAlign w:val="bottom"/>
            <w:hideMark/>
          </w:tcPr>
          <w:p w14:paraId="4E8272A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8,000 </w:t>
            </w:r>
          </w:p>
        </w:tc>
        <w:tc>
          <w:tcPr>
            <w:tcW w:w="827" w:type="dxa"/>
            <w:tcBorders>
              <w:top w:val="single" w:sz="8" w:space="0" w:color="000000"/>
              <w:left w:val="nil"/>
              <w:bottom w:val="single" w:sz="4" w:space="0" w:color="000000"/>
              <w:right w:val="single" w:sz="4" w:space="0" w:color="000000"/>
            </w:tcBorders>
            <w:shd w:val="clear" w:color="auto" w:fill="auto"/>
            <w:noWrap/>
            <w:vAlign w:val="bottom"/>
            <w:hideMark/>
          </w:tcPr>
          <w:p w14:paraId="7D75640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4,000 </w:t>
            </w:r>
          </w:p>
        </w:tc>
        <w:tc>
          <w:tcPr>
            <w:tcW w:w="980" w:type="dxa"/>
            <w:tcBorders>
              <w:top w:val="single" w:sz="8" w:space="0" w:color="000000"/>
              <w:left w:val="nil"/>
              <w:bottom w:val="single" w:sz="4" w:space="0" w:color="000000"/>
              <w:right w:val="nil"/>
            </w:tcBorders>
            <w:shd w:val="clear" w:color="auto" w:fill="auto"/>
            <w:noWrap/>
            <w:vAlign w:val="bottom"/>
            <w:hideMark/>
          </w:tcPr>
          <w:p w14:paraId="1B8C62C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73B713BB"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90 </w:t>
            </w:r>
          </w:p>
        </w:tc>
      </w:tr>
      <w:tr w:rsidR="007A7FA3" w:rsidRPr="007A7FA3" w14:paraId="588FD2E6" w14:textId="77777777" w:rsidTr="007A7FA3">
        <w:trPr>
          <w:trHeight w:val="300"/>
        </w:trPr>
        <w:tc>
          <w:tcPr>
            <w:tcW w:w="1086" w:type="dxa"/>
            <w:vMerge/>
            <w:tcBorders>
              <w:top w:val="nil"/>
              <w:left w:val="single" w:sz="8" w:space="0" w:color="auto"/>
              <w:bottom w:val="nil"/>
              <w:right w:val="single" w:sz="4" w:space="0" w:color="000000"/>
            </w:tcBorders>
            <w:vAlign w:val="center"/>
            <w:hideMark/>
          </w:tcPr>
          <w:p w14:paraId="41D5BBB3"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3F8E9666"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5C2C8EC2"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346DA229"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6CF2D822"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3B5A7701"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18943583"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71800</w:t>
            </w:r>
          </w:p>
        </w:tc>
        <w:tc>
          <w:tcPr>
            <w:tcW w:w="1580" w:type="dxa"/>
            <w:tcBorders>
              <w:top w:val="nil"/>
              <w:left w:val="nil"/>
              <w:bottom w:val="single" w:sz="4" w:space="0" w:color="000000"/>
              <w:right w:val="single" w:sz="4" w:space="0" w:color="000000"/>
            </w:tcBorders>
            <w:shd w:val="clear" w:color="auto" w:fill="auto"/>
            <w:vAlign w:val="bottom"/>
            <w:hideMark/>
          </w:tcPr>
          <w:p w14:paraId="08D59565"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Contractual Services - Individuals</w:t>
            </w:r>
          </w:p>
        </w:tc>
        <w:tc>
          <w:tcPr>
            <w:tcW w:w="694" w:type="dxa"/>
            <w:tcBorders>
              <w:top w:val="nil"/>
              <w:left w:val="nil"/>
              <w:bottom w:val="single" w:sz="4" w:space="0" w:color="000000"/>
              <w:right w:val="single" w:sz="4" w:space="0" w:color="000000"/>
            </w:tcBorders>
            <w:shd w:val="clear" w:color="auto" w:fill="auto"/>
            <w:noWrap/>
            <w:vAlign w:val="bottom"/>
            <w:hideMark/>
          </w:tcPr>
          <w:p w14:paraId="04D0FD0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7,000 </w:t>
            </w:r>
          </w:p>
        </w:tc>
        <w:tc>
          <w:tcPr>
            <w:tcW w:w="805" w:type="dxa"/>
            <w:tcBorders>
              <w:top w:val="nil"/>
              <w:left w:val="nil"/>
              <w:bottom w:val="single" w:sz="4" w:space="0" w:color="000000"/>
              <w:right w:val="single" w:sz="4" w:space="0" w:color="000000"/>
            </w:tcBorders>
            <w:shd w:val="clear" w:color="auto" w:fill="auto"/>
            <w:noWrap/>
            <w:vAlign w:val="bottom"/>
            <w:hideMark/>
          </w:tcPr>
          <w:p w14:paraId="6087343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9,000 </w:t>
            </w:r>
          </w:p>
        </w:tc>
        <w:tc>
          <w:tcPr>
            <w:tcW w:w="826" w:type="dxa"/>
            <w:tcBorders>
              <w:top w:val="nil"/>
              <w:left w:val="nil"/>
              <w:bottom w:val="single" w:sz="4" w:space="0" w:color="000000"/>
              <w:right w:val="single" w:sz="4" w:space="0" w:color="000000"/>
            </w:tcBorders>
            <w:shd w:val="clear" w:color="auto" w:fill="auto"/>
            <w:noWrap/>
            <w:vAlign w:val="bottom"/>
            <w:hideMark/>
          </w:tcPr>
          <w:p w14:paraId="3DEAA01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9,000 </w:t>
            </w:r>
          </w:p>
        </w:tc>
        <w:tc>
          <w:tcPr>
            <w:tcW w:w="864" w:type="dxa"/>
            <w:tcBorders>
              <w:top w:val="nil"/>
              <w:left w:val="nil"/>
              <w:bottom w:val="single" w:sz="4" w:space="0" w:color="000000"/>
              <w:right w:val="single" w:sz="4" w:space="0" w:color="000000"/>
            </w:tcBorders>
            <w:shd w:val="clear" w:color="auto" w:fill="auto"/>
            <w:noWrap/>
            <w:vAlign w:val="bottom"/>
            <w:hideMark/>
          </w:tcPr>
          <w:p w14:paraId="6D0D174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8,000 </w:t>
            </w:r>
          </w:p>
        </w:tc>
        <w:tc>
          <w:tcPr>
            <w:tcW w:w="834" w:type="dxa"/>
            <w:tcBorders>
              <w:top w:val="nil"/>
              <w:left w:val="nil"/>
              <w:bottom w:val="single" w:sz="4" w:space="0" w:color="000000"/>
              <w:right w:val="single" w:sz="4" w:space="0" w:color="000000"/>
            </w:tcBorders>
            <w:shd w:val="clear" w:color="auto" w:fill="auto"/>
            <w:noWrap/>
            <w:vAlign w:val="bottom"/>
            <w:hideMark/>
          </w:tcPr>
          <w:p w14:paraId="2A42049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6,000 </w:t>
            </w:r>
          </w:p>
        </w:tc>
        <w:tc>
          <w:tcPr>
            <w:tcW w:w="827" w:type="dxa"/>
            <w:tcBorders>
              <w:top w:val="nil"/>
              <w:left w:val="nil"/>
              <w:bottom w:val="single" w:sz="4" w:space="0" w:color="000000"/>
              <w:right w:val="single" w:sz="4" w:space="0" w:color="000000"/>
            </w:tcBorders>
            <w:shd w:val="clear" w:color="auto" w:fill="auto"/>
            <w:noWrap/>
            <w:vAlign w:val="bottom"/>
            <w:hideMark/>
          </w:tcPr>
          <w:p w14:paraId="41B6BE9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4,000 </w:t>
            </w:r>
          </w:p>
        </w:tc>
        <w:tc>
          <w:tcPr>
            <w:tcW w:w="980" w:type="dxa"/>
            <w:tcBorders>
              <w:top w:val="single" w:sz="8" w:space="0" w:color="000000"/>
              <w:left w:val="nil"/>
              <w:bottom w:val="single" w:sz="4" w:space="0" w:color="000000"/>
              <w:right w:val="nil"/>
            </w:tcBorders>
            <w:shd w:val="clear" w:color="auto" w:fill="auto"/>
            <w:noWrap/>
            <w:vAlign w:val="bottom"/>
            <w:hideMark/>
          </w:tcPr>
          <w:p w14:paraId="1ABA875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43,000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00E7D2D4"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91 </w:t>
            </w:r>
          </w:p>
        </w:tc>
      </w:tr>
      <w:tr w:rsidR="007A7FA3" w:rsidRPr="007A7FA3" w14:paraId="70821838" w14:textId="77777777" w:rsidTr="007A7FA3">
        <w:trPr>
          <w:trHeight w:val="270"/>
        </w:trPr>
        <w:tc>
          <w:tcPr>
            <w:tcW w:w="1086" w:type="dxa"/>
            <w:vMerge/>
            <w:tcBorders>
              <w:top w:val="nil"/>
              <w:left w:val="single" w:sz="8" w:space="0" w:color="auto"/>
              <w:bottom w:val="nil"/>
              <w:right w:val="single" w:sz="4" w:space="0" w:color="000000"/>
            </w:tcBorders>
            <w:vAlign w:val="center"/>
            <w:hideMark/>
          </w:tcPr>
          <w:p w14:paraId="209AB120"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6989E952"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6AC8E0AE"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376050A6"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0502B744"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543D5FB4"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518D587A"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71600</w:t>
            </w:r>
          </w:p>
        </w:tc>
        <w:tc>
          <w:tcPr>
            <w:tcW w:w="1580" w:type="dxa"/>
            <w:tcBorders>
              <w:top w:val="nil"/>
              <w:left w:val="nil"/>
              <w:bottom w:val="single" w:sz="4" w:space="0" w:color="000000"/>
              <w:right w:val="single" w:sz="4" w:space="0" w:color="000000"/>
            </w:tcBorders>
            <w:shd w:val="clear" w:color="auto" w:fill="auto"/>
            <w:vAlign w:val="bottom"/>
            <w:hideMark/>
          </w:tcPr>
          <w:p w14:paraId="3688233A"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Travel</w:t>
            </w:r>
          </w:p>
        </w:tc>
        <w:tc>
          <w:tcPr>
            <w:tcW w:w="694" w:type="dxa"/>
            <w:tcBorders>
              <w:top w:val="nil"/>
              <w:left w:val="nil"/>
              <w:bottom w:val="single" w:sz="4" w:space="0" w:color="000000"/>
              <w:right w:val="single" w:sz="4" w:space="0" w:color="000000"/>
            </w:tcBorders>
            <w:shd w:val="clear" w:color="auto" w:fill="auto"/>
            <w:noWrap/>
            <w:vAlign w:val="bottom"/>
            <w:hideMark/>
          </w:tcPr>
          <w:p w14:paraId="1FBC38E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8,000 </w:t>
            </w:r>
          </w:p>
        </w:tc>
        <w:tc>
          <w:tcPr>
            <w:tcW w:w="805" w:type="dxa"/>
            <w:tcBorders>
              <w:top w:val="nil"/>
              <w:left w:val="nil"/>
              <w:bottom w:val="single" w:sz="4" w:space="0" w:color="000000"/>
              <w:right w:val="single" w:sz="4" w:space="0" w:color="000000"/>
            </w:tcBorders>
            <w:shd w:val="clear" w:color="auto" w:fill="auto"/>
            <w:noWrap/>
            <w:vAlign w:val="bottom"/>
            <w:hideMark/>
          </w:tcPr>
          <w:p w14:paraId="12E068D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8,000 </w:t>
            </w:r>
          </w:p>
        </w:tc>
        <w:tc>
          <w:tcPr>
            <w:tcW w:w="826" w:type="dxa"/>
            <w:tcBorders>
              <w:top w:val="nil"/>
              <w:left w:val="nil"/>
              <w:bottom w:val="single" w:sz="4" w:space="0" w:color="000000"/>
              <w:right w:val="single" w:sz="4" w:space="0" w:color="000000"/>
            </w:tcBorders>
            <w:shd w:val="clear" w:color="auto" w:fill="auto"/>
            <w:noWrap/>
            <w:vAlign w:val="bottom"/>
            <w:hideMark/>
          </w:tcPr>
          <w:p w14:paraId="4622AEF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8,000 </w:t>
            </w:r>
          </w:p>
        </w:tc>
        <w:tc>
          <w:tcPr>
            <w:tcW w:w="864" w:type="dxa"/>
            <w:tcBorders>
              <w:top w:val="nil"/>
              <w:left w:val="nil"/>
              <w:bottom w:val="single" w:sz="4" w:space="0" w:color="000000"/>
              <w:right w:val="single" w:sz="4" w:space="0" w:color="000000"/>
            </w:tcBorders>
            <w:shd w:val="clear" w:color="auto" w:fill="auto"/>
            <w:noWrap/>
            <w:vAlign w:val="bottom"/>
            <w:hideMark/>
          </w:tcPr>
          <w:p w14:paraId="3B9DF4D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8,000 </w:t>
            </w:r>
          </w:p>
        </w:tc>
        <w:tc>
          <w:tcPr>
            <w:tcW w:w="834" w:type="dxa"/>
            <w:tcBorders>
              <w:top w:val="nil"/>
              <w:left w:val="nil"/>
              <w:bottom w:val="single" w:sz="4" w:space="0" w:color="000000"/>
              <w:right w:val="single" w:sz="4" w:space="0" w:color="000000"/>
            </w:tcBorders>
            <w:shd w:val="clear" w:color="auto" w:fill="auto"/>
            <w:noWrap/>
            <w:vAlign w:val="bottom"/>
            <w:hideMark/>
          </w:tcPr>
          <w:p w14:paraId="35C5E8A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8,000 </w:t>
            </w:r>
          </w:p>
        </w:tc>
        <w:tc>
          <w:tcPr>
            <w:tcW w:w="827" w:type="dxa"/>
            <w:tcBorders>
              <w:top w:val="nil"/>
              <w:left w:val="nil"/>
              <w:bottom w:val="single" w:sz="4" w:space="0" w:color="000000"/>
              <w:right w:val="single" w:sz="4" w:space="0" w:color="000000"/>
            </w:tcBorders>
            <w:shd w:val="clear" w:color="auto" w:fill="auto"/>
            <w:noWrap/>
            <w:vAlign w:val="bottom"/>
            <w:hideMark/>
          </w:tcPr>
          <w:p w14:paraId="047AB8F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6,000 </w:t>
            </w:r>
          </w:p>
        </w:tc>
        <w:tc>
          <w:tcPr>
            <w:tcW w:w="980" w:type="dxa"/>
            <w:tcBorders>
              <w:top w:val="single" w:sz="8" w:space="0" w:color="000000"/>
              <w:left w:val="nil"/>
              <w:bottom w:val="single" w:sz="4" w:space="0" w:color="000000"/>
              <w:right w:val="nil"/>
            </w:tcBorders>
            <w:shd w:val="clear" w:color="auto" w:fill="auto"/>
            <w:noWrap/>
            <w:vAlign w:val="bottom"/>
            <w:hideMark/>
          </w:tcPr>
          <w:p w14:paraId="7315B57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46,000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22DF6DC0"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92 </w:t>
            </w:r>
          </w:p>
        </w:tc>
      </w:tr>
      <w:tr w:rsidR="007A7FA3" w:rsidRPr="007A7FA3" w14:paraId="0147BA2F" w14:textId="77777777" w:rsidTr="007A7FA3">
        <w:trPr>
          <w:trHeight w:val="255"/>
        </w:trPr>
        <w:tc>
          <w:tcPr>
            <w:tcW w:w="1086" w:type="dxa"/>
            <w:vMerge/>
            <w:tcBorders>
              <w:top w:val="nil"/>
              <w:left w:val="single" w:sz="8" w:space="0" w:color="auto"/>
              <w:bottom w:val="nil"/>
              <w:right w:val="single" w:sz="4" w:space="0" w:color="000000"/>
            </w:tcBorders>
            <w:vAlign w:val="center"/>
            <w:hideMark/>
          </w:tcPr>
          <w:p w14:paraId="49E80265"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64B0C5D0"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6CA1B6B1"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12EAA75A"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4F22F5B2"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0B388AE1"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13348BB8"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72100</w:t>
            </w:r>
          </w:p>
        </w:tc>
        <w:tc>
          <w:tcPr>
            <w:tcW w:w="1580" w:type="dxa"/>
            <w:tcBorders>
              <w:top w:val="nil"/>
              <w:left w:val="nil"/>
              <w:bottom w:val="single" w:sz="4" w:space="0" w:color="000000"/>
              <w:right w:val="single" w:sz="4" w:space="0" w:color="000000"/>
            </w:tcBorders>
            <w:shd w:val="clear" w:color="auto" w:fill="auto"/>
            <w:vAlign w:val="bottom"/>
            <w:hideMark/>
          </w:tcPr>
          <w:p w14:paraId="61E0CB3D"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Contractual Services - Companies</w:t>
            </w:r>
          </w:p>
        </w:tc>
        <w:tc>
          <w:tcPr>
            <w:tcW w:w="694" w:type="dxa"/>
            <w:tcBorders>
              <w:top w:val="nil"/>
              <w:left w:val="nil"/>
              <w:bottom w:val="single" w:sz="4" w:space="0" w:color="000000"/>
              <w:right w:val="single" w:sz="4" w:space="0" w:color="000000"/>
            </w:tcBorders>
            <w:shd w:val="clear" w:color="auto" w:fill="auto"/>
            <w:noWrap/>
            <w:vAlign w:val="bottom"/>
            <w:hideMark/>
          </w:tcPr>
          <w:p w14:paraId="07E1C23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8,000 </w:t>
            </w:r>
          </w:p>
        </w:tc>
        <w:tc>
          <w:tcPr>
            <w:tcW w:w="805" w:type="dxa"/>
            <w:tcBorders>
              <w:top w:val="nil"/>
              <w:left w:val="nil"/>
              <w:bottom w:val="single" w:sz="4" w:space="0" w:color="000000"/>
              <w:right w:val="single" w:sz="4" w:space="0" w:color="000000"/>
            </w:tcBorders>
            <w:shd w:val="clear" w:color="auto" w:fill="auto"/>
            <w:noWrap/>
            <w:vAlign w:val="bottom"/>
            <w:hideMark/>
          </w:tcPr>
          <w:p w14:paraId="7AE5B19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8,000 </w:t>
            </w:r>
          </w:p>
        </w:tc>
        <w:tc>
          <w:tcPr>
            <w:tcW w:w="826" w:type="dxa"/>
            <w:tcBorders>
              <w:top w:val="nil"/>
              <w:left w:val="nil"/>
              <w:bottom w:val="single" w:sz="4" w:space="0" w:color="000000"/>
              <w:right w:val="single" w:sz="4" w:space="0" w:color="000000"/>
            </w:tcBorders>
            <w:shd w:val="clear" w:color="auto" w:fill="auto"/>
            <w:noWrap/>
            <w:vAlign w:val="bottom"/>
            <w:hideMark/>
          </w:tcPr>
          <w:p w14:paraId="58DBE63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7,000 </w:t>
            </w:r>
          </w:p>
        </w:tc>
        <w:tc>
          <w:tcPr>
            <w:tcW w:w="864" w:type="dxa"/>
            <w:tcBorders>
              <w:top w:val="nil"/>
              <w:left w:val="nil"/>
              <w:bottom w:val="single" w:sz="4" w:space="0" w:color="000000"/>
              <w:right w:val="single" w:sz="4" w:space="0" w:color="000000"/>
            </w:tcBorders>
            <w:shd w:val="clear" w:color="auto" w:fill="auto"/>
            <w:noWrap/>
            <w:vAlign w:val="bottom"/>
            <w:hideMark/>
          </w:tcPr>
          <w:p w14:paraId="071BDAD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7,000 </w:t>
            </w:r>
          </w:p>
        </w:tc>
        <w:tc>
          <w:tcPr>
            <w:tcW w:w="834" w:type="dxa"/>
            <w:tcBorders>
              <w:top w:val="nil"/>
              <w:left w:val="nil"/>
              <w:bottom w:val="single" w:sz="4" w:space="0" w:color="000000"/>
              <w:right w:val="single" w:sz="4" w:space="0" w:color="000000"/>
            </w:tcBorders>
            <w:shd w:val="clear" w:color="auto" w:fill="auto"/>
            <w:noWrap/>
            <w:vAlign w:val="bottom"/>
            <w:hideMark/>
          </w:tcPr>
          <w:p w14:paraId="52A85F6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8,000 </w:t>
            </w:r>
          </w:p>
        </w:tc>
        <w:tc>
          <w:tcPr>
            <w:tcW w:w="827" w:type="dxa"/>
            <w:tcBorders>
              <w:top w:val="nil"/>
              <w:left w:val="nil"/>
              <w:bottom w:val="single" w:sz="4" w:space="0" w:color="000000"/>
              <w:right w:val="single" w:sz="4" w:space="0" w:color="000000"/>
            </w:tcBorders>
            <w:shd w:val="clear" w:color="auto" w:fill="auto"/>
            <w:noWrap/>
            <w:vAlign w:val="bottom"/>
            <w:hideMark/>
          </w:tcPr>
          <w:p w14:paraId="2060A35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4,000 </w:t>
            </w:r>
          </w:p>
        </w:tc>
        <w:tc>
          <w:tcPr>
            <w:tcW w:w="980" w:type="dxa"/>
            <w:tcBorders>
              <w:top w:val="single" w:sz="8" w:space="0" w:color="000000"/>
              <w:left w:val="nil"/>
              <w:bottom w:val="single" w:sz="4" w:space="0" w:color="000000"/>
              <w:right w:val="nil"/>
            </w:tcBorders>
            <w:shd w:val="clear" w:color="auto" w:fill="auto"/>
            <w:noWrap/>
            <w:vAlign w:val="bottom"/>
            <w:hideMark/>
          </w:tcPr>
          <w:p w14:paraId="3667584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42,000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35B1CE65"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93 </w:t>
            </w:r>
          </w:p>
        </w:tc>
      </w:tr>
      <w:tr w:rsidR="007A7FA3" w:rsidRPr="007A7FA3" w14:paraId="5280F16E" w14:textId="77777777" w:rsidTr="007A7FA3">
        <w:trPr>
          <w:trHeight w:val="270"/>
        </w:trPr>
        <w:tc>
          <w:tcPr>
            <w:tcW w:w="1086" w:type="dxa"/>
            <w:vMerge/>
            <w:tcBorders>
              <w:top w:val="nil"/>
              <w:left w:val="single" w:sz="8" w:space="0" w:color="auto"/>
              <w:bottom w:val="nil"/>
              <w:right w:val="single" w:sz="4" w:space="0" w:color="000000"/>
            </w:tcBorders>
            <w:vAlign w:val="center"/>
            <w:hideMark/>
          </w:tcPr>
          <w:p w14:paraId="37BE471C"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19BAD332"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2F44D1D3"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7E324904"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6A281596"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1ED11481"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560C59C0"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72400</w:t>
            </w:r>
          </w:p>
        </w:tc>
        <w:tc>
          <w:tcPr>
            <w:tcW w:w="1580" w:type="dxa"/>
            <w:tcBorders>
              <w:top w:val="nil"/>
              <w:left w:val="nil"/>
              <w:bottom w:val="single" w:sz="4" w:space="0" w:color="000000"/>
              <w:right w:val="single" w:sz="4" w:space="0" w:color="000000"/>
            </w:tcBorders>
            <w:shd w:val="clear" w:color="auto" w:fill="auto"/>
            <w:vAlign w:val="bottom"/>
            <w:hideMark/>
          </w:tcPr>
          <w:p w14:paraId="32DC0021"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Communic &amp; Audio Visual Equip</w:t>
            </w:r>
          </w:p>
        </w:tc>
        <w:tc>
          <w:tcPr>
            <w:tcW w:w="694" w:type="dxa"/>
            <w:tcBorders>
              <w:top w:val="nil"/>
              <w:left w:val="nil"/>
              <w:bottom w:val="single" w:sz="4" w:space="0" w:color="000000"/>
              <w:right w:val="single" w:sz="4" w:space="0" w:color="000000"/>
            </w:tcBorders>
            <w:shd w:val="clear" w:color="auto" w:fill="auto"/>
            <w:noWrap/>
            <w:vAlign w:val="bottom"/>
            <w:hideMark/>
          </w:tcPr>
          <w:p w14:paraId="3CFDC29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3,000 </w:t>
            </w:r>
          </w:p>
        </w:tc>
        <w:tc>
          <w:tcPr>
            <w:tcW w:w="805" w:type="dxa"/>
            <w:tcBorders>
              <w:top w:val="nil"/>
              <w:left w:val="nil"/>
              <w:bottom w:val="single" w:sz="4" w:space="0" w:color="000000"/>
              <w:right w:val="single" w:sz="4" w:space="0" w:color="000000"/>
            </w:tcBorders>
            <w:shd w:val="clear" w:color="auto" w:fill="auto"/>
            <w:noWrap/>
            <w:vAlign w:val="bottom"/>
            <w:hideMark/>
          </w:tcPr>
          <w:p w14:paraId="6E1FC59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5,000 </w:t>
            </w:r>
          </w:p>
        </w:tc>
        <w:tc>
          <w:tcPr>
            <w:tcW w:w="826" w:type="dxa"/>
            <w:tcBorders>
              <w:top w:val="nil"/>
              <w:left w:val="nil"/>
              <w:bottom w:val="single" w:sz="4" w:space="0" w:color="000000"/>
              <w:right w:val="single" w:sz="4" w:space="0" w:color="000000"/>
            </w:tcBorders>
            <w:shd w:val="clear" w:color="auto" w:fill="auto"/>
            <w:noWrap/>
            <w:vAlign w:val="bottom"/>
            <w:hideMark/>
          </w:tcPr>
          <w:p w14:paraId="53EC39C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3,000 </w:t>
            </w:r>
          </w:p>
        </w:tc>
        <w:tc>
          <w:tcPr>
            <w:tcW w:w="864" w:type="dxa"/>
            <w:tcBorders>
              <w:top w:val="nil"/>
              <w:left w:val="nil"/>
              <w:bottom w:val="single" w:sz="4" w:space="0" w:color="000000"/>
              <w:right w:val="single" w:sz="4" w:space="0" w:color="000000"/>
            </w:tcBorders>
            <w:shd w:val="clear" w:color="auto" w:fill="auto"/>
            <w:noWrap/>
            <w:vAlign w:val="bottom"/>
            <w:hideMark/>
          </w:tcPr>
          <w:p w14:paraId="28714DF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3,000 </w:t>
            </w:r>
          </w:p>
        </w:tc>
        <w:tc>
          <w:tcPr>
            <w:tcW w:w="834" w:type="dxa"/>
            <w:tcBorders>
              <w:top w:val="nil"/>
              <w:left w:val="nil"/>
              <w:bottom w:val="single" w:sz="4" w:space="0" w:color="000000"/>
              <w:right w:val="single" w:sz="4" w:space="0" w:color="000000"/>
            </w:tcBorders>
            <w:shd w:val="clear" w:color="auto" w:fill="auto"/>
            <w:noWrap/>
            <w:vAlign w:val="bottom"/>
            <w:hideMark/>
          </w:tcPr>
          <w:p w14:paraId="1DC8482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3,000 </w:t>
            </w:r>
          </w:p>
        </w:tc>
        <w:tc>
          <w:tcPr>
            <w:tcW w:w="827" w:type="dxa"/>
            <w:tcBorders>
              <w:top w:val="nil"/>
              <w:left w:val="nil"/>
              <w:bottom w:val="single" w:sz="4" w:space="0" w:color="000000"/>
              <w:right w:val="single" w:sz="4" w:space="0" w:color="000000"/>
            </w:tcBorders>
            <w:shd w:val="clear" w:color="auto" w:fill="auto"/>
            <w:noWrap/>
            <w:vAlign w:val="bottom"/>
            <w:hideMark/>
          </w:tcPr>
          <w:p w14:paraId="2784069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 </w:t>
            </w:r>
          </w:p>
        </w:tc>
        <w:tc>
          <w:tcPr>
            <w:tcW w:w="980" w:type="dxa"/>
            <w:tcBorders>
              <w:top w:val="single" w:sz="8" w:space="0" w:color="000000"/>
              <w:left w:val="nil"/>
              <w:bottom w:val="single" w:sz="4" w:space="0" w:color="000000"/>
              <w:right w:val="nil"/>
            </w:tcBorders>
            <w:shd w:val="clear" w:color="auto" w:fill="auto"/>
            <w:noWrap/>
            <w:vAlign w:val="bottom"/>
            <w:hideMark/>
          </w:tcPr>
          <w:p w14:paraId="0EFC7D5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19,000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0761EAFF"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94 </w:t>
            </w:r>
          </w:p>
        </w:tc>
      </w:tr>
      <w:tr w:rsidR="007A7FA3" w:rsidRPr="007A7FA3" w14:paraId="08A3D810" w14:textId="77777777" w:rsidTr="007A7FA3">
        <w:trPr>
          <w:trHeight w:val="270"/>
        </w:trPr>
        <w:tc>
          <w:tcPr>
            <w:tcW w:w="1086" w:type="dxa"/>
            <w:vMerge/>
            <w:tcBorders>
              <w:top w:val="nil"/>
              <w:left w:val="single" w:sz="8" w:space="0" w:color="auto"/>
              <w:bottom w:val="nil"/>
              <w:right w:val="single" w:sz="4" w:space="0" w:color="000000"/>
            </w:tcBorders>
            <w:vAlign w:val="center"/>
            <w:hideMark/>
          </w:tcPr>
          <w:p w14:paraId="37BAFD07"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1B89B6E2"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0D39BE91" w14:textId="77777777" w:rsidR="007A7FA3" w:rsidRPr="007A7FA3" w:rsidRDefault="007A7FA3" w:rsidP="007A7FA3">
            <w:pPr>
              <w:rPr>
                <w:rFonts w:ascii="Calibri" w:hAnsi="Calibri" w:cs="Calibri"/>
                <w:i/>
                <w:iCs/>
                <w:color w:val="000000"/>
                <w:sz w:val="13"/>
                <w:szCs w:val="13"/>
              </w:rPr>
            </w:pPr>
          </w:p>
        </w:tc>
        <w:tc>
          <w:tcPr>
            <w:tcW w:w="3763" w:type="dxa"/>
            <w:gridSpan w:val="5"/>
            <w:tcBorders>
              <w:top w:val="single" w:sz="4" w:space="0" w:color="000000"/>
              <w:left w:val="nil"/>
              <w:bottom w:val="single" w:sz="4" w:space="0" w:color="000000"/>
              <w:right w:val="single" w:sz="4" w:space="0" w:color="000000"/>
            </w:tcBorders>
            <w:shd w:val="clear" w:color="auto" w:fill="auto"/>
            <w:vAlign w:val="center"/>
            <w:hideMark/>
          </w:tcPr>
          <w:p w14:paraId="7B507892"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Total BCC</w:t>
            </w:r>
          </w:p>
        </w:tc>
        <w:tc>
          <w:tcPr>
            <w:tcW w:w="694" w:type="dxa"/>
            <w:tcBorders>
              <w:top w:val="nil"/>
              <w:left w:val="nil"/>
              <w:bottom w:val="single" w:sz="4" w:space="0" w:color="000000"/>
              <w:right w:val="single" w:sz="4" w:space="0" w:color="000000"/>
            </w:tcBorders>
            <w:shd w:val="clear" w:color="auto" w:fill="auto"/>
            <w:noWrap/>
            <w:vAlign w:val="bottom"/>
            <w:hideMark/>
          </w:tcPr>
          <w:p w14:paraId="592E6635"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35,000 </w:t>
            </w:r>
          </w:p>
        </w:tc>
        <w:tc>
          <w:tcPr>
            <w:tcW w:w="805" w:type="dxa"/>
            <w:tcBorders>
              <w:top w:val="nil"/>
              <w:left w:val="nil"/>
              <w:bottom w:val="single" w:sz="4" w:space="0" w:color="000000"/>
              <w:right w:val="single" w:sz="4" w:space="0" w:color="000000"/>
            </w:tcBorders>
            <w:shd w:val="clear" w:color="auto" w:fill="auto"/>
            <w:noWrap/>
            <w:vAlign w:val="bottom"/>
            <w:hideMark/>
          </w:tcPr>
          <w:p w14:paraId="6413F21E"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40,000 </w:t>
            </w:r>
          </w:p>
        </w:tc>
        <w:tc>
          <w:tcPr>
            <w:tcW w:w="826" w:type="dxa"/>
            <w:tcBorders>
              <w:top w:val="nil"/>
              <w:left w:val="nil"/>
              <w:bottom w:val="single" w:sz="4" w:space="0" w:color="000000"/>
              <w:right w:val="single" w:sz="4" w:space="0" w:color="000000"/>
            </w:tcBorders>
            <w:shd w:val="clear" w:color="auto" w:fill="auto"/>
            <w:noWrap/>
            <w:vAlign w:val="bottom"/>
            <w:hideMark/>
          </w:tcPr>
          <w:p w14:paraId="6C3C5432"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38,000 </w:t>
            </w:r>
          </w:p>
        </w:tc>
        <w:tc>
          <w:tcPr>
            <w:tcW w:w="864" w:type="dxa"/>
            <w:tcBorders>
              <w:top w:val="nil"/>
              <w:left w:val="nil"/>
              <w:bottom w:val="single" w:sz="4" w:space="0" w:color="000000"/>
              <w:right w:val="single" w:sz="4" w:space="0" w:color="000000"/>
            </w:tcBorders>
            <w:shd w:val="clear" w:color="auto" w:fill="auto"/>
            <w:noWrap/>
            <w:vAlign w:val="bottom"/>
            <w:hideMark/>
          </w:tcPr>
          <w:p w14:paraId="6176E033"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34,000 </w:t>
            </w:r>
          </w:p>
        </w:tc>
        <w:tc>
          <w:tcPr>
            <w:tcW w:w="834" w:type="dxa"/>
            <w:tcBorders>
              <w:top w:val="nil"/>
              <w:left w:val="nil"/>
              <w:bottom w:val="single" w:sz="4" w:space="0" w:color="000000"/>
              <w:right w:val="single" w:sz="4" w:space="0" w:color="000000"/>
            </w:tcBorders>
            <w:shd w:val="clear" w:color="auto" w:fill="auto"/>
            <w:noWrap/>
            <w:vAlign w:val="bottom"/>
            <w:hideMark/>
          </w:tcPr>
          <w:p w14:paraId="2883DCDF"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33,000 </w:t>
            </w:r>
          </w:p>
        </w:tc>
        <w:tc>
          <w:tcPr>
            <w:tcW w:w="827" w:type="dxa"/>
            <w:tcBorders>
              <w:top w:val="nil"/>
              <w:left w:val="nil"/>
              <w:bottom w:val="single" w:sz="4" w:space="0" w:color="000000"/>
              <w:right w:val="single" w:sz="4" w:space="0" w:color="000000"/>
            </w:tcBorders>
            <w:shd w:val="clear" w:color="auto" w:fill="auto"/>
            <w:noWrap/>
            <w:vAlign w:val="bottom"/>
            <w:hideMark/>
          </w:tcPr>
          <w:p w14:paraId="65BD1068"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20,000 </w:t>
            </w:r>
          </w:p>
        </w:tc>
        <w:tc>
          <w:tcPr>
            <w:tcW w:w="980" w:type="dxa"/>
            <w:tcBorders>
              <w:top w:val="single" w:sz="8" w:space="0" w:color="000000"/>
              <w:left w:val="nil"/>
              <w:bottom w:val="single" w:sz="4" w:space="0" w:color="000000"/>
              <w:right w:val="nil"/>
            </w:tcBorders>
            <w:shd w:val="clear" w:color="auto" w:fill="auto"/>
            <w:noWrap/>
            <w:vAlign w:val="bottom"/>
            <w:hideMark/>
          </w:tcPr>
          <w:p w14:paraId="212B44DE"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200,000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13FDBF62"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095AE23A" w14:textId="77777777" w:rsidTr="007A7FA3">
        <w:trPr>
          <w:trHeight w:val="290"/>
        </w:trPr>
        <w:tc>
          <w:tcPr>
            <w:tcW w:w="1086" w:type="dxa"/>
            <w:vMerge/>
            <w:tcBorders>
              <w:top w:val="nil"/>
              <w:left w:val="single" w:sz="8" w:space="0" w:color="auto"/>
              <w:bottom w:val="nil"/>
              <w:right w:val="single" w:sz="4" w:space="0" w:color="000000"/>
            </w:tcBorders>
            <w:vAlign w:val="center"/>
            <w:hideMark/>
          </w:tcPr>
          <w:p w14:paraId="10A49FE7"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16971C57" w14:textId="77777777" w:rsidR="007A7FA3" w:rsidRPr="007A7FA3" w:rsidRDefault="007A7FA3" w:rsidP="007A7FA3">
            <w:pPr>
              <w:rPr>
                <w:rFonts w:ascii="Calibri" w:hAnsi="Calibri" w:cs="Calibri"/>
                <w:i/>
                <w:iCs/>
                <w:color w:val="000000"/>
                <w:sz w:val="13"/>
                <w:szCs w:val="13"/>
              </w:rPr>
            </w:pPr>
          </w:p>
        </w:tc>
        <w:tc>
          <w:tcPr>
            <w:tcW w:w="5779" w:type="dxa"/>
            <w:gridSpan w:val="6"/>
            <w:tcBorders>
              <w:top w:val="nil"/>
              <w:left w:val="nil"/>
              <w:bottom w:val="single" w:sz="4" w:space="0" w:color="000000"/>
              <w:right w:val="single" w:sz="4" w:space="0" w:color="000000"/>
            </w:tcBorders>
            <w:shd w:val="clear" w:color="auto" w:fill="auto"/>
            <w:vAlign w:val="center"/>
            <w:hideMark/>
          </w:tcPr>
          <w:p w14:paraId="3E26EAA8" w14:textId="77777777" w:rsidR="007A7FA3" w:rsidRPr="007A7FA3" w:rsidRDefault="007A7FA3" w:rsidP="007A7FA3">
            <w:pPr>
              <w:rPr>
                <w:rFonts w:ascii="Calibri" w:hAnsi="Calibri" w:cs="Calibri"/>
                <w:b/>
                <w:bCs/>
                <w:i/>
                <w:iCs/>
                <w:color w:val="000000"/>
                <w:sz w:val="13"/>
                <w:szCs w:val="13"/>
              </w:rPr>
            </w:pPr>
            <w:r w:rsidRPr="007A7FA3">
              <w:rPr>
                <w:rFonts w:ascii="Calibri" w:hAnsi="Calibri" w:cs="Calibri"/>
                <w:b/>
                <w:bCs/>
                <w:i/>
                <w:iCs/>
                <w:color w:val="000000"/>
                <w:sz w:val="13"/>
                <w:szCs w:val="13"/>
              </w:rPr>
              <w:t>Total Output 3.3.1</w:t>
            </w:r>
          </w:p>
        </w:tc>
        <w:tc>
          <w:tcPr>
            <w:tcW w:w="694" w:type="dxa"/>
            <w:tcBorders>
              <w:top w:val="nil"/>
              <w:left w:val="nil"/>
              <w:bottom w:val="single" w:sz="4" w:space="0" w:color="000000"/>
              <w:right w:val="single" w:sz="4" w:space="0" w:color="000000"/>
            </w:tcBorders>
            <w:shd w:val="clear" w:color="auto" w:fill="auto"/>
            <w:noWrap/>
            <w:vAlign w:val="bottom"/>
            <w:hideMark/>
          </w:tcPr>
          <w:p w14:paraId="7604F995"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35,000 </w:t>
            </w:r>
          </w:p>
        </w:tc>
        <w:tc>
          <w:tcPr>
            <w:tcW w:w="805" w:type="dxa"/>
            <w:tcBorders>
              <w:top w:val="nil"/>
              <w:left w:val="nil"/>
              <w:bottom w:val="single" w:sz="4" w:space="0" w:color="000000"/>
              <w:right w:val="single" w:sz="4" w:space="0" w:color="000000"/>
            </w:tcBorders>
            <w:shd w:val="clear" w:color="auto" w:fill="auto"/>
            <w:noWrap/>
            <w:vAlign w:val="bottom"/>
            <w:hideMark/>
          </w:tcPr>
          <w:p w14:paraId="37E7BF11"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40,000 </w:t>
            </w:r>
          </w:p>
        </w:tc>
        <w:tc>
          <w:tcPr>
            <w:tcW w:w="826" w:type="dxa"/>
            <w:tcBorders>
              <w:top w:val="nil"/>
              <w:left w:val="nil"/>
              <w:bottom w:val="single" w:sz="4" w:space="0" w:color="000000"/>
              <w:right w:val="single" w:sz="4" w:space="0" w:color="000000"/>
            </w:tcBorders>
            <w:shd w:val="clear" w:color="auto" w:fill="auto"/>
            <w:noWrap/>
            <w:vAlign w:val="bottom"/>
            <w:hideMark/>
          </w:tcPr>
          <w:p w14:paraId="5099C56B"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38,000 </w:t>
            </w:r>
          </w:p>
        </w:tc>
        <w:tc>
          <w:tcPr>
            <w:tcW w:w="864" w:type="dxa"/>
            <w:tcBorders>
              <w:top w:val="nil"/>
              <w:left w:val="nil"/>
              <w:bottom w:val="single" w:sz="4" w:space="0" w:color="000000"/>
              <w:right w:val="single" w:sz="4" w:space="0" w:color="000000"/>
            </w:tcBorders>
            <w:shd w:val="clear" w:color="auto" w:fill="auto"/>
            <w:noWrap/>
            <w:vAlign w:val="bottom"/>
            <w:hideMark/>
          </w:tcPr>
          <w:p w14:paraId="36377655"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34,000 </w:t>
            </w:r>
          </w:p>
        </w:tc>
        <w:tc>
          <w:tcPr>
            <w:tcW w:w="834" w:type="dxa"/>
            <w:tcBorders>
              <w:top w:val="nil"/>
              <w:left w:val="nil"/>
              <w:bottom w:val="single" w:sz="4" w:space="0" w:color="000000"/>
              <w:right w:val="single" w:sz="4" w:space="0" w:color="000000"/>
            </w:tcBorders>
            <w:shd w:val="clear" w:color="auto" w:fill="auto"/>
            <w:noWrap/>
            <w:vAlign w:val="bottom"/>
            <w:hideMark/>
          </w:tcPr>
          <w:p w14:paraId="08C37A44"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33,000 </w:t>
            </w:r>
          </w:p>
        </w:tc>
        <w:tc>
          <w:tcPr>
            <w:tcW w:w="827" w:type="dxa"/>
            <w:tcBorders>
              <w:top w:val="nil"/>
              <w:left w:val="nil"/>
              <w:bottom w:val="single" w:sz="4" w:space="0" w:color="000000"/>
              <w:right w:val="single" w:sz="4" w:space="0" w:color="000000"/>
            </w:tcBorders>
            <w:shd w:val="clear" w:color="auto" w:fill="auto"/>
            <w:noWrap/>
            <w:vAlign w:val="bottom"/>
            <w:hideMark/>
          </w:tcPr>
          <w:p w14:paraId="4E363EF2"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20,000 </w:t>
            </w:r>
          </w:p>
        </w:tc>
        <w:tc>
          <w:tcPr>
            <w:tcW w:w="980" w:type="dxa"/>
            <w:tcBorders>
              <w:top w:val="nil"/>
              <w:left w:val="nil"/>
              <w:bottom w:val="single" w:sz="4" w:space="0" w:color="000000"/>
              <w:right w:val="nil"/>
            </w:tcBorders>
            <w:shd w:val="clear" w:color="auto" w:fill="auto"/>
            <w:noWrap/>
            <w:vAlign w:val="bottom"/>
            <w:hideMark/>
          </w:tcPr>
          <w:p w14:paraId="1219A541"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200,000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7CE57232"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5B3AA021" w14:textId="77777777" w:rsidTr="007A7FA3">
        <w:trPr>
          <w:trHeight w:val="270"/>
        </w:trPr>
        <w:tc>
          <w:tcPr>
            <w:tcW w:w="1086" w:type="dxa"/>
            <w:vMerge/>
            <w:tcBorders>
              <w:top w:val="nil"/>
              <w:left w:val="single" w:sz="8" w:space="0" w:color="auto"/>
              <w:bottom w:val="nil"/>
              <w:right w:val="single" w:sz="4" w:space="0" w:color="000000"/>
            </w:tcBorders>
            <w:vAlign w:val="center"/>
            <w:hideMark/>
          </w:tcPr>
          <w:p w14:paraId="7EA57A7F" w14:textId="77777777" w:rsidR="007A7FA3" w:rsidRPr="007A7FA3" w:rsidRDefault="007A7FA3" w:rsidP="007A7FA3">
            <w:pPr>
              <w:rPr>
                <w:rFonts w:ascii="Calibri" w:hAnsi="Calibri" w:cs="Calibri"/>
                <w:i/>
                <w:iCs/>
                <w:color w:val="000000"/>
                <w:sz w:val="13"/>
                <w:szCs w:val="13"/>
              </w:rPr>
            </w:pPr>
          </w:p>
        </w:tc>
        <w:tc>
          <w:tcPr>
            <w:tcW w:w="6650" w:type="dxa"/>
            <w:gridSpan w:val="7"/>
            <w:tcBorders>
              <w:top w:val="nil"/>
              <w:left w:val="nil"/>
              <w:bottom w:val="nil"/>
              <w:right w:val="single" w:sz="4" w:space="0" w:color="000000"/>
            </w:tcBorders>
            <w:shd w:val="clear" w:color="FEF2CB" w:fill="FEF2CB"/>
            <w:vAlign w:val="center"/>
            <w:hideMark/>
          </w:tcPr>
          <w:p w14:paraId="2D595984" w14:textId="77777777" w:rsidR="007A7FA3" w:rsidRPr="007A7FA3" w:rsidRDefault="007A7FA3" w:rsidP="007A7FA3">
            <w:pPr>
              <w:rPr>
                <w:rFonts w:ascii="Calibri" w:hAnsi="Calibri" w:cs="Calibri"/>
                <w:b/>
                <w:bCs/>
                <w:i/>
                <w:iCs/>
                <w:color w:val="000000"/>
                <w:sz w:val="13"/>
                <w:szCs w:val="13"/>
              </w:rPr>
            </w:pPr>
            <w:r w:rsidRPr="007A7FA3">
              <w:rPr>
                <w:rFonts w:ascii="Calibri" w:hAnsi="Calibri" w:cs="Calibri"/>
                <w:b/>
                <w:bCs/>
                <w:i/>
                <w:iCs/>
                <w:color w:val="000000"/>
                <w:sz w:val="13"/>
                <w:szCs w:val="13"/>
              </w:rPr>
              <w:t>Total Outcome 3.3</w:t>
            </w:r>
          </w:p>
        </w:tc>
        <w:tc>
          <w:tcPr>
            <w:tcW w:w="694" w:type="dxa"/>
            <w:tcBorders>
              <w:top w:val="nil"/>
              <w:left w:val="nil"/>
              <w:bottom w:val="single" w:sz="8" w:space="0" w:color="000000"/>
              <w:right w:val="single" w:sz="4" w:space="0" w:color="000000"/>
            </w:tcBorders>
            <w:shd w:val="clear" w:color="FEF2CB" w:fill="FEF2CB"/>
            <w:noWrap/>
            <w:vAlign w:val="bottom"/>
            <w:hideMark/>
          </w:tcPr>
          <w:p w14:paraId="57CBEEB3"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35,000 </w:t>
            </w:r>
          </w:p>
        </w:tc>
        <w:tc>
          <w:tcPr>
            <w:tcW w:w="805" w:type="dxa"/>
            <w:tcBorders>
              <w:top w:val="nil"/>
              <w:left w:val="nil"/>
              <w:bottom w:val="single" w:sz="8" w:space="0" w:color="000000"/>
              <w:right w:val="single" w:sz="4" w:space="0" w:color="000000"/>
            </w:tcBorders>
            <w:shd w:val="clear" w:color="FEF2CB" w:fill="FEF2CB"/>
            <w:noWrap/>
            <w:vAlign w:val="bottom"/>
            <w:hideMark/>
          </w:tcPr>
          <w:p w14:paraId="45912963"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40,000 </w:t>
            </w:r>
          </w:p>
        </w:tc>
        <w:tc>
          <w:tcPr>
            <w:tcW w:w="826" w:type="dxa"/>
            <w:tcBorders>
              <w:top w:val="nil"/>
              <w:left w:val="nil"/>
              <w:bottom w:val="single" w:sz="8" w:space="0" w:color="000000"/>
              <w:right w:val="single" w:sz="4" w:space="0" w:color="000000"/>
            </w:tcBorders>
            <w:shd w:val="clear" w:color="FEF2CB" w:fill="FEF2CB"/>
            <w:noWrap/>
            <w:vAlign w:val="bottom"/>
            <w:hideMark/>
          </w:tcPr>
          <w:p w14:paraId="6CED8511"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38,000 </w:t>
            </w:r>
          </w:p>
        </w:tc>
        <w:tc>
          <w:tcPr>
            <w:tcW w:w="864" w:type="dxa"/>
            <w:tcBorders>
              <w:top w:val="nil"/>
              <w:left w:val="nil"/>
              <w:bottom w:val="single" w:sz="8" w:space="0" w:color="000000"/>
              <w:right w:val="single" w:sz="4" w:space="0" w:color="000000"/>
            </w:tcBorders>
            <w:shd w:val="clear" w:color="FEF2CB" w:fill="FEF2CB"/>
            <w:noWrap/>
            <w:vAlign w:val="bottom"/>
            <w:hideMark/>
          </w:tcPr>
          <w:p w14:paraId="6F16CFAA"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34,000 </w:t>
            </w:r>
          </w:p>
        </w:tc>
        <w:tc>
          <w:tcPr>
            <w:tcW w:w="834" w:type="dxa"/>
            <w:tcBorders>
              <w:top w:val="nil"/>
              <w:left w:val="nil"/>
              <w:bottom w:val="single" w:sz="8" w:space="0" w:color="000000"/>
              <w:right w:val="single" w:sz="4" w:space="0" w:color="000000"/>
            </w:tcBorders>
            <w:shd w:val="clear" w:color="FEF2CB" w:fill="FEF2CB"/>
            <w:noWrap/>
            <w:vAlign w:val="bottom"/>
            <w:hideMark/>
          </w:tcPr>
          <w:p w14:paraId="59299B93"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33,000 </w:t>
            </w:r>
          </w:p>
        </w:tc>
        <w:tc>
          <w:tcPr>
            <w:tcW w:w="827" w:type="dxa"/>
            <w:tcBorders>
              <w:top w:val="nil"/>
              <w:left w:val="nil"/>
              <w:bottom w:val="single" w:sz="8" w:space="0" w:color="000000"/>
              <w:right w:val="single" w:sz="4" w:space="0" w:color="000000"/>
            </w:tcBorders>
            <w:shd w:val="clear" w:color="FEF2CB" w:fill="FEF2CB"/>
            <w:noWrap/>
            <w:vAlign w:val="bottom"/>
            <w:hideMark/>
          </w:tcPr>
          <w:p w14:paraId="2C42491E"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20,000 </w:t>
            </w:r>
          </w:p>
        </w:tc>
        <w:tc>
          <w:tcPr>
            <w:tcW w:w="980" w:type="dxa"/>
            <w:tcBorders>
              <w:top w:val="nil"/>
              <w:left w:val="nil"/>
              <w:bottom w:val="single" w:sz="8" w:space="0" w:color="000000"/>
              <w:right w:val="nil"/>
            </w:tcBorders>
            <w:shd w:val="clear" w:color="FEF2CB" w:fill="FEF2CB"/>
            <w:noWrap/>
            <w:vAlign w:val="bottom"/>
            <w:hideMark/>
          </w:tcPr>
          <w:p w14:paraId="05FBE143"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200,000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2AFD8741"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27AB9B26" w14:textId="77777777" w:rsidTr="007A7FA3">
        <w:trPr>
          <w:trHeight w:val="375"/>
        </w:trPr>
        <w:tc>
          <w:tcPr>
            <w:tcW w:w="7736" w:type="dxa"/>
            <w:gridSpan w:val="8"/>
            <w:tcBorders>
              <w:top w:val="single" w:sz="4" w:space="0" w:color="000000"/>
              <w:left w:val="single" w:sz="8" w:space="0" w:color="auto"/>
              <w:bottom w:val="single" w:sz="4" w:space="0" w:color="000000"/>
              <w:right w:val="single" w:sz="4" w:space="0" w:color="000000"/>
            </w:tcBorders>
            <w:shd w:val="clear" w:color="BDD6EE" w:fill="BDD6EE"/>
            <w:vAlign w:val="center"/>
            <w:hideMark/>
          </w:tcPr>
          <w:p w14:paraId="731DF1D2" w14:textId="77777777" w:rsidR="007A7FA3" w:rsidRPr="007A7FA3" w:rsidRDefault="007A7FA3" w:rsidP="007A7FA3">
            <w:pPr>
              <w:rPr>
                <w:rFonts w:ascii="Calibri" w:hAnsi="Calibri" w:cs="Calibri"/>
                <w:b/>
                <w:bCs/>
                <w:i/>
                <w:iCs/>
                <w:color w:val="000000"/>
                <w:sz w:val="13"/>
                <w:szCs w:val="13"/>
              </w:rPr>
            </w:pPr>
            <w:r w:rsidRPr="007A7FA3">
              <w:rPr>
                <w:rFonts w:ascii="Calibri" w:hAnsi="Calibri" w:cs="Calibri"/>
                <w:b/>
                <w:bCs/>
                <w:i/>
                <w:iCs/>
                <w:color w:val="000000"/>
                <w:sz w:val="13"/>
                <w:szCs w:val="13"/>
              </w:rPr>
              <w:t>Total Component 3</w:t>
            </w:r>
          </w:p>
        </w:tc>
        <w:tc>
          <w:tcPr>
            <w:tcW w:w="694" w:type="dxa"/>
            <w:tcBorders>
              <w:top w:val="single" w:sz="4" w:space="0" w:color="000000"/>
              <w:left w:val="nil"/>
              <w:bottom w:val="single" w:sz="8" w:space="0" w:color="000000"/>
              <w:right w:val="single" w:sz="4" w:space="0" w:color="000000"/>
            </w:tcBorders>
            <w:shd w:val="clear" w:color="BDD6EE" w:fill="BDD6EE"/>
            <w:noWrap/>
            <w:vAlign w:val="bottom"/>
            <w:hideMark/>
          </w:tcPr>
          <w:p w14:paraId="5ED2EB57"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160,000 </w:t>
            </w:r>
          </w:p>
        </w:tc>
        <w:tc>
          <w:tcPr>
            <w:tcW w:w="805" w:type="dxa"/>
            <w:tcBorders>
              <w:top w:val="single" w:sz="4" w:space="0" w:color="000000"/>
              <w:left w:val="nil"/>
              <w:bottom w:val="single" w:sz="8" w:space="0" w:color="000000"/>
              <w:right w:val="single" w:sz="4" w:space="0" w:color="000000"/>
            </w:tcBorders>
            <w:shd w:val="clear" w:color="BDD6EE" w:fill="BDD6EE"/>
            <w:noWrap/>
            <w:vAlign w:val="bottom"/>
            <w:hideMark/>
          </w:tcPr>
          <w:p w14:paraId="5C9B51BA"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191,800 </w:t>
            </w:r>
          </w:p>
        </w:tc>
        <w:tc>
          <w:tcPr>
            <w:tcW w:w="826" w:type="dxa"/>
            <w:tcBorders>
              <w:top w:val="single" w:sz="4" w:space="0" w:color="000000"/>
              <w:left w:val="nil"/>
              <w:bottom w:val="single" w:sz="8" w:space="0" w:color="000000"/>
              <w:right w:val="single" w:sz="4" w:space="0" w:color="000000"/>
            </w:tcBorders>
            <w:shd w:val="clear" w:color="BDD6EE" w:fill="BDD6EE"/>
            <w:noWrap/>
            <w:vAlign w:val="bottom"/>
            <w:hideMark/>
          </w:tcPr>
          <w:p w14:paraId="4D9B46B4"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126,400 </w:t>
            </w:r>
          </w:p>
        </w:tc>
        <w:tc>
          <w:tcPr>
            <w:tcW w:w="864" w:type="dxa"/>
            <w:tcBorders>
              <w:top w:val="single" w:sz="4" w:space="0" w:color="000000"/>
              <w:left w:val="nil"/>
              <w:bottom w:val="single" w:sz="8" w:space="0" w:color="000000"/>
              <w:right w:val="single" w:sz="4" w:space="0" w:color="000000"/>
            </w:tcBorders>
            <w:shd w:val="clear" w:color="BDD6EE" w:fill="BDD6EE"/>
            <w:noWrap/>
            <w:vAlign w:val="bottom"/>
            <w:hideMark/>
          </w:tcPr>
          <w:p w14:paraId="58F44413"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120,400 </w:t>
            </w:r>
          </w:p>
        </w:tc>
        <w:tc>
          <w:tcPr>
            <w:tcW w:w="834" w:type="dxa"/>
            <w:tcBorders>
              <w:top w:val="single" w:sz="4" w:space="0" w:color="000000"/>
              <w:left w:val="nil"/>
              <w:bottom w:val="single" w:sz="8" w:space="0" w:color="000000"/>
              <w:right w:val="single" w:sz="4" w:space="0" w:color="000000"/>
            </w:tcBorders>
            <w:shd w:val="clear" w:color="BDD6EE" w:fill="BDD6EE"/>
            <w:noWrap/>
            <w:vAlign w:val="bottom"/>
            <w:hideMark/>
          </w:tcPr>
          <w:p w14:paraId="2DE48131"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113,800 </w:t>
            </w:r>
          </w:p>
        </w:tc>
        <w:tc>
          <w:tcPr>
            <w:tcW w:w="827" w:type="dxa"/>
            <w:tcBorders>
              <w:top w:val="single" w:sz="4" w:space="0" w:color="000000"/>
              <w:left w:val="nil"/>
              <w:bottom w:val="single" w:sz="8" w:space="0" w:color="000000"/>
              <w:right w:val="single" w:sz="4" w:space="0" w:color="000000"/>
            </w:tcBorders>
            <w:shd w:val="clear" w:color="BDD6EE" w:fill="BDD6EE"/>
            <w:noWrap/>
            <w:vAlign w:val="bottom"/>
            <w:hideMark/>
          </w:tcPr>
          <w:p w14:paraId="323D0B0B"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84,300 </w:t>
            </w:r>
          </w:p>
        </w:tc>
        <w:tc>
          <w:tcPr>
            <w:tcW w:w="980" w:type="dxa"/>
            <w:tcBorders>
              <w:top w:val="single" w:sz="4" w:space="0" w:color="000000"/>
              <w:left w:val="nil"/>
              <w:bottom w:val="single" w:sz="8" w:space="0" w:color="000000"/>
              <w:right w:val="nil"/>
            </w:tcBorders>
            <w:shd w:val="clear" w:color="BDD6EE" w:fill="BDD6EE"/>
            <w:noWrap/>
            <w:vAlign w:val="bottom"/>
            <w:hideMark/>
          </w:tcPr>
          <w:p w14:paraId="6ADD8175"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796,700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4EBC44E3"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2D1D5421" w14:textId="77777777" w:rsidTr="007A7FA3">
        <w:trPr>
          <w:trHeight w:val="255"/>
        </w:trPr>
        <w:tc>
          <w:tcPr>
            <w:tcW w:w="1086" w:type="dxa"/>
            <w:vMerge w:val="restart"/>
            <w:tcBorders>
              <w:top w:val="nil"/>
              <w:left w:val="single" w:sz="8" w:space="0" w:color="auto"/>
              <w:bottom w:val="nil"/>
              <w:right w:val="nil"/>
            </w:tcBorders>
            <w:shd w:val="clear" w:color="auto" w:fill="auto"/>
            <w:vAlign w:val="center"/>
            <w:hideMark/>
          </w:tcPr>
          <w:p w14:paraId="7D6BBCBE" w14:textId="77777777" w:rsidR="007A7FA3" w:rsidRPr="007A7FA3" w:rsidRDefault="007A7FA3" w:rsidP="007A7FA3">
            <w:pPr>
              <w:rPr>
                <w:rFonts w:ascii="Calibri" w:hAnsi="Calibri" w:cs="Calibri"/>
                <w:i/>
                <w:iCs/>
                <w:color w:val="000000"/>
                <w:sz w:val="13"/>
                <w:szCs w:val="13"/>
              </w:rPr>
            </w:pPr>
            <w:r w:rsidRPr="007A7FA3">
              <w:rPr>
                <w:rFonts w:ascii="Calibri" w:hAnsi="Calibri" w:cs="Calibri"/>
                <w:b/>
                <w:bCs/>
                <w:i/>
                <w:iCs/>
                <w:color w:val="000000"/>
                <w:sz w:val="13"/>
                <w:szCs w:val="13"/>
              </w:rPr>
              <w:t>Component 4:</w:t>
            </w:r>
            <w:r w:rsidRPr="007A7FA3">
              <w:rPr>
                <w:rFonts w:ascii="Calibri" w:hAnsi="Calibri" w:cs="Calibri"/>
                <w:i/>
                <w:iCs/>
                <w:color w:val="000000"/>
                <w:sz w:val="13"/>
                <w:szCs w:val="13"/>
              </w:rPr>
              <w:t xml:space="preserve"> Promote regional and national frameworks for innovative sustainable blue/ocean economy finance to foster positive ecosystem, social and economic impacts </w:t>
            </w:r>
          </w:p>
        </w:tc>
        <w:tc>
          <w:tcPr>
            <w:tcW w:w="871"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2934D137"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4.1: Policy, regulatory and institutional capacity for boosting sustainable innovative blue/ocean economy finance strengthened (within the framework of a Circular Economy)</w:t>
            </w:r>
          </w:p>
        </w:tc>
        <w:tc>
          <w:tcPr>
            <w:tcW w:w="2016" w:type="dxa"/>
            <w:vMerge w:val="restart"/>
            <w:tcBorders>
              <w:top w:val="nil"/>
              <w:left w:val="nil"/>
              <w:bottom w:val="single" w:sz="4" w:space="0" w:color="000000"/>
              <w:right w:val="single" w:sz="4" w:space="0" w:color="000000"/>
            </w:tcBorders>
            <w:shd w:val="clear" w:color="auto" w:fill="auto"/>
            <w:vAlign w:val="center"/>
            <w:hideMark/>
          </w:tcPr>
          <w:p w14:paraId="6A4AFF1F"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4.1.1 Policies and strategies for Sustainable Blue/ Ocean Economy finance developed and/or strengthened</w:t>
            </w:r>
          </w:p>
        </w:tc>
        <w:tc>
          <w:tcPr>
            <w:tcW w:w="631" w:type="dxa"/>
            <w:vMerge w:val="restart"/>
            <w:tcBorders>
              <w:top w:val="nil"/>
              <w:left w:val="nil"/>
              <w:bottom w:val="nil"/>
              <w:right w:val="nil"/>
            </w:tcBorders>
            <w:shd w:val="clear" w:color="auto" w:fill="auto"/>
            <w:vAlign w:val="center"/>
            <w:hideMark/>
          </w:tcPr>
          <w:p w14:paraId="5A2A47CA"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BCC</w:t>
            </w: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2310F011"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val="restart"/>
            <w:tcBorders>
              <w:top w:val="nil"/>
              <w:left w:val="single" w:sz="4" w:space="0" w:color="000000"/>
              <w:bottom w:val="nil"/>
              <w:right w:val="nil"/>
            </w:tcBorders>
            <w:shd w:val="clear" w:color="auto" w:fill="auto"/>
            <w:vAlign w:val="center"/>
            <w:hideMark/>
          </w:tcPr>
          <w:p w14:paraId="5BD6944A"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w:t>
            </w: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5203CC19"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71200</w:t>
            </w:r>
          </w:p>
        </w:tc>
        <w:tc>
          <w:tcPr>
            <w:tcW w:w="1580" w:type="dxa"/>
            <w:tcBorders>
              <w:top w:val="nil"/>
              <w:left w:val="nil"/>
              <w:bottom w:val="single" w:sz="4" w:space="0" w:color="000000"/>
              <w:right w:val="single" w:sz="4" w:space="0" w:color="000000"/>
            </w:tcBorders>
            <w:shd w:val="clear" w:color="auto" w:fill="auto"/>
            <w:vAlign w:val="bottom"/>
            <w:hideMark/>
          </w:tcPr>
          <w:p w14:paraId="76B9C687"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International Consultants</w:t>
            </w:r>
          </w:p>
        </w:tc>
        <w:tc>
          <w:tcPr>
            <w:tcW w:w="694" w:type="dxa"/>
            <w:tcBorders>
              <w:top w:val="nil"/>
              <w:left w:val="nil"/>
              <w:bottom w:val="single" w:sz="4" w:space="0" w:color="000000"/>
              <w:right w:val="single" w:sz="4" w:space="0" w:color="000000"/>
            </w:tcBorders>
            <w:shd w:val="clear" w:color="auto" w:fill="auto"/>
            <w:noWrap/>
            <w:vAlign w:val="bottom"/>
            <w:hideMark/>
          </w:tcPr>
          <w:p w14:paraId="5002150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nil"/>
              <w:left w:val="nil"/>
              <w:bottom w:val="single" w:sz="4" w:space="0" w:color="000000"/>
              <w:right w:val="single" w:sz="4" w:space="0" w:color="000000"/>
            </w:tcBorders>
            <w:shd w:val="clear" w:color="auto" w:fill="auto"/>
            <w:noWrap/>
            <w:vAlign w:val="bottom"/>
            <w:hideMark/>
          </w:tcPr>
          <w:p w14:paraId="7AED0A8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50,000 </w:t>
            </w:r>
          </w:p>
        </w:tc>
        <w:tc>
          <w:tcPr>
            <w:tcW w:w="826" w:type="dxa"/>
            <w:tcBorders>
              <w:top w:val="nil"/>
              <w:left w:val="nil"/>
              <w:bottom w:val="single" w:sz="4" w:space="0" w:color="000000"/>
              <w:right w:val="single" w:sz="4" w:space="0" w:color="000000"/>
            </w:tcBorders>
            <w:shd w:val="clear" w:color="auto" w:fill="auto"/>
            <w:noWrap/>
            <w:vAlign w:val="bottom"/>
            <w:hideMark/>
          </w:tcPr>
          <w:p w14:paraId="72BAA3B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64" w:type="dxa"/>
            <w:tcBorders>
              <w:top w:val="nil"/>
              <w:left w:val="nil"/>
              <w:bottom w:val="single" w:sz="4" w:space="0" w:color="000000"/>
              <w:right w:val="single" w:sz="4" w:space="0" w:color="000000"/>
            </w:tcBorders>
            <w:shd w:val="clear" w:color="auto" w:fill="auto"/>
            <w:noWrap/>
            <w:vAlign w:val="bottom"/>
            <w:hideMark/>
          </w:tcPr>
          <w:p w14:paraId="7D2814F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34" w:type="dxa"/>
            <w:tcBorders>
              <w:top w:val="nil"/>
              <w:left w:val="nil"/>
              <w:bottom w:val="single" w:sz="4" w:space="0" w:color="000000"/>
              <w:right w:val="single" w:sz="4" w:space="0" w:color="000000"/>
            </w:tcBorders>
            <w:shd w:val="clear" w:color="auto" w:fill="auto"/>
            <w:noWrap/>
            <w:vAlign w:val="bottom"/>
            <w:hideMark/>
          </w:tcPr>
          <w:p w14:paraId="05B97EC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7" w:type="dxa"/>
            <w:tcBorders>
              <w:top w:val="nil"/>
              <w:left w:val="nil"/>
              <w:bottom w:val="single" w:sz="4" w:space="0" w:color="000000"/>
              <w:right w:val="single" w:sz="4" w:space="0" w:color="000000"/>
            </w:tcBorders>
            <w:shd w:val="clear" w:color="auto" w:fill="auto"/>
            <w:noWrap/>
            <w:vAlign w:val="bottom"/>
            <w:hideMark/>
          </w:tcPr>
          <w:p w14:paraId="38418EE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nil"/>
              <w:left w:val="nil"/>
              <w:bottom w:val="single" w:sz="4" w:space="0" w:color="000000"/>
              <w:right w:val="nil"/>
            </w:tcBorders>
            <w:shd w:val="clear" w:color="auto" w:fill="auto"/>
            <w:noWrap/>
            <w:vAlign w:val="bottom"/>
            <w:hideMark/>
          </w:tcPr>
          <w:p w14:paraId="4614225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0D771996"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95 </w:t>
            </w:r>
          </w:p>
        </w:tc>
      </w:tr>
      <w:tr w:rsidR="007A7FA3" w:rsidRPr="007A7FA3" w14:paraId="3667747C" w14:textId="77777777" w:rsidTr="007A7FA3">
        <w:trPr>
          <w:trHeight w:val="300"/>
        </w:trPr>
        <w:tc>
          <w:tcPr>
            <w:tcW w:w="1086" w:type="dxa"/>
            <w:vMerge/>
            <w:tcBorders>
              <w:top w:val="nil"/>
              <w:left w:val="single" w:sz="8" w:space="0" w:color="auto"/>
              <w:bottom w:val="nil"/>
              <w:right w:val="nil"/>
            </w:tcBorders>
            <w:vAlign w:val="center"/>
            <w:hideMark/>
          </w:tcPr>
          <w:p w14:paraId="59313826"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5043F28E"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59BD08E0"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440A6AAB"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5EAAEE2C"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5E7FF5D5"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6E06E323"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71800</w:t>
            </w:r>
          </w:p>
        </w:tc>
        <w:tc>
          <w:tcPr>
            <w:tcW w:w="1580" w:type="dxa"/>
            <w:tcBorders>
              <w:top w:val="nil"/>
              <w:left w:val="nil"/>
              <w:bottom w:val="single" w:sz="4" w:space="0" w:color="000000"/>
              <w:right w:val="single" w:sz="4" w:space="0" w:color="000000"/>
            </w:tcBorders>
            <w:shd w:val="clear" w:color="auto" w:fill="auto"/>
            <w:vAlign w:val="bottom"/>
            <w:hideMark/>
          </w:tcPr>
          <w:p w14:paraId="1944B219"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Contractual Services - Individuals</w:t>
            </w:r>
          </w:p>
        </w:tc>
        <w:tc>
          <w:tcPr>
            <w:tcW w:w="694" w:type="dxa"/>
            <w:tcBorders>
              <w:top w:val="nil"/>
              <w:left w:val="nil"/>
              <w:bottom w:val="single" w:sz="4" w:space="0" w:color="000000"/>
              <w:right w:val="single" w:sz="4" w:space="0" w:color="000000"/>
            </w:tcBorders>
            <w:shd w:val="clear" w:color="auto" w:fill="auto"/>
            <w:noWrap/>
            <w:vAlign w:val="bottom"/>
            <w:hideMark/>
          </w:tcPr>
          <w:p w14:paraId="7B7130A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nil"/>
              <w:left w:val="nil"/>
              <w:bottom w:val="single" w:sz="4" w:space="0" w:color="000000"/>
              <w:right w:val="single" w:sz="4" w:space="0" w:color="000000"/>
            </w:tcBorders>
            <w:shd w:val="clear" w:color="auto" w:fill="auto"/>
            <w:noWrap/>
            <w:vAlign w:val="bottom"/>
            <w:hideMark/>
          </w:tcPr>
          <w:p w14:paraId="4063C8F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60,000 </w:t>
            </w:r>
          </w:p>
        </w:tc>
        <w:tc>
          <w:tcPr>
            <w:tcW w:w="826" w:type="dxa"/>
            <w:tcBorders>
              <w:top w:val="nil"/>
              <w:left w:val="nil"/>
              <w:bottom w:val="single" w:sz="4" w:space="0" w:color="000000"/>
              <w:right w:val="single" w:sz="4" w:space="0" w:color="000000"/>
            </w:tcBorders>
            <w:shd w:val="clear" w:color="auto" w:fill="auto"/>
            <w:noWrap/>
            <w:vAlign w:val="bottom"/>
            <w:hideMark/>
          </w:tcPr>
          <w:p w14:paraId="4F21670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64" w:type="dxa"/>
            <w:tcBorders>
              <w:top w:val="nil"/>
              <w:left w:val="nil"/>
              <w:bottom w:val="single" w:sz="4" w:space="0" w:color="000000"/>
              <w:right w:val="single" w:sz="4" w:space="0" w:color="000000"/>
            </w:tcBorders>
            <w:shd w:val="clear" w:color="auto" w:fill="auto"/>
            <w:noWrap/>
            <w:vAlign w:val="bottom"/>
            <w:hideMark/>
          </w:tcPr>
          <w:p w14:paraId="4F79387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34" w:type="dxa"/>
            <w:tcBorders>
              <w:top w:val="nil"/>
              <w:left w:val="nil"/>
              <w:bottom w:val="single" w:sz="4" w:space="0" w:color="000000"/>
              <w:right w:val="single" w:sz="4" w:space="0" w:color="000000"/>
            </w:tcBorders>
            <w:shd w:val="clear" w:color="auto" w:fill="auto"/>
            <w:noWrap/>
            <w:vAlign w:val="bottom"/>
            <w:hideMark/>
          </w:tcPr>
          <w:p w14:paraId="7878731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7" w:type="dxa"/>
            <w:tcBorders>
              <w:top w:val="nil"/>
              <w:left w:val="nil"/>
              <w:bottom w:val="single" w:sz="4" w:space="0" w:color="000000"/>
              <w:right w:val="single" w:sz="4" w:space="0" w:color="000000"/>
            </w:tcBorders>
            <w:shd w:val="clear" w:color="auto" w:fill="auto"/>
            <w:noWrap/>
            <w:vAlign w:val="bottom"/>
            <w:hideMark/>
          </w:tcPr>
          <w:p w14:paraId="3FE514B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5258DA5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35BD3358"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96 </w:t>
            </w:r>
          </w:p>
        </w:tc>
      </w:tr>
      <w:tr w:rsidR="007A7FA3" w:rsidRPr="007A7FA3" w14:paraId="11153EAD" w14:textId="77777777" w:rsidTr="007A7FA3">
        <w:trPr>
          <w:trHeight w:val="300"/>
        </w:trPr>
        <w:tc>
          <w:tcPr>
            <w:tcW w:w="1086" w:type="dxa"/>
            <w:vMerge/>
            <w:tcBorders>
              <w:top w:val="nil"/>
              <w:left w:val="single" w:sz="8" w:space="0" w:color="auto"/>
              <w:bottom w:val="nil"/>
              <w:right w:val="nil"/>
            </w:tcBorders>
            <w:vAlign w:val="center"/>
            <w:hideMark/>
          </w:tcPr>
          <w:p w14:paraId="39EC97C2"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4486B7BB"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7F435AFE"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5606CF36"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5E483E15"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148281F3"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6DC00457"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71600</w:t>
            </w:r>
          </w:p>
        </w:tc>
        <w:tc>
          <w:tcPr>
            <w:tcW w:w="1580" w:type="dxa"/>
            <w:tcBorders>
              <w:top w:val="nil"/>
              <w:left w:val="nil"/>
              <w:bottom w:val="single" w:sz="4" w:space="0" w:color="000000"/>
              <w:right w:val="single" w:sz="4" w:space="0" w:color="000000"/>
            </w:tcBorders>
            <w:shd w:val="clear" w:color="auto" w:fill="auto"/>
            <w:vAlign w:val="bottom"/>
            <w:hideMark/>
          </w:tcPr>
          <w:p w14:paraId="7A737F3A"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Travel</w:t>
            </w:r>
          </w:p>
        </w:tc>
        <w:tc>
          <w:tcPr>
            <w:tcW w:w="694" w:type="dxa"/>
            <w:tcBorders>
              <w:top w:val="nil"/>
              <w:left w:val="nil"/>
              <w:bottom w:val="single" w:sz="4" w:space="0" w:color="000000"/>
              <w:right w:val="single" w:sz="4" w:space="0" w:color="000000"/>
            </w:tcBorders>
            <w:shd w:val="clear" w:color="auto" w:fill="auto"/>
            <w:noWrap/>
            <w:vAlign w:val="bottom"/>
            <w:hideMark/>
          </w:tcPr>
          <w:p w14:paraId="3BE4DD9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nil"/>
              <w:left w:val="nil"/>
              <w:bottom w:val="single" w:sz="4" w:space="0" w:color="000000"/>
              <w:right w:val="single" w:sz="4" w:space="0" w:color="000000"/>
            </w:tcBorders>
            <w:shd w:val="clear" w:color="auto" w:fill="auto"/>
            <w:noWrap/>
            <w:vAlign w:val="bottom"/>
            <w:hideMark/>
          </w:tcPr>
          <w:p w14:paraId="5614C32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30,000 </w:t>
            </w:r>
          </w:p>
        </w:tc>
        <w:tc>
          <w:tcPr>
            <w:tcW w:w="826" w:type="dxa"/>
            <w:tcBorders>
              <w:top w:val="nil"/>
              <w:left w:val="nil"/>
              <w:bottom w:val="single" w:sz="4" w:space="0" w:color="000000"/>
              <w:right w:val="single" w:sz="4" w:space="0" w:color="000000"/>
            </w:tcBorders>
            <w:shd w:val="clear" w:color="auto" w:fill="auto"/>
            <w:noWrap/>
            <w:vAlign w:val="bottom"/>
            <w:hideMark/>
          </w:tcPr>
          <w:p w14:paraId="758F102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64" w:type="dxa"/>
            <w:tcBorders>
              <w:top w:val="nil"/>
              <w:left w:val="nil"/>
              <w:bottom w:val="single" w:sz="4" w:space="0" w:color="000000"/>
              <w:right w:val="single" w:sz="4" w:space="0" w:color="000000"/>
            </w:tcBorders>
            <w:shd w:val="clear" w:color="auto" w:fill="auto"/>
            <w:noWrap/>
            <w:vAlign w:val="bottom"/>
            <w:hideMark/>
          </w:tcPr>
          <w:p w14:paraId="0C6B540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34" w:type="dxa"/>
            <w:tcBorders>
              <w:top w:val="nil"/>
              <w:left w:val="nil"/>
              <w:bottom w:val="single" w:sz="4" w:space="0" w:color="000000"/>
              <w:right w:val="single" w:sz="4" w:space="0" w:color="000000"/>
            </w:tcBorders>
            <w:shd w:val="clear" w:color="auto" w:fill="auto"/>
            <w:noWrap/>
            <w:vAlign w:val="bottom"/>
            <w:hideMark/>
          </w:tcPr>
          <w:p w14:paraId="0C8267E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7" w:type="dxa"/>
            <w:tcBorders>
              <w:top w:val="nil"/>
              <w:left w:val="nil"/>
              <w:bottom w:val="single" w:sz="4" w:space="0" w:color="000000"/>
              <w:right w:val="single" w:sz="4" w:space="0" w:color="000000"/>
            </w:tcBorders>
            <w:shd w:val="clear" w:color="auto" w:fill="auto"/>
            <w:noWrap/>
            <w:vAlign w:val="bottom"/>
            <w:hideMark/>
          </w:tcPr>
          <w:p w14:paraId="01D8017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56BC630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143003FA"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97 </w:t>
            </w:r>
          </w:p>
        </w:tc>
      </w:tr>
      <w:tr w:rsidR="007A7FA3" w:rsidRPr="007A7FA3" w14:paraId="4F55A885" w14:textId="77777777" w:rsidTr="007A7FA3">
        <w:trPr>
          <w:trHeight w:val="270"/>
        </w:trPr>
        <w:tc>
          <w:tcPr>
            <w:tcW w:w="1086" w:type="dxa"/>
            <w:vMerge/>
            <w:tcBorders>
              <w:top w:val="nil"/>
              <w:left w:val="single" w:sz="8" w:space="0" w:color="auto"/>
              <w:bottom w:val="nil"/>
              <w:right w:val="nil"/>
            </w:tcBorders>
            <w:vAlign w:val="center"/>
            <w:hideMark/>
          </w:tcPr>
          <w:p w14:paraId="771236CE"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10CD7360"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34CFEB23"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277C7F93"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6E36E66B"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4B3283AB"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6BF20711"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72400</w:t>
            </w:r>
          </w:p>
        </w:tc>
        <w:tc>
          <w:tcPr>
            <w:tcW w:w="1580" w:type="dxa"/>
            <w:tcBorders>
              <w:top w:val="nil"/>
              <w:left w:val="nil"/>
              <w:bottom w:val="single" w:sz="4" w:space="0" w:color="000000"/>
              <w:right w:val="single" w:sz="4" w:space="0" w:color="000000"/>
            </w:tcBorders>
            <w:shd w:val="clear" w:color="auto" w:fill="auto"/>
            <w:vAlign w:val="bottom"/>
            <w:hideMark/>
          </w:tcPr>
          <w:p w14:paraId="3F06101C"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Communic &amp; Audio Visual Equip</w:t>
            </w:r>
          </w:p>
        </w:tc>
        <w:tc>
          <w:tcPr>
            <w:tcW w:w="694" w:type="dxa"/>
            <w:tcBorders>
              <w:top w:val="nil"/>
              <w:left w:val="nil"/>
              <w:bottom w:val="single" w:sz="4" w:space="0" w:color="000000"/>
              <w:right w:val="single" w:sz="4" w:space="0" w:color="000000"/>
            </w:tcBorders>
            <w:shd w:val="clear" w:color="auto" w:fill="auto"/>
            <w:noWrap/>
            <w:vAlign w:val="bottom"/>
            <w:hideMark/>
          </w:tcPr>
          <w:p w14:paraId="66A4E29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nil"/>
              <w:left w:val="nil"/>
              <w:bottom w:val="single" w:sz="4" w:space="0" w:color="000000"/>
              <w:right w:val="single" w:sz="4" w:space="0" w:color="000000"/>
            </w:tcBorders>
            <w:shd w:val="clear" w:color="auto" w:fill="auto"/>
            <w:noWrap/>
            <w:vAlign w:val="bottom"/>
            <w:hideMark/>
          </w:tcPr>
          <w:p w14:paraId="5E96256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26" w:type="dxa"/>
            <w:tcBorders>
              <w:top w:val="nil"/>
              <w:left w:val="nil"/>
              <w:bottom w:val="single" w:sz="4" w:space="0" w:color="000000"/>
              <w:right w:val="single" w:sz="4" w:space="0" w:color="000000"/>
            </w:tcBorders>
            <w:shd w:val="clear" w:color="auto" w:fill="auto"/>
            <w:noWrap/>
            <w:vAlign w:val="bottom"/>
            <w:hideMark/>
          </w:tcPr>
          <w:p w14:paraId="4124E89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64" w:type="dxa"/>
            <w:tcBorders>
              <w:top w:val="nil"/>
              <w:left w:val="nil"/>
              <w:bottom w:val="single" w:sz="4" w:space="0" w:color="000000"/>
              <w:right w:val="single" w:sz="4" w:space="0" w:color="000000"/>
            </w:tcBorders>
            <w:shd w:val="clear" w:color="auto" w:fill="auto"/>
            <w:noWrap/>
            <w:vAlign w:val="bottom"/>
            <w:hideMark/>
          </w:tcPr>
          <w:p w14:paraId="3FFC718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34" w:type="dxa"/>
            <w:tcBorders>
              <w:top w:val="nil"/>
              <w:left w:val="nil"/>
              <w:bottom w:val="single" w:sz="4" w:space="0" w:color="000000"/>
              <w:right w:val="single" w:sz="4" w:space="0" w:color="000000"/>
            </w:tcBorders>
            <w:shd w:val="clear" w:color="auto" w:fill="auto"/>
            <w:noWrap/>
            <w:vAlign w:val="bottom"/>
            <w:hideMark/>
          </w:tcPr>
          <w:p w14:paraId="529B2A9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7" w:type="dxa"/>
            <w:tcBorders>
              <w:top w:val="nil"/>
              <w:left w:val="nil"/>
              <w:bottom w:val="single" w:sz="4" w:space="0" w:color="000000"/>
              <w:right w:val="single" w:sz="4" w:space="0" w:color="000000"/>
            </w:tcBorders>
            <w:shd w:val="clear" w:color="auto" w:fill="auto"/>
            <w:noWrap/>
            <w:vAlign w:val="bottom"/>
            <w:hideMark/>
          </w:tcPr>
          <w:p w14:paraId="25BED78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2560022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6F3E97E2"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99 </w:t>
            </w:r>
          </w:p>
        </w:tc>
      </w:tr>
      <w:tr w:rsidR="007A7FA3" w:rsidRPr="007A7FA3" w14:paraId="2242851F" w14:textId="77777777" w:rsidTr="007A7FA3">
        <w:trPr>
          <w:trHeight w:val="270"/>
        </w:trPr>
        <w:tc>
          <w:tcPr>
            <w:tcW w:w="1086" w:type="dxa"/>
            <w:vMerge/>
            <w:tcBorders>
              <w:top w:val="nil"/>
              <w:left w:val="single" w:sz="8" w:space="0" w:color="auto"/>
              <w:bottom w:val="nil"/>
              <w:right w:val="nil"/>
            </w:tcBorders>
            <w:vAlign w:val="center"/>
            <w:hideMark/>
          </w:tcPr>
          <w:p w14:paraId="242ED40E"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3389D97B"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4A690698" w14:textId="77777777" w:rsidR="007A7FA3" w:rsidRPr="007A7FA3" w:rsidRDefault="007A7FA3" w:rsidP="007A7FA3">
            <w:pPr>
              <w:rPr>
                <w:rFonts w:ascii="Calibri" w:hAnsi="Calibri" w:cs="Calibri"/>
                <w:i/>
                <w:iCs/>
                <w:color w:val="000000"/>
                <w:sz w:val="13"/>
                <w:szCs w:val="13"/>
              </w:rPr>
            </w:pPr>
          </w:p>
        </w:tc>
        <w:tc>
          <w:tcPr>
            <w:tcW w:w="3763" w:type="dxa"/>
            <w:gridSpan w:val="5"/>
            <w:tcBorders>
              <w:top w:val="single" w:sz="4" w:space="0" w:color="000000"/>
              <w:left w:val="nil"/>
              <w:bottom w:val="single" w:sz="4" w:space="0" w:color="000000"/>
              <w:right w:val="single" w:sz="4" w:space="0" w:color="000000"/>
            </w:tcBorders>
            <w:shd w:val="clear" w:color="auto" w:fill="auto"/>
            <w:vAlign w:val="center"/>
            <w:hideMark/>
          </w:tcPr>
          <w:p w14:paraId="3A2ED6ED"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Total BCC</w:t>
            </w:r>
          </w:p>
        </w:tc>
        <w:tc>
          <w:tcPr>
            <w:tcW w:w="694" w:type="dxa"/>
            <w:tcBorders>
              <w:top w:val="nil"/>
              <w:left w:val="nil"/>
              <w:bottom w:val="single" w:sz="4" w:space="0" w:color="000000"/>
              <w:right w:val="single" w:sz="4" w:space="0" w:color="000000"/>
            </w:tcBorders>
            <w:shd w:val="clear" w:color="auto" w:fill="auto"/>
            <w:noWrap/>
            <w:vAlign w:val="bottom"/>
            <w:hideMark/>
          </w:tcPr>
          <w:p w14:paraId="31F8168B"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05" w:type="dxa"/>
            <w:tcBorders>
              <w:top w:val="nil"/>
              <w:left w:val="nil"/>
              <w:bottom w:val="single" w:sz="4" w:space="0" w:color="000000"/>
              <w:right w:val="single" w:sz="4" w:space="0" w:color="000000"/>
            </w:tcBorders>
            <w:shd w:val="clear" w:color="auto" w:fill="auto"/>
            <w:noWrap/>
            <w:vAlign w:val="bottom"/>
            <w:hideMark/>
          </w:tcPr>
          <w:p w14:paraId="1585A12C"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150,000 </w:t>
            </w:r>
          </w:p>
        </w:tc>
        <w:tc>
          <w:tcPr>
            <w:tcW w:w="826" w:type="dxa"/>
            <w:tcBorders>
              <w:top w:val="nil"/>
              <w:left w:val="nil"/>
              <w:bottom w:val="single" w:sz="4" w:space="0" w:color="000000"/>
              <w:right w:val="single" w:sz="4" w:space="0" w:color="000000"/>
            </w:tcBorders>
            <w:shd w:val="clear" w:color="auto" w:fill="auto"/>
            <w:noWrap/>
            <w:vAlign w:val="bottom"/>
            <w:hideMark/>
          </w:tcPr>
          <w:p w14:paraId="4284E42F"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64" w:type="dxa"/>
            <w:tcBorders>
              <w:top w:val="nil"/>
              <w:left w:val="nil"/>
              <w:bottom w:val="single" w:sz="4" w:space="0" w:color="000000"/>
              <w:right w:val="single" w:sz="4" w:space="0" w:color="000000"/>
            </w:tcBorders>
            <w:shd w:val="clear" w:color="auto" w:fill="auto"/>
            <w:noWrap/>
            <w:vAlign w:val="bottom"/>
            <w:hideMark/>
          </w:tcPr>
          <w:p w14:paraId="7F32B8AF"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34" w:type="dxa"/>
            <w:tcBorders>
              <w:top w:val="nil"/>
              <w:left w:val="nil"/>
              <w:bottom w:val="single" w:sz="4" w:space="0" w:color="000000"/>
              <w:right w:val="single" w:sz="4" w:space="0" w:color="000000"/>
            </w:tcBorders>
            <w:shd w:val="clear" w:color="auto" w:fill="auto"/>
            <w:noWrap/>
            <w:vAlign w:val="bottom"/>
            <w:hideMark/>
          </w:tcPr>
          <w:p w14:paraId="57E41B11"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27" w:type="dxa"/>
            <w:tcBorders>
              <w:top w:val="nil"/>
              <w:left w:val="nil"/>
              <w:bottom w:val="single" w:sz="4" w:space="0" w:color="000000"/>
              <w:right w:val="single" w:sz="4" w:space="0" w:color="000000"/>
            </w:tcBorders>
            <w:shd w:val="clear" w:color="auto" w:fill="auto"/>
            <w:noWrap/>
            <w:vAlign w:val="bottom"/>
            <w:hideMark/>
          </w:tcPr>
          <w:p w14:paraId="64EF4100"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980" w:type="dxa"/>
            <w:tcBorders>
              <w:top w:val="single" w:sz="8" w:space="0" w:color="000000"/>
              <w:left w:val="nil"/>
              <w:bottom w:val="single" w:sz="4" w:space="0" w:color="000000"/>
              <w:right w:val="nil"/>
            </w:tcBorders>
            <w:shd w:val="clear" w:color="auto" w:fill="auto"/>
            <w:noWrap/>
            <w:vAlign w:val="bottom"/>
            <w:hideMark/>
          </w:tcPr>
          <w:p w14:paraId="499D976F"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150,000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3DC74F85"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2D382574" w14:textId="77777777" w:rsidTr="007A7FA3">
        <w:trPr>
          <w:trHeight w:val="270"/>
        </w:trPr>
        <w:tc>
          <w:tcPr>
            <w:tcW w:w="1086" w:type="dxa"/>
            <w:vMerge/>
            <w:tcBorders>
              <w:top w:val="nil"/>
              <w:left w:val="single" w:sz="8" w:space="0" w:color="auto"/>
              <w:bottom w:val="nil"/>
              <w:right w:val="nil"/>
            </w:tcBorders>
            <w:vAlign w:val="center"/>
            <w:hideMark/>
          </w:tcPr>
          <w:p w14:paraId="6CF9CE00"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4660CABD" w14:textId="77777777" w:rsidR="007A7FA3" w:rsidRPr="007A7FA3" w:rsidRDefault="007A7FA3" w:rsidP="007A7FA3">
            <w:pPr>
              <w:rPr>
                <w:rFonts w:ascii="Calibri" w:hAnsi="Calibri" w:cs="Calibri"/>
                <w:i/>
                <w:iCs/>
                <w:color w:val="000000"/>
                <w:sz w:val="13"/>
                <w:szCs w:val="13"/>
              </w:rPr>
            </w:pPr>
          </w:p>
        </w:tc>
        <w:tc>
          <w:tcPr>
            <w:tcW w:w="5779" w:type="dxa"/>
            <w:gridSpan w:val="6"/>
            <w:tcBorders>
              <w:top w:val="nil"/>
              <w:left w:val="nil"/>
              <w:bottom w:val="single" w:sz="4" w:space="0" w:color="000000"/>
              <w:right w:val="single" w:sz="4" w:space="0" w:color="000000"/>
            </w:tcBorders>
            <w:shd w:val="clear" w:color="auto" w:fill="auto"/>
            <w:vAlign w:val="center"/>
            <w:hideMark/>
          </w:tcPr>
          <w:p w14:paraId="0A4E8E81" w14:textId="77777777" w:rsidR="007A7FA3" w:rsidRPr="007A7FA3" w:rsidRDefault="007A7FA3" w:rsidP="007A7FA3">
            <w:pPr>
              <w:rPr>
                <w:rFonts w:ascii="Calibri" w:hAnsi="Calibri" w:cs="Calibri"/>
                <w:b/>
                <w:bCs/>
                <w:i/>
                <w:iCs/>
                <w:color w:val="000000"/>
                <w:sz w:val="13"/>
                <w:szCs w:val="13"/>
              </w:rPr>
            </w:pPr>
            <w:r w:rsidRPr="007A7FA3">
              <w:rPr>
                <w:rFonts w:ascii="Calibri" w:hAnsi="Calibri" w:cs="Calibri"/>
                <w:b/>
                <w:bCs/>
                <w:i/>
                <w:iCs/>
                <w:color w:val="000000"/>
                <w:sz w:val="13"/>
                <w:szCs w:val="13"/>
              </w:rPr>
              <w:t>Total Output 4.1.1</w:t>
            </w:r>
          </w:p>
        </w:tc>
        <w:tc>
          <w:tcPr>
            <w:tcW w:w="694" w:type="dxa"/>
            <w:tcBorders>
              <w:top w:val="nil"/>
              <w:left w:val="nil"/>
              <w:bottom w:val="single" w:sz="4" w:space="0" w:color="000000"/>
              <w:right w:val="single" w:sz="4" w:space="0" w:color="000000"/>
            </w:tcBorders>
            <w:shd w:val="clear" w:color="auto" w:fill="auto"/>
            <w:noWrap/>
            <w:vAlign w:val="bottom"/>
            <w:hideMark/>
          </w:tcPr>
          <w:p w14:paraId="02BD962D"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05" w:type="dxa"/>
            <w:tcBorders>
              <w:top w:val="nil"/>
              <w:left w:val="nil"/>
              <w:bottom w:val="single" w:sz="4" w:space="0" w:color="000000"/>
              <w:right w:val="single" w:sz="4" w:space="0" w:color="000000"/>
            </w:tcBorders>
            <w:shd w:val="clear" w:color="auto" w:fill="auto"/>
            <w:noWrap/>
            <w:vAlign w:val="bottom"/>
            <w:hideMark/>
          </w:tcPr>
          <w:p w14:paraId="3E36EF60"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150,000 </w:t>
            </w:r>
          </w:p>
        </w:tc>
        <w:tc>
          <w:tcPr>
            <w:tcW w:w="826" w:type="dxa"/>
            <w:tcBorders>
              <w:top w:val="nil"/>
              <w:left w:val="nil"/>
              <w:bottom w:val="single" w:sz="4" w:space="0" w:color="000000"/>
              <w:right w:val="single" w:sz="4" w:space="0" w:color="000000"/>
            </w:tcBorders>
            <w:shd w:val="clear" w:color="auto" w:fill="auto"/>
            <w:noWrap/>
            <w:vAlign w:val="bottom"/>
            <w:hideMark/>
          </w:tcPr>
          <w:p w14:paraId="5C8A041A"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64" w:type="dxa"/>
            <w:tcBorders>
              <w:top w:val="nil"/>
              <w:left w:val="nil"/>
              <w:bottom w:val="single" w:sz="4" w:space="0" w:color="000000"/>
              <w:right w:val="single" w:sz="4" w:space="0" w:color="000000"/>
            </w:tcBorders>
            <w:shd w:val="clear" w:color="auto" w:fill="auto"/>
            <w:noWrap/>
            <w:vAlign w:val="bottom"/>
            <w:hideMark/>
          </w:tcPr>
          <w:p w14:paraId="35CC3C34"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34" w:type="dxa"/>
            <w:tcBorders>
              <w:top w:val="nil"/>
              <w:left w:val="nil"/>
              <w:bottom w:val="single" w:sz="4" w:space="0" w:color="000000"/>
              <w:right w:val="single" w:sz="4" w:space="0" w:color="000000"/>
            </w:tcBorders>
            <w:shd w:val="clear" w:color="auto" w:fill="auto"/>
            <w:noWrap/>
            <w:vAlign w:val="bottom"/>
            <w:hideMark/>
          </w:tcPr>
          <w:p w14:paraId="772E59CC"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27" w:type="dxa"/>
            <w:tcBorders>
              <w:top w:val="nil"/>
              <w:left w:val="nil"/>
              <w:bottom w:val="single" w:sz="4" w:space="0" w:color="000000"/>
              <w:right w:val="single" w:sz="4" w:space="0" w:color="000000"/>
            </w:tcBorders>
            <w:shd w:val="clear" w:color="auto" w:fill="auto"/>
            <w:noWrap/>
            <w:vAlign w:val="bottom"/>
            <w:hideMark/>
          </w:tcPr>
          <w:p w14:paraId="4837EF2E"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980" w:type="dxa"/>
            <w:tcBorders>
              <w:top w:val="nil"/>
              <w:left w:val="nil"/>
              <w:bottom w:val="single" w:sz="4" w:space="0" w:color="000000"/>
              <w:right w:val="nil"/>
            </w:tcBorders>
            <w:shd w:val="clear" w:color="auto" w:fill="auto"/>
            <w:noWrap/>
            <w:vAlign w:val="bottom"/>
            <w:hideMark/>
          </w:tcPr>
          <w:p w14:paraId="24DF8C28"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150,000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2F10A935"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41F05D18" w14:textId="77777777" w:rsidTr="007A7FA3">
        <w:trPr>
          <w:trHeight w:val="270"/>
        </w:trPr>
        <w:tc>
          <w:tcPr>
            <w:tcW w:w="1086" w:type="dxa"/>
            <w:vMerge/>
            <w:tcBorders>
              <w:top w:val="nil"/>
              <w:left w:val="single" w:sz="8" w:space="0" w:color="auto"/>
              <w:bottom w:val="nil"/>
              <w:right w:val="nil"/>
            </w:tcBorders>
            <w:vAlign w:val="center"/>
            <w:hideMark/>
          </w:tcPr>
          <w:p w14:paraId="5E01ACC1"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014D4B3F" w14:textId="77777777" w:rsidR="007A7FA3" w:rsidRPr="007A7FA3" w:rsidRDefault="007A7FA3" w:rsidP="007A7FA3">
            <w:pPr>
              <w:rPr>
                <w:rFonts w:ascii="Calibri" w:hAnsi="Calibri" w:cs="Calibri"/>
                <w:i/>
                <w:iCs/>
                <w:color w:val="000000"/>
                <w:sz w:val="13"/>
                <w:szCs w:val="13"/>
              </w:rPr>
            </w:pPr>
          </w:p>
        </w:tc>
        <w:tc>
          <w:tcPr>
            <w:tcW w:w="2016" w:type="dxa"/>
            <w:vMerge w:val="restart"/>
            <w:tcBorders>
              <w:top w:val="nil"/>
              <w:left w:val="nil"/>
              <w:bottom w:val="single" w:sz="4" w:space="0" w:color="000000"/>
              <w:right w:val="single" w:sz="4" w:space="0" w:color="000000"/>
            </w:tcBorders>
            <w:shd w:val="clear" w:color="auto" w:fill="auto"/>
            <w:vAlign w:val="center"/>
            <w:hideMark/>
          </w:tcPr>
          <w:p w14:paraId="0D4C6F48"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 xml:space="preserve">4.1.2: Reinforced public sector (national and regional) and private sector capacities in the design and implementation of bankable Sustainable Blue/ocean economy projects, innovative financing, principles, standards and green investments, among others,  </w:t>
            </w:r>
          </w:p>
        </w:tc>
        <w:tc>
          <w:tcPr>
            <w:tcW w:w="631" w:type="dxa"/>
            <w:vMerge w:val="restart"/>
            <w:tcBorders>
              <w:top w:val="nil"/>
              <w:left w:val="nil"/>
              <w:bottom w:val="nil"/>
              <w:right w:val="nil"/>
            </w:tcBorders>
            <w:shd w:val="clear" w:color="auto" w:fill="auto"/>
            <w:vAlign w:val="center"/>
            <w:hideMark/>
          </w:tcPr>
          <w:p w14:paraId="4855C3E5"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BCC</w:t>
            </w:r>
          </w:p>
        </w:tc>
        <w:tc>
          <w:tcPr>
            <w:tcW w:w="504" w:type="dxa"/>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1D490A03"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val="restart"/>
            <w:tcBorders>
              <w:top w:val="nil"/>
              <w:left w:val="single" w:sz="4" w:space="0" w:color="000000"/>
              <w:bottom w:val="nil"/>
              <w:right w:val="nil"/>
            </w:tcBorders>
            <w:shd w:val="clear" w:color="auto" w:fill="auto"/>
            <w:vAlign w:val="center"/>
            <w:hideMark/>
          </w:tcPr>
          <w:p w14:paraId="1611E0C5"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w:t>
            </w:r>
          </w:p>
        </w:tc>
        <w:tc>
          <w:tcPr>
            <w:tcW w:w="544" w:type="dxa"/>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46E8AA93"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71200</w:t>
            </w:r>
          </w:p>
        </w:tc>
        <w:tc>
          <w:tcPr>
            <w:tcW w:w="1580" w:type="dxa"/>
            <w:tcBorders>
              <w:top w:val="single" w:sz="8" w:space="0" w:color="000000"/>
              <w:left w:val="nil"/>
              <w:bottom w:val="single" w:sz="4" w:space="0" w:color="000000"/>
              <w:right w:val="single" w:sz="4" w:space="0" w:color="000000"/>
            </w:tcBorders>
            <w:shd w:val="clear" w:color="auto" w:fill="auto"/>
            <w:vAlign w:val="bottom"/>
            <w:hideMark/>
          </w:tcPr>
          <w:p w14:paraId="66E4AE67"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International Consultants</w:t>
            </w:r>
          </w:p>
        </w:tc>
        <w:tc>
          <w:tcPr>
            <w:tcW w:w="694" w:type="dxa"/>
            <w:tcBorders>
              <w:top w:val="single" w:sz="8" w:space="0" w:color="000000"/>
              <w:left w:val="nil"/>
              <w:bottom w:val="single" w:sz="4" w:space="0" w:color="000000"/>
              <w:right w:val="single" w:sz="4" w:space="0" w:color="000000"/>
            </w:tcBorders>
            <w:shd w:val="clear" w:color="auto" w:fill="auto"/>
            <w:noWrap/>
            <w:vAlign w:val="bottom"/>
            <w:hideMark/>
          </w:tcPr>
          <w:p w14:paraId="6E039FE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single" w:sz="8" w:space="0" w:color="000000"/>
              <w:left w:val="nil"/>
              <w:bottom w:val="single" w:sz="4" w:space="0" w:color="000000"/>
              <w:right w:val="single" w:sz="4" w:space="0" w:color="000000"/>
            </w:tcBorders>
            <w:shd w:val="clear" w:color="auto" w:fill="auto"/>
            <w:noWrap/>
            <w:vAlign w:val="bottom"/>
            <w:hideMark/>
          </w:tcPr>
          <w:p w14:paraId="1C1B204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26" w:type="dxa"/>
            <w:tcBorders>
              <w:top w:val="single" w:sz="8" w:space="0" w:color="000000"/>
              <w:left w:val="nil"/>
              <w:bottom w:val="single" w:sz="4" w:space="0" w:color="000000"/>
              <w:right w:val="single" w:sz="4" w:space="0" w:color="000000"/>
            </w:tcBorders>
            <w:shd w:val="clear" w:color="auto" w:fill="auto"/>
            <w:noWrap/>
            <w:vAlign w:val="bottom"/>
            <w:hideMark/>
          </w:tcPr>
          <w:p w14:paraId="57B18A2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7,000 </w:t>
            </w:r>
          </w:p>
        </w:tc>
        <w:tc>
          <w:tcPr>
            <w:tcW w:w="864" w:type="dxa"/>
            <w:tcBorders>
              <w:top w:val="single" w:sz="8" w:space="0" w:color="000000"/>
              <w:left w:val="nil"/>
              <w:bottom w:val="single" w:sz="4" w:space="0" w:color="000000"/>
              <w:right w:val="single" w:sz="4" w:space="0" w:color="000000"/>
            </w:tcBorders>
            <w:shd w:val="clear" w:color="auto" w:fill="auto"/>
            <w:noWrap/>
            <w:vAlign w:val="bottom"/>
            <w:hideMark/>
          </w:tcPr>
          <w:p w14:paraId="510EA00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7,000 </w:t>
            </w:r>
          </w:p>
        </w:tc>
        <w:tc>
          <w:tcPr>
            <w:tcW w:w="834" w:type="dxa"/>
            <w:tcBorders>
              <w:top w:val="single" w:sz="8" w:space="0" w:color="000000"/>
              <w:left w:val="nil"/>
              <w:bottom w:val="single" w:sz="4" w:space="0" w:color="000000"/>
              <w:right w:val="single" w:sz="4" w:space="0" w:color="000000"/>
            </w:tcBorders>
            <w:shd w:val="clear" w:color="auto" w:fill="auto"/>
            <w:noWrap/>
            <w:vAlign w:val="bottom"/>
            <w:hideMark/>
          </w:tcPr>
          <w:p w14:paraId="391E623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7,000 </w:t>
            </w:r>
          </w:p>
        </w:tc>
        <w:tc>
          <w:tcPr>
            <w:tcW w:w="827" w:type="dxa"/>
            <w:tcBorders>
              <w:top w:val="single" w:sz="8" w:space="0" w:color="000000"/>
              <w:left w:val="nil"/>
              <w:bottom w:val="single" w:sz="4" w:space="0" w:color="000000"/>
              <w:right w:val="single" w:sz="4" w:space="0" w:color="000000"/>
            </w:tcBorders>
            <w:shd w:val="clear" w:color="auto" w:fill="auto"/>
            <w:noWrap/>
            <w:vAlign w:val="bottom"/>
            <w:hideMark/>
          </w:tcPr>
          <w:p w14:paraId="5DABD0B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7,000 </w:t>
            </w:r>
          </w:p>
        </w:tc>
        <w:tc>
          <w:tcPr>
            <w:tcW w:w="980" w:type="dxa"/>
            <w:tcBorders>
              <w:top w:val="single" w:sz="8" w:space="0" w:color="000000"/>
              <w:left w:val="nil"/>
              <w:bottom w:val="single" w:sz="4" w:space="0" w:color="000000"/>
              <w:right w:val="nil"/>
            </w:tcBorders>
            <w:shd w:val="clear" w:color="auto" w:fill="auto"/>
            <w:noWrap/>
            <w:vAlign w:val="bottom"/>
            <w:hideMark/>
          </w:tcPr>
          <w:p w14:paraId="237307C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38,000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0EFE041C"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99 </w:t>
            </w:r>
          </w:p>
        </w:tc>
      </w:tr>
      <w:tr w:rsidR="007A7FA3" w:rsidRPr="007A7FA3" w14:paraId="39505A98" w14:textId="77777777" w:rsidTr="007A7FA3">
        <w:trPr>
          <w:trHeight w:val="270"/>
        </w:trPr>
        <w:tc>
          <w:tcPr>
            <w:tcW w:w="1086" w:type="dxa"/>
            <w:vMerge/>
            <w:tcBorders>
              <w:top w:val="nil"/>
              <w:left w:val="single" w:sz="8" w:space="0" w:color="auto"/>
              <w:bottom w:val="nil"/>
              <w:right w:val="nil"/>
            </w:tcBorders>
            <w:vAlign w:val="center"/>
            <w:hideMark/>
          </w:tcPr>
          <w:p w14:paraId="3D304107"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7F3B852D"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2971152C"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7245FC58"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01EEA120"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3AA8047E"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5AC134A2"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71300</w:t>
            </w:r>
          </w:p>
        </w:tc>
        <w:tc>
          <w:tcPr>
            <w:tcW w:w="1580" w:type="dxa"/>
            <w:tcBorders>
              <w:top w:val="nil"/>
              <w:left w:val="nil"/>
              <w:bottom w:val="single" w:sz="4" w:space="0" w:color="000000"/>
              <w:right w:val="single" w:sz="4" w:space="0" w:color="000000"/>
            </w:tcBorders>
            <w:shd w:val="clear" w:color="auto" w:fill="auto"/>
            <w:vAlign w:val="bottom"/>
            <w:hideMark/>
          </w:tcPr>
          <w:p w14:paraId="410D1A0C"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Local Consultants</w:t>
            </w:r>
          </w:p>
        </w:tc>
        <w:tc>
          <w:tcPr>
            <w:tcW w:w="694" w:type="dxa"/>
            <w:tcBorders>
              <w:top w:val="nil"/>
              <w:left w:val="nil"/>
              <w:bottom w:val="single" w:sz="4" w:space="0" w:color="000000"/>
              <w:right w:val="single" w:sz="4" w:space="0" w:color="000000"/>
            </w:tcBorders>
            <w:shd w:val="clear" w:color="auto" w:fill="auto"/>
            <w:noWrap/>
            <w:vAlign w:val="bottom"/>
            <w:hideMark/>
          </w:tcPr>
          <w:p w14:paraId="2EAD071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nil"/>
              <w:left w:val="nil"/>
              <w:bottom w:val="single" w:sz="4" w:space="0" w:color="000000"/>
              <w:right w:val="single" w:sz="4" w:space="0" w:color="000000"/>
            </w:tcBorders>
            <w:shd w:val="clear" w:color="auto" w:fill="auto"/>
            <w:noWrap/>
            <w:vAlign w:val="bottom"/>
            <w:hideMark/>
          </w:tcPr>
          <w:p w14:paraId="3EF6CBB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26" w:type="dxa"/>
            <w:tcBorders>
              <w:top w:val="nil"/>
              <w:left w:val="nil"/>
              <w:bottom w:val="single" w:sz="4" w:space="0" w:color="000000"/>
              <w:right w:val="single" w:sz="4" w:space="0" w:color="000000"/>
            </w:tcBorders>
            <w:shd w:val="clear" w:color="auto" w:fill="auto"/>
            <w:noWrap/>
            <w:vAlign w:val="bottom"/>
            <w:hideMark/>
          </w:tcPr>
          <w:p w14:paraId="1CF0E4D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64" w:type="dxa"/>
            <w:tcBorders>
              <w:top w:val="nil"/>
              <w:left w:val="nil"/>
              <w:bottom w:val="single" w:sz="4" w:space="0" w:color="000000"/>
              <w:right w:val="single" w:sz="4" w:space="0" w:color="000000"/>
            </w:tcBorders>
            <w:shd w:val="clear" w:color="auto" w:fill="auto"/>
            <w:noWrap/>
            <w:vAlign w:val="bottom"/>
            <w:hideMark/>
          </w:tcPr>
          <w:p w14:paraId="60881E5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34" w:type="dxa"/>
            <w:tcBorders>
              <w:top w:val="nil"/>
              <w:left w:val="nil"/>
              <w:bottom w:val="single" w:sz="4" w:space="0" w:color="000000"/>
              <w:right w:val="single" w:sz="4" w:space="0" w:color="000000"/>
            </w:tcBorders>
            <w:shd w:val="clear" w:color="auto" w:fill="auto"/>
            <w:noWrap/>
            <w:vAlign w:val="bottom"/>
            <w:hideMark/>
          </w:tcPr>
          <w:p w14:paraId="6101C53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27" w:type="dxa"/>
            <w:tcBorders>
              <w:top w:val="nil"/>
              <w:left w:val="nil"/>
              <w:bottom w:val="single" w:sz="4" w:space="0" w:color="000000"/>
              <w:right w:val="single" w:sz="4" w:space="0" w:color="000000"/>
            </w:tcBorders>
            <w:shd w:val="clear" w:color="auto" w:fill="auto"/>
            <w:noWrap/>
            <w:vAlign w:val="bottom"/>
            <w:hideMark/>
          </w:tcPr>
          <w:p w14:paraId="1BF7398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980" w:type="dxa"/>
            <w:tcBorders>
              <w:top w:val="single" w:sz="8" w:space="0" w:color="000000"/>
              <w:left w:val="nil"/>
              <w:bottom w:val="single" w:sz="4" w:space="0" w:color="000000"/>
              <w:right w:val="nil"/>
            </w:tcBorders>
            <w:shd w:val="clear" w:color="auto" w:fill="auto"/>
            <w:noWrap/>
            <w:vAlign w:val="bottom"/>
            <w:hideMark/>
          </w:tcPr>
          <w:p w14:paraId="7667B20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0324E420"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100 </w:t>
            </w:r>
          </w:p>
        </w:tc>
      </w:tr>
      <w:tr w:rsidR="007A7FA3" w:rsidRPr="007A7FA3" w14:paraId="3158A8DD" w14:textId="77777777" w:rsidTr="007A7FA3">
        <w:trPr>
          <w:trHeight w:val="270"/>
        </w:trPr>
        <w:tc>
          <w:tcPr>
            <w:tcW w:w="1086" w:type="dxa"/>
            <w:vMerge/>
            <w:tcBorders>
              <w:top w:val="nil"/>
              <w:left w:val="single" w:sz="8" w:space="0" w:color="auto"/>
              <w:bottom w:val="nil"/>
              <w:right w:val="nil"/>
            </w:tcBorders>
            <w:vAlign w:val="center"/>
            <w:hideMark/>
          </w:tcPr>
          <w:p w14:paraId="5AB05130"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3927725C"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395AF7AF"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71DCBA41"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3BE24CF8"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73AF9B96"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32F0AD00"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71600</w:t>
            </w:r>
          </w:p>
        </w:tc>
        <w:tc>
          <w:tcPr>
            <w:tcW w:w="1580" w:type="dxa"/>
            <w:tcBorders>
              <w:top w:val="nil"/>
              <w:left w:val="nil"/>
              <w:bottom w:val="single" w:sz="4" w:space="0" w:color="000000"/>
              <w:right w:val="single" w:sz="4" w:space="0" w:color="000000"/>
            </w:tcBorders>
            <w:shd w:val="clear" w:color="auto" w:fill="auto"/>
            <w:vAlign w:val="bottom"/>
            <w:hideMark/>
          </w:tcPr>
          <w:p w14:paraId="562994DE"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Travel</w:t>
            </w:r>
          </w:p>
        </w:tc>
        <w:tc>
          <w:tcPr>
            <w:tcW w:w="694" w:type="dxa"/>
            <w:tcBorders>
              <w:top w:val="nil"/>
              <w:left w:val="nil"/>
              <w:bottom w:val="single" w:sz="4" w:space="0" w:color="000000"/>
              <w:right w:val="single" w:sz="4" w:space="0" w:color="000000"/>
            </w:tcBorders>
            <w:shd w:val="clear" w:color="auto" w:fill="auto"/>
            <w:noWrap/>
            <w:vAlign w:val="bottom"/>
            <w:hideMark/>
          </w:tcPr>
          <w:p w14:paraId="1440E78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nil"/>
              <w:left w:val="nil"/>
              <w:bottom w:val="single" w:sz="4" w:space="0" w:color="000000"/>
              <w:right w:val="single" w:sz="4" w:space="0" w:color="000000"/>
            </w:tcBorders>
            <w:shd w:val="clear" w:color="auto" w:fill="auto"/>
            <w:noWrap/>
            <w:vAlign w:val="bottom"/>
            <w:hideMark/>
          </w:tcPr>
          <w:p w14:paraId="18FE3E6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15,000 </w:t>
            </w:r>
          </w:p>
        </w:tc>
        <w:tc>
          <w:tcPr>
            <w:tcW w:w="826" w:type="dxa"/>
            <w:tcBorders>
              <w:top w:val="nil"/>
              <w:left w:val="nil"/>
              <w:bottom w:val="single" w:sz="4" w:space="0" w:color="000000"/>
              <w:right w:val="single" w:sz="4" w:space="0" w:color="000000"/>
            </w:tcBorders>
            <w:shd w:val="clear" w:color="auto" w:fill="auto"/>
            <w:noWrap/>
            <w:vAlign w:val="bottom"/>
            <w:hideMark/>
          </w:tcPr>
          <w:p w14:paraId="6CAD60B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15,524 </w:t>
            </w:r>
          </w:p>
        </w:tc>
        <w:tc>
          <w:tcPr>
            <w:tcW w:w="864" w:type="dxa"/>
            <w:tcBorders>
              <w:top w:val="nil"/>
              <w:left w:val="nil"/>
              <w:bottom w:val="single" w:sz="4" w:space="0" w:color="000000"/>
              <w:right w:val="single" w:sz="4" w:space="0" w:color="000000"/>
            </w:tcBorders>
            <w:shd w:val="clear" w:color="auto" w:fill="auto"/>
            <w:noWrap/>
            <w:vAlign w:val="bottom"/>
            <w:hideMark/>
          </w:tcPr>
          <w:p w14:paraId="52634DA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15,000 </w:t>
            </w:r>
          </w:p>
        </w:tc>
        <w:tc>
          <w:tcPr>
            <w:tcW w:w="834" w:type="dxa"/>
            <w:tcBorders>
              <w:top w:val="nil"/>
              <w:left w:val="nil"/>
              <w:bottom w:val="single" w:sz="4" w:space="0" w:color="000000"/>
              <w:right w:val="single" w:sz="4" w:space="0" w:color="000000"/>
            </w:tcBorders>
            <w:shd w:val="clear" w:color="auto" w:fill="auto"/>
            <w:noWrap/>
            <w:vAlign w:val="bottom"/>
            <w:hideMark/>
          </w:tcPr>
          <w:p w14:paraId="46A5DF8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15,000 </w:t>
            </w:r>
          </w:p>
        </w:tc>
        <w:tc>
          <w:tcPr>
            <w:tcW w:w="827" w:type="dxa"/>
            <w:tcBorders>
              <w:top w:val="nil"/>
              <w:left w:val="nil"/>
              <w:bottom w:val="single" w:sz="4" w:space="0" w:color="000000"/>
              <w:right w:val="single" w:sz="4" w:space="0" w:color="000000"/>
            </w:tcBorders>
            <w:shd w:val="clear" w:color="auto" w:fill="auto"/>
            <w:noWrap/>
            <w:vAlign w:val="bottom"/>
            <w:hideMark/>
          </w:tcPr>
          <w:p w14:paraId="647DD15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8,000 </w:t>
            </w:r>
          </w:p>
        </w:tc>
        <w:tc>
          <w:tcPr>
            <w:tcW w:w="980" w:type="dxa"/>
            <w:tcBorders>
              <w:top w:val="single" w:sz="8" w:space="0" w:color="000000"/>
              <w:left w:val="nil"/>
              <w:bottom w:val="single" w:sz="4" w:space="0" w:color="000000"/>
              <w:right w:val="nil"/>
            </w:tcBorders>
            <w:shd w:val="clear" w:color="auto" w:fill="auto"/>
            <w:noWrap/>
            <w:vAlign w:val="bottom"/>
            <w:hideMark/>
          </w:tcPr>
          <w:p w14:paraId="49D46AB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68,524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750DE6B5"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101 </w:t>
            </w:r>
          </w:p>
        </w:tc>
      </w:tr>
      <w:tr w:rsidR="007A7FA3" w:rsidRPr="007A7FA3" w14:paraId="69F49A44" w14:textId="77777777" w:rsidTr="007A7FA3">
        <w:trPr>
          <w:trHeight w:val="330"/>
        </w:trPr>
        <w:tc>
          <w:tcPr>
            <w:tcW w:w="1086" w:type="dxa"/>
            <w:vMerge/>
            <w:tcBorders>
              <w:top w:val="nil"/>
              <w:left w:val="single" w:sz="8" w:space="0" w:color="auto"/>
              <w:bottom w:val="nil"/>
              <w:right w:val="nil"/>
            </w:tcBorders>
            <w:vAlign w:val="center"/>
            <w:hideMark/>
          </w:tcPr>
          <w:p w14:paraId="3152EA8C"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54FCC28B"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7FC0257C"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096B01D5"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6931FE8D"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3DFF4D93"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064FDEE4"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71800</w:t>
            </w:r>
          </w:p>
        </w:tc>
        <w:tc>
          <w:tcPr>
            <w:tcW w:w="1580" w:type="dxa"/>
            <w:tcBorders>
              <w:top w:val="nil"/>
              <w:left w:val="nil"/>
              <w:bottom w:val="single" w:sz="4" w:space="0" w:color="000000"/>
              <w:right w:val="single" w:sz="4" w:space="0" w:color="000000"/>
            </w:tcBorders>
            <w:shd w:val="clear" w:color="auto" w:fill="auto"/>
            <w:vAlign w:val="bottom"/>
            <w:hideMark/>
          </w:tcPr>
          <w:p w14:paraId="4126862D"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Contractual Services - Impl Partner</w:t>
            </w:r>
          </w:p>
        </w:tc>
        <w:tc>
          <w:tcPr>
            <w:tcW w:w="694" w:type="dxa"/>
            <w:tcBorders>
              <w:top w:val="nil"/>
              <w:left w:val="nil"/>
              <w:bottom w:val="single" w:sz="4" w:space="0" w:color="000000"/>
              <w:right w:val="single" w:sz="4" w:space="0" w:color="000000"/>
            </w:tcBorders>
            <w:shd w:val="clear" w:color="auto" w:fill="auto"/>
            <w:noWrap/>
            <w:vAlign w:val="bottom"/>
            <w:hideMark/>
          </w:tcPr>
          <w:p w14:paraId="7DF652C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nil"/>
              <w:left w:val="nil"/>
              <w:bottom w:val="single" w:sz="4" w:space="0" w:color="000000"/>
              <w:right w:val="single" w:sz="4" w:space="0" w:color="000000"/>
            </w:tcBorders>
            <w:shd w:val="clear" w:color="auto" w:fill="auto"/>
            <w:noWrap/>
            <w:vAlign w:val="bottom"/>
            <w:hideMark/>
          </w:tcPr>
          <w:p w14:paraId="6DD25B6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70,000 </w:t>
            </w:r>
          </w:p>
        </w:tc>
        <w:tc>
          <w:tcPr>
            <w:tcW w:w="826" w:type="dxa"/>
            <w:tcBorders>
              <w:top w:val="nil"/>
              <w:left w:val="nil"/>
              <w:bottom w:val="single" w:sz="4" w:space="0" w:color="000000"/>
              <w:right w:val="single" w:sz="4" w:space="0" w:color="000000"/>
            </w:tcBorders>
            <w:shd w:val="clear" w:color="auto" w:fill="auto"/>
            <w:noWrap/>
            <w:vAlign w:val="bottom"/>
            <w:hideMark/>
          </w:tcPr>
          <w:p w14:paraId="3A08965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60,000 </w:t>
            </w:r>
          </w:p>
        </w:tc>
        <w:tc>
          <w:tcPr>
            <w:tcW w:w="864" w:type="dxa"/>
            <w:tcBorders>
              <w:top w:val="nil"/>
              <w:left w:val="nil"/>
              <w:bottom w:val="single" w:sz="4" w:space="0" w:color="000000"/>
              <w:right w:val="single" w:sz="4" w:space="0" w:color="000000"/>
            </w:tcBorders>
            <w:shd w:val="clear" w:color="auto" w:fill="auto"/>
            <w:noWrap/>
            <w:vAlign w:val="bottom"/>
            <w:hideMark/>
          </w:tcPr>
          <w:p w14:paraId="767C7C6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65,000 </w:t>
            </w:r>
          </w:p>
        </w:tc>
        <w:tc>
          <w:tcPr>
            <w:tcW w:w="834" w:type="dxa"/>
            <w:tcBorders>
              <w:top w:val="nil"/>
              <w:left w:val="nil"/>
              <w:bottom w:val="single" w:sz="4" w:space="0" w:color="000000"/>
              <w:right w:val="single" w:sz="4" w:space="0" w:color="000000"/>
            </w:tcBorders>
            <w:shd w:val="clear" w:color="auto" w:fill="auto"/>
            <w:noWrap/>
            <w:vAlign w:val="bottom"/>
            <w:hideMark/>
          </w:tcPr>
          <w:p w14:paraId="20BDF58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66,000 </w:t>
            </w:r>
          </w:p>
        </w:tc>
        <w:tc>
          <w:tcPr>
            <w:tcW w:w="827" w:type="dxa"/>
            <w:tcBorders>
              <w:top w:val="nil"/>
              <w:left w:val="nil"/>
              <w:bottom w:val="single" w:sz="4" w:space="0" w:color="000000"/>
              <w:right w:val="single" w:sz="4" w:space="0" w:color="000000"/>
            </w:tcBorders>
            <w:shd w:val="clear" w:color="auto" w:fill="auto"/>
            <w:noWrap/>
            <w:vAlign w:val="bottom"/>
            <w:hideMark/>
          </w:tcPr>
          <w:p w14:paraId="3281222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1F08BB9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261,000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2D106B64"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102 </w:t>
            </w:r>
          </w:p>
        </w:tc>
      </w:tr>
      <w:tr w:rsidR="007A7FA3" w:rsidRPr="007A7FA3" w14:paraId="214787B8" w14:textId="77777777" w:rsidTr="007A7FA3">
        <w:trPr>
          <w:trHeight w:val="240"/>
        </w:trPr>
        <w:tc>
          <w:tcPr>
            <w:tcW w:w="1086" w:type="dxa"/>
            <w:vMerge/>
            <w:tcBorders>
              <w:top w:val="nil"/>
              <w:left w:val="single" w:sz="8" w:space="0" w:color="auto"/>
              <w:bottom w:val="nil"/>
              <w:right w:val="nil"/>
            </w:tcBorders>
            <w:vAlign w:val="center"/>
            <w:hideMark/>
          </w:tcPr>
          <w:p w14:paraId="67CF12B8"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0E0E0BE4"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4BEAE4A5"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0D527E56"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30C56E67"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212931FF"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446FCF8A"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72400</w:t>
            </w:r>
          </w:p>
        </w:tc>
        <w:tc>
          <w:tcPr>
            <w:tcW w:w="1580" w:type="dxa"/>
            <w:tcBorders>
              <w:top w:val="nil"/>
              <w:left w:val="nil"/>
              <w:bottom w:val="single" w:sz="4" w:space="0" w:color="000000"/>
              <w:right w:val="single" w:sz="4" w:space="0" w:color="000000"/>
            </w:tcBorders>
            <w:shd w:val="clear" w:color="auto" w:fill="auto"/>
            <w:vAlign w:val="bottom"/>
            <w:hideMark/>
          </w:tcPr>
          <w:p w14:paraId="1079BB0D"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Communic &amp; Audio Visual Equip</w:t>
            </w:r>
          </w:p>
        </w:tc>
        <w:tc>
          <w:tcPr>
            <w:tcW w:w="694" w:type="dxa"/>
            <w:tcBorders>
              <w:top w:val="nil"/>
              <w:left w:val="nil"/>
              <w:bottom w:val="single" w:sz="4" w:space="0" w:color="000000"/>
              <w:right w:val="single" w:sz="4" w:space="0" w:color="000000"/>
            </w:tcBorders>
            <w:shd w:val="clear" w:color="auto" w:fill="auto"/>
            <w:noWrap/>
            <w:vAlign w:val="bottom"/>
            <w:hideMark/>
          </w:tcPr>
          <w:p w14:paraId="2909940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nil"/>
              <w:left w:val="nil"/>
              <w:bottom w:val="single" w:sz="4" w:space="0" w:color="000000"/>
              <w:right w:val="single" w:sz="4" w:space="0" w:color="000000"/>
            </w:tcBorders>
            <w:shd w:val="clear" w:color="auto" w:fill="auto"/>
            <w:noWrap/>
            <w:vAlign w:val="bottom"/>
            <w:hideMark/>
          </w:tcPr>
          <w:p w14:paraId="6F7F994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6,000 </w:t>
            </w:r>
          </w:p>
        </w:tc>
        <w:tc>
          <w:tcPr>
            <w:tcW w:w="826" w:type="dxa"/>
            <w:tcBorders>
              <w:top w:val="nil"/>
              <w:left w:val="nil"/>
              <w:bottom w:val="single" w:sz="4" w:space="0" w:color="000000"/>
              <w:right w:val="single" w:sz="4" w:space="0" w:color="000000"/>
            </w:tcBorders>
            <w:shd w:val="clear" w:color="auto" w:fill="auto"/>
            <w:noWrap/>
            <w:vAlign w:val="bottom"/>
            <w:hideMark/>
          </w:tcPr>
          <w:p w14:paraId="0D27BAA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6,000 </w:t>
            </w:r>
          </w:p>
        </w:tc>
        <w:tc>
          <w:tcPr>
            <w:tcW w:w="864" w:type="dxa"/>
            <w:tcBorders>
              <w:top w:val="nil"/>
              <w:left w:val="nil"/>
              <w:bottom w:val="single" w:sz="4" w:space="0" w:color="000000"/>
              <w:right w:val="single" w:sz="4" w:space="0" w:color="000000"/>
            </w:tcBorders>
            <w:shd w:val="clear" w:color="auto" w:fill="auto"/>
            <w:noWrap/>
            <w:vAlign w:val="bottom"/>
            <w:hideMark/>
          </w:tcPr>
          <w:p w14:paraId="4830FA6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6,000 </w:t>
            </w:r>
          </w:p>
        </w:tc>
        <w:tc>
          <w:tcPr>
            <w:tcW w:w="834" w:type="dxa"/>
            <w:tcBorders>
              <w:top w:val="nil"/>
              <w:left w:val="nil"/>
              <w:bottom w:val="single" w:sz="4" w:space="0" w:color="000000"/>
              <w:right w:val="single" w:sz="4" w:space="0" w:color="000000"/>
            </w:tcBorders>
            <w:shd w:val="clear" w:color="auto" w:fill="auto"/>
            <w:noWrap/>
            <w:vAlign w:val="bottom"/>
            <w:hideMark/>
          </w:tcPr>
          <w:p w14:paraId="1A040C4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6,000 </w:t>
            </w:r>
          </w:p>
        </w:tc>
        <w:tc>
          <w:tcPr>
            <w:tcW w:w="827" w:type="dxa"/>
            <w:tcBorders>
              <w:top w:val="nil"/>
              <w:left w:val="nil"/>
              <w:bottom w:val="single" w:sz="4" w:space="0" w:color="000000"/>
              <w:right w:val="single" w:sz="4" w:space="0" w:color="000000"/>
            </w:tcBorders>
            <w:shd w:val="clear" w:color="auto" w:fill="auto"/>
            <w:noWrap/>
            <w:vAlign w:val="bottom"/>
            <w:hideMark/>
          </w:tcPr>
          <w:p w14:paraId="2858C49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6,000 </w:t>
            </w:r>
          </w:p>
        </w:tc>
        <w:tc>
          <w:tcPr>
            <w:tcW w:w="980" w:type="dxa"/>
            <w:tcBorders>
              <w:top w:val="single" w:sz="8" w:space="0" w:color="000000"/>
              <w:left w:val="nil"/>
              <w:bottom w:val="single" w:sz="4" w:space="0" w:color="000000"/>
              <w:right w:val="nil"/>
            </w:tcBorders>
            <w:shd w:val="clear" w:color="auto" w:fill="auto"/>
            <w:noWrap/>
            <w:vAlign w:val="bottom"/>
            <w:hideMark/>
          </w:tcPr>
          <w:p w14:paraId="707B57F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46EA3030"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103 </w:t>
            </w:r>
          </w:p>
        </w:tc>
      </w:tr>
      <w:tr w:rsidR="007A7FA3" w:rsidRPr="007A7FA3" w14:paraId="74FF1DD4" w14:textId="77777777" w:rsidTr="007A7FA3">
        <w:trPr>
          <w:trHeight w:val="480"/>
        </w:trPr>
        <w:tc>
          <w:tcPr>
            <w:tcW w:w="1086" w:type="dxa"/>
            <w:vMerge/>
            <w:tcBorders>
              <w:top w:val="nil"/>
              <w:left w:val="single" w:sz="8" w:space="0" w:color="auto"/>
              <w:bottom w:val="nil"/>
              <w:right w:val="nil"/>
            </w:tcBorders>
            <w:vAlign w:val="center"/>
            <w:hideMark/>
          </w:tcPr>
          <w:p w14:paraId="502E4EFF"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1B996C79"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nil"/>
              <w:bottom w:val="single" w:sz="4" w:space="0" w:color="000000"/>
              <w:right w:val="single" w:sz="4" w:space="0" w:color="000000"/>
            </w:tcBorders>
            <w:vAlign w:val="center"/>
            <w:hideMark/>
          </w:tcPr>
          <w:p w14:paraId="67E31DA5" w14:textId="77777777" w:rsidR="007A7FA3" w:rsidRPr="007A7FA3" w:rsidRDefault="007A7FA3" w:rsidP="007A7FA3">
            <w:pPr>
              <w:rPr>
                <w:rFonts w:ascii="Calibri" w:hAnsi="Calibri" w:cs="Calibri"/>
                <w:i/>
                <w:iCs/>
                <w:color w:val="000000"/>
                <w:sz w:val="13"/>
                <w:szCs w:val="13"/>
              </w:rPr>
            </w:pPr>
          </w:p>
        </w:tc>
        <w:tc>
          <w:tcPr>
            <w:tcW w:w="3763" w:type="dxa"/>
            <w:gridSpan w:val="5"/>
            <w:tcBorders>
              <w:top w:val="single" w:sz="4" w:space="0" w:color="000000"/>
              <w:left w:val="nil"/>
              <w:bottom w:val="single" w:sz="4" w:space="0" w:color="000000"/>
              <w:right w:val="single" w:sz="4" w:space="0" w:color="000000"/>
            </w:tcBorders>
            <w:shd w:val="clear" w:color="auto" w:fill="auto"/>
            <w:vAlign w:val="center"/>
            <w:hideMark/>
          </w:tcPr>
          <w:p w14:paraId="0EF52BEB"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Total BCC</w:t>
            </w:r>
          </w:p>
        </w:tc>
        <w:tc>
          <w:tcPr>
            <w:tcW w:w="694" w:type="dxa"/>
            <w:tcBorders>
              <w:top w:val="nil"/>
              <w:left w:val="nil"/>
              <w:bottom w:val="single" w:sz="4" w:space="0" w:color="000000"/>
              <w:right w:val="single" w:sz="4" w:space="0" w:color="000000"/>
            </w:tcBorders>
            <w:shd w:val="clear" w:color="auto" w:fill="auto"/>
            <w:noWrap/>
            <w:vAlign w:val="bottom"/>
            <w:hideMark/>
          </w:tcPr>
          <w:p w14:paraId="6EA29C34"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05" w:type="dxa"/>
            <w:tcBorders>
              <w:top w:val="nil"/>
              <w:left w:val="nil"/>
              <w:bottom w:val="single" w:sz="4" w:space="0" w:color="000000"/>
              <w:right w:val="single" w:sz="4" w:space="0" w:color="000000"/>
            </w:tcBorders>
            <w:shd w:val="clear" w:color="auto" w:fill="auto"/>
            <w:noWrap/>
            <w:vAlign w:val="bottom"/>
            <w:hideMark/>
          </w:tcPr>
          <w:p w14:paraId="6F4F5BD1"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111,000 </w:t>
            </w:r>
          </w:p>
        </w:tc>
        <w:tc>
          <w:tcPr>
            <w:tcW w:w="826" w:type="dxa"/>
            <w:tcBorders>
              <w:top w:val="nil"/>
              <w:left w:val="nil"/>
              <w:bottom w:val="single" w:sz="4" w:space="0" w:color="000000"/>
              <w:right w:val="single" w:sz="4" w:space="0" w:color="000000"/>
            </w:tcBorders>
            <w:shd w:val="clear" w:color="auto" w:fill="auto"/>
            <w:noWrap/>
            <w:vAlign w:val="bottom"/>
            <w:hideMark/>
          </w:tcPr>
          <w:p w14:paraId="5282548A"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98,524 </w:t>
            </w:r>
          </w:p>
        </w:tc>
        <w:tc>
          <w:tcPr>
            <w:tcW w:w="864" w:type="dxa"/>
            <w:tcBorders>
              <w:top w:val="nil"/>
              <w:left w:val="nil"/>
              <w:bottom w:val="single" w:sz="4" w:space="0" w:color="000000"/>
              <w:right w:val="single" w:sz="4" w:space="0" w:color="000000"/>
            </w:tcBorders>
            <w:shd w:val="clear" w:color="auto" w:fill="auto"/>
            <w:noWrap/>
            <w:vAlign w:val="bottom"/>
            <w:hideMark/>
          </w:tcPr>
          <w:p w14:paraId="6CF21676"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103,000 </w:t>
            </w:r>
          </w:p>
        </w:tc>
        <w:tc>
          <w:tcPr>
            <w:tcW w:w="834" w:type="dxa"/>
            <w:tcBorders>
              <w:top w:val="nil"/>
              <w:left w:val="nil"/>
              <w:bottom w:val="single" w:sz="4" w:space="0" w:color="000000"/>
              <w:right w:val="single" w:sz="4" w:space="0" w:color="000000"/>
            </w:tcBorders>
            <w:shd w:val="clear" w:color="auto" w:fill="auto"/>
            <w:noWrap/>
            <w:vAlign w:val="bottom"/>
            <w:hideMark/>
          </w:tcPr>
          <w:p w14:paraId="1E548F07"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104,000 </w:t>
            </w:r>
          </w:p>
        </w:tc>
        <w:tc>
          <w:tcPr>
            <w:tcW w:w="827" w:type="dxa"/>
            <w:tcBorders>
              <w:top w:val="nil"/>
              <w:left w:val="nil"/>
              <w:bottom w:val="single" w:sz="4" w:space="0" w:color="000000"/>
              <w:right w:val="single" w:sz="4" w:space="0" w:color="000000"/>
            </w:tcBorders>
            <w:shd w:val="clear" w:color="auto" w:fill="auto"/>
            <w:noWrap/>
            <w:vAlign w:val="bottom"/>
            <w:hideMark/>
          </w:tcPr>
          <w:p w14:paraId="2CFFB139"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31,000 </w:t>
            </w:r>
          </w:p>
        </w:tc>
        <w:tc>
          <w:tcPr>
            <w:tcW w:w="980" w:type="dxa"/>
            <w:tcBorders>
              <w:top w:val="single" w:sz="8" w:space="0" w:color="000000"/>
              <w:left w:val="nil"/>
              <w:bottom w:val="single" w:sz="4" w:space="0" w:color="000000"/>
              <w:right w:val="nil"/>
            </w:tcBorders>
            <w:shd w:val="clear" w:color="auto" w:fill="auto"/>
            <w:noWrap/>
            <w:vAlign w:val="bottom"/>
            <w:hideMark/>
          </w:tcPr>
          <w:p w14:paraId="683E9B97"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447,524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44E3DF6C"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064768FC" w14:textId="77777777" w:rsidTr="007A7FA3">
        <w:trPr>
          <w:trHeight w:val="255"/>
        </w:trPr>
        <w:tc>
          <w:tcPr>
            <w:tcW w:w="1086" w:type="dxa"/>
            <w:vMerge/>
            <w:tcBorders>
              <w:top w:val="nil"/>
              <w:left w:val="single" w:sz="8" w:space="0" w:color="auto"/>
              <w:bottom w:val="nil"/>
              <w:right w:val="nil"/>
            </w:tcBorders>
            <w:vAlign w:val="center"/>
            <w:hideMark/>
          </w:tcPr>
          <w:p w14:paraId="7A2847EC"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765C16F3" w14:textId="77777777" w:rsidR="007A7FA3" w:rsidRPr="007A7FA3" w:rsidRDefault="007A7FA3" w:rsidP="007A7FA3">
            <w:pPr>
              <w:rPr>
                <w:rFonts w:ascii="Calibri" w:hAnsi="Calibri" w:cs="Calibri"/>
                <w:i/>
                <w:iCs/>
                <w:color w:val="000000"/>
                <w:sz w:val="13"/>
                <w:szCs w:val="13"/>
              </w:rPr>
            </w:pPr>
          </w:p>
        </w:tc>
        <w:tc>
          <w:tcPr>
            <w:tcW w:w="5779" w:type="dxa"/>
            <w:gridSpan w:val="6"/>
            <w:tcBorders>
              <w:top w:val="nil"/>
              <w:left w:val="nil"/>
              <w:bottom w:val="single" w:sz="4" w:space="0" w:color="000000"/>
              <w:right w:val="single" w:sz="4" w:space="0" w:color="000000"/>
            </w:tcBorders>
            <w:shd w:val="clear" w:color="auto" w:fill="auto"/>
            <w:vAlign w:val="center"/>
            <w:hideMark/>
          </w:tcPr>
          <w:p w14:paraId="45E96FF9" w14:textId="77777777" w:rsidR="007A7FA3" w:rsidRPr="007A7FA3" w:rsidRDefault="007A7FA3" w:rsidP="007A7FA3">
            <w:pPr>
              <w:rPr>
                <w:rFonts w:ascii="Calibri" w:hAnsi="Calibri" w:cs="Calibri"/>
                <w:b/>
                <w:bCs/>
                <w:i/>
                <w:iCs/>
                <w:color w:val="000000"/>
                <w:sz w:val="13"/>
                <w:szCs w:val="13"/>
              </w:rPr>
            </w:pPr>
            <w:r w:rsidRPr="007A7FA3">
              <w:rPr>
                <w:rFonts w:ascii="Calibri" w:hAnsi="Calibri" w:cs="Calibri"/>
                <w:b/>
                <w:bCs/>
                <w:i/>
                <w:iCs/>
                <w:color w:val="000000"/>
                <w:sz w:val="13"/>
                <w:szCs w:val="13"/>
              </w:rPr>
              <w:t>Total Output 4.1.2</w:t>
            </w:r>
          </w:p>
        </w:tc>
        <w:tc>
          <w:tcPr>
            <w:tcW w:w="694" w:type="dxa"/>
            <w:tcBorders>
              <w:top w:val="nil"/>
              <w:left w:val="nil"/>
              <w:bottom w:val="single" w:sz="4" w:space="0" w:color="000000"/>
              <w:right w:val="single" w:sz="4" w:space="0" w:color="000000"/>
            </w:tcBorders>
            <w:shd w:val="clear" w:color="auto" w:fill="auto"/>
            <w:noWrap/>
            <w:vAlign w:val="bottom"/>
            <w:hideMark/>
          </w:tcPr>
          <w:p w14:paraId="27797B80"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05" w:type="dxa"/>
            <w:tcBorders>
              <w:top w:val="nil"/>
              <w:left w:val="nil"/>
              <w:bottom w:val="single" w:sz="4" w:space="0" w:color="000000"/>
              <w:right w:val="single" w:sz="4" w:space="0" w:color="000000"/>
            </w:tcBorders>
            <w:shd w:val="clear" w:color="auto" w:fill="auto"/>
            <w:noWrap/>
            <w:vAlign w:val="bottom"/>
            <w:hideMark/>
          </w:tcPr>
          <w:p w14:paraId="7A83A162"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111,000 </w:t>
            </w:r>
          </w:p>
        </w:tc>
        <w:tc>
          <w:tcPr>
            <w:tcW w:w="826" w:type="dxa"/>
            <w:tcBorders>
              <w:top w:val="nil"/>
              <w:left w:val="nil"/>
              <w:bottom w:val="single" w:sz="4" w:space="0" w:color="000000"/>
              <w:right w:val="single" w:sz="4" w:space="0" w:color="000000"/>
            </w:tcBorders>
            <w:shd w:val="clear" w:color="auto" w:fill="auto"/>
            <w:noWrap/>
            <w:vAlign w:val="bottom"/>
            <w:hideMark/>
          </w:tcPr>
          <w:p w14:paraId="26D31C2C"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98,524 </w:t>
            </w:r>
          </w:p>
        </w:tc>
        <w:tc>
          <w:tcPr>
            <w:tcW w:w="864" w:type="dxa"/>
            <w:tcBorders>
              <w:top w:val="nil"/>
              <w:left w:val="nil"/>
              <w:bottom w:val="single" w:sz="4" w:space="0" w:color="000000"/>
              <w:right w:val="single" w:sz="4" w:space="0" w:color="000000"/>
            </w:tcBorders>
            <w:shd w:val="clear" w:color="auto" w:fill="auto"/>
            <w:noWrap/>
            <w:vAlign w:val="bottom"/>
            <w:hideMark/>
          </w:tcPr>
          <w:p w14:paraId="0BEC894C"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103,000 </w:t>
            </w:r>
          </w:p>
        </w:tc>
        <w:tc>
          <w:tcPr>
            <w:tcW w:w="834" w:type="dxa"/>
            <w:tcBorders>
              <w:top w:val="nil"/>
              <w:left w:val="nil"/>
              <w:bottom w:val="single" w:sz="4" w:space="0" w:color="000000"/>
              <w:right w:val="single" w:sz="4" w:space="0" w:color="000000"/>
            </w:tcBorders>
            <w:shd w:val="clear" w:color="auto" w:fill="auto"/>
            <w:noWrap/>
            <w:vAlign w:val="bottom"/>
            <w:hideMark/>
          </w:tcPr>
          <w:p w14:paraId="0C5BDCC3"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104,000 </w:t>
            </w:r>
          </w:p>
        </w:tc>
        <w:tc>
          <w:tcPr>
            <w:tcW w:w="827" w:type="dxa"/>
            <w:tcBorders>
              <w:top w:val="nil"/>
              <w:left w:val="nil"/>
              <w:bottom w:val="single" w:sz="4" w:space="0" w:color="000000"/>
              <w:right w:val="single" w:sz="4" w:space="0" w:color="000000"/>
            </w:tcBorders>
            <w:shd w:val="clear" w:color="auto" w:fill="auto"/>
            <w:noWrap/>
            <w:vAlign w:val="bottom"/>
            <w:hideMark/>
          </w:tcPr>
          <w:p w14:paraId="3B30E880"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31,000 </w:t>
            </w:r>
          </w:p>
        </w:tc>
        <w:tc>
          <w:tcPr>
            <w:tcW w:w="980" w:type="dxa"/>
            <w:tcBorders>
              <w:top w:val="nil"/>
              <w:left w:val="nil"/>
              <w:bottom w:val="single" w:sz="4" w:space="0" w:color="000000"/>
              <w:right w:val="nil"/>
            </w:tcBorders>
            <w:shd w:val="clear" w:color="auto" w:fill="auto"/>
            <w:noWrap/>
            <w:vAlign w:val="bottom"/>
            <w:hideMark/>
          </w:tcPr>
          <w:p w14:paraId="5E545129"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447,524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63BA89DA"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498BADCA" w14:textId="77777777" w:rsidTr="007A7FA3">
        <w:trPr>
          <w:trHeight w:val="360"/>
        </w:trPr>
        <w:tc>
          <w:tcPr>
            <w:tcW w:w="1086" w:type="dxa"/>
            <w:vMerge/>
            <w:tcBorders>
              <w:top w:val="nil"/>
              <w:left w:val="single" w:sz="8" w:space="0" w:color="auto"/>
              <w:bottom w:val="nil"/>
              <w:right w:val="nil"/>
            </w:tcBorders>
            <w:vAlign w:val="center"/>
            <w:hideMark/>
          </w:tcPr>
          <w:p w14:paraId="7C933787" w14:textId="77777777" w:rsidR="007A7FA3" w:rsidRPr="007A7FA3" w:rsidRDefault="007A7FA3" w:rsidP="007A7FA3">
            <w:pPr>
              <w:rPr>
                <w:rFonts w:ascii="Calibri" w:hAnsi="Calibri" w:cs="Calibri"/>
                <w:i/>
                <w:iCs/>
                <w:color w:val="000000"/>
                <w:sz w:val="13"/>
                <w:szCs w:val="13"/>
              </w:rPr>
            </w:pPr>
          </w:p>
        </w:tc>
        <w:tc>
          <w:tcPr>
            <w:tcW w:w="6650" w:type="dxa"/>
            <w:gridSpan w:val="7"/>
            <w:tcBorders>
              <w:top w:val="nil"/>
              <w:left w:val="single" w:sz="4" w:space="0" w:color="000000"/>
              <w:bottom w:val="single" w:sz="4" w:space="0" w:color="000000"/>
              <w:right w:val="single" w:sz="4" w:space="0" w:color="000000"/>
            </w:tcBorders>
            <w:shd w:val="clear" w:color="FEF2CB" w:fill="FEF2CB"/>
            <w:vAlign w:val="center"/>
            <w:hideMark/>
          </w:tcPr>
          <w:p w14:paraId="36C627C9" w14:textId="77777777" w:rsidR="007A7FA3" w:rsidRPr="007A7FA3" w:rsidRDefault="007A7FA3" w:rsidP="007A7FA3">
            <w:pPr>
              <w:rPr>
                <w:rFonts w:ascii="Calibri" w:hAnsi="Calibri" w:cs="Calibri"/>
                <w:b/>
                <w:bCs/>
                <w:i/>
                <w:iCs/>
                <w:color w:val="000000"/>
                <w:sz w:val="13"/>
                <w:szCs w:val="13"/>
              </w:rPr>
            </w:pPr>
            <w:r w:rsidRPr="007A7FA3">
              <w:rPr>
                <w:rFonts w:ascii="Calibri" w:hAnsi="Calibri" w:cs="Calibri"/>
                <w:b/>
                <w:bCs/>
                <w:i/>
                <w:iCs/>
                <w:color w:val="000000"/>
                <w:sz w:val="13"/>
                <w:szCs w:val="13"/>
              </w:rPr>
              <w:t>Total Outcome 4.1</w:t>
            </w:r>
          </w:p>
        </w:tc>
        <w:tc>
          <w:tcPr>
            <w:tcW w:w="694" w:type="dxa"/>
            <w:tcBorders>
              <w:top w:val="nil"/>
              <w:left w:val="nil"/>
              <w:bottom w:val="single" w:sz="8" w:space="0" w:color="000000"/>
              <w:right w:val="single" w:sz="4" w:space="0" w:color="000000"/>
            </w:tcBorders>
            <w:shd w:val="clear" w:color="FEF2CB" w:fill="FEF2CB"/>
            <w:noWrap/>
            <w:vAlign w:val="bottom"/>
            <w:hideMark/>
          </w:tcPr>
          <w:p w14:paraId="6AF119AA"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05" w:type="dxa"/>
            <w:tcBorders>
              <w:top w:val="nil"/>
              <w:left w:val="nil"/>
              <w:bottom w:val="single" w:sz="8" w:space="0" w:color="000000"/>
              <w:right w:val="single" w:sz="4" w:space="0" w:color="000000"/>
            </w:tcBorders>
            <w:shd w:val="clear" w:color="FEF2CB" w:fill="FEF2CB"/>
            <w:noWrap/>
            <w:vAlign w:val="bottom"/>
            <w:hideMark/>
          </w:tcPr>
          <w:p w14:paraId="3E72922F"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261,000 </w:t>
            </w:r>
          </w:p>
        </w:tc>
        <w:tc>
          <w:tcPr>
            <w:tcW w:w="826" w:type="dxa"/>
            <w:tcBorders>
              <w:top w:val="nil"/>
              <w:left w:val="nil"/>
              <w:bottom w:val="single" w:sz="8" w:space="0" w:color="000000"/>
              <w:right w:val="single" w:sz="4" w:space="0" w:color="000000"/>
            </w:tcBorders>
            <w:shd w:val="clear" w:color="FEF2CB" w:fill="FEF2CB"/>
            <w:noWrap/>
            <w:vAlign w:val="bottom"/>
            <w:hideMark/>
          </w:tcPr>
          <w:p w14:paraId="4C5EDFA1"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98,524 </w:t>
            </w:r>
          </w:p>
        </w:tc>
        <w:tc>
          <w:tcPr>
            <w:tcW w:w="864" w:type="dxa"/>
            <w:tcBorders>
              <w:top w:val="nil"/>
              <w:left w:val="nil"/>
              <w:bottom w:val="single" w:sz="8" w:space="0" w:color="000000"/>
              <w:right w:val="single" w:sz="4" w:space="0" w:color="000000"/>
            </w:tcBorders>
            <w:shd w:val="clear" w:color="FEF2CB" w:fill="FEF2CB"/>
            <w:noWrap/>
            <w:vAlign w:val="bottom"/>
            <w:hideMark/>
          </w:tcPr>
          <w:p w14:paraId="6EB5F30F"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103,000 </w:t>
            </w:r>
          </w:p>
        </w:tc>
        <w:tc>
          <w:tcPr>
            <w:tcW w:w="834" w:type="dxa"/>
            <w:tcBorders>
              <w:top w:val="nil"/>
              <w:left w:val="nil"/>
              <w:bottom w:val="single" w:sz="8" w:space="0" w:color="000000"/>
              <w:right w:val="single" w:sz="4" w:space="0" w:color="000000"/>
            </w:tcBorders>
            <w:shd w:val="clear" w:color="FEF2CB" w:fill="FEF2CB"/>
            <w:noWrap/>
            <w:vAlign w:val="bottom"/>
            <w:hideMark/>
          </w:tcPr>
          <w:p w14:paraId="553A82E7"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104,000 </w:t>
            </w:r>
          </w:p>
        </w:tc>
        <w:tc>
          <w:tcPr>
            <w:tcW w:w="827" w:type="dxa"/>
            <w:tcBorders>
              <w:top w:val="nil"/>
              <w:left w:val="nil"/>
              <w:bottom w:val="single" w:sz="8" w:space="0" w:color="000000"/>
              <w:right w:val="single" w:sz="4" w:space="0" w:color="000000"/>
            </w:tcBorders>
            <w:shd w:val="clear" w:color="FEF2CB" w:fill="FEF2CB"/>
            <w:noWrap/>
            <w:vAlign w:val="bottom"/>
            <w:hideMark/>
          </w:tcPr>
          <w:p w14:paraId="40BCCCE2"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31,000 </w:t>
            </w:r>
          </w:p>
        </w:tc>
        <w:tc>
          <w:tcPr>
            <w:tcW w:w="980" w:type="dxa"/>
            <w:tcBorders>
              <w:top w:val="nil"/>
              <w:left w:val="nil"/>
              <w:bottom w:val="single" w:sz="8" w:space="0" w:color="000000"/>
              <w:right w:val="nil"/>
            </w:tcBorders>
            <w:shd w:val="clear" w:color="FEF2CB" w:fill="FEF2CB"/>
            <w:noWrap/>
            <w:vAlign w:val="bottom"/>
            <w:hideMark/>
          </w:tcPr>
          <w:p w14:paraId="260CC256"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597,524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5288149D"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3AD7BD9A" w14:textId="77777777" w:rsidTr="007A7FA3">
        <w:trPr>
          <w:trHeight w:val="270"/>
        </w:trPr>
        <w:tc>
          <w:tcPr>
            <w:tcW w:w="1086" w:type="dxa"/>
            <w:vMerge/>
            <w:tcBorders>
              <w:top w:val="nil"/>
              <w:left w:val="single" w:sz="8" w:space="0" w:color="auto"/>
              <w:bottom w:val="nil"/>
              <w:right w:val="nil"/>
            </w:tcBorders>
            <w:vAlign w:val="center"/>
            <w:hideMark/>
          </w:tcPr>
          <w:p w14:paraId="0E9707A9" w14:textId="77777777" w:rsidR="007A7FA3" w:rsidRPr="007A7FA3" w:rsidRDefault="007A7FA3" w:rsidP="007A7FA3">
            <w:pPr>
              <w:rPr>
                <w:rFonts w:ascii="Calibri" w:hAnsi="Calibri" w:cs="Calibri"/>
                <w:i/>
                <w:iCs/>
                <w:color w:val="000000"/>
                <w:sz w:val="13"/>
                <w:szCs w:val="13"/>
              </w:rPr>
            </w:pPr>
          </w:p>
        </w:tc>
        <w:tc>
          <w:tcPr>
            <w:tcW w:w="871" w:type="dxa"/>
            <w:vMerge w:val="restart"/>
            <w:tcBorders>
              <w:top w:val="nil"/>
              <w:left w:val="single" w:sz="4" w:space="0" w:color="000000"/>
              <w:bottom w:val="nil"/>
              <w:right w:val="single" w:sz="4" w:space="0" w:color="000000"/>
            </w:tcBorders>
            <w:shd w:val="clear" w:color="auto" w:fill="auto"/>
            <w:vAlign w:val="center"/>
            <w:hideMark/>
          </w:tcPr>
          <w:p w14:paraId="530D99BD"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 xml:space="preserve">4.2: Innovative sustainable blue/ocean finance at national and/or regional levels accelerated </w:t>
            </w:r>
          </w:p>
        </w:tc>
        <w:tc>
          <w:tcPr>
            <w:tcW w:w="2016"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4BCFBC1B"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 xml:space="preserve">4.2.1: Viable sustainable blue/ocean finance mechanisms and tools developed and piloted (including incentives to stimulate regional, national, local and private sector SBE investments, pollution reduction, circular economy etc.) </w:t>
            </w:r>
          </w:p>
        </w:tc>
        <w:tc>
          <w:tcPr>
            <w:tcW w:w="631" w:type="dxa"/>
            <w:vMerge w:val="restart"/>
            <w:tcBorders>
              <w:top w:val="nil"/>
              <w:left w:val="nil"/>
              <w:bottom w:val="nil"/>
              <w:right w:val="nil"/>
            </w:tcBorders>
            <w:shd w:val="clear" w:color="auto" w:fill="auto"/>
            <w:vAlign w:val="center"/>
            <w:hideMark/>
          </w:tcPr>
          <w:p w14:paraId="7B70267B"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BCC</w:t>
            </w:r>
          </w:p>
        </w:tc>
        <w:tc>
          <w:tcPr>
            <w:tcW w:w="504" w:type="dxa"/>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18813240"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val="restart"/>
            <w:tcBorders>
              <w:top w:val="nil"/>
              <w:left w:val="single" w:sz="4" w:space="0" w:color="000000"/>
              <w:bottom w:val="nil"/>
              <w:right w:val="nil"/>
            </w:tcBorders>
            <w:shd w:val="clear" w:color="auto" w:fill="auto"/>
            <w:vAlign w:val="center"/>
            <w:hideMark/>
          </w:tcPr>
          <w:p w14:paraId="2F717494"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w:t>
            </w:r>
          </w:p>
        </w:tc>
        <w:tc>
          <w:tcPr>
            <w:tcW w:w="544" w:type="dxa"/>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2E921581"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71200</w:t>
            </w:r>
          </w:p>
        </w:tc>
        <w:tc>
          <w:tcPr>
            <w:tcW w:w="1580" w:type="dxa"/>
            <w:tcBorders>
              <w:top w:val="single" w:sz="8" w:space="0" w:color="000000"/>
              <w:left w:val="nil"/>
              <w:bottom w:val="single" w:sz="4" w:space="0" w:color="000000"/>
              <w:right w:val="single" w:sz="4" w:space="0" w:color="000000"/>
            </w:tcBorders>
            <w:shd w:val="clear" w:color="auto" w:fill="auto"/>
            <w:vAlign w:val="bottom"/>
            <w:hideMark/>
          </w:tcPr>
          <w:p w14:paraId="354FB122"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International Consultants</w:t>
            </w:r>
          </w:p>
        </w:tc>
        <w:tc>
          <w:tcPr>
            <w:tcW w:w="694" w:type="dxa"/>
            <w:tcBorders>
              <w:top w:val="nil"/>
              <w:left w:val="nil"/>
              <w:bottom w:val="single" w:sz="4" w:space="0" w:color="000000"/>
              <w:right w:val="single" w:sz="4" w:space="0" w:color="000000"/>
            </w:tcBorders>
            <w:shd w:val="clear" w:color="auto" w:fill="auto"/>
            <w:noWrap/>
            <w:vAlign w:val="bottom"/>
            <w:hideMark/>
          </w:tcPr>
          <w:p w14:paraId="4D4B32D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nil"/>
              <w:left w:val="nil"/>
              <w:bottom w:val="single" w:sz="4" w:space="0" w:color="000000"/>
              <w:right w:val="single" w:sz="4" w:space="0" w:color="000000"/>
            </w:tcBorders>
            <w:shd w:val="clear" w:color="auto" w:fill="auto"/>
            <w:noWrap/>
            <w:vAlign w:val="bottom"/>
            <w:hideMark/>
          </w:tcPr>
          <w:p w14:paraId="58E9C1C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75,000 </w:t>
            </w:r>
          </w:p>
        </w:tc>
        <w:tc>
          <w:tcPr>
            <w:tcW w:w="826" w:type="dxa"/>
            <w:tcBorders>
              <w:top w:val="nil"/>
              <w:left w:val="nil"/>
              <w:bottom w:val="single" w:sz="4" w:space="0" w:color="000000"/>
              <w:right w:val="single" w:sz="4" w:space="0" w:color="000000"/>
            </w:tcBorders>
            <w:shd w:val="clear" w:color="auto" w:fill="auto"/>
            <w:noWrap/>
            <w:vAlign w:val="bottom"/>
            <w:hideMark/>
          </w:tcPr>
          <w:p w14:paraId="1ABD176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45,000 </w:t>
            </w:r>
          </w:p>
        </w:tc>
        <w:tc>
          <w:tcPr>
            <w:tcW w:w="864" w:type="dxa"/>
            <w:tcBorders>
              <w:top w:val="nil"/>
              <w:left w:val="nil"/>
              <w:bottom w:val="single" w:sz="4" w:space="0" w:color="000000"/>
              <w:right w:val="single" w:sz="4" w:space="0" w:color="000000"/>
            </w:tcBorders>
            <w:shd w:val="clear" w:color="auto" w:fill="auto"/>
            <w:noWrap/>
            <w:vAlign w:val="bottom"/>
            <w:hideMark/>
          </w:tcPr>
          <w:p w14:paraId="63370E1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50,000 </w:t>
            </w:r>
          </w:p>
        </w:tc>
        <w:tc>
          <w:tcPr>
            <w:tcW w:w="834" w:type="dxa"/>
            <w:tcBorders>
              <w:top w:val="nil"/>
              <w:left w:val="nil"/>
              <w:bottom w:val="single" w:sz="4" w:space="0" w:color="000000"/>
              <w:right w:val="single" w:sz="4" w:space="0" w:color="000000"/>
            </w:tcBorders>
            <w:shd w:val="clear" w:color="auto" w:fill="auto"/>
            <w:noWrap/>
            <w:vAlign w:val="bottom"/>
            <w:hideMark/>
          </w:tcPr>
          <w:p w14:paraId="5224CCD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50,000 </w:t>
            </w:r>
          </w:p>
        </w:tc>
        <w:tc>
          <w:tcPr>
            <w:tcW w:w="827" w:type="dxa"/>
            <w:tcBorders>
              <w:top w:val="nil"/>
              <w:left w:val="nil"/>
              <w:bottom w:val="single" w:sz="4" w:space="0" w:color="000000"/>
              <w:right w:val="single" w:sz="4" w:space="0" w:color="000000"/>
            </w:tcBorders>
            <w:shd w:val="clear" w:color="auto" w:fill="auto"/>
            <w:noWrap/>
            <w:vAlign w:val="bottom"/>
            <w:hideMark/>
          </w:tcPr>
          <w:p w14:paraId="68D251C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25,000 </w:t>
            </w:r>
          </w:p>
        </w:tc>
        <w:tc>
          <w:tcPr>
            <w:tcW w:w="980" w:type="dxa"/>
            <w:tcBorders>
              <w:top w:val="nil"/>
              <w:left w:val="nil"/>
              <w:bottom w:val="single" w:sz="4" w:space="0" w:color="000000"/>
              <w:right w:val="nil"/>
            </w:tcBorders>
            <w:shd w:val="clear" w:color="auto" w:fill="auto"/>
            <w:noWrap/>
            <w:vAlign w:val="bottom"/>
            <w:hideMark/>
          </w:tcPr>
          <w:p w14:paraId="67992A8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245,000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7A02071C"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104 </w:t>
            </w:r>
          </w:p>
        </w:tc>
      </w:tr>
      <w:tr w:rsidR="007A7FA3" w:rsidRPr="007A7FA3" w14:paraId="5552143C" w14:textId="77777777" w:rsidTr="007A7FA3">
        <w:trPr>
          <w:trHeight w:val="270"/>
        </w:trPr>
        <w:tc>
          <w:tcPr>
            <w:tcW w:w="1086" w:type="dxa"/>
            <w:vMerge/>
            <w:tcBorders>
              <w:top w:val="nil"/>
              <w:left w:val="single" w:sz="8" w:space="0" w:color="auto"/>
              <w:bottom w:val="nil"/>
              <w:right w:val="nil"/>
            </w:tcBorders>
            <w:vAlign w:val="center"/>
            <w:hideMark/>
          </w:tcPr>
          <w:p w14:paraId="01917D50"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nil"/>
              <w:right w:val="single" w:sz="4" w:space="0" w:color="000000"/>
            </w:tcBorders>
            <w:vAlign w:val="center"/>
            <w:hideMark/>
          </w:tcPr>
          <w:p w14:paraId="45811AAA"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04E8B2DF"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6E22BC0C"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45950A8D"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01C2962C"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2107CC62"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71300</w:t>
            </w:r>
          </w:p>
        </w:tc>
        <w:tc>
          <w:tcPr>
            <w:tcW w:w="1580" w:type="dxa"/>
            <w:tcBorders>
              <w:top w:val="nil"/>
              <w:left w:val="nil"/>
              <w:bottom w:val="single" w:sz="4" w:space="0" w:color="000000"/>
              <w:right w:val="single" w:sz="4" w:space="0" w:color="000000"/>
            </w:tcBorders>
            <w:shd w:val="clear" w:color="auto" w:fill="auto"/>
            <w:vAlign w:val="bottom"/>
            <w:hideMark/>
          </w:tcPr>
          <w:p w14:paraId="4338A07F"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Local Consultants</w:t>
            </w:r>
          </w:p>
        </w:tc>
        <w:tc>
          <w:tcPr>
            <w:tcW w:w="694" w:type="dxa"/>
            <w:tcBorders>
              <w:top w:val="nil"/>
              <w:left w:val="nil"/>
              <w:bottom w:val="single" w:sz="4" w:space="0" w:color="000000"/>
              <w:right w:val="single" w:sz="4" w:space="0" w:color="000000"/>
            </w:tcBorders>
            <w:shd w:val="clear" w:color="auto" w:fill="auto"/>
            <w:noWrap/>
            <w:vAlign w:val="bottom"/>
            <w:hideMark/>
          </w:tcPr>
          <w:p w14:paraId="6E72114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nil"/>
              <w:left w:val="nil"/>
              <w:bottom w:val="single" w:sz="4" w:space="0" w:color="000000"/>
              <w:right w:val="single" w:sz="4" w:space="0" w:color="000000"/>
            </w:tcBorders>
            <w:shd w:val="clear" w:color="auto" w:fill="auto"/>
            <w:noWrap/>
            <w:vAlign w:val="bottom"/>
            <w:hideMark/>
          </w:tcPr>
          <w:p w14:paraId="290D0B1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60,000 </w:t>
            </w:r>
          </w:p>
        </w:tc>
        <w:tc>
          <w:tcPr>
            <w:tcW w:w="826" w:type="dxa"/>
            <w:tcBorders>
              <w:top w:val="nil"/>
              <w:left w:val="nil"/>
              <w:bottom w:val="single" w:sz="4" w:space="0" w:color="000000"/>
              <w:right w:val="single" w:sz="4" w:space="0" w:color="000000"/>
            </w:tcBorders>
            <w:shd w:val="clear" w:color="auto" w:fill="auto"/>
            <w:noWrap/>
            <w:vAlign w:val="bottom"/>
            <w:hideMark/>
          </w:tcPr>
          <w:p w14:paraId="74700E0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50,000 </w:t>
            </w:r>
          </w:p>
        </w:tc>
        <w:tc>
          <w:tcPr>
            <w:tcW w:w="864" w:type="dxa"/>
            <w:tcBorders>
              <w:top w:val="nil"/>
              <w:left w:val="nil"/>
              <w:bottom w:val="single" w:sz="4" w:space="0" w:color="000000"/>
              <w:right w:val="single" w:sz="4" w:space="0" w:color="000000"/>
            </w:tcBorders>
            <w:shd w:val="clear" w:color="auto" w:fill="auto"/>
            <w:noWrap/>
            <w:vAlign w:val="bottom"/>
            <w:hideMark/>
          </w:tcPr>
          <w:p w14:paraId="09D63E9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50,000 </w:t>
            </w:r>
          </w:p>
        </w:tc>
        <w:tc>
          <w:tcPr>
            <w:tcW w:w="834" w:type="dxa"/>
            <w:tcBorders>
              <w:top w:val="nil"/>
              <w:left w:val="nil"/>
              <w:bottom w:val="single" w:sz="4" w:space="0" w:color="000000"/>
              <w:right w:val="single" w:sz="4" w:space="0" w:color="000000"/>
            </w:tcBorders>
            <w:shd w:val="clear" w:color="auto" w:fill="auto"/>
            <w:noWrap/>
            <w:vAlign w:val="bottom"/>
            <w:hideMark/>
          </w:tcPr>
          <w:p w14:paraId="7B2BF50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45,000 </w:t>
            </w:r>
          </w:p>
        </w:tc>
        <w:tc>
          <w:tcPr>
            <w:tcW w:w="827" w:type="dxa"/>
            <w:tcBorders>
              <w:top w:val="nil"/>
              <w:left w:val="nil"/>
              <w:bottom w:val="single" w:sz="4" w:space="0" w:color="000000"/>
              <w:right w:val="single" w:sz="4" w:space="0" w:color="000000"/>
            </w:tcBorders>
            <w:shd w:val="clear" w:color="auto" w:fill="auto"/>
            <w:noWrap/>
            <w:vAlign w:val="bottom"/>
            <w:hideMark/>
          </w:tcPr>
          <w:p w14:paraId="6063128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25,000 </w:t>
            </w:r>
          </w:p>
        </w:tc>
        <w:tc>
          <w:tcPr>
            <w:tcW w:w="980" w:type="dxa"/>
            <w:tcBorders>
              <w:top w:val="single" w:sz="8" w:space="0" w:color="000000"/>
              <w:left w:val="nil"/>
              <w:bottom w:val="single" w:sz="4" w:space="0" w:color="000000"/>
              <w:right w:val="nil"/>
            </w:tcBorders>
            <w:shd w:val="clear" w:color="auto" w:fill="auto"/>
            <w:noWrap/>
            <w:vAlign w:val="bottom"/>
            <w:hideMark/>
          </w:tcPr>
          <w:p w14:paraId="53C9FBD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230,000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06CF2F31"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105 </w:t>
            </w:r>
          </w:p>
        </w:tc>
      </w:tr>
      <w:tr w:rsidR="007A7FA3" w:rsidRPr="007A7FA3" w14:paraId="294B21D7" w14:textId="77777777" w:rsidTr="007A7FA3">
        <w:trPr>
          <w:trHeight w:val="270"/>
        </w:trPr>
        <w:tc>
          <w:tcPr>
            <w:tcW w:w="1086" w:type="dxa"/>
            <w:vMerge/>
            <w:tcBorders>
              <w:top w:val="nil"/>
              <w:left w:val="single" w:sz="8" w:space="0" w:color="auto"/>
              <w:bottom w:val="nil"/>
              <w:right w:val="nil"/>
            </w:tcBorders>
            <w:vAlign w:val="center"/>
            <w:hideMark/>
          </w:tcPr>
          <w:p w14:paraId="48DF2CCB"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nil"/>
              <w:right w:val="single" w:sz="4" w:space="0" w:color="000000"/>
            </w:tcBorders>
            <w:vAlign w:val="center"/>
            <w:hideMark/>
          </w:tcPr>
          <w:p w14:paraId="34C65046"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37024FD1"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6EBCDC37"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5E591B45"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1B78187C"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69500E88"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71600</w:t>
            </w:r>
          </w:p>
        </w:tc>
        <w:tc>
          <w:tcPr>
            <w:tcW w:w="1580" w:type="dxa"/>
            <w:tcBorders>
              <w:top w:val="nil"/>
              <w:left w:val="nil"/>
              <w:bottom w:val="single" w:sz="4" w:space="0" w:color="000000"/>
              <w:right w:val="single" w:sz="4" w:space="0" w:color="000000"/>
            </w:tcBorders>
            <w:shd w:val="clear" w:color="auto" w:fill="auto"/>
            <w:vAlign w:val="bottom"/>
            <w:hideMark/>
          </w:tcPr>
          <w:p w14:paraId="3F4A6E2B"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Travel</w:t>
            </w:r>
          </w:p>
        </w:tc>
        <w:tc>
          <w:tcPr>
            <w:tcW w:w="694" w:type="dxa"/>
            <w:tcBorders>
              <w:top w:val="nil"/>
              <w:left w:val="nil"/>
              <w:bottom w:val="single" w:sz="4" w:space="0" w:color="000000"/>
              <w:right w:val="single" w:sz="4" w:space="0" w:color="000000"/>
            </w:tcBorders>
            <w:shd w:val="clear" w:color="auto" w:fill="auto"/>
            <w:noWrap/>
            <w:vAlign w:val="bottom"/>
            <w:hideMark/>
          </w:tcPr>
          <w:p w14:paraId="25713DA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nil"/>
              <w:left w:val="nil"/>
              <w:bottom w:val="single" w:sz="4" w:space="0" w:color="000000"/>
              <w:right w:val="single" w:sz="4" w:space="0" w:color="000000"/>
            </w:tcBorders>
            <w:shd w:val="clear" w:color="auto" w:fill="auto"/>
            <w:noWrap/>
            <w:vAlign w:val="bottom"/>
            <w:hideMark/>
          </w:tcPr>
          <w:p w14:paraId="0456842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20,000 </w:t>
            </w:r>
          </w:p>
        </w:tc>
        <w:tc>
          <w:tcPr>
            <w:tcW w:w="826" w:type="dxa"/>
            <w:tcBorders>
              <w:top w:val="nil"/>
              <w:left w:val="nil"/>
              <w:bottom w:val="single" w:sz="4" w:space="0" w:color="000000"/>
              <w:right w:val="single" w:sz="4" w:space="0" w:color="000000"/>
            </w:tcBorders>
            <w:shd w:val="clear" w:color="auto" w:fill="auto"/>
            <w:noWrap/>
            <w:vAlign w:val="bottom"/>
            <w:hideMark/>
          </w:tcPr>
          <w:p w14:paraId="0617F81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20,000 </w:t>
            </w:r>
          </w:p>
        </w:tc>
        <w:tc>
          <w:tcPr>
            <w:tcW w:w="864" w:type="dxa"/>
            <w:tcBorders>
              <w:top w:val="nil"/>
              <w:left w:val="nil"/>
              <w:bottom w:val="single" w:sz="4" w:space="0" w:color="000000"/>
              <w:right w:val="single" w:sz="4" w:space="0" w:color="000000"/>
            </w:tcBorders>
            <w:shd w:val="clear" w:color="auto" w:fill="auto"/>
            <w:noWrap/>
            <w:vAlign w:val="bottom"/>
            <w:hideMark/>
          </w:tcPr>
          <w:p w14:paraId="6095B89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20,000 </w:t>
            </w:r>
          </w:p>
        </w:tc>
        <w:tc>
          <w:tcPr>
            <w:tcW w:w="834" w:type="dxa"/>
            <w:tcBorders>
              <w:top w:val="nil"/>
              <w:left w:val="nil"/>
              <w:bottom w:val="single" w:sz="4" w:space="0" w:color="000000"/>
              <w:right w:val="single" w:sz="4" w:space="0" w:color="000000"/>
            </w:tcBorders>
            <w:shd w:val="clear" w:color="auto" w:fill="auto"/>
            <w:noWrap/>
            <w:vAlign w:val="bottom"/>
            <w:hideMark/>
          </w:tcPr>
          <w:p w14:paraId="6AD6523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20,000 </w:t>
            </w:r>
          </w:p>
        </w:tc>
        <w:tc>
          <w:tcPr>
            <w:tcW w:w="827" w:type="dxa"/>
            <w:tcBorders>
              <w:top w:val="nil"/>
              <w:left w:val="nil"/>
              <w:bottom w:val="single" w:sz="4" w:space="0" w:color="000000"/>
              <w:right w:val="single" w:sz="4" w:space="0" w:color="000000"/>
            </w:tcBorders>
            <w:shd w:val="clear" w:color="auto" w:fill="auto"/>
            <w:noWrap/>
            <w:vAlign w:val="bottom"/>
            <w:hideMark/>
          </w:tcPr>
          <w:p w14:paraId="3B1CE30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20,000 </w:t>
            </w:r>
          </w:p>
        </w:tc>
        <w:tc>
          <w:tcPr>
            <w:tcW w:w="980" w:type="dxa"/>
            <w:tcBorders>
              <w:top w:val="single" w:sz="8" w:space="0" w:color="000000"/>
              <w:left w:val="nil"/>
              <w:bottom w:val="single" w:sz="4" w:space="0" w:color="000000"/>
              <w:right w:val="nil"/>
            </w:tcBorders>
            <w:shd w:val="clear" w:color="auto" w:fill="auto"/>
            <w:noWrap/>
            <w:vAlign w:val="bottom"/>
            <w:hideMark/>
          </w:tcPr>
          <w:p w14:paraId="5E3E04F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0C5162E2"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106 </w:t>
            </w:r>
          </w:p>
        </w:tc>
      </w:tr>
      <w:tr w:rsidR="007A7FA3" w:rsidRPr="007A7FA3" w14:paraId="5D5302C2" w14:textId="77777777" w:rsidTr="007A7FA3">
        <w:trPr>
          <w:trHeight w:val="255"/>
        </w:trPr>
        <w:tc>
          <w:tcPr>
            <w:tcW w:w="1086" w:type="dxa"/>
            <w:vMerge/>
            <w:tcBorders>
              <w:top w:val="nil"/>
              <w:left w:val="single" w:sz="8" w:space="0" w:color="auto"/>
              <w:bottom w:val="nil"/>
              <w:right w:val="nil"/>
            </w:tcBorders>
            <w:vAlign w:val="center"/>
            <w:hideMark/>
          </w:tcPr>
          <w:p w14:paraId="425DEF40"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nil"/>
              <w:right w:val="single" w:sz="4" w:space="0" w:color="000000"/>
            </w:tcBorders>
            <w:vAlign w:val="center"/>
            <w:hideMark/>
          </w:tcPr>
          <w:p w14:paraId="28B0424B"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0CEBFB22"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540E108E"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3A9E032F"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5AECF59E"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4F979C8B"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72100</w:t>
            </w:r>
          </w:p>
        </w:tc>
        <w:tc>
          <w:tcPr>
            <w:tcW w:w="1580" w:type="dxa"/>
            <w:tcBorders>
              <w:top w:val="nil"/>
              <w:left w:val="nil"/>
              <w:bottom w:val="single" w:sz="4" w:space="0" w:color="000000"/>
              <w:right w:val="single" w:sz="4" w:space="0" w:color="000000"/>
            </w:tcBorders>
            <w:shd w:val="clear" w:color="auto" w:fill="auto"/>
            <w:vAlign w:val="bottom"/>
            <w:hideMark/>
          </w:tcPr>
          <w:p w14:paraId="065D5ACA"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Contractual Services - Companies</w:t>
            </w:r>
          </w:p>
        </w:tc>
        <w:tc>
          <w:tcPr>
            <w:tcW w:w="694" w:type="dxa"/>
            <w:tcBorders>
              <w:top w:val="nil"/>
              <w:left w:val="nil"/>
              <w:bottom w:val="single" w:sz="4" w:space="0" w:color="000000"/>
              <w:right w:val="single" w:sz="4" w:space="0" w:color="000000"/>
            </w:tcBorders>
            <w:shd w:val="clear" w:color="auto" w:fill="auto"/>
            <w:noWrap/>
            <w:vAlign w:val="bottom"/>
            <w:hideMark/>
          </w:tcPr>
          <w:p w14:paraId="4670A62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nil"/>
              <w:left w:val="nil"/>
              <w:bottom w:val="single" w:sz="4" w:space="0" w:color="000000"/>
              <w:right w:val="single" w:sz="4" w:space="0" w:color="000000"/>
            </w:tcBorders>
            <w:shd w:val="clear" w:color="auto" w:fill="auto"/>
            <w:noWrap/>
            <w:vAlign w:val="bottom"/>
            <w:hideMark/>
          </w:tcPr>
          <w:p w14:paraId="6AA273B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103,000 </w:t>
            </w:r>
          </w:p>
        </w:tc>
        <w:tc>
          <w:tcPr>
            <w:tcW w:w="826" w:type="dxa"/>
            <w:tcBorders>
              <w:top w:val="nil"/>
              <w:left w:val="nil"/>
              <w:bottom w:val="single" w:sz="4" w:space="0" w:color="000000"/>
              <w:right w:val="single" w:sz="4" w:space="0" w:color="000000"/>
            </w:tcBorders>
            <w:shd w:val="clear" w:color="auto" w:fill="auto"/>
            <w:noWrap/>
            <w:vAlign w:val="bottom"/>
            <w:hideMark/>
          </w:tcPr>
          <w:p w14:paraId="753F107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70,000 </w:t>
            </w:r>
          </w:p>
        </w:tc>
        <w:tc>
          <w:tcPr>
            <w:tcW w:w="864" w:type="dxa"/>
            <w:tcBorders>
              <w:top w:val="nil"/>
              <w:left w:val="nil"/>
              <w:bottom w:val="single" w:sz="4" w:space="0" w:color="000000"/>
              <w:right w:val="single" w:sz="4" w:space="0" w:color="000000"/>
            </w:tcBorders>
            <w:shd w:val="clear" w:color="auto" w:fill="auto"/>
            <w:noWrap/>
            <w:vAlign w:val="bottom"/>
            <w:hideMark/>
          </w:tcPr>
          <w:p w14:paraId="0F68B52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70,000 </w:t>
            </w:r>
          </w:p>
        </w:tc>
        <w:tc>
          <w:tcPr>
            <w:tcW w:w="834" w:type="dxa"/>
            <w:tcBorders>
              <w:top w:val="nil"/>
              <w:left w:val="nil"/>
              <w:bottom w:val="single" w:sz="4" w:space="0" w:color="000000"/>
              <w:right w:val="single" w:sz="4" w:space="0" w:color="000000"/>
            </w:tcBorders>
            <w:shd w:val="clear" w:color="auto" w:fill="auto"/>
            <w:noWrap/>
            <w:vAlign w:val="bottom"/>
            <w:hideMark/>
          </w:tcPr>
          <w:p w14:paraId="3EF9502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75,000 </w:t>
            </w:r>
          </w:p>
        </w:tc>
        <w:tc>
          <w:tcPr>
            <w:tcW w:w="827" w:type="dxa"/>
            <w:tcBorders>
              <w:top w:val="nil"/>
              <w:left w:val="nil"/>
              <w:bottom w:val="single" w:sz="4" w:space="0" w:color="000000"/>
              <w:right w:val="single" w:sz="4" w:space="0" w:color="000000"/>
            </w:tcBorders>
            <w:shd w:val="clear" w:color="auto" w:fill="auto"/>
            <w:noWrap/>
            <w:vAlign w:val="bottom"/>
            <w:hideMark/>
          </w:tcPr>
          <w:p w14:paraId="7D841B7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43,000 </w:t>
            </w:r>
          </w:p>
        </w:tc>
        <w:tc>
          <w:tcPr>
            <w:tcW w:w="980" w:type="dxa"/>
            <w:tcBorders>
              <w:top w:val="single" w:sz="8" w:space="0" w:color="000000"/>
              <w:left w:val="nil"/>
              <w:bottom w:val="single" w:sz="4" w:space="0" w:color="000000"/>
              <w:right w:val="nil"/>
            </w:tcBorders>
            <w:shd w:val="clear" w:color="auto" w:fill="auto"/>
            <w:noWrap/>
            <w:vAlign w:val="bottom"/>
            <w:hideMark/>
          </w:tcPr>
          <w:p w14:paraId="501D97E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361,000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1A58D794"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107 </w:t>
            </w:r>
          </w:p>
        </w:tc>
      </w:tr>
      <w:tr w:rsidR="007A7FA3" w:rsidRPr="007A7FA3" w14:paraId="1051231C" w14:textId="77777777" w:rsidTr="007A7FA3">
        <w:trPr>
          <w:trHeight w:val="270"/>
        </w:trPr>
        <w:tc>
          <w:tcPr>
            <w:tcW w:w="1086" w:type="dxa"/>
            <w:vMerge/>
            <w:tcBorders>
              <w:top w:val="nil"/>
              <w:left w:val="single" w:sz="8" w:space="0" w:color="auto"/>
              <w:bottom w:val="nil"/>
              <w:right w:val="nil"/>
            </w:tcBorders>
            <w:vAlign w:val="center"/>
            <w:hideMark/>
          </w:tcPr>
          <w:p w14:paraId="549DBCF1"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nil"/>
              <w:right w:val="single" w:sz="4" w:space="0" w:color="000000"/>
            </w:tcBorders>
            <w:vAlign w:val="center"/>
            <w:hideMark/>
          </w:tcPr>
          <w:p w14:paraId="42665C0B"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6BE5DA73"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6BFA606A"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7F51BF69"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7E29178D"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09797888"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72400</w:t>
            </w:r>
          </w:p>
        </w:tc>
        <w:tc>
          <w:tcPr>
            <w:tcW w:w="1580" w:type="dxa"/>
            <w:tcBorders>
              <w:top w:val="nil"/>
              <w:left w:val="nil"/>
              <w:bottom w:val="single" w:sz="4" w:space="0" w:color="000000"/>
              <w:right w:val="single" w:sz="4" w:space="0" w:color="000000"/>
            </w:tcBorders>
            <w:shd w:val="clear" w:color="auto" w:fill="auto"/>
            <w:vAlign w:val="bottom"/>
            <w:hideMark/>
          </w:tcPr>
          <w:p w14:paraId="1411BA13"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Communic &amp; Audio Visual Equip</w:t>
            </w:r>
          </w:p>
        </w:tc>
        <w:tc>
          <w:tcPr>
            <w:tcW w:w="694" w:type="dxa"/>
            <w:tcBorders>
              <w:top w:val="nil"/>
              <w:left w:val="nil"/>
              <w:bottom w:val="single" w:sz="4" w:space="0" w:color="000000"/>
              <w:right w:val="single" w:sz="4" w:space="0" w:color="000000"/>
            </w:tcBorders>
            <w:shd w:val="clear" w:color="auto" w:fill="auto"/>
            <w:noWrap/>
            <w:vAlign w:val="bottom"/>
            <w:hideMark/>
          </w:tcPr>
          <w:p w14:paraId="071C150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nil"/>
              <w:left w:val="nil"/>
              <w:bottom w:val="single" w:sz="4" w:space="0" w:color="000000"/>
              <w:right w:val="single" w:sz="4" w:space="0" w:color="000000"/>
            </w:tcBorders>
            <w:shd w:val="clear" w:color="auto" w:fill="auto"/>
            <w:noWrap/>
            <w:vAlign w:val="bottom"/>
            <w:hideMark/>
          </w:tcPr>
          <w:p w14:paraId="5B5EF11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20,000 </w:t>
            </w:r>
          </w:p>
        </w:tc>
        <w:tc>
          <w:tcPr>
            <w:tcW w:w="826" w:type="dxa"/>
            <w:tcBorders>
              <w:top w:val="nil"/>
              <w:left w:val="nil"/>
              <w:bottom w:val="single" w:sz="4" w:space="0" w:color="000000"/>
              <w:right w:val="single" w:sz="4" w:space="0" w:color="000000"/>
            </w:tcBorders>
            <w:shd w:val="clear" w:color="auto" w:fill="auto"/>
            <w:noWrap/>
            <w:vAlign w:val="bottom"/>
            <w:hideMark/>
          </w:tcPr>
          <w:p w14:paraId="64534FB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64" w:type="dxa"/>
            <w:tcBorders>
              <w:top w:val="nil"/>
              <w:left w:val="nil"/>
              <w:bottom w:val="single" w:sz="4" w:space="0" w:color="000000"/>
              <w:right w:val="single" w:sz="4" w:space="0" w:color="000000"/>
            </w:tcBorders>
            <w:shd w:val="clear" w:color="auto" w:fill="auto"/>
            <w:noWrap/>
            <w:vAlign w:val="bottom"/>
            <w:hideMark/>
          </w:tcPr>
          <w:p w14:paraId="6B25722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12,000 </w:t>
            </w:r>
          </w:p>
        </w:tc>
        <w:tc>
          <w:tcPr>
            <w:tcW w:w="834" w:type="dxa"/>
            <w:tcBorders>
              <w:top w:val="nil"/>
              <w:left w:val="nil"/>
              <w:bottom w:val="single" w:sz="4" w:space="0" w:color="000000"/>
              <w:right w:val="single" w:sz="4" w:space="0" w:color="000000"/>
            </w:tcBorders>
            <w:shd w:val="clear" w:color="auto" w:fill="auto"/>
            <w:noWrap/>
            <w:vAlign w:val="bottom"/>
            <w:hideMark/>
          </w:tcPr>
          <w:p w14:paraId="1698F9C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12,000 </w:t>
            </w:r>
          </w:p>
        </w:tc>
        <w:tc>
          <w:tcPr>
            <w:tcW w:w="827" w:type="dxa"/>
            <w:tcBorders>
              <w:top w:val="nil"/>
              <w:left w:val="nil"/>
              <w:bottom w:val="single" w:sz="4" w:space="0" w:color="000000"/>
              <w:right w:val="single" w:sz="4" w:space="0" w:color="000000"/>
            </w:tcBorders>
            <w:shd w:val="clear" w:color="auto" w:fill="auto"/>
            <w:noWrap/>
            <w:vAlign w:val="bottom"/>
            <w:hideMark/>
          </w:tcPr>
          <w:p w14:paraId="05B2A5A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980" w:type="dxa"/>
            <w:tcBorders>
              <w:top w:val="single" w:sz="8" w:space="0" w:color="000000"/>
              <w:left w:val="nil"/>
              <w:bottom w:val="single" w:sz="4" w:space="0" w:color="000000"/>
              <w:right w:val="nil"/>
            </w:tcBorders>
            <w:shd w:val="clear" w:color="auto" w:fill="auto"/>
            <w:noWrap/>
            <w:vAlign w:val="bottom"/>
            <w:hideMark/>
          </w:tcPr>
          <w:p w14:paraId="3189BC2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64,000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0C03FEC3"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108 </w:t>
            </w:r>
          </w:p>
        </w:tc>
      </w:tr>
      <w:tr w:rsidR="007A7FA3" w:rsidRPr="007A7FA3" w14:paraId="3AE95F4C" w14:textId="77777777" w:rsidTr="007A7FA3">
        <w:trPr>
          <w:trHeight w:val="420"/>
        </w:trPr>
        <w:tc>
          <w:tcPr>
            <w:tcW w:w="1086" w:type="dxa"/>
            <w:vMerge/>
            <w:tcBorders>
              <w:top w:val="nil"/>
              <w:left w:val="single" w:sz="8" w:space="0" w:color="auto"/>
              <w:bottom w:val="nil"/>
              <w:right w:val="nil"/>
            </w:tcBorders>
            <w:vAlign w:val="center"/>
            <w:hideMark/>
          </w:tcPr>
          <w:p w14:paraId="13BC995B"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nil"/>
              <w:right w:val="single" w:sz="4" w:space="0" w:color="000000"/>
            </w:tcBorders>
            <w:vAlign w:val="center"/>
            <w:hideMark/>
          </w:tcPr>
          <w:p w14:paraId="4553E3AB"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3E51E605" w14:textId="77777777" w:rsidR="007A7FA3" w:rsidRPr="007A7FA3" w:rsidRDefault="007A7FA3" w:rsidP="007A7FA3">
            <w:pPr>
              <w:rPr>
                <w:rFonts w:ascii="Calibri" w:hAnsi="Calibri" w:cs="Calibri"/>
                <w:i/>
                <w:iCs/>
                <w:color w:val="000000"/>
                <w:sz w:val="13"/>
                <w:szCs w:val="13"/>
              </w:rPr>
            </w:pPr>
          </w:p>
        </w:tc>
        <w:tc>
          <w:tcPr>
            <w:tcW w:w="3763" w:type="dxa"/>
            <w:gridSpan w:val="5"/>
            <w:tcBorders>
              <w:top w:val="single" w:sz="4" w:space="0" w:color="000000"/>
              <w:left w:val="nil"/>
              <w:bottom w:val="single" w:sz="4" w:space="0" w:color="000000"/>
              <w:right w:val="single" w:sz="4" w:space="0" w:color="000000"/>
            </w:tcBorders>
            <w:shd w:val="clear" w:color="auto" w:fill="auto"/>
            <w:vAlign w:val="center"/>
            <w:hideMark/>
          </w:tcPr>
          <w:p w14:paraId="66F231EB"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Total BCC</w:t>
            </w:r>
          </w:p>
        </w:tc>
        <w:tc>
          <w:tcPr>
            <w:tcW w:w="694" w:type="dxa"/>
            <w:tcBorders>
              <w:top w:val="nil"/>
              <w:left w:val="nil"/>
              <w:bottom w:val="single" w:sz="4" w:space="0" w:color="000000"/>
              <w:right w:val="single" w:sz="4" w:space="0" w:color="000000"/>
            </w:tcBorders>
            <w:shd w:val="clear" w:color="auto" w:fill="auto"/>
            <w:noWrap/>
            <w:vAlign w:val="bottom"/>
            <w:hideMark/>
          </w:tcPr>
          <w:p w14:paraId="7471F7FC"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05" w:type="dxa"/>
            <w:tcBorders>
              <w:top w:val="nil"/>
              <w:left w:val="nil"/>
              <w:bottom w:val="single" w:sz="4" w:space="0" w:color="000000"/>
              <w:right w:val="single" w:sz="4" w:space="0" w:color="000000"/>
            </w:tcBorders>
            <w:shd w:val="clear" w:color="auto" w:fill="auto"/>
            <w:noWrap/>
            <w:vAlign w:val="bottom"/>
            <w:hideMark/>
          </w:tcPr>
          <w:p w14:paraId="534362CD"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278,000 </w:t>
            </w:r>
          </w:p>
        </w:tc>
        <w:tc>
          <w:tcPr>
            <w:tcW w:w="826" w:type="dxa"/>
            <w:tcBorders>
              <w:top w:val="nil"/>
              <w:left w:val="nil"/>
              <w:bottom w:val="single" w:sz="4" w:space="0" w:color="000000"/>
              <w:right w:val="single" w:sz="4" w:space="0" w:color="000000"/>
            </w:tcBorders>
            <w:shd w:val="clear" w:color="auto" w:fill="auto"/>
            <w:noWrap/>
            <w:vAlign w:val="bottom"/>
            <w:hideMark/>
          </w:tcPr>
          <w:p w14:paraId="5B322DCF"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195,000 </w:t>
            </w:r>
          </w:p>
        </w:tc>
        <w:tc>
          <w:tcPr>
            <w:tcW w:w="864" w:type="dxa"/>
            <w:tcBorders>
              <w:top w:val="nil"/>
              <w:left w:val="nil"/>
              <w:bottom w:val="single" w:sz="4" w:space="0" w:color="000000"/>
              <w:right w:val="single" w:sz="4" w:space="0" w:color="000000"/>
            </w:tcBorders>
            <w:shd w:val="clear" w:color="auto" w:fill="auto"/>
            <w:noWrap/>
            <w:vAlign w:val="bottom"/>
            <w:hideMark/>
          </w:tcPr>
          <w:p w14:paraId="2F144826"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202,000 </w:t>
            </w:r>
          </w:p>
        </w:tc>
        <w:tc>
          <w:tcPr>
            <w:tcW w:w="834" w:type="dxa"/>
            <w:tcBorders>
              <w:top w:val="nil"/>
              <w:left w:val="nil"/>
              <w:bottom w:val="single" w:sz="4" w:space="0" w:color="000000"/>
              <w:right w:val="single" w:sz="4" w:space="0" w:color="000000"/>
            </w:tcBorders>
            <w:shd w:val="clear" w:color="auto" w:fill="auto"/>
            <w:noWrap/>
            <w:vAlign w:val="bottom"/>
            <w:hideMark/>
          </w:tcPr>
          <w:p w14:paraId="3820AD80"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202,000 </w:t>
            </w:r>
          </w:p>
        </w:tc>
        <w:tc>
          <w:tcPr>
            <w:tcW w:w="827" w:type="dxa"/>
            <w:tcBorders>
              <w:top w:val="nil"/>
              <w:left w:val="nil"/>
              <w:bottom w:val="single" w:sz="4" w:space="0" w:color="000000"/>
              <w:right w:val="single" w:sz="4" w:space="0" w:color="000000"/>
            </w:tcBorders>
            <w:shd w:val="clear" w:color="auto" w:fill="auto"/>
            <w:noWrap/>
            <w:vAlign w:val="bottom"/>
            <w:hideMark/>
          </w:tcPr>
          <w:p w14:paraId="58ACDD37"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123,000 </w:t>
            </w:r>
          </w:p>
        </w:tc>
        <w:tc>
          <w:tcPr>
            <w:tcW w:w="980" w:type="dxa"/>
            <w:tcBorders>
              <w:top w:val="single" w:sz="8" w:space="0" w:color="000000"/>
              <w:left w:val="nil"/>
              <w:bottom w:val="single" w:sz="4" w:space="0" w:color="000000"/>
              <w:right w:val="nil"/>
            </w:tcBorders>
            <w:shd w:val="clear" w:color="auto" w:fill="auto"/>
            <w:noWrap/>
            <w:vAlign w:val="bottom"/>
            <w:hideMark/>
          </w:tcPr>
          <w:p w14:paraId="7AAF7F63"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1,000,000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39B6F532"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2107794A" w14:textId="77777777" w:rsidTr="007A7FA3">
        <w:trPr>
          <w:trHeight w:val="375"/>
        </w:trPr>
        <w:tc>
          <w:tcPr>
            <w:tcW w:w="1086" w:type="dxa"/>
            <w:vMerge/>
            <w:tcBorders>
              <w:top w:val="nil"/>
              <w:left w:val="single" w:sz="8" w:space="0" w:color="auto"/>
              <w:bottom w:val="nil"/>
              <w:right w:val="nil"/>
            </w:tcBorders>
            <w:vAlign w:val="center"/>
            <w:hideMark/>
          </w:tcPr>
          <w:p w14:paraId="25F9C22C"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nil"/>
              <w:right w:val="single" w:sz="4" w:space="0" w:color="000000"/>
            </w:tcBorders>
            <w:vAlign w:val="center"/>
            <w:hideMark/>
          </w:tcPr>
          <w:p w14:paraId="799AEA79" w14:textId="77777777" w:rsidR="007A7FA3" w:rsidRPr="007A7FA3" w:rsidRDefault="007A7FA3" w:rsidP="007A7FA3">
            <w:pPr>
              <w:rPr>
                <w:rFonts w:ascii="Calibri" w:hAnsi="Calibri" w:cs="Calibri"/>
                <w:i/>
                <w:iCs/>
                <w:color w:val="000000"/>
                <w:sz w:val="13"/>
                <w:szCs w:val="13"/>
              </w:rPr>
            </w:pPr>
          </w:p>
        </w:tc>
        <w:tc>
          <w:tcPr>
            <w:tcW w:w="5779" w:type="dxa"/>
            <w:gridSpan w:val="6"/>
            <w:tcBorders>
              <w:top w:val="single" w:sz="4" w:space="0" w:color="000000"/>
              <w:left w:val="nil"/>
              <w:bottom w:val="single" w:sz="4" w:space="0" w:color="000000"/>
              <w:right w:val="single" w:sz="4" w:space="0" w:color="000000"/>
            </w:tcBorders>
            <w:shd w:val="clear" w:color="auto" w:fill="auto"/>
            <w:vAlign w:val="center"/>
            <w:hideMark/>
          </w:tcPr>
          <w:p w14:paraId="472211A7" w14:textId="77777777" w:rsidR="007A7FA3" w:rsidRPr="007A7FA3" w:rsidRDefault="007A7FA3" w:rsidP="007A7FA3">
            <w:pPr>
              <w:rPr>
                <w:rFonts w:ascii="Calibri" w:hAnsi="Calibri" w:cs="Calibri"/>
                <w:b/>
                <w:bCs/>
                <w:i/>
                <w:iCs/>
                <w:color w:val="000000"/>
                <w:sz w:val="13"/>
                <w:szCs w:val="13"/>
              </w:rPr>
            </w:pPr>
            <w:r w:rsidRPr="007A7FA3">
              <w:rPr>
                <w:rFonts w:ascii="Calibri" w:hAnsi="Calibri" w:cs="Calibri"/>
                <w:b/>
                <w:bCs/>
                <w:i/>
                <w:iCs/>
                <w:color w:val="000000"/>
                <w:sz w:val="13"/>
                <w:szCs w:val="13"/>
              </w:rPr>
              <w:t>Total Output 4.2.1</w:t>
            </w:r>
          </w:p>
        </w:tc>
        <w:tc>
          <w:tcPr>
            <w:tcW w:w="694" w:type="dxa"/>
            <w:tcBorders>
              <w:top w:val="nil"/>
              <w:left w:val="nil"/>
              <w:bottom w:val="single" w:sz="4" w:space="0" w:color="000000"/>
              <w:right w:val="single" w:sz="4" w:space="0" w:color="000000"/>
            </w:tcBorders>
            <w:shd w:val="clear" w:color="auto" w:fill="auto"/>
            <w:noWrap/>
            <w:vAlign w:val="bottom"/>
            <w:hideMark/>
          </w:tcPr>
          <w:p w14:paraId="010C0A84"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05" w:type="dxa"/>
            <w:tcBorders>
              <w:top w:val="nil"/>
              <w:left w:val="nil"/>
              <w:bottom w:val="single" w:sz="4" w:space="0" w:color="000000"/>
              <w:right w:val="single" w:sz="4" w:space="0" w:color="000000"/>
            </w:tcBorders>
            <w:shd w:val="clear" w:color="auto" w:fill="auto"/>
            <w:noWrap/>
            <w:vAlign w:val="bottom"/>
            <w:hideMark/>
          </w:tcPr>
          <w:p w14:paraId="45FC0B12"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278,000 </w:t>
            </w:r>
          </w:p>
        </w:tc>
        <w:tc>
          <w:tcPr>
            <w:tcW w:w="826" w:type="dxa"/>
            <w:tcBorders>
              <w:top w:val="nil"/>
              <w:left w:val="nil"/>
              <w:bottom w:val="single" w:sz="4" w:space="0" w:color="000000"/>
              <w:right w:val="single" w:sz="4" w:space="0" w:color="000000"/>
            </w:tcBorders>
            <w:shd w:val="clear" w:color="auto" w:fill="auto"/>
            <w:noWrap/>
            <w:vAlign w:val="bottom"/>
            <w:hideMark/>
          </w:tcPr>
          <w:p w14:paraId="71419651"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195,000 </w:t>
            </w:r>
          </w:p>
        </w:tc>
        <w:tc>
          <w:tcPr>
            <w:tcW w:w="864" w:type="dxa"/>
            <w:tcBorders>
              <w:top w:val="nil"/>
              <w:left w:val="nil"/>
              <w:bottom w:val="single" w:sz="4" w:space="0" w:color="000000"/>
              <w:right w:val="single" w:sz="4" w:space="0" w:color="000000"/>
            </w:tcBorders>
            <w:shd w:val="clear" w:color="auto" w:fill="auto"/>
            <w:noWrap/>
            <w:vAlign w:val="bottom"/>
            <w:hideMark/>
          </w:tcPr>
          <w:p w14:paraId="7C30927D"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202,000 </w:t>
            </w:r>
          </w:p>
        </w:tc>
        <w:tc>
          <w:tcPr>
            <w:tcW w:w="834" w:type="dxa"/>
            <w:tcBorders>
              <w:top w:val="nil"/>
              <w:left w:val="nil"/>
              <w:bottom w:val="single" w:sz="4" w:space="0" w:color="000000"/>
              <w:right w:val="single" w:sz="4" w:space="0" w:color="000000"/>
            </w:tcBorders>
            <w:shd w:val="clear" w:color="auto" w:fill="auto"/>
            <w:noWrap/>
            <w:vAlign w:val="bottom"/>
            <w:hideMark/>
          </w:tcPr>
          <w:p w14:paraId="6E70C95B"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202,000 </w:t>
            </w:r>
          </w:p>
        </w:tc>
        <w:tc>
          <w:tcPr>
            <w:tcW w:w="827" w:type="dxa"/>
            <w:tcBorders>
              <w:top w:val="nil"/>
              <w:left w:val="nil"/>
              <w:bottom w:val="single" w:sz="4" w:space="0" w:color="000000"/>
              <w:right w:val="single" w:sz="4" w:space="0" w:color="000000"/>
            </w:tcBorders>
            <w:shd w:val="clear" w:color="auto" w:fill="auto"/>
            <w:noWrap/>
            <w:vAlign w:val="bottom"/>
            <w:hideMark/>
          </w:tcPr>
          <w:p w14:paraId="77E9A350"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123,000 </w:t>
            </w:r>
          </w:p>
        </w:tc>
        <w:tc>
          <w:tcPr>
            <w:tcW w:w="980" w:type="dxa"/>
            <w:tcBorders>
              <w:top w:val="nil"/>
              <w:left w:val="nil"/>
              <w:bottom w:val="single" w:sz="4" w:space="0" w:color="000000"/>
              <w:right w:val="nil"/>
            </w:tcBorders>
            <w:shd w:val="clear" w:color="auto" w:fill="auto"/>
            <w:noWrap/>
            <w:vAlign w:val="bottom"/>
            <w:hideMark/>
          </w:tcPr>
          <w:p w14:paraId="592B2C9F"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1,000,000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685BB3A4"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2B9C55D1" w14:textId="77777777" w:rsidTr="007A7FA3">
        <w:trPr>
          <w:trHeight w:val="270"/>
        </w:trPr>
        <w:tc>
          <w:tcPr>
            <w:tcW w:w="1086" w:type="dxa"/>
            <w:vMerge/>
            <w:tcBorders>
              <w:top w:val="nil"/>
              <w:left w:val="single" w:sz="8" w:space="0" w:color="auto"/>
              <w:bottom w:val="nil"/>
              <w:right w:val="nil"/>
            </w:tcBorders>
            <w:vAlign w:val="center"/>
            <w:hideMark/>
          </w:tcPr>
          <w:p w14:paraId="36C4D623"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nil"/>
              <w:right w:val="single" w:sz="4" w:space="0" w:color="000000"/>
            </w:tcBorders>
            <w:vAlign w:val="center"/>
            <w:hideMark/>
          </w:tcPr>
          <w:p w14:paraId="3857D6C8" w14:textId="77777777" w:rsidR="007A7FA3" w:rsidRPr="007A7FA3" w:rsidRDefault="007A7FA3" w:rsidP="007A7FA3">
            <w:pPr>
              <w:rPr>
                <w:rFonts w:ascii="Calibri" w:hAnsi="Calibri" w:cs="Calibri"/>
                <w:i/>
                <w:iCs/>
                <w:color w:val="000000"/>
                <w:sz w:val="13"/>
                <w:szCs w:val="13"/>
              </w:rPr>
            </w:pPr>
          </w:p>
        </w:tc>
        <w:tc>
          <w:tcPr>
            <w:tcW w:w="2016"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1CD776DF"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 xml:space="preserve">4.2.2: Feasibility for blue carbon finance assessed and viable options developed (the project will work with NGI to expand kelp harvesting (e.g. such efforts as https://kelp.blue/namibia/). </w:t>
            </w:r>
          </w:p>
        </w:tc>
        <w:tc>
          <w:tcPr>
            <w:tcW w:w="631" w:type="dxa"/>
            <w:vMerge w:val="restart"/>
            <w:tcBorders>
              <w:top w:val="nil"/>
              <w:left w:val="nil"/>
              <w:bottom w:val="nil"/>
              <w:right w:val="nil"/>
            </w:tcBorders>
            <w:shd w:val="clear" w:color="auto" w:fill="auto"/>
            <w:vAlign w:val="center"/>
            <w:hideMark/>
          </w:tcPr>
          <w:p w14:paraId="10F8160B"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BCC</w:t>
            </w:r>
          </w:p>
        </w:tc>
        <w:tc>
          <w:tcPr>
            <w:tcW w:w="504" w:type="dxa"/>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18724CFC"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val="restart"/>
            <w:tcBorders>
              <w:top w:val="nil"/>
              <w:left w:val="single" w:sz="4" w:space="0" w:color="000000"/>
              <w:bottom w:val="nil"/>
              <w:right w:val="nil"/>
            </w:tcBorders>
            <w:shd w:val="clear" w:color="auto" w:fill="auto"/>
            <w:vAlign w:val="center"/>
            <w:hideMark/>
          </w:tcPr>
          <w:p w14:paraId="740020BB"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w:t>
            </w:r>
          </w:p>
        </w:tc>
        <w:tc>
          <w:tcPr>
            <w:tcW w:w="544" w:type="dxa"/>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43F4A72F"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71200</w:t>
            </w:r>
          </w:p>
        </w:tc>
        <w:tc>
          <w:tcPr>
            <w:tcW w:w="1580" w:type="dxa"/>
            <w:tcBorders>
              <w:top w:val="single" w:sz="8" w:space="0" w:color="000000"/>
              <w:left w:val="nil"/>
              <w:bottom w:val="single" w:sz="4" w:space="0" w:color="000000"/>
              <w:right w:val="single" w:sz="4" w:space="0" w:color="000000"/>
            </w:tcBorders>
            <w:shd w:val="clear" w:color="auto" w:fill="auto"/>
            <w:vAlign w:val="bottom"/>
            <w:hideMark/>
          </w:tcPr>
          <w:p w14:paraId="1BBE9CA7"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International Consultants</w:t>
            </w:r>
          </w:p>
        </w:tc>
        <w:tc>
          <w:tcPr>
            <w:tcW w:w="694" w:type="dxa"/>
            <w:tcBorders>
              <w:top w:val="single" w:sz="8" w:space="0" w:color="000000"/>
              <w:left w:val="nil"/>
              <w:bottom w:val="single" w:sz="4" w:space="0" w:color="000000"/>
              <w:right w:val="single" w:sz="4" w:space="0" w:color="000000"/>
            </w:tcBorders>
            <w:shd w:val="clear" w:color="auto" w:fill="auto"/>
            <w:noWrap/>
            <w:vAlign w:val="bottom"/>
            <w:hideMark/>
          </w:tcPr>
          <w:p w14:paraId="7A8C7FB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single" w:sz="8" w:space="0" w:color="000000"/>
              <w:left w:val="nil"/>
              <w:bottom w:val="single" w:sz="4" w:space="0" w:color="000000"/>
              <w:right w:val="single" w:sz="4" w:space="0" w:color="000000"/>
            </w:tcBorders>
            <w:shd w:val="clear" w:color="auto" w:fill="auto"/>
            <w:noWrap/>
            <w:vAlign w:val="bottom"/>
            <w:hideMark/>
          </w:tcPr>
          <w:p w14:paraId="7B0B9F0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25,000 </w:t>
            </w:r>
          </w:p>
        </w:tc>
        <w:tc>
          <w:tcPr>
            <w:tcW w:w="826" w:type="dxa"/>
            <w:tcBorders>
              <w:top w:val="single" w:sz="8" w:space="0" w:color="000000"/>
              <w:left w:val="nil"/>
              <w:bottom w:val="single" w:sz="4" w:space="0" w:color="000000"/>
              <w:right w:val="single" w:sz="4" w:space="0" w:color="000000"/>
            </w:tcBorders>
            <w:shd w:val="clear" w:color="auto" w:fill="auto"/>
            <w:noWrap/>
            <w:vAlign w:val="bottom"/>
            <w:hideMark/>
          </w:tcPr>
          <w:p w14:paraId="07E01DB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15,000 </w:t>
            </w:r>
          </w:p>
        </w:tc>
        <w:tc>
          <w:tcPr>
            <w:tcW w:w="864" w:type="dxa"/>
            <w:tcBorders>
              <w:top w:val="single" w:sz="8" w:space="0" w:color="000000"/>
              <w:left w:val="nil"/>
              <w:bottom w:val="single" w:sz="4" w:space="0" w:color="000000"/>
              <w:right w:val="single" w:sz="4" w:space="0" w:color="000000"/>
            </w:tcBorders>
            <w:shd w:val="clear" w:color="auto" w:fill="auto"/>
            <w:noWrap/>
            <w:vAlign w:val="bottom"/>
            <w:hideMark/>
          </w:tcPr>
          <w:p w14:paraId="3BE0D76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15,000 </w:t>
            </w:r>
          </w:p>
        </w:tc>
        <w:tc>
          <w:tcPr>
            <w:tcW w:w="834" w:type="dxa"/>
            <w:tcBorders>
              <w:top w:val="single" w:sz="8" w:space="0" w:color="000000"/>
              <w:left w:val="nil"/>
              <w:bottom w:val="single" w:sz="4" w:space="0" w:color="000000"/>
              <w:right w:val="single" w:sz="4" w:space="0" w:color="000000"/>
            </w:tcBorders>
            <w:shd w:val="clear" w:color="auto" w:fill="auto"/>
            <w:noWrap/>
            <w:vAlign w:val="bottom"/>
            <w:hideMark/>
          </w:tcPr>
          <w:p w14:paraId="3BB4C07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12,000 </w:t>
            </w:r>
          </w:p>
        </w:tc>
        <w:tc>
          <w:tcPr>
            <w:tcW w:w="827" w:type="dxa"/>
            <w:tcBorders>
              <w:top w:val="single" w:sz="8" w:space="0" w:color="000000"/>
              <w:left w:val="nil"/>
              <w:bottom w:val="single" w:sz="4" w:space="0" w:color="000000"/>
              <w:right w:val="single" w:sz="4" w:space="0" w:color="000000"/>
            </w:tcBorders>
            <w:shd w:val="clear" w:color="auto" w:fill="auto"/>
            <w:noWrap/>
            <w:vAlign w:val="bottom"/>
            <w:hideMark/>
          </w:tcPr>
          <w:p w14:paraId="20498A7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12,000 </w:t>
            </w:r>
          </w:p>
        </w:tc>
        <w:tc>
          <w:tcPr>
            <w:tcW w:w="980" w:type="dxa"/>
            <w:tcBorders>
              <w:top w:val="single" w:sz="8" w:space="0" w:color="000000"/>
              <w:left w:val="nil"/>
              <w:bottom w:val="single" w:sz="4" w:space="0" w:color="000000"/>
              <w:right w:val="nil"/>
            </w:tcBorders>
            <w:shd w:val="clear" w:color="auto" w:fill="auto"/>
            <w:noWrap/>
            <w:vAlign w:val="bottom"/>
            <w:hideMark/>
          </w:tcPr>
          <w:p w14:paraId="40512E1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79,000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05626A80"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109 </w:t>
            </w:r>
          </w:p>
        </w:tc>
      </w:tr>
      <w:tr w:rsidR="007A7FA3" w:rsidRPr="007A7FA3" w14:paraId="49CBAF23" w14:textId="77777777" w:rsidTr="007A7FA3">
        <w:trPr>
          <w:trHeight w:val="240"/>
        </w:trPr>
        <w:tc>
          <w:tcPr>
            <w:tcW w:w="1086" w:type="dxa"/>
            <w:vMerge/>
            <w:tcBorders>
              <w:top w:val="nil"/>
              <w:left w:val="single" w:sz="8" w:space="0" w:color="auto"/>
              <w:bottom w:val="nil"/>
              <w:right w:val="nil"/>
            </w:tcBorders>
            <w:vAlign w:val="center"/>
            <w:hideMark/>
          </w:tcPr>
          <w:p w14:paraId="2794F7F0"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nil"/>
              <w:right w:val="single" w:sz="4" w:space="0" w:color="000000"/>
            </w:tcBorders>
            <w:vAlign w:val="center"/>
            <w:hideMark/>
          </w:tcPr>
          <w:p w14:paraId="18F870D5"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0E0D492A"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2EBC8310"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10FCB623"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49E40E78"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4D0BDC72"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71800</w:t>
            </w:r>
          </w:p>
        </w:tc>
        <w:tc>
          <w:tcPr>
            <w:tcW w:w="1580" w:type="dxa"/>
            <w:tcBorders>
              <w:top w:val="nil"/>
              <w:left w:val="nil"/>
              <w:bottom w:val="single" w:sz="4" w:space="0" w:color="000000"/>
              <w:right w:val="single" w:sz="4" w:space="0" w:color="000000"/>
            </w:tcBorders>
            <w:shd w:val="clear" w:color="auto" w:fill="auto"/>
            <w:vAlign w:val="bottom"/>
            <w:hideMark/>
          </w:tcPr>
          <w:p w14:paraId="5B14ECDC"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Contractual Services - Individuals</w:t>
            </w:r>
          </w:p>
        </w:tc>
        <w:tc>
          <w:tcPr>
            <w:tcW w:w="694" w:type="dxa"/>
            <w:tcBorders>
              <w:top w:val="nil"/>
              <w:left w:val="nil"/>
              <w:bottom w:val="single" w:sz="4" w:space="0" w:color="000000"/>
              <w:right w:val="single" w:sz="4" w:space="0" w:color="000000"/>
            </w:tcBorders>
            <w:shd w:val="clear" w:color="auto" w:fill="auto"/>
            <w:noWrap/>
            <w:vAlign w:val="bottom"/>
            <w:hideMark/>
          </w:tcPr>
          <w:p w14:paraId="4CCF9FE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nil"/>
              <w:left w:val="nil"/>
              <w:bottom w:val="single" w:sz="4" w:space="0" w:color="000000"/>
              <w:right w:val="single" w:sz="4" w:space="0" w:color="000000"/>
            </w:tcBorders>
            <w:shd w:val="clear" w:color="auto" w:fill="auto"/>
            <w:noWrap/>
            <w:vAlign w:val="bottom"/>
            <w:hideMark/>
          </w:tcPr>
          <w:p w14:paraId="5435E43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25,000 </w:t>
            </w:r>
          </w:p>
        </w:tc>
        <w:tc>
          <w:tcPr>
            <w:tcW w:w="826" w:type="dxa"/>
            <w:tcBorders>
              <w:top w:val="nil"/>
              <w:left w:val="nil"/>
              <w:bottom w:val="single" w:sz="4" w:space="0" w:color="000000"/>
              <w:right w:val="single" w:sz="4" w:space="0" w:color="000000"/>
            </w:tcBorders>
            <w:shd w:val="clear" w:color="auto" w:fill="auto"/>
            <w:noWrap/>
            <w:vAlign w:val="bottom"/>
            <w:hideMark/>
          </w:tcPr>
          <w:p w14:paraId="3280EB8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15,000 </w:t>
            </w:r>
          </w:p>
        </w:tc>
        <w:tc>
          <w:tcPr>
            <w:tcW w:w="864" w:type="dxa"/>
            <w:tcBorders>
              <w:top w:val="nil"/>
              <w:left w:val="nil"/>
              <w:bottom w:val="single" w:sz="4" w:space="0" w:color="000000"/>
              <w:right w:val="single" w:sz="4" w:space="0" w:color="000000"/>
            </w:tcBorders>
            <w:shd w:val="clear" w:color="auto" w:fill="auto"/>
            <w:noWrap/>
            <w:vAlign w:val="bottom"/>
            <w:hideMark/>
          </w:tcPr>
          <w:p w14:paraId="16D8297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15,000 </w:t>
            </w:r>
          </w:p>
        </w:tc>
        <w:tc>
          <w:tcPr>
            <w:tcW w:w="834" w:type="dxa"/>
            <w:tcBorders>
              <w:top w:val="nil"/>
              <w:left w:val="nil"/>
              <w:bottom w:val="single" w:sz="4" w:space="0" w:color="000000"/>
              <w:right w:val="single" w:sz="4" w:space="0" w:color="000000"/>
            </w:tcBorders>
            <w:shd w:val="clear" w:color="auto" w:fill="auto"/>
            <w:noWrap/>
            <w:vAlign w:val="bottom"/>
            <w:hideMark/>
          </w:tcPr>
          <w:p w14:paraId="7DBC173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11,000 </w:t>
            </w:r>
          </w:p>
        </w:tc>
        <w:tc>
          <w:tcPr>
            <w:tcW w:w="827" w:type="dxa"/>
            <w:tcBorders>
              <w:top w:val="nil"/>
              <w:left w:val="nil"/>
              <w:bottom w:val="single" w:sz="4" w:space="0" w:color="000000"/>
              <w:right w:val="single" w:sz="4" w:space="0" w:color="000000"/>
            </w:tcBorders>
            <w:shd w:val="clear" w:color="auto" w:fill="auto"/>
            <w:noWrap/>
            <w:vAlign w:val="bottom"/>
            <w:hideMark/>
          </w:tcPr>
          <w:p w14:paraId="33D2A5E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12,000 </w:t>
            </w:r>
          </w:p>
        </w:tc>
        <w:tc>
          <w:tcPr>
            <w:tcW w:w="980" w:type="dxa"/>
            <w:tcBorders>
              <w:top w:val="single" w:sz="8" w:space="0" w:color="000000"/>
              <w:left w:val="nil"/>
              <w:bottom w:val="single" w:sz="4" w:space="0" w:color="000000"/>
              <w:right w:val="nil"/>
            </w:tcBorders>
            <w:shd w:val="clear" w:color="auto" w:fill="auto"/>
            <w:noWrap/>
            <w:vAlign w:val="bottom"/>
            <w:hideMark/>
          </w:tcPr>
          <w:p w14:paraId="3332F5A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78,000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450772CB"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110 </w:t>
            </w:r>
          </w:p>
        </w:tc>
      </w:tr>
      <w:tr w:rsidR="007A7FA3" w:rsidRPr="007A7FA3" w14:paraId="099C3FDA" w14:textId="77777777" w:rsidTr="007A7FA3">
        <w:trPr>
          <w:trHeight w:val="270"/>
        </w:trPr>
        <w:tc>
          <w:tcPr>
            <w:tcW w:w="1086" w:type="dxa"/>
            <w:vMerge/>
            <w:tcBorders>
              <w:top w:val="nil"/>
              <w:left w:val="single" w:sz="8" w:space="0" w:color="auto"/>
              <w:bottom w:val="nil"/>
              <w:right w:val="nil"/>
            </w:tcBorders>
            <w:vAlign w:val="center"/>
            <w:hideMark/>
          </w:tcPr>
          <w:p w14:paraId="260A9FF1"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nil"/>
              <w:right w:val="single" w:sz="4" w:space="0" w:color="000000"/>
            </w:tcBorders>
            <w:vAlign w:val="center"/>
            <w:hideMark/>
          </w:tcPr>
          <w:p w14:paraId="00A6AC4F"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152CF851"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793EF5F1"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7F6E24EE"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3F8BC927"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70B0BF65"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71600</w:t>
            </w:r>
          </w:p>
        </w:tc>
        <w:tc>
          <w:tcPr>
            <w:tcW w:w="1580" w:type="dxa"/>
            <w:tcBorders>
              <w:top w:val="nil"/>
              <w:left w:val="nil"/>
              <w:bottom w:val="single" w:sz="4" w:space="0" w:color="000000"/>
              <w:right w:val="single" w:sz="4" w:space="0" w:color="000000"/>
            </w:tcBorders>
            <w:shd w:val="clear" w:color="auto" w:fill="auto"/>
            <w:vAlign w:val="bottom"/>
            <w:hideMark/>
          </w:tcPr>
          <w:p w14:paraId="47AB8AEA"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Travel</w:t>
            </w:r>
          </w:p>
        </w:tc>
        <w:tc>
          <w:tcPr>
            <w:tcW w:w="694" w:type="dxa"/>
            <w:tcBorders>
              <w:top w:val="nil"/>
              <w:left w:val="nil"/>
              <w:bottom w:val="single" w:sz="4" w:space="0" w:color="000000"/>
              <w:right w:val="single" w:sz="4" w:space="0" w:color="000000"/>
            </w:tcBorders>
            <w:shd w:val="clear" w:color="auto" w:fill="auto"/>
            <w:noWrap/>
            <w:vAlign w:val="bottom"/>
            <w:hideMark/>
          </w:tcPr>
          <w:p w14:paraId="1AFD0B5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nil"/>
              <w:left w:val="nil"/>
              <w:bottom w:val="single" w:sz="4" w:space="0" w:color="000000"/>
              <w:right w:val="single" w:sz="4" w:space="0" w:color="000000"/>
            </w:tcBorders>
            <w:shd w:val="clear" w:color="auto" w:fill="auto"/>
            <w:noWrap/>
            <w:vAlign w:val="bottom"/>
            <w:hideMark/>
          </w:tcPr>
          <w:p w14:paraId="78A9351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25,000 </w:t>
            </w:r>
          </w:p>
        </w:tc>
        <w:tc>
          <w:tcPr>
            <w:tcW w:w="826" w:type="dxa"/>
            <w:tcBorders>
              <w:top w:val="nil"/>
              <w:left w:val="nil"/>
              <w:bottom w:val="single" w:sz="4" w:space="0" w:color="000000"/>
              <w:right w:val="single" w:sz="4" w:space="0" w:color="000000"/>
            </w:tcBorders>
            <w:shd w:val="clear" w:color="auto" w:fill="auto"/>
            <w:noWrap/>
            <w:vAlign w:val="bottom"/>
            <w:hideMark/>
          </w:tcPr>
          <w:p w14:paraId="0E66927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15,000 </w:t>
            </w:r>
          </w:p>
        </w:tc>
        <w:tc>
          <w:tcPr>
            <w:tcW w:w="864" w:type="dxa"/>
            <w:tcBorders>
              <w:top w:val="nil"/>
              <w:left w:val="nil"/>
              <w:bottom w:val="single" w:sz="4" w:space="0" w:color="000000"/>
              <w:right w:val="single" w:sz="4" w:space="0" w:color="000000"/>
            </w:tcBorders>
            <w:shd w:val="clear" w:color="auto" w:fill="auto"/>
            <w:noWrap/>
            <w:vAlign w:val="bottom"/>
            <w:hideMark/>
          </w:tcPr>
          <w:p w14:paraId="100CBFD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15,000 </w:t>
            </w:r>
          </w:p>
        </w:tc>
        <w:tc>
          <w:tcPr>
            <w:tcW w:w="834" w:type="dxa"/>
            <w:tcBorders>
              <w:top w:val="nil"/>
              <w:left w:val="nil"/>
              <w:bottom w:val="single" w:sz="4" w:space="0" w:color="000000"/>
              <w:right w:val="single" w:sz="4" w:space="0" w:color="000000"/>
            </w:tcBorders>
            <w:shd w:val="clear" w:color="auto" w:fill="auto"/>
            <w:noWrap/>
            <w:vAlign w:val="bottom"/>
            <w:hideMark/>
          </w:tcPr>
          <w:p w14:paraId="5429275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15,000 </w:t>
            </w:r>
          </w:p>
        </w:tc>
        <w:tc>
          <w:tcPr>
            <w:tcW w:w="827" w:type="dxa"/>
            <w:tcBorders>
              <w:top w:val="nil"/>
              <w:left w:val="nil"/>
              <w:bottom w:val="single" w:sz="4" w:space="0" w:color="000000"/>
              <w:right w:val="single" w:sz="4" w:space="0" w:color="000000"/>
            </w:tcBorders>
            <w:shd w:val="clear" w:color="auto" w:fill="auto"/>
            <w:noWrap/>
            <w:vAlign w:val="bottom"/>
            <w:hideMark/>
          </w:tcPr>
          <w:p w14:paraId="49D765A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12,000 </w:t>
            </w:r>
          </w:p>
        </w:tc>
        <w:tc>
          <w:tcPr>
            <w:tcW w:w="980" w:type="dxa"/>
            <w:tcBorders>
              <w:top w:val="single" w:sz="8" w:space="0" w:color="000000"/>
              <w:left w:val="nil"/>
              <w:bottom w:val="single" w:sz="4" w:space="0" w:color="000000"/>
              <w:right w:val="nil"/>
            </w:tcBorders>
            <w:shd w:val="clear" w:color="auto" w:fill="auto"/>
            <w:noWrap/>
            <w:vAlign w:val="bottom"/>
            <w:hideMark/>
          </w:tcPr>
          <w:p w14:paraId="6763E68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82,000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7E90871C"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111 </w:t>
            </w:r>
          </w:p>
        </w:tc>
      </w:tr>
      <w:tr w:rsidR="007A7FA3" w:rsidRPr="007A7FA3" w14:paraId="71442199" w14:textId="77777777" w:rsidTr="007A7FA3">
        <w:trPr>
          <w:trHeight w:val="240"/>
        </w:trPr>
        <w:tc>
          <w:tcPr>
            <w:tcW w:w="1086" w:type="dxa"/>
            <w:vMerge/>
            <w:tcBorders>
              <w:top w:val="nil"/>
              <w:left w:val="single" w:sz="8" w:space="0" w:color="auto"/>
              <w:bottom w:val="nil"/>
              <w:right w:val="nil"/>
            </w:tcBorders>
            <w:vAlign w:val="center"/>
            <w:hideMark/>
          </w:tcPr>
          <w:p w14:paraId="4A4A3947"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nil"/>
              <w:right w:val="single" w:sz="4" w:space="0" w:color="000000"/>
            </w:tcBorders>
            <w:vAlign w:val="center"/>
            <w:hideMark/>
          </w:tcPr>
          <w:p w14:paraId="1C8443A5"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1923C52B"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0C4FCD41"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6C81E6CA"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4E7FCBB8"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17B720E5"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72100</w:t>
            </w:r>
          </w:p>
        </w:tc>
        <w:tc>
          <w:tcPr>
            <w:tcW w:w="1580" w:type="dxa"/>
            <w:tcBorders>
              <w:top w:val="nil"/>
              <w:left w:val="nil"/>
              <w:bottom w:val="single" w:sz="4" w:space="0" w:color="000000"/>
              <w:right w:val="single" w:sz="4" w:space="0" w:color="000000"/>
            </w:tcBorders>
            <w:shd w:val="clear" w:color="auto" w:fill="auto"/>
            <w:vAlign w:val="bottom"/>
            <w:hideMark/>
          </w:tcPr>
          <w:p w14:paraId="6775BCDE"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Contractual Services - Companies</w:t>
            </w:r>
          </w:p>
        </w:tc>
        <w:tc>
          <w:tcPr>
            <w:tcW w:w="694" w:type="dxa"/>
            <w:tcBorders>
              <w:top w:val="nil"/>
              <w:left w:val="nil"/>
              <w:bottom w:val="single" w:sz="4" w:space="0" w:color="000000"/>
              <w:right w:val="single" w:sz="4" w:space="0" w:color="000000"/>
            </w:tcBorders>
            <w:shd w:val="clear" w:color="auto" w:fill="auto"/>
            <w:noWrap/>
            <w:vAlign w:val="bottom"/>
            <w:hideMark/>
          </w:tcPr>
          <w:p w14:paraId="2ADB7C0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nil"/>
              <w:left w:val="nil"/>
              <w:bottom w:val="single" w:sz="4" w:space="0" w:color="000000"/>
              <w:right w:val="single" w:sz="4" w:space="0" w:color="000000"/>
            </w:tcBorders>
            <w:shd w:val="clear" w:color="auto" w:fill="auto"/>
            <w:noWrap/>
            <w:vAlign w:val="bottom"/>
            <w:hideMark/>
          </w:tcPr>
          <w:p w14:paraId="4131B0D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32,000 </w:t>
            </w:r>
          </w:p>
        </w:tc>
        <w:tc>
          <w:tcPr>
            <w:tcW w:w="826" w:type="dxa"/>
            <w:tcBorders>
              <w:top w:val="nil"/>
              <w:left w:val="nil"/>
              <w:bottom w:val="single" w:sz="4" w:space="0" w:color="000000"/>
              <w:right w:val="single" w:sz="4" w:space="0" w:color="000000"/>
            </w:tcBorders>
            <w:shd w:val="clear" w:color="auto" w:fill="auto"/>
            <w:noWrap/>
            <w:vAlign w:val="bottom"/>
            <w:hideMark/>
          </w:tcPr>
          <w:p w14:paraId="2A593C6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20,000 </w:t>
            </w:r>
          </w:p>
        </w:tc>
        <w:tc>
          <w:tcPr>
            <w:tcW w:w="864" w:type="dxa"/>
            <w:tcBorders>
              <w:top w:val="nil"/>
              <w:left w:val="nil"/>
              <w:bottom w:val="single" w:sz="4" w:space="0" w:color="000000"/>
              <w:right w:val="single" w:sz="4" w:space="0" w:color="000000"/>
            </w:tcBorders>
            <w:shd w:val="clear" w:color="auto" w:fill="auto"/>
            <w:noWrap/>
            <w:vAlign w:val="bottom"/>
            <w:hideMark/>
          </w:tcPr>
          <w:p w14:paraId="3C70477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20,000 </w:t>
            </w:r>
          </w:p>
        </w:tc>
        <w:tc>
          <w:tcPr>
            <w:tcW w:w="834" w:type="dxa"/>
            <w:tcBorders>
              <w:top w:val="nil"/>
              <w:left w:val="nil"/>
              <w:bottom w:val="single" w:sz="4" w:space="0" w:color="000000"/>
              <w:right w:val="single" w:sz="4" w:space="0" w:color="000000"/>
            </w:tcBorders>
            <w:shd w:val="clear" w:color="auto" w:fill="auto"/>
            <w:noWrap/>
            <w:vAlign w:val="bottom"/>
            <w:hideMark/>
          </w:tcPr>
          <w:p w14:paraId="3A73661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20,000 </w:t>
            </w:r>
          </w:p>
        </w:tc>
        <w:tc>
          <w:tcPr>
            <w:tcW w:w="827" w:type="dxa"/>
            <w:tcBorders>
              <w:top w:val="nil"/>
              <w:left w:val="nil"/>
              <w:bottom w:val="single" w:sz="4" w:space="0" w:color="000000"/>
              <w:right w:val="single" w:sz="4" w:space="0" w:color="000000"/>
            </w:tcBorders>
            <w:shd w:val="clear" w:color="auto" w:fill="auto"/>
            <w:noWrap/>
            <w:vAlign w:val="bottom"/>
            <w:hideMark/>
          </w:tcPr>
          <w:p w14:paraId="78207ED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15,000 </w:t>
            </w:r>
          </w:p>
        </w:tc>
        <w:tc>
          <w:tcPr>
            <w:tcW w:w="980" w:type="dxa"/>
            <w:tcBorders>
              <w:top w:val="single" w:sz="8" w:space="0" w:color="000000"/>
              <w:left w:val="nil"/>
              <w:bottom w:val="single" w:sz="4" w:space="0" w:color="000000"/>
              <w:right w:val="nil"/>
            </w:tcBorders>
            <w:shd w:val="clear" w:color="auto" w:fill="auto"/>
            <w:noWrap/>
            <w:vAlign w:val="bottom"/>
            <w:hideMark/>
          </w:tcPr>
          <w:p w14:paraId="11AEA29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107,000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73A08CBD"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112 </w:t>
            </w:r>
          </w:p>
        </w:tc>
      </w:tr>
      <w:tr w:rsidR="007A7FA3" w:rsidRPr="007A7FA3" w14:paraId="4F22B0D1" w14:textId="77777777" w:rsidTr="007A7FA3">
        <w:trPr>
          <w:trHeight w:val="285"/>
        </w:trPr>
        <w:tc>
          <w:tcPr>
            <w:tcW w:w="1086" w:type="dxa"/>
            <w:vMerge/>
            <w:tcBorders>
              <w:top w:val="nil"/>
              <w:left w:val="single" w:sz="8" w:space="0" w:color="auto"/>
              <w:bottom w:val="nil"/>
              <w:right w:val="nil"/>
            </w:tcBorders>
            <w:vAlign w:val="center"/>
            <w:hideMark/>
          </w:tcPr>
          <w:p w14:paraId="5DC9DCFF"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nil"/>
              <w:right w:val="single" w:sz="4" w:space="0" w:color="000000"/>
            </w:tcBorders>
            <w:vAlign w:val="center"/>
            <w:hideMark/>
          </w:tcPr>
          <w:p w14:paraId="24300A90"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62120DAD"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69A39E1B"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44F5601A"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1474ADAC"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5B376C5C"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72400</w:t>
            </w:r>
          </w:p>
        </w:tc>
        <w:tc>
          <w:tcPr>
            <w:tcW w:w="1580" w:type="dxa"/>
            <w:tcBorders>
              <w:top w:val="nil"/>
              <w:left w:val="nil"/>
              <w:bottom w:val="single" w:sz="4" w:space="0" w:color="000000"/>
              <w:right w:val="single" w:sz="4" w:space="0" w:color="000000"/>
            </w:tcBorders>
            <w:shd w:val="clear" w:color="auto" w:fill="auto"/>
            <w:vAlign w:val="bottom"/>
            <w:hideMark/>
          </w:tcPr>
          <w:p w14:paraId="7844ED32"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Communic &amp; Audio Visual Equip</w:t>
            </w:r>
          </w:p>
        </w:tc>
        <w:tc>
          <w:tcPr>
            <w:tcW w:w="694" w:type="dxa"/>
            <w:tcBorders>
              <w:top w:val="nil"/>
              <w:left w:val="nil"/>
              <w:bottom w:val="single" w:sz="4" w:space="0" w:color="000000"/>
              <w:right w:val="single" w:sz="4" w:space="0" w:color="000000"/>
            </w:tcBorders>
            <w:shd w:val="clear" w:color="auto" w:fill="auto"/>
            <w:noWrap/>
            <w:vAlign w:val="bottom"/>
            <w:hideMark/>
          </w:tcPr>
          <w:p w14:paraId="074C86F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nil"/>
              <w:left w:val="nil"/>
              <w:bottom w:val="single" w:sz="4" w:space="0" w:color="000000"/>
              <w:right w:val="single" w:sz="4" w:space="0" w:color="000000"/>
            </w:tcBorders>
            <w:shd w:val="clear" w:color="auto" w:fill="auto"/>
            <w:noWrap/>
            <w:vAlign w:val="bottom"/>
            <w:hideMark/>
          </w:tcPr>
          <w:p w14:paraId="1DE23F2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18,000 </w:t>
            </w:r>
          </w:p>
        </w:tc>
        <w:tc>
          <w:tcPr>
            <w:tcW w:w="826" w:type="dxa"/>
            <w:tcBorders>
              <w:top w:val="nil"/>
              <w:left w:val="nil"/>
              <w:bottom w:val="single" w:sz="4" w:space="0" w:color="000000"/>
              <w:right w:val="single" w:sz="4" w:space="0" w:color="000000"/>
            </w:tcBorders>
            <w:shd w:val="clear" w:color="auto" w:fill="auto"/>
            <w:noWrap/>
            <w:vAlign w:val="bottom"/>
            <w:hideMark/>
          </w:tcPr>
          <w:p w14:paraId="0B9D35A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64" w:type="dxa"/>
            <w:tcBorders>
              <w:top w:val="nil"/>
              <w:left w:val="nil"/>
              <w:bottom w:val="single" w:sz="4" w:space="0" w:color="000000"/>
              <w:right w:val="single" w:sz="4" w:space="0" w:color="000000"/>
            </w:tcBorders>
            <w:shd w:val="clear" w:color="auto" w:fill="auto"/>
            <w:noWrap/>
            <w:vAlign w:val="bottom"/>
            <w:hideMark/>
          </w:tcPr>
          <w:p w14:paraId="291F040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34" w:type="dxa"/>
            <w:tcBorders>
              <w:top w:val="nil"/>
              <w:left w:val="nil"/>
              <w:bottom w:val="single" w:sz="4" w:space="0" w:color="000000"/>
              <w:right w:val="single" w:sz="4" w:space="0" w:color="000000"/>
            </w:tcBorders>
            <w:shd w:val="clear" w:color="auto" w:fill="auto"/>
            <w:noWrap/>
            <w:vAlign w:val="bottom"/>
            <w:hideMark/>
          </w:tcPr>
          <w:p w14:paraId="25EA76A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27" w:type="dxa"/>
            <w:tcBorders>
              <w:top w:val="nil"/>
              <w:left w:val="nil"/>
              <w:bottom w:val="single" w:sz="4" w:space="0" w:color="000000"/>
              <w:right w:val="single" w:sz="4" w:space="0" w:color="000000"/>
            </w:tcBorders>
            <w:shd w:val="clear" w:color="auto" w:fill="auto"/>
            <w:noWrap/>
            <w:vAlign w:val="bottom"/>
            <w:hideMark/>
          </w:tcPr>
          <w:p w14:paraId="2ED5E28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6,000 </w:t>
            </w:r>
          </w:p>
        </w:tc>
        <w:tc>
          <w:tcPr>
            <w:tcW w:w="980" w:type="dxa"/>
            <w:tcBorders>
              <w:top w:val="single" w:sz="8" w:space="0" w:color="000000"/>
              <w:left w:val="nil"/>
              <w:bottom w:val="single" w:sz="4" w:space="0" w:color="000000"/>
              <w:right w:val="nil"/>
            </w:tcBorders>
            <w:shd w:val="clear" w:color="auto" w:fill="auto"/>
            <w:noWrap/>
            <w:vAlign w:val="bottom"/>
            <w:hideMark/>
          </w:tcPr>
          <w:p w14:paraId="5E5FCE9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54,000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1C85ABF6"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113 </w:t>
            </w:r>
          </w:p>
        </w:tc>
      </w:tr>
      <w:tr w:rsidR="007A7FA3" w:rsidRPr="007A7FA3" w14:paraId="3D6E81AF" w14:textId="77777777" w:rsidTr="007A7FA3">
        <w:trPr>
          <w:trHeight w:val="240"/>
        </w:trPr>
        <w:tc>
          <w:tcPr>
            <w:tcW w:w="1086" w:type="dxa"/>
            <w:vMerge/>
            <w:tcBorders>
              <w:top w:val="nil"/>
              <w:left w:val="single" w:sz="8" w:space="0" w:color="auto"/>
              <w:bottom w:val="nil"/>
              <w:right w:val="nil"/>
            </w:tcBorders>
            <w:vAlign w:val="center"/>
            <w:hideMark/>
          </w:tcPr>
          <w:p w14:paraId="00E62177"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nil"/>
              <w:right w:val="single" w:sz="4" w:space="0" w:color="000000"/>
            </w:tcBorders>
            <w:vAlign w:val="center"/>
            <w:hideMark/>
          </w:tcPr>
          <w:p w14:paraId="179E760D"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35237D75" w14:textId="77777777" w:rsidR="007A7FA3" w:rsidRPr="007A7FA3" w:rsidRDefault="007A7FA3" w:rsidP="007A7FA3">
            <w:pPr>
              <w:rPr>
                <w:rFonts w:ascii="Calibri" w:hAnsi="Calibri" w:cs="Calibri"/>
                <w:i/>
                <w:iCs/>
                <w:color w:val="000000"/>
                <w:sz w:val="13"/>
                <w:szCs w:val="13"/>
              </w:rPr>
            </w:pPr>
          </w:p>
        </w:tc>
        <w:tc>
          <w:tcPr>
            <w:tcW w:w="3763" w:type="dxa"/>
            <w:gridSpan w:val="5"/>
            <w:tcBorders>
              <w:top w:val="single" w:sz="4" w:space="0" w:color="000000"/>
              <w:left w:val="nil"/>
              <w:bottom w:val="single" w:sz="4" w:space="0" w:color="000000"/>
              <w:right w:val="single" w:sz="4" w:space="0" w:color="000000"/>
            </w:tcBorders>
            <w:shd w:val="clear" w:color="auto" w:fill="auto"/>
            <w:vAlign w:val="center"/>
            <w:hideMark/>
          </w:tcPr>
          <w:p w14:paraId="2D90C157"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Total BCC</w:t>
            </w:r>
          </w:p>
        </w:tc>
        <w:tc>
          <w:tcPr>
            <w:tcW w:w="694" w:type="dxa"/>
            <w:tcBorders>
              <w:top w:val="nil"/>
              <w:left w:val="nil"/>
              <w:bottom w:val="single" w:sz="4" w:space="0" w:color="000000"/>
              <w:right w:val="single" w:sz="4" w:space="0" w:color="000000"/>
            </w:tcBorders>
            <w:shd w:val="clear" w:color="auto" w:fill="auto"/>
            <w:noWrap/>
            <w:vAlign w:val="bottom"/>
            <w:hideMark/>
          </w:tcPr>
          <w:p w14:paraId="255601E8"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05" w:type="dxa"/>
            <w:tcBorders>
              <w:top w:val="nil"/>
              <w:left w:val="nil"/>
              <w:bottom w:val="single" w:sz="4" w:space="0" w:color="000000"/>
              <w:right w:val="single" w:sz="4" w:space="0" w:color="000000"/>
            </w:tcBorders>
            <w:shd w:val="clear" w:color="auto" w:fill="auto"/>
            <w:noWrap/>
            <w:vAlign w:val="bottom"/>
            <w:hideMark/>
          </w:tcPr>
          <w:p w14:paraId="6F93F490"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125,000 </w:t>
            </w:r>
          </w:p>
        </w:tc>
        <w:tc>
          <w:tcPr>
            <w:tcW w:w="826" w:type="dxa"/>
            <w:tcBorders>
              <w:top w:val="nil"/>
              <w:left w:val="nil"/>
              <w:bottom w:val="single" w:sz="4" w:space="0" w:color="000000"/>
              <w:right w:val="single" w:sz="4" w:space="0" w:color="000000"/>
            </w:tcBorders>
            <w:shd w:val="clear" w:color="auto" w:fill="auto"/>
            <w:noWrap/>
            <w:vAlign w:val="bottom"/>
            <w:hideMark/>
          </w:tcPr>
          <w:p w14:paraId="1A1A2141"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75,000 </w:t>
            </w:r>
          </w:p>
        </w:tc>
        <w:tc>
          <w:tcPr>
            <w:tcW w:w="864" w:type="dxa"/>
            <w:tcBorders>
              <w:top w:val="nil"/>
              <w:left w:val="nil"/>
              <w:bottom w:val="single" w:sz="4" w:space="0" w:color="000000"/>
              <w:right w:val="single" w:sz="4" w:space="0" w:color="000000"/>
            </w:tcBorders>
            <w:shd w:val="clear" w:color="auto" w:fill="auto"/>
            <w:noWrap/>
            <w:vAlign w:val="bottom"/>
            <w:hideMark/>
          </w:tcPr>
          <w:p w14:paraId="777A69E4"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75,000 </w:t>
            </w:r>
          </w:p>
        </w:tc>
        <w:tc>
          <w:tcPr>
            <w:tcW w:w="834" w:type="dxa"/>
            <w:tcBorders>
              <w:top w:val="nil"/>
              <w:left w:val="nil"/>
              <w:bottom w:val="single" w:sz="4" w:space="0" w:color="000000"/>
              <w:right w:val="single" w:sz="4" w:space="0" w:color="000000"/>
            </w:tcBorders>
            <w:shd w:val="clear" w:color="auto" w:fill="auto"/>
            <w:noWrap/>
            <w:vAlign w:val="bottom"/>
            <w:hideMark/>
          </w:tcPr>
          <w:p w14:paraId="2E3D4145"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68,000 </w:t>
            </w:r>
          </w:p>
        </w:tc>
        <w:tc>
          <w:tcPr>
            <w:tcW w:w="827" w:type="dxa"/>
            <w:tcBorders>
              <w:top w:val="nil"/>
              <w:left w:val="nil"/>
              <w:bottom w:val="single" w:sz="4" w:space="0" w:color="000000"/>
              <w:right w:val="single" w:sz="4" w:space="0" w:color="000000"/>
            </w:tcBorders>
            <w:shd w:val="clear" w:color="auto" w:fill="auto"/>
            <w:noWrap/>
            <w:vAlign w:val="bottom"/>
            <w:hideMark/>
          </w:tcPr>
          <w:p w14:paraId="7EFDCE34"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57,000 </w:t>
            </w:r>
          </w:p>
        </w:tc>
        <w:tc>
          <w:tcPr>
            <w:tcW w:w="980" w:type="dxa"/>
            <w:tcBorders>
              <w:top w:val="single" w:sz="8" w:space="0" w:color="000000"/>
              <w:left w:val="nil"/>
              <w:bottom w:val="single" w:sz="4" w:space="0" w:color="000000"/>
              <w:right w:val="nil"/>
            </w:tcBorders>
            <w:shd w:val="clear" w:color="auto" w:fill="auto"/>
            <w:noWrap/>
            <w:vAlign w:val="bottom"/>
            <w:hideMark/>
          </w:tcPr>
          <w:p w14:paraId="69DC8E6F"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400,000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4D5127BE"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03146D81" w14:textId="77777777" w:rsidTr="007A7FA3">
        <w:trPr>
          <w:trHeight w:val="255"/>
        </w:trPr>
        <w:tc>
          <w:tcPr>
            <w:tcW w:w="1086" w:type="dxa"/>
            <w:vMerge/>
            <w:tcBorders>
              <w:top w:val="nil"/>
              <w:left w:val="single" w:sz="8" w:space="0" w:color="auto"/>
              <w:bottom w:val="nil"/>
              <w:right w:val="nil"/>
            </w:tcBorders>
            <w:vAlign w:val="center"/>
            <w:hideMark/>
          </w:tcPr>
          <w:p w14:paraId="5371F25C"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nil"/>
              <w:right w:val="single" w:sz="4" w:space="0" w:color="000000"/>
            </w:tcBorders>
            <w:vAlign w:val="center"/>
            <w:hideMark/>
          </w:tcPr>
          <w:p w14:paraId="556BA0D1" w14:textId="77777777" w:rsidR="007A7FA3" w:rsidRPr="007A7FA3" w:rsidRDefault="007A7FA3" w:rsidP="007A7FA3">
            <w:pPr>
              <w:rPr>
                <w:rFonts w:ascii="Calibri" w:hAnsi="Calibri" w:cs="Calibri"/>
                <w:i/>
                <w:iCs/>
                <w:color w:val="000000"/>
                <w:sz w:val="13"/>
                <w:szCs w:val="13"/>
              </w:rPr>
            </w:pPr>
          </w:p>
        </w:tc>
        <w:tc>
          <w:tcPr>
            <w:tcW w:w="5779" w:type="dxa"/>
            <w:gridSpan w:val="6"/>
            <w:tcBorders>
              <w:top w:val="nil"/>
              <w:left w:val="nil"/>
              <w:bottom w:val="single" w:sz="4" w:space="0" w:color="000000"/>
              <w:right w:val="single" w:sz="4" w:space="0" w:color="000000"/>
            </w:tcBorders>
            <w:shd w:val="clear" w:color="auto" w:fill="auto"/>
            <w:vAlign w:val="center"/>
            <w:hideMark/>
          </w:tcPr>
          <w:p w14:paraId="1D055343" w14:textId="77777777" w:rsidR="007A7FA3" w:rsidRPr="007A7FA3" w:rsidRDefault="007A7FA3" w:rsidP="007A7FA3">
            <w:pPr>
              <w:rPr>
                <w:rFonts w:ascii="Calibri" w:hAnsi="Calibri" w:cs="Calibri"/>
                <w:b/>
                <w:bCs/>
                <w:i/>
                <w:iCs/>
                <w:color w:val="000000"/>
                <w:sz w:val="13"/>
                <w:szCs w:val="13"/>
              </w:rPr>
            </w:pPr>
            <w:r w:rsidRPr="007A7FA3">
              <w:rPr>
                <w:rFonts w:ascii="Calibri" w:hAnsi="Calibri" w:cs="Calibri"/>
                <w:b/>
                <w:bCs/>
                <w:i/>
                <w:iCs/>
                <w:color w:val="000000"/>
                <w:sz w:val="13"/>
                <w:szCs w:val="13"/>
              </w:rPr>
              <w:t>Total Output 4.2.2</w:t>
            </w:r>
          </w:p>
        </w:tc>
        <w:tc>
          <w:tcPr>
            <w:tcW w:w="694" w:type="dxa"/>
            <w:tcBorders>
              <w:top w:val="nil"/>
              <w:left w:val="nil"/>
              <w:bottom w:val="single" w:sz="4" w:space="0" w:color="000000"/>
              <w:right w:val="single" w:sz="4" w:space="0" w:color="000000"/>
            </w:tcBorders>
            <w:shd w:val="clear" w:color="auto" w:fill="auto"/>
            <w:noWrap/>
            <w:vAlign w:val="bottom"/>
            <w:hideMark/>
          </w:tcPr>
          <w:p w14:paraId="7057E2F1"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05" w:type="dxa"/>
            <w:tcBorders>
              <w:top w:val="nil"/>
              <w:left w:val="nil"/>
              <w:bottom w:val="single" w:sz="4" w:space="0" w:color="000000"/>
              <w:right w:val="single" w:sz="4" w:space="0" w:color="000000"/>
            </w:tcBorders>
            <w:shd w:val="clear" w:color="auto" w:fill="auto"/>
            <w:noWrap/>
            <w:vAlign w:val="bottom"/>
            <w:hideMark/>
          </w:tcPr>
          <w:p w14:paraId="76AA1AD4"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125,000 </w:t>
            </w:r>
          </w:p>
        </w:tc>
        <w:tc>
          <w:tcPr>
            <w:tcW w:w="826" w:type="dxa"/>
            <w:tcBorders>
              <w:top w:val="nil"/>
              <w:left w:val="nil"/>
              <w:bottom w:val="single" w:sz="4" w:space="0" w:color="000000"/>
              <w:right w:val="single" w:sz="4" w:space="0" w:color="000000"/>
            </w:tcBorders>
            <w:shd w:val="clear" w:color="auto" w:fill="auto"/>
            <w:noWrap/>
            <w:vAlign w:val="bottom"/>
            <w:hideMark/>
          </w:tcPr>
          <w:p w14:paraId="76D42AC7"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75,000 </w:t>
            </w:r>
          </w:p>
        </w:tc>
        <w:tc>
          <w:tcPr>
            <w:tcW w:w="864" w:type="dxa"/>
            <w:tcBorders>
              <w:top w:val="nil"/>
              <w:left w:val="nil"/>
              <w:bottom w:val="single" w:sz="4" w:space="0" w:color="000000"/>
              <w:right w:val="single" w:sz="4" w:space="0" w:color="000000"/>
            </w:tcBorders>
            <w:shd w:val="clear" w:color="auto" w:fill="auto"/>
            <w:noWrap/>
            <w:vAlign w:val="bottom"/>
            <w:hideMark/>
          </w:tcPr>
          <w:p w14:paraId="447A068F"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75,000 </w:t>
            </w:r>
          </w:p>
        </w:tc>
        <w:tc>
          <w:tcPr>
            <w:tcW w:w="834" w:type="dxa"/>
            <w:tcBorders>
              <w:top w:val="nil"/>
              <w:left w:val="nil"/>
              <w:bottom w:val="single" w:sz="4" w:space="0" w:color="000000"/>
              <w:right w:val="single" w:sz="4" w:space="0" w:color="000000"/>
            </w:tcBorders>
            <w:shd w:val="clear" w:color="auto" w:fill="auto"/>
            <w:noWrap/>
            <w:vAlign w:val="bottom"/>
            <w:hideMark/>
          </w:tcPr>
          <w:p w14:paraId="185A75F1"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68,000 </w:t>
            </w:r>
          </w:p>
        </w:tc>
        <w:tc>
          <w:tcPr>
            <w:tcW w:w="827" w:type="dxa"/>
            <w:tcBorders>
              <w:top w:val="nil"/>
              <w:left w:val="nil"/>
              <w:bottom w:val="single" w:sz="4" w:space="0" w:color="000000"/>
              <w:right w:val="single" w:sz="4" w:space="0" w:color="000000"/>
            </w:tcBorders>
            <w:shd w:val="clear" w:color="auto" w:fill="auto"/>
            <w:noWrap/>
            <w:vAlign w:val="bottom"/>
            <w:hideMark/>
          </w:tcPr>
          <w:p w14:paraId="616B57CB"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57,000 </w:t>
            </w:r>
          </w:p>
        </w:tc>
        <w:tc>
          <w:tcPr>
            <w:tcW w:w="980" w:type="dxa"/>
            <w:tcBorders>
              <w:top w:val="nil"/>
              <w:left w:val="nil"/>
              <w:bottom w:val="single" w:sz="4" w:space="0" w:color="000000"/>
              <w:right w:val="nil"/>
            </w:tcBorders>
            <w:shd w:val="clear" w:color="auto" w:fill="auto"/>
            <w:noWrap/>
            <w:vAlign w:val="bottom"/>
            <w:hideMark/>
          </w:tcPr>
          <w:p w14:paraId="6E13FE41"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400,000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100DF8F4"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01610A2D" w14:textId="77777777" w:rsidTr="007A7FA3">
        <w:trPr>
          <w:trHeight w:val="300"/>
        </w:trPr>
        <w:tc>
          <w:tcPr>
            <w:tcW w:w="1086" w:type="dxa"/>
            <w:vMerge/>
            <w:tcBorders>
              <w:top w:val="nil"/>
              <w:left w:val="single" w:sz="8" w:space="0" w:color="auto"/>
              <w:bottom w:val="nil"/>
              <w:right w:val="nil"/>
            </w:tcBorders>
            <w:vAlign w:val="center"/>
            <w:hideMark/>
          </w:tcPr>
          <w:p w14:paraId="41B99E91"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nil"/>
              <w:right w:val="single" w:sz="4" w:space="0" w:color="000000"/>
            </w:tcBorders>
            <w:vAlign w:val="center"/>
            <w:hideMark/>
          </w:tcPr>
          <w:p w14:paraId="0904FD12" w14:textId="77777777" w:rsidR="007A7FA3" w:rsidRPr="007A7FA3" w:rsidRDefault="007A7FA3" w:rsidP="007A7FA3">
            <w:pPr>
              <w:rPr>
                <w:rFonts w:ascii="Calibri" w:hAnsi="Calibri" w:cs="Calibri"/>
                <w:i/>
                <w:iCs/>
                <w:color w:val="000000"/>
                <w:sz w:val="13"/>
                <w:szCs w:val="13"/>
              </w:rPr>
            </w:pPr>
          </w:p>
        </w:tc>
        <w:tc>
          <w:tcPr>
            <w:tcW w:w="2016" w:type="dxa"/>
            <w:vMerge w:val="restart"/>
            <w:tcBorders>
              <w:top w:val="nil"/>
              <w:left w:val="single" w:sz="4" w:space="0" w:color="000000"/>
              <w:bottom w:val="nil"/>
              <w:right w:val="single" w:sz="4" w:space="0" w:color="000000"/>
            </w:tcBorders>
            <w:shd w:val="clear" w:color="auto" w:fill="auto"/>
            <w:vAlign w:val="center"/>
            <w:hideMark/>
          </w:tcPr>
          <w:p w14:paraId="1F6D3E3C"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 xml:space="preserve">4.2.3: Blue carbon finance mechanism developed and implemented </w:t>
            </w:r>
          </w:p>
        </w:tc>
        <w:tc>
          <w:tcPr>
            <w:tcW w:w="631" w:type="dxa"/>
            <w:vMerge w:val="restart"/>
            <w:tcBorders>
              <w:top w:val="nil"/>
              <w:left w:val="nil"/>
              <w:bottom w:val="nil"/>
              <w:right w:val="nil"/>
            </w:tcBorders>
            <w:shd w:val="clear" w:color="auto" w:fill="auto"/>
            <w:vAlign w:val="center"/>
            <w:hideMark/>
          </w:tcPr>
          <w:p w14:paraId="3CF93B18"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BCC</w:t>
            </w:r>
          </w:p>
        </w:tc>
        <w:tc>
          <w:tcPr>
            <w:tcW w:w="504" w:type="dxa"/>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405CE382"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val="restart"/>
            <w:tcBorders>
              <w:top w:val="nil"/>
              <w:left w:val="single" w:sz="4" w:space="0" w:color="000000"/>
              <w:bottom w:val="nil"/>
              <w:right w:val="nil"/>
            </w:tcBorders>
            <w:shd w:val="clear" w:color="auto" w:fill="auto"/>
            <w:vAlign w:val="center"/>
            <w:hideMark/>
          </w:tcPr>
          <w:p w14:paraId="4690B942"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w:t>
            </w:r>
          </w:p>
        </w:tc>
        <w:tc>
          <w:tcPr>
            <w:tcW w:w="544" w:type="dxa"/>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391FFA4F"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71200</w:t>
            </w:r>
          </w:p>
        </w:tc>
        <w:tc>
          <w:tcPr>
            <w:tcW w:w="1580" w:type="dxa"/>
            <w:tcBorders>
              <w:top w:val="single" w:sz="8" w:space="0" w:color="000000"/>
              <w:left w:val="nil"/>
              <w:bottom w:val="single" w:sz="4" w:space="0" w:color="000000"/>
              <w:right w:val="single" w:sz="4" w:space="0" w:color="000000"/>
            </w:tcBorders>
            <w:shd w:val="clear" w:color="auto" w:fill="auto"/>
            <w:vAlign w:val="bottom"/>
            <w:hideMark/>
          </w:tcPr>
          <w:p w14:paraId="1AD280AB"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International Consultants</w:t>
            </w:r>
          </w:p>
        </w:tc>
        <w:tc>
          <w:tcPr>
            <w:tcW w:w="694" w:type="dxa"/>
            <w:tcBorders>
              <w:top w:val="single" w:sz="8" w:space="0" w:color="000000"/>
              <w:left w:val="nil"/>
              <w:bottom w:val="single" w:sz="4" w:space="0" w:color="000000"/>
              <w:right w:val="single" w:sz="4" w:space="0" w:color="000000"/>
            </w:tcBorders>
            <w:shd w:val="clear" w:color="auto" w:fill="auto"/>
            <w:noWrap/>
            <w:vAlign w:val="bottom"/>
            <w:hideMark/>
          </w:tcPr>
          <w:p w14:paraId="189EDD0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single" w:sz="8" w:space="0" w:color="000000"/>
              <w:left w:val="nil"/>
              <w:bottom w:val="single" w:sz="4" w:space="0" w:color="000000"/>
              <w:right w:val="single" w:sz="4" w:space="0" w:color="000000"/>
            </w:tcBorders>
            <w:shd w:val="clear" w:color="auto" w:fill="auto"/>
            <w:noWrap/>
            <w:vAlign w:val="bottom"/>
            <w:hideMark/>
          </w:tcPr>
          <w:p w14:paraId="219295F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115,000 </w:t>
            </w:r>
          </w:p>
        </w:tc>
        <w:tc>
          <w:tcPr>
            <w:tcW w:w="826" w:type="dxa"/>
            <w:tcBorders>
              <w:top w:val="single" w:sz="8" w:space="0" w:color="000000"/>
              <w:left w:val="nil"/>
              <w:bottom w:val="single" w:sz="4" w:space="0" w:color="000000"/>
              <w:right w:val="single" w:sz="4" w:space="0" w:color="000000"/>
            </w:tcBorders>
            <w:shd w:val="clear" w:color="auto" w:fill="auto"/>
            <w:noWrap/>
            <w:vAlign w:val="bottom"/>
            <w:hideMark/>
          </w:tcPr>
          <w:p w14:paraId="0F8FC33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65,000 </w:t>
            </w:r>
          </w:p>
        </w:tc>
        <w:tc>
          <w:tcPr>
            <w:tcW w:w="864" w:type="dxa"/>
            <w:tcBorders>
              <w:top w:val="single" w:sz="8" w:space="0" w:color="000000"/>
              <w:left w:val="nil"/>
              <w:bottom w:val="single" w:sz="4" w:space="0" w:color="000000"/>
              <w:right w:val="single" w:sz="4" w:space="0" w:color="000000"/>
            </w:tcBorders>
            <w:shd w:val="clear" w:color="auto" w:fill="auto"/>
            <w:noWrap/>
            <w:vAlign w:val="bottom"/>
            <w:hideMark/>
          </w:tcPr>
          <w:p w14:paraId="19415F2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65,000 </w:t>
            </w:r>
          </w:p>
        </w:tc>
        <w:tc>
          <w:tcPr>
            <w:tcW w:w="834" w:type="dxa"/>
            <w:tcBorders>
              <w:top w:val="single" w:sz="8" w:space="0" w:color="000000"/>
              <w:left w:val="nil"/>
              <w:bottom w:val="single" w:sz="4" w:space="0" w:color="000000"/>
              <w:right w:val="single" w:sz="4" w:space="0" w:color="000000"/>
            </w:tcBorders>
            <w:shd w:val="clear" w:color="auto" w:fill="auto"/>
            <w:noWrap/>
            <w:vAlign w:val="bottom"/>
            <w:hideMark/>
          </w:tcPr>
          <w:p w14:paraId="7BEB9E1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55,000 </w:t>
            </w:r>
          </w:p>
        </w:tc>
        <w:tc>
          <w:tcPr>
            <w:tcW w:w="827" w:type="dxa"/>
            <w:tcBorders>
              <w:top w:val="single" w:sz="8" w:space="0" w:color="000000"/>
              <w:left w:val="nil"/>
              <w:bottom w:val="single" w:sz="4" w:space="0" w:color="000000"/>
              <w:right w:val="single" w:sz="4" w:space="0" w:color="000000"/>
            </w:tcBorders>
            <w:shd w:val="clear" w:color="auto" w:fill="auto"/>
            <w:noWrap/>
            <w:vAlign w:val="bottom"/>
            <w:hideMark/>
          </w:tcPr>
          <w:p w14:paraId="191D23D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55,000 </w:t>
            </w:r>
          </w:p>
        </w:tc>
        <w:tc>
          <w:tcPr>
            <w:tcW w:w="980" w:type="dxa"/>
            <w:tcBorders>
              <w:top w:val="single" w:sz="8" w:space="0" w:color="000000"/>
              <w:left w:val="nil"/>
              <w:bottom w:val="single" w:sz="4" w:space="0" w:color="000000"/>
              <w:right w:val="nil"/>
            </w:tcBorders>
            <w:shd w:val="clear" w:color="auto" w:fill="auto"/>
            <w:noWrap/>
            <w:vAlign w:val="bottom"/>
            <w:hideMark/>
          </w:tcPr>
          <w:p w14:paraId="0DF595A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355,000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217ADC45"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114 </w:t>
            </w:r>
          </w:p>
        </w:tc>
      </w:tr>
      <w:tr w:rsidR="007A7FA3" w:rsidRPr="007A7FA3" w14:paraId="7D83D8E4" w14:textId="77777777" w:rsidTr="007A7FA3">
        <w:trPr>
          <w:trHeight w:val="270"/>
        </w:trPr>
        <w:tc>
          <w:tcPr>
            <w:tcW w:w="1086" w:type="dxa"/>
            <w:vMerge/>
            <w:tcBorders>
              <w:top w:val="nil"/>
              <w:left w:val="single" w:sz="8" w:space="0" w:color="auto"/>
              <w:bottom w:val="nil"/>
              <w:right w:val="nil"/>
            </w:tcBorders>
            <w:vAlign w:val="center"/>
            <w:hideMark/>
          </w:tcPr>
          <w:p w14:paraId="02D0224A"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nil"/>
              <w:right w:val="single" w:sz="4" w:space="0" w:color="000000"/>
            </w:tcBorders>
            <w:vAlign w:val="center"/>
            <w:hideMark/>
          </w:tcPr>
          <w:p w14:paraId="05C01E5F"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nil"/>
              <w:right w:val="single" w:sz="4" w:space="0" w:color="000000"/>
            </w:tcBorders>
            <w:vAlign w:val="center"/>
            <w:hideMark/>
          </w:tcPr>
          <w:p w14:paraId="3659C4F1"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2CE51303"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6B172311"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71A9403A"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0511F76C"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71800</w:t>
            </w:r>
          </w:p>
        </w:tc>
        <w:tc>
          <w:tcPr>
            <w:tcW w:w="1580" w:type="dxa"/>
            <w:tcBorders>
              <w:top w:val="nil"/>
              <w:left w:val="nil"/>
              <w:bottom w:val="single" w:sz="4" w:space="0" w:color="000000"/>
              <w:right w:val="single" w:sz="4" w:space="0" w:color="000000"/>
            </w:tcBorders>
            <w:shd w:val="clear" w:color="auto" w:fill="auto"/>
            <w:vAlign w:val="bottom"/>
            <w:hideMark/>
          </w:tcPr>
          <w:p w14:paraId="1D4D9193"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Contractual Services - Individuals</w:t>
            </w:r>
          </w:p>
        </w:tc>
        <w:tc>
          <w:tcPr>
            <w:tcW w:w="694" w:type="dxa"/>
            <w:tcBorders>
              <w:top w:val="nil"/>
              <w:left w:val="nil"/>
              <w:bottom w:val="single" w:sz="4" w:space="0" w:color="000000"/>
              <w:right w:val="single" w:sz="4" w:space="0" w:color="000000"/>
            </w:tcBorders>
            <w:shd w:val="clear" w:color="auto" w:fill="auto"/>
            <w:noWrap/>
            <w:vAlign w:val="bottom"/>
            <w:hideMark/>
          </w:tcPr>
          <w:p w14:paraId="43D675B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nil"/>
              <w:left w:val="nil"/>
              <w:bottom w:val="single" w:sz="4" w:space="0" w:color="000000"/>
              <w:right w:val="single" w:sz="4" w:space="0" w:color="000000"/>
            </w:tcBorders>
            <w:shd w:val="clear" w:color="auto" w:fill="auto"/>
            <w:noWrap/>
            <w:vAlign w:val="bottom"/>
            <w:hideMark/>
          </w:tcPr>
          <w:p w14:paraId="156FBC7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105,000 </w:t>
            </w:r>
          </w:p>
        </w:tc>
        <w:tc>
          <w:tcPr>
            <w:tcW w:w="826" w:type="dxa"/>
            <w:tcBorders>
              <w:top w:val="nil"/>
              <w:left w:val="nil"/>
              <w:bottom w:val="single" w:sz="4" w:space="0" w:color="000000"/>
              <w:right w:val="single" w:sz="4" w:space="0" w:color="000000"/>
            </w:tcBorders>
            <w:shd w:val="clear" w:color="auto" w:fill="auto"/>
            <w:noWrap/>
            <w:vAlign w:val="bottom"/>
            <w:hideMark/>
          </w:tcPr>
          <w:p w14:paraId="7A9EBF4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80,000 </w:t>
            </w:r>
          </w:p>
        </w:tc>
        <w:tc>
          <w:tcPr>
            <w:tcW w:w="864" w:type="dxa"/>
            <w:tcBorders>
              <w:top w:val="nil"/>
              <w:left w:val="nil"/>
              <w:bottom w:val="single" w:sz="4" w:space="0" w:color="000000"/>
              <w:right w:val="single" w:sz="4" w:space="0" w:color="000000"/>
            </w:tcBorders>
            <w:shd w:val="clear" w:color="auto" w:fill="auto"/>
            <w:noWrap/>
            <w:vAlign w:val="bottom"/>
            <w:hideMark/>
          </w:tcPr>
          <w:p w14:paraId="371E008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80,000 </w:t>
            </w:r>
          </w:p>
        </w:tc>
        <w:tc>
          <w:tcPr>
            <w:tcW w:w="834" w:type="dxa"/>
            <w:tcBorders>
              <w:top w:val="nil"/>
              <w:left w:val="nil"/>
              <w:bottom w:val="single" w:sz="4" w:space="0" w:color="000000"/>
              <w:right w:val="single" w:sz="4" w:space="0" w:color="000000"/>
            </w:tcBorders>
            <w:shd w:val="clear" w:color="auto" w:fill="auto"/>
            <w:noWrap/>
            <w:vAlign w:val="bottom"/>
            <w:hideMark/>
          </w:tcPr>
          <w:p w14:paraId="150647B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80,000 </w:t>
            </w:r>
          </w:p>
        </w:tc>
        <w:tc>
          <w:tcPr>
            <w:tcW w:w="827" w:type="dxa"/>
            <w:tcBorders>
              <w:top w:val="nil"/>
              <w:left w:val="nil"/>
              <w:bottom w:val="single" w:sz="4" w:space="0" w:color="000000"/>
              <w:right w:val="single" w:sz="4" w:space="0" w:color="000000"/>
            </w:tcBorders>
            <w:shd w:val="clear" w:color="auto" w:fill="auto"/>
            <w:noWrap/>
            <w:vAlign w:val="bottom"/>
            <w:hideMark/>
          </w:tcPr>
          <w:p w14:paraId="2CFA95D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55,000 </w:t>
            </w:r>
          </w:p>
        </w:tc>
        <w:tc>
          <w:tcPr>
            <w:tcW w:w="980" w:type="dxa"/>
            <w:tcBorders>
              <w:top w:val="single" w:sz="8" w:space="0" w:color="000000"/>
              <w:left w:val="nil"/>
              <w:bottom w:val="single" w:sz="4" w:space="0" w:color="000000"/>
              <w:right w:val="nil"/>
            </w:tcBorders>
            <w:shd w:val="clear" w:color="auto" w:fill="auto"/>
            <w:noWrap/>
            <w:vAlign w:val="bottom"/>
            <w:hideMark/>
          </w:tcPr>
          <w:p w14:paraId="245443A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400,000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4FB568D7"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115 </w:t>
            </w:r>
          </w:p>
        </w:tc>
      </w:tr>
      <w:tr w:rsidR="007A7FA3" w:rsidRPr="007A7FA3" w14:paraId="195A4901" w14:textId="77777777" w:rsidTr="007A7FA3">
        <w:trPr>
          <w:trHeight w:val="270"/>
        </w:trPr>
        <w:tc>
          <w:tcPr>
            <w:tcW w:w="1086" w:type="dxa"/>
            <w:vMerge/>
            <w:tcBorders>
              <w:top w:val="nil"/>
              <w:left w:val="single" w:sz="8" w:space="0" w:color="auto"/>
              <w:bottom w:val="nil"/>
              <w:right w:val="nil"/>
            </w:tcBorders>
            <w:vAlign w:val="center"/>
            <w:hideMark/>
          </w:tcPr>
          <w:p w14:paraId="4624AC65"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nil"/>
              <w:right w:val="single" w:sz="4" w:space="0" w:color="000000"/>
            </w:tcBorders>
            <w:vAlign w:val="center"/>
            <w:hideMark/>
          </w:tcPr>
          <w:p w14:paraId="07F68B6B"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nil"/>
              <w:right w:val="single" w:sz="4" w:space="0" w:color="000000"/>
            </w:tcBorders>
            <w:vAlign w:val="center"/>
            <w:hideMark/>
          </w:tcPr>
          <w:p w14:paraId="184F2A7E"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301DD41A"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035EC95C"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665F6EB7"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76274755"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71600</w:t>
            </w:r>
          </w:p>
        </w:tc>
        <w:tc>
          <w:tcPr>
            <w:tcW w:w="1580" w:type="dxa"/>
            <w:tcBorders>
              <w:top w:val="nil"/>
              <w:left w:val="nil"/>
              <w:bottom w:val="single" w:sz="4" w:space="0" w:color="000000"/>
              <w:right w:val="single" w:sz="4" w:space="0" w:color="000000"/>
            </w:tcBorders>
            <w:shd w:val="clear" w:color="auto" w:fill="auto"/>
            <w:vAlign w:val="bottom"/>
            <w:hideMark/>
          </w:tcPr>
          <w:p w14:paraId="5BE87473"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Travel</w:t>
            </w:r>
          </w:p>
        </w:tc>
        <w:tc>
          <w:tcPr>
            <w:tcW w:w="694" w:type="dxa"/>
            <w:tcBorders>
              <w:top w:val="nil"/>
              <w:left w:val="nil"/>
              <w:bottom w:val="single" w:sz="4" w:space="0" w:color="000000"/>
              <w:right w:val="single" w:sz="4" w:space="0" w:color="000000"/>
            </w:tcBorders>
            <w:shd w:val="clear" w:color="auto" w:fill="auto"/>
            <w:noWrap/>
            <w:vAlign w:val="bottom"/>
            <w:hideMark/>
          </w:tcPr>
          <w:p w14:paraId="7FC8414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nil"/>
              <w:left w:val="nil"/>
              <w:bottom w:val="single" w:sz="4" w:space="0" w:color="000000"/>
              <w:right w:val="single" w:sz="4" w:space="0" w:color="000000"/>
            </w:tcBorders>
            <w:shd w:val="clear" w:color="auto" w:fill="auto"/>
            <w:noWrap/>
            <w:vAlign w:val="bottom"/>
            <w:hideMark/>
          </w:tcPr>
          <w:p w14:paraId="407C66E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70,000 </w:t>
            </w:r>
          </w:p>
        </w:tc>
        <w:tc>
          <w:tcPr>
            <w:tcW w:w="826" w:type="dxa"/>
            <w:tcBorders>
              <w:top w:val="nil"/>
              <w:left w:val="nil"/>
              <w:bottom w:val="single" w:sz="4" w:space="0" w:color="000000"/>
              <w:right w:val="single" w:sz="4" w:space="0" w:color="000000"/>
            </w:tcBorders>
            <w:shd w:val="clear" w:color="auto" w:fill="auto"/>
            <w:noWrap/>
            <w:vAlign w:val="bottom"/>
            <w:hideMark/>
          </w:tcPr>
          <w:p w14:paraId="7F83A0C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45,000 </w:t>
            </w:r>
          </w:p>
        </w:tc>
        <w:tc>
          <w:tcPr>
            <w:tcW w:w="864" w:type="dxa"/>
            <w:tcBorders>
              <w:top w:val="nil"/>
              <w:left w:val="nil"/>
              <w:bottom w:val="single" w:sz="4" w:space="0" w:color="000000"/>
              <w:right w:val="single" w:sz="4" w:space="0" w:color="000000"/>
            </w:tcBorders>
            <w:shd w:val="clear" w:color="auto" w:fill="auto"/>
            <w:noWrap/>
            <w:vAlign w:val="bottom"/>
            <w:hideMark/>
          </w:tcPr>
          <w:p w14:paraId="77BBC05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55,000 </w:t>
            </w:r>
          </w:p>
        </w:tc>
        <w:tc>
          <w:tcPr>
            <w:tcW w:w="834" w:type="dxa"/>
            <w:tcBorders>
              <w:top w:val="nil"/>
              <w:left w:val="nil"/>
              <w:bottom w:val="single" w:sz="4" w:space="0" w:color="000000"/>
              <w:right w:val="single" w:sz="4" w:space="0" w:color="000000"/>
            </w:tcBorders>
            <w:shd w:val="clear" w:color="auto" w:fill="auto"/>
            <w:noWrap/>
            <w:vAlign w:val="bottom"/>
            <w:hideMark/>
          </w:tcPr>
          <w:p w14:paraId="78CFBA7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55,000 </w:t>
            </w:r>
          </w:p>
        </w:tc>
        <w:tc>
          <w:tcPr>
            <w:tcW w:w="827" w:type="dxa"/>
            <w:tcBorders>
              <w:top w:val="nil"/>
              <w:left w:val="nil"/>
              <w:bottom w:val="single" w:sz="4" w:space="0" w:color="000000"/>
              <w:right w:val="single" w:sz="4" w:space="0" w:color="000000"/>
            </w:tcBorders>
            <w:shd w:val="clear" w:color="auto" w:fill="auto"/>
            <w:noWrap/>
            <w:vAlign w:val="bottom"/>
            <w:hideMark/>
          </w:tcPr>
          <w:p w14:paraId="5431BC8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35,000 </w:t>
            </w:r>
          </w:p>
        </w:tc>
        <w:tc>
          <w:tcPr>
            <w:tcW w:w="980" w:type="dxa"/>
            <w:tcBorders>
              <w:top w:val="single" w:sz="8" w:space="0" w:color="000000"/>
              <w:left w:val="nil"/>
              <w:bottom w:val="single" w:sz="4" w:space="0" w:color="000000"/>
              <w:right w:val="nil"/>
            </w:tcBorders>
            <w:shd w:val="clear" w:color="auto" w:fill="auto"/>
            <w:noWrap/>
            <w:vAlign w:val="bottom"/>
            <w:hideMark/>
          </w:tcPr>
          <w:p w14:paraId="131B4C2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260,000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194579B1"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116 </w:t>
            </w:r>
          </w:p>
        </w:tc>
      </w:tr>
      <w:tr w:rsidR="007A7FA3" w:rsidRPr="007A7FA3" w14:paraId="630AF234" w14:textId="77777777" w:rsidTr="007A7FA3">
        <w:trPr>
          <w:trHeight w:val="270"/>
        </w:trPr>
        <w:tc>
          <w:tcPr>
            <w:tcW w:w="1086" w:type="dxa"/>
            <w:vMerge/>
            <w:tcBorders>
              <w:top w:val="nil"/>
              <w:left w:val="single" w:sz="8" w:space="0" w:color="auto"/>
              <w:bottom w:val="nil"/>
              <w:right w:val="nil"/>
            </w:tcBorders>
            <w:vAlign w:val="center"/>
            <w:hideMark/>
          </w:tcPr>
          <w:p w14:paraId="37AF6CB4"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nil"/>
              <w:right w:val="single" w:sz="4" w:space="0" w:color="000000"/>
            </w:tcBorders>
            <w:vAlign w:val="center"/>
            <w:hideMark/>
          </w:tcPr>
          <w:p w14:paraId="5FE9F7DA"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nil"/>
              <w:right w:val="single" w:sz="4" w:space="0" w:color="000000"/>
            </w:tcBorders>
            <w:vAlign w:val="center"/>
            <w:hideMark/>
          </w:tcPr>
          <w:p w14:paraId="2DD64475"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100D0350"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5E44E07D"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1364FFBE"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24B3D7D1"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72100</w:t>
            </w:r>
          </w:p>
        </w:tc>
        <w:tc>
          <w:tcPr>
            <w:tcW w:w="1580" w:type="dxa"/>
            <w:tcBorders>
              <w:top w:val="nil"/>
              <w:left w:val="nil"/>
              <w:bottom w:val="single" w:sz="4" w:space="0" w:color="000000"/>
              <w:right w:val="single" w:sz="4" w:space="0" w:color="000000"/>
            </w:tcBorders>
            <w:shd w:val="clear" w:color="auto" w:fill="auto"/>
            <w:vAlign w:val="bottom"/>
            <w:hideMark/>
          </w:tcPr>
          <w:p w14:paraId="226B44D2"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Contractual Services - Companies</w:t>
            </w:r>
          </w:p>
        </w:tc>
        <w:tc>
          <w:tcPr>
            <w:tcW w:w="694" w:type="dxa"/>
            <w:tcBorders>
              <w:top w:val="nil"/>
              <w:left w:val="nil"/>
              <w:bottom w:val="single" w:sz="4" w:space="0" w:color="000000"/>
              <w:right w:val="single" w:sz="4" w:space="0" w:color="000000"/>
            </w:tcBorders>
            <w:shd w:val="clear" w:color="auto" w:fill="auto"/>
            <w:noWrap/>
            <w:vAlign w:val="bottom"/>
            <w:hideMark/>
          </w:tcPr>
          <w:p w14:paraId="083BE23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nil"/>
              <w:left w:val="nil"/>
              <w:bottom w:val="single" w:sz="4" w:space="0" w:color="000000"/>
              <w:right w:val="single" w:sz="4" w:space="0" w:color="000000"/>
            </w:tcBorders>
            <w:shd w:val="clear" w:color="auto" w:fill="auto"/>
            <w:noWrap/>
            <w:vAlign w:val="bottom"/>
            <w:hideMark/>
          </w:tcPr>
          <w:p w14:paraId="7C630F9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125,000 </w:t>
            </w:r>
          </w:p>
        </w:tc>
        <w:tc>
          <w:tcPr>
            <w:tcW w:w="826" w:type="dxa"/>
            <w:tcBorders>
              <w:top w:val="nil"/>
              <w:left w:val="nil"/>
              <w:bottom w:val="single" w:sz="4" w:space="0" w:color="000000"/>
              <w:right w:val="single" w:sz="4" w:space="0" w:color="000000"/>
            </w:tcBorders>
            <w:shd w:val="clear" w:color="auto" w:fill="auto"/>
            <w:noWrap/>
            <w:vAlign w:val="bottom"/>
            <w:hideMark/>
          </w:tcPr>
          <w:p w14:paraId="7F5A982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75,000 </w:t>
            </w:r>
          </w:p>
        </w:tc>
        <w:tc>
          <w:tcPr>
            <w:tcW w:w="864" w:type="dxa"/>
            <w:tcBorders>
              <w:top w:val="nil"/>
              <w:left w:val="nil"/>
              <w:bottom w:val="single" w:sz="4" w:space="0" w:color="000000"/>
              <w:right w:val="single" w:sz="4" w:space="0" w:color="000000"/>
            </w:tcBorders>
            <w:shd w:val="clear" w:color="auto" w:fill="auto"/>
            <w:noWrap/>
            <w:vAlign w:val="bottom"/>
            <w:hideMark/>
          </w:tcPr>
          <w:p w14:paraId="518C114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60,000 </w:t>
            </w:r>
          </w:p>
        </w:tc>
        <w:tc>
          <w:tcPr>
            <w:tcW w:w="834" w:type="dxa"/>
            <w:tcBorders>
              <w:top w:val="nil"/>
              <w:left w:val="nil"/>
              <w:bottom w:val="single" w:sz="4" w:space="0" w:color="000000"/>
              <w:right w:val="single" w:sz="4" w:space="0" w:color="000000"/>
            </w:tcBorders>
            <w:shd w:val="clear" w:color="auto" w:fill="auto"/>
            <w:noWrap/>
            <w:vAlign w:val="bottom"/>
            <w:hideMark/>
          </w:tcPr>
          <w:p w14:paraId="057F5CB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65,000 </w:t>
            </w:r>
          </w:p>
        </w:tc>
        <w:tc>
          <w:tcPr>
            <w:tcW w:w="827" w:type="dxa"/>
            <w:tcBorders>
              <w:top w:val="nil"/>
              <w:left w:val="nil"/>
              <w:bottom w:val="single" w:sz="4" w:space="0" w:color="000000"/>
              <w:right w:val="single" w:sz="4" w:space="0" w:color="000000"/>
            </w:tcBorders>
            <w:shd w:val="clear" w:color="auto" w:fill="auto"/>
            <w:noWrap/>
            <w:vAlign w:val="bottom"/>
            <w:hideMark/>
          </w:tcPr>
          <w:p w14:paraId="0214610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55,000 </w:t>
            </w:r>
          </w:p>
        </w:tc>
        <w:tc>
          <w:tcPr>
            <w:tcW w:w="980" w:type="dxa"/>
            <w:tcBorders>
              <w:top w:val="single" w:sz="8" w:space="0" w:color="000000"/>
              <w:left w:val="nil"/>
              <w:bottom w:val="single" w:sz="4" w:space="0" w:color="000000"/>
              <w:right w:val="nil"/>
            </w:tcBorders>
            <w:shd w:val="clear" w:color="auto" w:fill="auto"/>
            <w:noWrap/>
            <w:vAlign w:val="bottom"/>
            <w:hideMark/>
          </w:tcPr>
          <w:p w14:paraId="62DAF1C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380,000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047A4DE5"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117 </w:t>
            </w:r>
          </w:p>
        </w:tc>
      </w:tr>
      <w:tr w:rsidR="007A7FA3" w:rsidRPr="007A7FA3" w14:paraId="67EEF0A3" w14:textId="77777777" w:rsidTr="007A7FA3">
        <w:trPr>
          <w:trHeight w:val="270"/>
        </w:trPr>
        <w:tc>
          <w:tcPr>
            <w:tcW w:w="1086" w:type="dxa"/>
            <w:vMerge/>
            <w:tcBorders>
              <w:top w:val="nil"/>
              <w:left w:val="single" w:sz="8" w:space="0" w:color="auto"/>
              <w:bottom w:val="nil"/>
              <w:right w:val="nil"/>
            </w:tcBorders>
            <w:vAlign w:val="center"/>
            <w:hideMark/>
          </w:tcPr>
          <w:p w14:paraId="35FA8E95"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nil"/>
              <w:right w:val="single" w:sz="4" w:space="0" w:color="000000"/>
            </w:tcBorders>
            <w:vAlign w:val="center"/>
            <w:hideMark/>
          </w:tcPr>
          <w:p w14:paraId="683CADDD"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nil"/>
              <w:right w:val="single" w:sz="4" w:space="0" w:color="000000"/>
            </w:tcBorders>
            <w:vAlign w:val="center"/>
            <w:hideMark/>
          </w:tcPr>
          <w:p w14:paraId="7AE6D8EA"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051C7CDA"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30EE63C7"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4476A60E"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16CD3BFC"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72400</w:t>
            </w:r>
          </w:p>
        </w:tc>
        <w:tc>
          <w:tcPr>
            <w:tcW w:w="1580" w:type="dxa"/>
            <w:tcBorders>
              <w:top w:val="nil"/>
              <w:left w:val="nil"/>
              <w:bottom w:val="single" w:sz="4" w:space="0" w:color="000000"/>
              <w:right w:val="single" w:sz="4" w:space="0" w:color="000000"/>
            </w:tcBorders>
            <w:shd w:val="clear" w:color="auto" w:fill="auto"/>
            <w:vAlign w:val="bottom"/>
            <w:hideMark/>
          </w:tcPr>
          <w:p w14:paraId="5A82DE4E"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Communic &amp; Audio Visual Equip</w:t>
            </w:r>
          </w:p>
        </w:tc>
        <w:tc>
          <w:tcPr>
            <w:tcW w:w="694" w:type="dxa"/>
            <w:tcBorders>
              <w:top w:val="nil"/>
              <w:left w:val="nil"/>
              <w:bottom w:val="single" w:sz="4" w:space="0" w:color="000000"/>
              <w:right w:val="single" w:sz="4" w:space="0" w:color="000000"/>
            </w:tcBorders>
            <w:shd w:val="clear" w:color="auto" w:fill="auto"/>
            <w:noWrap/>
            <w:vAlign w:val="bottom"/>
            <w:hideMark/>
          </w:tcPr>
          <w:p w14:paraId="6997332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nil"/>
              <w:left w:val="nil"/>
              <w:bottom w:val="single" w:sz="4" w:space="0" w:color="000000"/>
              <w:right w:val="single" w:sz="4" w:space="0" w:color="000000"/>
            </w:tcBorders>
            <w:shd w:val="clear" w:color="auto" w:fill="auto"/>
            <w:noWrap/>
            <w:vAlign w:val="bottom"/>
            <w:hideMark/>
          </w:tcPr>
          <w:p w14:paraId="6892FAD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19,650 </w:t>
            </w:r>
          </w:p>
        </w:tc>
        <w:tc>
          <w:tcPr>
            <w:tcW w:w="826" w:type="dxa"/>
            <w:tcBorders>
              <w:top w:val="nil"/>
              <w:left w:val="nil"/>
              <w:bottom w:val="single" w:sz="4" w:space="0" w:color="000000"/>
              <w:right w:val="single" w:sz="4" w:space="0" w:color="000000"/>
            </w:tcBorders>
            <w:shd w:val="clear" w:color="auto" w:fill="auto"/>
            <w:noWrap/>
            <w:vAlign w:val="bottom"/>
            <w:hideMark/>
          </w:tcPr>
          <w:p w14:paraId="69AE24D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15,000 </w:t>
            </w:r>
          </w:p>
        </w:tc>
        <w:tc>
          <w:tcPr>
            <w:tcW w:w="864" w:type="dxa"/>
            <w:tcBorders>
              <w:top w:val="nil"/>
              <w:left w:val="nil"/>
              <w:bottom w:val="single" w:sz="4" w:space="0" w:color="000000"/>
              <w:right w:val="single" w:sz="4" w:space="0" w:color="000000"/>
            </w:tcBorders>
            <w:shd w:val="clear" w:color="auto" w:fill="auto"/>
            <w:noWrap/>
            <w:vAlign w:val="bottom"/>
            <w:hideMark/>
          </w:tcPr>
          <w:p w14:paraId="58C7DC9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34" w:type="dxa"/>
            <w:tcBorders>
              <w:top w:val="nil"/>
              <w:left w:val="nil"/>
              <w:bottom w:val="single" w:sz="4" w:space="0" w:color="000000"/>
              <w:right w:val="single" w:sz="4" w:space="0" w:color="000000"/>
            </w:tcBorders>
            <w:shd w:val="clear" w:color="auto" w:fill="auto"/>
            <w:noWrap/>
            <w:vAlign w:val="bottom"/>
            <w:hideMark/>
          </w:tcPr>
          <w:p w14:paraId="0666653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11,000 </w:t>
            </w:r>
          </w:p>
        </w:tc>
        <w:tc>
          <w:tcPr>
            <w:tcW w:w="827" w:type="dxa"/>
            <w:tcBorders>
              <w:top w:val="nil"/>
              <w:left w:val="nil"/>
              <w:bottom w:val="single" w:sz="4" w:space="0" w:color="000000"/>
              <w:right w:val="single" w:sz="4" w:space="0" w:color="000000"/>
            </w:tcBorders>
            <w:shd w:val="clear" w:color="auto" w:fill="auto"/>
            <w:noWrap/>
            <w:vAlign w:val="bottom"/>
            <w:hideMark/>
          </w:tcPr>
          <w:p w14:paraId="21450EE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980" w:type="dxa"/>
            <w:tcBorders>
              <w:top w:val="single" w:sz="8" w:space="0" w:color="000000"/>
              <w:left w:val="nil"/>
              <w:bottom w:val="single" w:sz="4" w:space="0" w:color="000000"/>
              <w:right w:val="nil"/>
            </w:tcBorders>
            <w:shd w:val="clear" w:color="auto" w:fill="auto"/>
            <w:noWrap/>
            <w:vAlign w:val="bottom"/>
            <w:hideMark/>
          </w:tcPr>
          <w:p w14:paraId="715A52D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65,650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31280906"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118 </w:t>
            </w:r>
          </w:p>
        </w:tc>
      </w:tr>
      <w:tr w:rsidR="007A7FA3" w:rsidRPr="007A7FA3" w14:paraId="3B9FCA18" w14:textId="77777777" w:rsidTr="007A7FA3">
        <w:trPr>
          <w:trHeight w:val="240"/>
        </w:trPr>
        <w:tc>
          <w:tcPr>
            <w:tcW w:w="1086" w:type="dxa"/>
            <w:vMerge/>
            <w:tcBorders>
              <w:top w:val="nil"/>
              <w:left w:val="single" w:sz="8" w:space="0" w:color="auto"/>
              <w:bottom w:val="nil"/>
              <w:right w:val="nil"/>
            </w:tcBorders>
            <w:vAlign w:val="center"/>
            <w:hideMark/>
          </w:tcPr>
          <w:p w14:paraId="549285AA"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nil"/>
              <w:right w:val="single" w:sz="4" w:space="0" w:color="000000"/>
            </w:tcBorders>
            <w:vAlign w:val="center"/>
            <w:hideMark/>
          </w:tcPr>
          <w:p w14:paraId="141EAC8B"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nil"/>
              <w:right w:val="single" w:sz="4" w:space="0" w:color="000000"/>
            </w:tcBorders>
            <w:vAlign w:val="center"/>
            <w:hideMark/>
          </w:tcPr>
          <w:p w14:paraId="77CE058B" w14:textId="77777777" w:rsidR="007A7FA3" w:rsidRPr="007A7FA3" w:rsidRDefault="007A7FA3" w:rsidP="007A7FA3">
            <w:pPr>
              <w:rPr>
                <w:rFonts w:ascii="Calibri" w:hAnsi="Calibri" w:cs="Calibri"/>
                <w:i/>
                <w:iCs/>
                <w:color w:val="000000"/>
                <w:sz w:val="13"/>
                <w:szCs w:val="13"/>
              </w:rPr>
            </w:pPr>
          </w:p>
        </w:tc>
        <w:tc>
          <w:tcPr>
            <w:tcW w:w="3763" w:type="dxa"/>
            <w:gridSpan w:val="5"/>
            <w:tcBorders>
              <w:top w:val="single" w:sz="4" w:space="0" w:color="000000"/>
              <w:left w:val="nil"/>
              <w:bottom w:val="single" w:sz="4" w:space="0" w:color="000000"/>
              <w:right w:val="single" w:sz="4" w:space="0" w:color="000000"/>
            </w:tcBorders>
            <w:shd w:val="clear" w:color="auto" w:fill="auto"/>
            <w:vAlign w:val="center"/>
            <w:hideMark/>
          </w:tcPr>
          <w:p w14:paraId="35B7966A"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Total BCC</w:t>
            </w:r>
          </w:p>
        </w:tc>
        <w:tc>
          <w:tcPr>
            <w:tcW w:w="694" w:type="dxa"/>
            <w:tcBorders>
              <w:top w:val="nil"/>
              <w:left w:val="nil"/>
              <w:bottom w:val="single" w:sz="4" w:space="0" w:color="000000"/>
              <w:right w:val="single" w:sz="4" w:space="0" w:color="000000"/>
            </w:tcBorders>
            <w:shd w:val="clear" w:color="auto" w:fill="auto"/>
            <w:noWrap/>
            <w:vAlign w:val="bottom"/>
            <w:hideMark/>
          </w:tcPr>
          <w:p w14:paraId="5F123028"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05" w:type="dxa"/>
            <w:tcBorders>
              <w:top w:val="nil"/>
              <w:left w:val="nil"/>
              <w:bottom w:val="single" w:sz="4" w:space="0" w:color="000000"/>
              <w:right w:val="single" w:sz="4" w:space="0" w:color="000000"/>
            </w:tcBorders>
            <w:shd w:val="clear" w:color="auto" w:fill="auto"/>
            <w:noWrap/>
            <w:vAlign w:val="bottom"/>
            <w:hideMark/>
          </w:tcPr>
          <w:p w14:paraId="57CE4B97"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434,650 </w:t>
            </w:r>
          </w:p>
        </w:tc>
        <w:tc>
          <w:tcPr>
            <w:tcW w:w="826" w:type="dxa"/>
            <w:tcBorders>
              <w:top w:val="nil"/>
              <w:left w:val="nil"/>
              <w:bottom w:val="single" w:sz="4" w:space="0" w:color="000000"/>
              <w:right w:val="single" w:sz="4" w:space="0" w:color="000000"/>
            </w:tcBorders>
            <w:shd w:val="clear" w:color="auto" w:fill="auto"/>
            <w:noWrap/>
            <w:vAlign w:val="bottom"/>
            <w:hideMark/>
          </w:tcPr>
          <w:p w14:paraId="2036D0A0"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280,000 </w:t>
            </w:r>
          </w:p>
        </w:tc>
        <w:tc>
          <w:tcPr>
            <w:tcW w:w="864" w:type="dxa"/>
            <w:tcBorders>
              <w:top w:val="nil"/>
              <w:left w:val="nil"/>
              <w:bottom w:val="single" w:sz="4" w:space="0" w:color="000000"/>
              <w:right w:val="single" w:sz="4" w:space="0" w:color="000000"/>
            </w:tcBorders>
            <w:shd w:val="clear" w:color="auto" w:fill="auto"/>
            <w:noWrap/>
            <w:vAlign w:val="bottom"/>
            <w:hideMark/>
          </w:tcPr>
          <w:p w14:paraId="71EE4BC2"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270,000 </w:t>
            </w:r>
          </w:p>
        </w:tc>
        <w:tc>
          <w:tcPr>
            <w:tcW w:w="834" w:type="dxa"/>
            <w:tcBorders>
              <w:top w:val="nil"/>
              <w:left w:val="nil"/>
              <w:bottom w:val="single" w:sz="4" w:space="0" w:color="000000"/>
              <w:right w:val="single" w:sz="4" w:space="0" w:color="000000"/>
            </w:tcBorders>
            <w:shd w:val="clear" w:color="auto" w:fill="auto"/>
            <w:noWrap/>
            <w:vAlign w:val="bottom"/>
            <w:hideMark/>
          </w:tcPr>
          <w:p w14:paraId="5DDD562C"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266,000 </w:t>
            </w:r>
          </w:p>
        </w:tc>
        <w:tc>
          <w:tcPr>
            <w:tcW w:w="827" w:type="dxa"/>
            <w:tcBorders>
              <w:top w:val="nil"/>
              <w:left w:val="nil"/>
              <w:bottom w:val="single" w:sz="4" w:space="0" w:color="000000"/>
              <w:right w:val="single" w:sz="4" w:space="0" w:color="000000"/>
            </w:tcBorders>
            <w:shd w:val="clear" w:color="auto" w:fill="auto"/>
            <w:noWrap/>
            <w:vAlign w:val="bottom"/>
            <w:hideMark/>
          </w:tcPr>
          <w:p w14:paraId="0F3FCA34"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210,000 </w:t>
            </w:r>
          </w:p>
        </w:tc>
        <w:tc>
          <w:tcPr>
            <w:tcW w:w="980" w:type="dxa"/>
            <w:tcBorders>
              <w:top w:val="nil"/>
              <w:left w:val="nil"/>
              <w:bottom w:val="single" w:sz="4" w:space="0" w:color="000000"/>
              <w:right w:val="nil"/>
            </w:tcBorders>
            <w:shd w:val="clear" w:color="auto" w:fill="auto"/>
            <w:noWrap/>
            <w:vAlign w:val="bottom"/>
            <w:hideMark/>
          </w:tcPr>
          <w:p w14:paraId="1D3CD5CE"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1,460,650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41E2FA0E"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44A5EA14" w14:textId="77777777" w:rsidTr="007A7FA3">
        <w:trPr>
          <w:trHeight w:val="300"/>
        </w:trPr>
        <w:tc>
          <w:tcPr>
            <w:tcW w:w="1086" w:type="dxa"/>
            <w:vMerge/>
            <w:tcBorders>
              <w:top w:val="nil"/>
              <w:left w:val="single" w:sz="8" w:space="0" w:color="auto"/>
              <w:bottom w:val="nil"/>
              <w:right w:val="nil"/>
            </w:tcBorders>
            <w:vAlign w:val="center"/>
            <w:hideMark/>
          </w:tcPr>
          <w:p w14:paraId="7C18E0D8"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nil"/>
              <w:right w:val="single" w:sz="4" w:space="0" w:color="000000"/>
            </w:tcBorders>
            <w:vAlign w:val="center"/>
            <w:hideMark/>
          </w:tcPr>
          <w:p w14:paraId="6176AE69" w14:textId="77777777" w:rsidR="007A7FA3" w:rsidRPr="007A7FA3" w:rsidRDefault="007A7FA3" w:rsidP="007A7FA3">
            <w:pPr>
              <w:rPr>
                <w:rFonts w:ascii="Calibri" w:hAnsi="Calibri" w:cs="Calibri"/>
                <w:i/>
                <w:iCs/>
                <w:color w:val="000000"/>
                <w:sz w:val="13"/>
                <w:szCs w:val="13"/>
              </w:rPr>
            </w:pPr>
          </w:p>
        </w:tc>
        <w:tc>
          <w:tcPr>
            <w:tcW w:w="5779" w:type="dxa"/>
            <w:gridSpan w:val="6"/>
            <w:tcBorders>
              <w:top w:val="nil"/>
              <w:left w:val="nil"/>
              <w:bottom w:val="single" w:sz="4" w:space="0" w:color="000000"/>
              <w:right w:val="single" w:sz="4" w:space="0" w:color="000000"/>
            </w:tcBorders>
            <w:shd w:val="clear" w:color="auto" w:fill="auto"/>
            <w:vAlign w:val="center"/>
            <w:hideMark/>
          </w:tcPr>
          <w:p w14:paraId="210DDA5F" w14:textId="77777777" w:rsidR="007A7FA3" w:rsidRPr="007A7FA3" w:rsidRDefault="007A7FA3" w:rsidP="007A7FA3">
            <w:pPr>
              <w:rPr>
                <w:rFonts w:ascii="Calibri" w:hAnsi="Calibri" w:cs="Calibri"/>
                <w:b/>
                <w:bCs/>
                <w:i/>
                <w:iCs/>
                <w:color w:val="000000"/>
                <w:sz w:val="13"/>
                <w:szCs w:val="13"/>
              </w:rPr>
            </w:pPr>
            <w:r w:rsidRPr="007A7FA3">
              <w:rPr>
                <w:rFonts w:ascii="Calibri" w:hAnsi="Calibri" w:cs="Calibri"/>
                <w:b/>
                <w:bCs/>
                <w:i/>
                <w:iCs/>
                <w:color w:val="000000"/>
                <w:sz w:val="13"/>
                <w:szCs w:val="13"/>
              </w:rPr>
              <w:t>Total Output 4.2.3</w:t>
            </w:r>
          </w:p>
        </w:tc>
        <w:tc>
          <w:tcPr>
            <w:tcW w:w="694" w:type="dxa"/>
            <w:tcBorders>
              <w:top w:val="nil"/>
              <w:left w:val="nil"/>
              <w:bottom w:val="single" w:sz="8" w:space="0" w:color="000000"/>
              <w:right w:val="single" w:sz="4" w:space="0" w:color="000000"/>
            </w:tcBorders>
            <w:shd w:val="clear" w:color="auto" w:fill="auto"/>
            <w:noWrap/>
            <w:vAlign w:val="bottom"/>
            <w:hideMark/>
          </w:tcPr>
          <w:p w14:paraId="2B7F3B64"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05" w:type="dxa"/>
            <w:tcBorders>
              <w:top w:val="nil"/>
              <w:left w:val="nil"/>
              <w:bottom w:val="single" w:sz="8" w:space="0" w:color="000000"/>
              <w:right w:val="single" w:sz="4" w:space="0" w:color="000000"/>
            </w:tcBorders>
            <w:shd w:val="clear" w:color="auto" w:fill="auto"/>
            <w:noWrap/>
            <w:vAlign w:val="bottom"/>
            <w:hideMark/>
          </w:tcPr>
          <w:p w14:paraId="4B162CBD"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434,650 </w:t>
            </w:r>
          </w:p>
        </w:tc>
        <w:tc>
          <w:tcPr>
            <w:tcW w:w="826" w:type="dxa"/>
            <w:tcBorders>
              <w:top w:val="nil"/>
              <w:left w:val="nil"/>
              <w:bottom w:val="single" w:sz="8" w:space="0" w:color="000000"/>
              <w:right w:val="single" w:sz="4" w:space="0" w:color="000000"/>
            </w:tcBorders>
            <w:shd w:val="clear" w:color="auto" w:fill="auto"/>
            <w:noWrap/>
            <w:vAlign w:val="bottom"/>
            <w:hideMark/>
          </w:tcPr>
          <w:p w14:paraId="2CBF3E74"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280,000 </w:t>
            </w:r>
          </w:p>
        </w:tc>
        <w:tc>
          <w:tcPr>
            <w:tcW w:w="864" w:type="dxa"/>
            <w:tcBorders>
              <w:top w:val="nil"/>
              <w:left w:val="nil"/>
              <w:bottom w:val="single" w:sz="8" w:space="0" w:color="000000"/>
              <w:right w:val="single" w:sz="4" w:space="0" w:color="000000"/>
            </w:tcBorders>
            <w:shd w:val="clear" w:color="auto" w:fill="auto"/>
            <w:noWrap/>
            <w:vAlign w:val="bottom"/>
            <w:hideMark/>
          </w:tcPr>
          <w:p w14:paraId="3FCBC248"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270,000 </w:t>
            </w:r>
          </w:p>
        </w:tc>
        <w:tc>
          <w:tcPr>
            <w:tcW w:w="834" w:type="dxa"/>
            <w:tcBorders>
              <w:top w:val="nil"/>
              <w:left w:val="nil"/>
              <w:bottom w:val="single" w:sz="8" w:space="0" w:color="000000"/>
              <w:right w:val="single" w:sz="4" w:space="0" w:color="000000"/>
            </w:tcBorders>
            <w:shd w:val="clear" w:color="auto" w:fill="auto"/>
            <w:noWrap/>
            <w:vAlign w:val="bottom"/>
            <w:hideMark/>
          </w:tcPr>
          <w:p w14:paraId="06E90B58"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266,000 </w:t>
            </w:r>
          </w:p>
        </w:tc>
        <w:tc>
          <w:tcPr>
            <w:tcW w:w="827" w:type="dxa"/>
            <w:tcBorders>
              <w:top w:val="nil"/>
              <w:left w:val="nil"/>
              <w:bottom w:val="single" w:sz="8" w:space="0" w:color="000000"/>
              <w:right w:val="single" w:sz="4" w:space="0" w:color="000000"/>
            </w:tcBorders>
            <w:shd w:val="clear" w:color="auto" w:fill="auto"/>
            <w:noWrap/>
            <w:vAlign w:val="bottom"/>
            <w:hideMark/>
          </w:tcPr>
          <w:p w14:paraId="3564D183"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210,000 </w:t>
            </w:r>
          </w:p>
        </w:tc>
        <w:tc>
          <w:tcPr>
            <w:tcW w:w="980" w:type="dxa"/>
            <w:tcBorders>
              <w:top w:val="nil"/>
              <w:left w:val="nil"/>
              <w:bottom w:val="single" w:sz="8" w:space="0" w:color="000000"/>
              <w:right w:val="nil"/>
            </w:tcBorders>
            <w:shd w:val="clear" w:color="auto" w:fill="auto"/>
            <w:noWrap/>
            <w:vAlign w:val="bottom"/>
            <w:hideMark/>
          </w:tcPr>
          <w:p w14:paraId="77C65E4F"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1,460,650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101D0718"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5DC4B719" w14:textId="77777777" w:rsidTr="007A7FA3">
        <w:trPr>
          <w:trHeight w:val="285"/>
        </w:trPr>
        <w:tc>
          <w:tcPr>
            <w:tcW w:w="1086" w:type="dxa"/>
            <w:vMerge/>
            <w:tcBorders>
              <w:top w:val="nil"/>
              <w:left w:val="single" w:sz="8" w:space="0" w:color="auto"/>
              <w:bottom w:val="nil"/>
              <w:right w:val="nil"/>
            </w:tcBorders>
            <w:vAlign w:val="center"/>
            <w:hideMark/>
          </w:tcPr>
          <w:p w14:paraId="2C11CA3F" w14:textId="77777777" w:rsidR="007A7FA3" w:rsidRPr="007A7FA3" w:rsidRDefault="007A7FA3" w:rsidP="007A7FA3">
            <w:pPr>
              <w:rPr>
                <w:rFonts w:ascii="Calibri" w:hAnsi="Calibri" w:cs="Calibri"/>
                <w:i/>
                <w:iCs/>
                <w:color w:val="000000"/>
                <w:sz w:val="13"/>
                <w:szCs w:val="13"/>
              </w:rPr>
            </w:pPr>
          </w:p>
        </w:tc>
        <w:tc>
          <w:tcPr>
            <w:tcW w:w="6650" w:type="dxa"/>
            <w:gridSpan w:val="7"/>
            <w:tcBorders>
              <w:top w:val="single" w:sz="4" w:space="0" w:color="000000"/>
              <w:left w:val="single" w:sz="4" w:space="0" w:color="000000"/>
              <w:bottom w:val="nil"/>
              <w:right w:val="single" w:sz="4" w:space="0" w:color="000000"/>
            </w:tcBorders>
            <w:shd w:val="clear" w:color="FEF2CB" w:fill="FEF2CB"/>
            <w:vAlign w:val="center"/>
            <w:hideMark/>
          </w:tcPr>
          <w:p w14:paraId="4188A994" w14:textId="77777777" w:rsidR="007A7FA3" w:rsidRPr="007A7FA3" w:rsidRDefault="007A7FA3" w:rsidP="007A7FA3">
            <w:pPr>
              <w:rPr>
                <w:rFonts w:ascii="Calibri" w:hAnsi="Calibri" w:cs="Calibri"/>
                <w:b/>
                <w:bCs/>
                <w:i/>
                <w:iCs/>
                <w:color w:val="000000"/>
                <w:sz w:val="13"/>
                <w:szCs w:val="13"/>
              </w:rPr>
            </w:pPr>
            <w:r w:rsidRPr="007A7FA3">
              <w:rPr>
                <w:rFonts w:ascii="Calibri" w:hAnsi="Calibri" w:cs="Calibri"/>
                <w:b/>
                <w:bCs/>
                <w:i/>
                <w:iCs/>
                <w:color w:val="000000"/>
                <w:sz w:val="13"/>
                <w:szCs w:val="13"/>
              </w:rPr>
              <w:t>Total Outcome 4.2</w:t>
            </w:r>
          </w:p>
        </w:tc>
        <w:tc>
          <w:tcPr>
            <w:tcW w:w="694" w:type="dxa"/>
            <w:tcBorders>
              <w:top w:val="nil"/>
              <w:left w:val="nil"/>
              <w:bottom w:val="nil"/>
              <w:right w:val="single" w:sz="4" w:space="0" w:color="000000"/>
            </w:tcBorders>
            <w:shd w:val="clear" w:color="FEF2CB" w:fill="FEF2CB"/>
            <w:noWrap/>
            <w:vAlign w:val="bottom"/>
            <w:hideMark/>
          </w:tcPr>
          <w:p w14:paraId="32DE72AD"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05" w:type="dxa"/>
            <w:tcBorders>
              <w:top w:val="nil"/>
              <w:left w:val="nil"/>
              <w:bottom w:val="nil"/>
              <w:right w:val="single" w:sz="4" w:space="0" w:color="000000"/>
            </w:tcBorders>
            <w:shd w:val="clear" w:color="FEF2CB" w:fill="FEF2CB"/>
            <w:noWrap/>
            <w:vAlign w:val="bottom"/>
            <w:hideMark/>
          </w:tcPr>
          <w:p w14:paraId="1AE21D82"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837,650 </w:t>
            </w:r>
          </w:p>
        </w:tc>
        <w:tc>
          <w:tcPr>
            <w:tcW w:w="826" w:type="dxa"/>
            <w:tcBorders>
              <w:top w:val="nil"/>
              <w:left w:val="nil"/>
              <w:bottom w:val="nil"/>
              <w:right w:val="single" w:sz="4" w:space="0" w:color="000000"/>
            </w:tcBorders>
            <w:shd w:val="clear" w:color="FEF2CB" w:fill="FEF2CB"/>
            <w:noWrap/>
            <w:vAlign w:val="bottom"/>
            <w:hideMark/>
          </w:tcPr>
          <w:p w14:paraId="6F92C2B7"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550,000 </w:t>
            </w:r>
          </w:p>
        </w:tc>
        <w:tc>
          <w:tcPr>
            <w:tcW w:w="864" w:type="dxa"/>
            <w:tcBorders>
              <w:top w:val="nil"/>
              <w:left w:val="nil"/>
              <w:bottom w:val="nil"/>
              <w:right w:val="single" w:sz="4" w:space="0" w:color="000000"/>
            </w:tcBorders>
            <w:shd w:val="clear" w:color="FEF2CB" w:fill="FEF2CB"/>
            <w:noWrap/>
            <w:vAlign w:val="bottom"/>
            <w:hideMark/>
          </w:tcPr>
          <w:p w14:paraId="6C44D30D"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547,000 </w:t>
            </w:r>
          </w:p>
        </w:tc>
        <w:tc>
          <w:tcPr>
            <w:tcW w:w="834" w:type="dxa"/>
            <w:tcBorders>
              <w:top w:val="nil"/>
              <w:left w:val="nil"/>
              <w:bottom w:val="nil"/>
              <w:right w:val="single" w:sz="4" w:space="0" w:color="000000"/>
            </w:tcBorders>
            <w:shd w:val="clear" w:color="FEF2CB" w:fill="FEF2CB"/>
            <w:noWrap/>
            <w:vAlign w:val="bottom"/>
            <w:hideMark/>
          </w:tcPr>
          <w:p w14:paraId="27617B35"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536,000 </w:t>
            </w:r>
          </w:p>
        </w:tc>
        <w:tc>
          <w:tcPr>
            <w:tcW w:w="827" w:type="dxa"/>
            <w:tcBorders>
              <w:top w:val="nil"/>
              <w:left w:val="nil"/>
              <w:bottom w:val="nil"/>
              <w:right w:val="single" w:sz="4" w:space="0" w:color="000000"/>
            </w:tcBorders>
            <w:shd w:val="clear" w:color="FEF2CB" w:fill="FEF2CB"/>
            <w:noWrap/>
            <w:vAlign w:val="bottom"/>
            <w:hideMark/>
          </w:tcPr>
          <w:p w14:paraId="61C05FDE"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390,000 </w:t>
            </w:r>
          </w:p>
        </w:tc>
        <w:tc>
          <w:tcPr>
            <w:tcW w:w="980" w:type="dxa"/>
            <w:tcBorders>
              <w:top w:val="nil"/>
              <w:left w:val="nil"/>
              <w:bottom w:val="nil"/>
              <w:right w:val="nil"/>
            </w:tcBorders>
            <w:shd w:val="clear" w:color="FEF2CB" w:fill="FEF2CB"/>
            <w:noWrap/>
            <w:vAlign w:val="bottom"/>
            <w:hideMark/>
          </w:tcPr>
          <w:p w14:paraId="2C2AA9A8"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2,860,650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7BBB5BFB"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4F1E4958" w14:textId="77777777" w:rsidTr="007A7FA3">
        <w:trPr>
          <w:trHeight w:val="345"/>
        </w:trPr>
        <w:tc>
          <w:tcPr>
            <w:tcW w:w="7736" w:type="dxa"/>
            <w:gridSpan w:val="8"/>
            <w:tcBorders>
              <w:top w:val="single" w:sz="4" w:space="0" w:color="000000"/>
              <w:left w:val="single" w:sz="8" w:space="0" w:color="auto"/>
              <w:bottom w:val="single" w:sz="4" w:space="0" w:color="000000"/>
              <w:right w:val="single" w:sz="4" w:space="0" w:color="000000"/>
            </w:tcBorders>
            <w:shd w:val="clear" w:color="BDD6EE" w:fill="BDD6EE"/>
            <w:vAlign w:val="center"/>
            <w:hideMark/>
          </w:tcPr>
          <w:p w14:paraId="5EB1314B" w14:textId="77777777" w:rsidR="007A7FA3" w:rsidRPr="007A7FA3" w:rsidRDefault="007A7FA3" w:rsidP="007A7FA3">
            <w:pPr>
              <w:rPr>
                <w:rFonts w:ascii="Calibri" w:hAnsi="Calibri" w:cs="Calibri"/>
                <w:b/>
                <w:bCs/>
                <w:i/>
                <w:iCs/>
                <w:color w:val="000000"/>
                <w:sz w:val="13"/>
                <w:szCs w:val="13"/>
              </w:rPr>
            </w:pPr>
            <w:r w:rsidRPr="007A7FA3">
              <w:rPr>
                <w:rFonts w:ascii="Calibri" w:hAnsi="Calibri" w:cs="Calibri"/>
                <w:b/>
                <w:bCs/>
                <w:i/>
                <w:iCs/>
                <w:color w:val="000000"/>
                <w:sz w:val="13"/>
                <w:szCs w:val="13"/>
              </w:rPr>
              <w:t>Total Component 4</w:t>
            </w:r>
          </w:p>
        </w:tc>
        <w:tc>
          <w:tcPr>
            <w:tcW w:w="694" w:type="dxa"/>
            <w:tcBorders>
              <w:top w:val="single" w:sz="4" w:space="0" w:color="000000"/>
              <w:left w:val="nil"/>
              <w:bottom w:val="single" w:sz="8" w:space="0" w:color="000000"/>
              <w:right w:val="single" w:sz="4" w:space="0" w:color="000000"/>
            </w:tcBorders>
            <w:shd w:val="clear" w:color="BDD6EE" w:fill="BDD6EE"/>
            <w:noWrap/>
            <w:vAlign w:val="bottom"/>
            <w:hideMark/>
          </w:tcPr>
          <w:p w14:paraId="4EBCE3B6"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05" w:type="dxa"/>
            <w:tcBorders>
              <w:top w:val="single" w:sz="4" w:space="0" w:color="000000"/>
              <w:left w:val="nil"/>
              <w:bottom w:val="single" w:sz="8" w:space="0" w:color="000000"/>
              <w:right w:val="single" w:sz="4" w:space="0" w:color="000000"/>
            </w:tcBorders>
            <w:shd w:val="clear" w:color="BDD6EE" w:fill="BDD6EE"/>
            <w:noWrap/>
            <w:vAlign w:val="bottom"/>
            <w:hideMark/>
          </w:tcPr>
          <w:p w14:paraId="3F789250"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1,098,650 </w:t>
            </w:r>
          </w:p>
        </w:tc>
        <w:tc>
          <w:tcPr>
            <w:tcW w:w="826" w:type="dxa"/>
            <w:tcBorders>
              <w:top w:val="single" w:sz="4" w:space="0" w:color="000000"/>
              <w:left w:val="nil"/>
              <w:bottom w:val="single" w:sz="8" w:space="0" w:color="000000"/>
              <w:right w:val="single" w:sz="4" w:space="0" w:color="000000"/>
            </w:tcBorders>
            <w:shd w:val="clear" w:color="BDD6EE" w:fill="BDD6EE"/>
            <w:noWrap/>
            <w:vAlign w:val="bottom"/>
            <w:hideMark/>
          </w:tcPr>
          <w:p w14:paraId="0F91CEB2"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648,524 </w:t>
            </w:r>
          </w:p>
        </w:tc>
        <w:tc>
          <w:tcPr>
            <w:tcW w:w="864" w:type="dxa"/>
            <w:tcBorders>
              <w:top w:val="single" w:sz="4" w:space="0" w:color="000000"/>
              <w:left w:val="nil"/>
              <w:bottom w:val="single" w:sz="8" w:space="0" w:color="000000"/>
              <w:right w:val="single" w:sz="4" w:space="0" w:color="000000"/>
            </w:tcBorders>
            <w:shd w:val="clear" w:color="BDD6EE" w:fill="BDD6EE"/>
            <w:noWrap/>
            <w:vAlign w:val="bottom"/>
            <w:hideMark/>
          </w:tcPr>
          <w:p w14:paraId="67B34F04"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650,000 </w:t>
            </w:r>
          </w:p>
        </w:tc>
        <w:tc>
          <w:tcPr>
            <w:tcW w:w="834" w:type="dxa"/>
            <w:tcBorders>
              <w:top w:val="single" w:sz="4" w:space="0" w:color="000000"/>
              <w:left w:val="nil"/>
              <w:bottom w:val="single" w:sz="8" w:space="0" w:color="000000"/>
              <w:right w:val="single" w:sz="4" w:space="0" w:color="000000"/>
            </w:tcBorders>
            <w:shd w:val="clear" w:color="BDD6EE" w:fill="BDD6EE"/>
            <w:noWrap/>
            <w:vAlign w:val="bottom"/>
            <w:hideMark/>
          </w:tcPr>
          <w:p w14:paraId="64EB29D0"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640,000 </w:t>
            </w:r>
          </w:p>
        </w:tc>
        <w:tc>
          <w:tcPr>
            <w:tcW w:w="827" w:type="dxa"/>
            <w:tcBorders>
              <w:top w:val="single" w:sz="4" w:space="0" w:color="000000"/>
              <w:left w:val="nil"/>
              <w:bottom w:val="single" w:sz="8" w:space="0" w:color="000000"/>
              <w:right w:val="single" w:sz="4" w:space="0" w:color="000000"/>
            </w:tcBorders>
            <w:shd w:val="clear" w:color="BDD6EE" w:fill="BDD6EE"/>
            <w:noWrap/>
            <w:vAlign w:val="bottom"/>
            <w:hideMark/>
          </w:tcPr>
          <w:p w14:paraId="2CAFF6D7"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421,000 </w:t>
            </w:r>
          </w:p>
        </w:tc>
        <w:tc>
          <w:tcPr>
            <w:tcW w:w="980" w:type="dxa"/>
            <w:tcBorders>
              <w:top w:val="single" w:sz="4" w:space="0" w:color="000000"/>
              <w:left w:val="nil"/>
              <w:bottom w:val="single" w:sz="8" w:space="0" w:color="000000"/>
              <w:right w:val="nil"/>
            </w:tcBorders>
            <w:shd w:val="clear" w:color="BDD6EE" w:fill="BDD6EE"/>
            <w:noWrap/>
            <w:vAlign w:val="bottom"/>
            <w:hideMark/>
          </w:tcPr>
          <w:p w14:paraId="759D6D9E"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3,458,174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33834C99"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602205E3" w14:textId="77777777" w:rsidTr="007A7FA3">
        <w:trPr>
          <w:trHeight w:val="255"/>
        </w:trPr>
        <w:tc>
          <w:tcPr>
            <w:tcW w:w="1086" w:type="dxa"/>
            <w:vMerge w:val="restart"/>
            <w:tcBorders>
              <w:top w:val="nil"/>
              <w:left w:val="single" w:sz="8" w:space="0" w:color="auto"/>
              <w:bottom w:val="nil"/>
              <w:right w:val="nil"/>
            </w:tcBorders>
            <w:shd w:val="clear" w:color="auto" w:fill="auto"/>
            <w:vAlign w:val="center"/>
            <w:hideMark/>
          </w:tcPr>
          <w:p w14:paraId="57F0A4E9" w14:textId="77777777" w:rsidR="007A7FA3" w:rsidRPr="007A7FA3" w:rsidRDefault="007A7FA3" w:rsidP="007A7FA3">
            <w:pPr>
              <w:rPr>
                <w:rFonts w:ascii="Calibri" w:hAnsi="Calibri" w:cs="Calibri"/>
                <w:i/>
                <w:iCs/>
                <w:color w:val="000000"/>
                <w:sz w:val="13"/>
                <w:szCs w:val="13"/>
              </w:rPr>
            </w:pPr>
            <w:r w:rsidRPr="007A7FA3">
              <w:rPr>
                <w:rFonts w:ascii="Calibri" w:hAnsi="Calibri" w:cs="Calibri"/>
                <w:b/>
                <w:bCs/>
                <w:i/>
                <w:iCs/>
                <w:color w:val="000000"/>
                <w:sz w:val="13"/>
                <w:szCs w:val="13"/>
              </w:rPr>
              <w:t>Component 5:</w:t>
            </w:r>
            <w:r w:rsidRPr="007A7FA3">
              <w:rPr>
                <w:rFonts w:ascii="Calibri" w:hAnsi="Calibri" w:cs="Calibri"/>
                <w:i/>
                <w:iCs/>
                <w:color w:val="000000"/>
                <w:sz w:val="13"/>
                <w:szCs w:val="13"/>
              </w:rPr>
              <w:t xml:space="preserve"> Knowledge management, awareness raising and upscaling for Sustainable Blue/Ocean Economy </w:t>
            </w:r>
          </w:p>
        </w:tc>
        <w:tc>
          <w:tcPr>
            <w:tcW w:w="871"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45F366B8"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5.1: Knowledge management, awareness raising and communication on Sustainable Blue/Ocean Economy, and Social and Environmental Safeguards in the BCLME region strengthened</w:t>
            </w:r>
          </w:p>
        </w:tc>
        <w:tc>
          <w:tcPr>
            <w:tcW w:w="2016"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25B88626"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 xml:space="preserve">5.1.1 Strengthened capacities for knowledge management in relation to SBE, ICZM, MSP and MPA, and monitoring Knowledge Management performance  </w:t>
            </w:r>
          </w:p>
        </w:tc>
        <w:tc>
          <w:tcPr>
            <w:tcW w:w="631" w:type="dxa"/>
            <w:vMerge w:val="restart"/>
            <w:tcBorders>
              <w:top w:val="nil"/>
              <w:left w:val="nil"/>
              <w:bottom w:val="nil"/>
              <w:right w:val="nil"/>
            </w:tcBorders>
            <w:shd w:val="clear" w:color="auto" w:fill="auto"/>
            <w:vAlign w:val="center"/>
            <w:hideMark/>
          </w:tcPr>
          <w:p w14:paraId="32FF2976"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BCC</w:t>
            </w: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01E65C8D"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val="restart"/>
            <w:tcBorders>
              <w:top w:val="nil"/>
              <w:left w:val="single" w:sz="4" w:space="0" w:color="000000"/>
              <w:bottom w:val="nil"/>
              <w:right w:val="nil"/>
            </w:tcBorders>
            <w:shd w:val="clear" w:color="auto" w:fill="auto"/>
            <w:vAlign w:val="center"/>
            <w:hideMark/>
          </w:tcPr>
          <w:p w14:paraId="7D79480A"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w:t>
            </w: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30CD9807"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71200</w:t>
            </w:r>
          </w:p>
        </w:tc>
        <w:tc>
          <w:tcPr>
            <w:tcW w:w="1580" w:type="dxa"/>
            <w:tcBorders>
              <w:top w:val="nil"/>
              <w:left w:val="nil"/>
              <w:bottom w:val="single" w:sz="4" w:space="0" w:color="000000"/>
              <w:right w:val="single" w:sz="4" w:space="0" w:color="000000"/>
            </w:tcBorders>
            <w:shd w:val="clear" w:color="auto" w:fill="auto"/>
            <w:vAlign w:val="bottom"/>
            <w:hideMark/>
          </w:tcPr>
          <w:p w14:paraId="5A4E20C7"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International Consultants</w:t>
            </w:r>
          </w:p>
        </w:tc>
        <w:tc>
          <w:tcPr>
            <w:tcW w:w="694" w:type="dxa"/>
            <w:tcBorders>
              <w:top w:val="nil"/>
              <w:left w:val="nil"/>
              <w:bottom w:val="single" w:sz="4" w:space="0" w:color="000000"/>
              <w:right w:val="single" w:sz="4" w:space="0" w:color="000000"/>
            </w:tcBorders>
            <w:shd w:val="clear" w:color="auto" w:fill="auto"/>
            <w:noWrap/>
            <w:vAlign w:val="bottom"/>
            <w:hideMark/>
          </w:tcPr>
          <w:p w14:paraId="024C632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6,000 </w:t>
            </w:r>
          </w:p>
        </w:tc>
        <w:tc>
          <w:tcPr>
            <w:tcW w:w="805" w:type="dxa"/>
            <w:tcBorders>
              <w:top w:val="nil"/>
              <w:left w:val="nil"/>
              <w:bottom w:val="single" w:sz="4" w:space="0" w:color="000000"/>
              <w:right w:val="single" w:sz="4" w:space="0" w:color="000000"/>
            </w:tcBorders>
            <w:shd w:val="clear" w:color="auto" w:fill="auto"/>
            <w:noWrap/>
            <w:vAlign w:val="bottom"/>
            <w:hideMark/>
          </w:tcPr>
          <w:p w14:paraId="4783FE5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5,600 </w:t>
            </w:r>
          </w:p>
        </w:tc>
        <w:tc>
          <w:tcPr>
            <w:tcW w:w="826" w:type="dxa"/>
            <w:tcBorders>
              <w:top w:val="nil"/>
              <w:left w:val="nil"/>
              <w:bottom w:val="single" w:sz="4" w:space="0" w:color="000000"/>
              <w:right w:val="single" w:sz="4" w:space="0" w:color="000000"/>
            </w:tcBorders>
            <w:shd w:val="clear" w:color="auto" w:fill="auto"/>
            <w:noWrap/>
            <w:vAlign w:val="bottom"/>
            <w:hideMark/>
          </w:tcPr>
          <w:p w14:paraId="2DC06A0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4,200 </w:t>
            </w:r>
          </w:p>
        </w:tc>
        <w:tc>
          <w:tcPr>
            <w:tcW w:w="864" w:type="dxa"/>
            <w:tcBorders>
              <w:top w:val="nil"/>
              <w:left w:val="nil"/>
              <w:bottom w:val="single" w:sz="4" w:space="0" w:color="000000"/>
              <w:right w:val="single" w:sz="4" w:space="0" w:color="000000"/>
            </w:tcBorders>
            <w:shd w:val="clear" w:color="auto" w:fill="auto"/>
            <w:noWrap/>
            <w:vAlign w:val="bottom"/>
            <w:hideMark/>
          </w:tcPr>
          <w:p w14:paraId="49AF8D8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3,000 </w:t>
            </w:r>
          </w:p>
        </w:tc>
        <w:tc>
          <w:tcPr>
            <w:tcW w:w="834" w:type="dxa"/>
            <w:tcBorders>
              <w:top w:val="nil"/>
              <w:left w:val="nil"/>
              <w:bottom w:val="single" w:sz="4" w:space="0" w:color="000000"/>
              <w:right w:val="single" w:sz="4" w:space="0" w:color="000000"/>
            </w:tcBorders>
            <w:shd w:val="clear" w:color="auto" w:fill="auto"/>
            <w:noWrap/>
            <w:vAlign w:val="bottom"/>
            <w:hideMark/>
          </w:tcPr>
          <w:p w14:paraId="6ED4E30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3,000 </w:t>
            </w:r>
          </w:p>
        </w:tc>
        <w:tc>
          <w:tcPr>
            <w:tcW w:w="827" w:type="dxa"/>
            <w:tcBorders>
              <w:top w:val="nil"/>
              <w:left w:val="nil"/>
              <w:bottom w:val="single" w:sz="4" w:space="0" w:color="000000"/>
              <w:right w:val="single" w:sz="4" w:space="0" w:color="000000"/>
            </w:tcBorders>
            <w:shd w:val="clear" w:color="auto" w:fill="auto"/>
            <w:noWrap/>
            <w:vAlign w:val="bottom"/>
            <w:hideMark/>
          </w:tcPr>
          <w:p w14:paraId="7816A13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 </w:t>
            </w:r>
          </w:p>
        </w:tc>
        <w:tc>
          <w:tcPr>
            <w:tcW w:w="980" w:type="dxa"/>
            <w:tcBorders>
              <w:top w:val="nil"/>
              <w:left w:val="nil"/>
              <w:bottom w:val="single" w:sz="4" w:space="0" w:color="000000"/>
              <w:right w:val="nil"/>
            </w:tcBorders>
            <w:shd w:val="clear" w:color="auto" w:fill="auto"/>
            <w:noWrap/>
            <w:vAlign w:val="bottom"/>
            <w:hideMark/>
          </w:tcPr>
          <w:p w14:paraId="1732B53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23,800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0F5F8FF3"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119 </w:t>
            </w:r>
          </w:p>
        </w:tc>
      </w:tr>
      <w:tr w:rsidR="007A7FA3" w:rsidRPr="007A7FA3" w14:paraId="55EA520C" w14:textId="77777777" w:rsidTr="007A7FA3">
        <w:trPr>
          <w:trHeight w:val="270"/>
        </w:trPr>
        <w:tc>
          <w:tcPr>
            <w:tcW w:w="1086" w:type="dxa"/>
            <w:vMerge/>
            <w:tcBorders>
              <w:top w:val="nil"/>
              <w:left w:val="single" w:sz="8" w:space="0" w:color="auto"/>
              <w:bottom w:val="nil"/>
              <w:right w:val="nil"/>
            </w:tcBorders>
            <w:vAlign w:val="center"/>
            <w:hideMark/>
          </w:tcPr>
          <w:p w14:paraId="1448C08A"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460F3743"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50C7E9F8"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2067A6C3"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43754E3F"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0647A4B3"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05862A64"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71300</w:t>
            </w:r>
          </w:p>
        </w:tc>
        <w:tc>
          <w:tcPr>
            <w:tcW w:w="1580" w:type="dxa"/>
            <w:tcBorders>
              <w:top w:val="nil"/>
              <w:left w:val="nil"/>
              <w:bottom w:val="single" w:sz="4" w:space="0" w:color="000000"/>
              <w:right w:val="single" w:sz="4" w:space="0" w:color="000000"/>
            </w:tcBorders>
            <w:shd w:val="clear" w:color="auto" w:fill="auto"/>
            <w:vAlign w:val="bottom"/>
            <w:hideMark/>
          </w:tcPr>
          <w:p w14:paraId="0714FD1F"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Local Consultants</w:t>
            </w:r>
          </w:p>
        </w:tc>
        <w:tc>
          <w:tcPr>
            <w:tcW w:w="694" w:type="dxa"/>
            <w:tcBorders>
              <w:top w:val="nil"/>
              <w:left w:val="nil"/>
              <w:bottom w:val="single" w:sz="4" w:space="0" w:color="000000"/>
              <w:right w:val="single" w:sz="4" w:space="0" w:color="000000"/>
            </w:tcBorders>
            <w:shd w:val="clear" w:color="auto" w:fill="auto"/>
            <w:noWrap/>
            <w:vAlign w:val="bottom"/>
            <w:hideMark/>
          </w:tcPr>
          <w:p w14:paraId="4B3F49F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20,000 </w:t>
            </w:r>
          </w:p>
        </w:tc>
        <w:tc>
          <w:tcPr>
            <w:tcW w:w="805" w:type="dxa"/>
            <w:tcBorders>
              <w:top w:val="nil"/>
              <w:left w:val="nil"/>
              <w:bottom w:val="single" w:sz="4" w:space="0" w:color="000000"/>
              <w:right w:val="single" w:sz="4" w:space="0" w:color="000000"/>
            </w:tcBorders>
            <w:shd w:val="clear" w:color="auto" w:fill="auto"/>
            <w:noWrap/>
            <w:vAlign w:val="bottom"/>
            <w:hideMark/>
          </w:tcPr>
          <w:p w14:paraId="5605F31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20,000 </w:t>
            </w:r>
          </w:p>
        </w:tc>
        <w:tc>
          <w:tcPr>
            <w:tcW w:w="826" w:type="dxa"/>
            <w:tcBorders>
              <w:top w:val="nil"/>
              <w:left w:val="nil"/>
              <w:bottom w:val="single" w:sz="4" w:space="0" w:color="000000"/>
              <w:right w:val="single" w:sz="4" w:space="0" w:color="000000"/>
            </w:tcBorders>
            <w:shd w:val="clear" w:color="auto" w:fill="auto"/>
            <w:noWrap/>
            <w:vAlign w:val="bottom"/>
            <w:hideMark/>
          </w:tcPr>
          <w:p w14:paraId="3D4C333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6,000 </w:t>
            </w:r>
          </w:p>
        </w:tc>
        <w:tc>
          <w:tcPr>
            <w:tcW w:w="864" w:type="dxa"/>
            <w:tcBorders>
              <w:top w:val="nil"/>
              <w:left w:val="nil"/>
              <w:bottom w:val="single" w:sz="4" w:space="0" w:color="000000"/>
              <w:right w:val="single" w:sz="4" w:space="0" w:color="000000"/>
            </w:tcBorders>
            <w:shd w:val="clear" w:color="auto" w:fill="auto"/>
            <w:noWrap/>
            <w:vAlign w:val="bottom"/>
            <w:hideMark/>
          </w:tcPr>
          <w:p w14:paraId="2F56A29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6,000 </w:t>
            </w:r>
          </w:p>
        </w:tc>
        <w:tc>
          <w:tcPr>
            <w:tcW w:w="834" w:type="dxa"/>
            <w:tcBorders>
              <w:top w:val="nil"/>
              <w:left w:val="nil"/>
              <w:bottom w:val="single" w:sz="4" w:space="0" w:color="000000"/>
              <w:right w:val="single" w:sz="4" w:space="0" w:color="000000"/>
            </w:tcBorders>
            <w:shd w:val="clear" w:color="auto" w:fill="auto"/>
            <w:noWrap/>
            <w:vAlign w:val="bottom"/>
            <w:hideMark/>
          </w:tcPr>
          <w:p w14:paraId="29A88F9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7,000 </w:t>
            </w:r>
          </w:p>
        </w:tc>
        <w:tc>
          <w:tcPr>
            <w:tcW w:w="827" w:type="dxa"/>
            <w:tcBorders>
              <w:top w:val="nil"/>
              <w:left w:val="nil"/>
              <w:bottom w:val="single" w:sz="4" w:space="0" w:color="000000"/>
              <w:right w:val="single" w:sz="4" w:space="0" w:color="000000"/>
            </w:tcBorders>
            <w:shd w:val="clear" w:color="auto" w:fill="auto"/>
            <w:noWrap/>
            <w:vAlign w:val="bottom"/>
            <w:hideMark/>
          </w:tcPr>
          <w:p w14:paraId="42995CB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3,000 </w:t>
            </w:r>
          </w:p>
        </w:tc>
        <w:tc>
          <w:tcPr>
            <w:tcW w:w="980" w:type="dxa"/>
            <w:tcBorders>
              <w:top w:val="single" w:sz="8" w:space="0" w:color="000000"/>
              <w:left w:val="nil"/>
              <w:bottom w:val="single" w:sz="4" w:space="0" w:color="000000"/>
              <w:right w:val="nil"/>
            </w:tcBorders>
            <w:shd w:val="clear" w:color="auto" w:fill="auto"/>
            <w:noWrap/>
            <w:vAlign w:val="bottom"/>
            <w:hideMark/>
          </w:tcPr>
          <w:p w14:paraId="108594B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62,000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6FA63273"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120</w:t>
            </w:r>
          </w:p>
        </w:tc>
      </w:tr>
      <w:tr w:rsidR="007A7FA3" w:rsidRPr="007A7FA3" w14:paraId="3CDD730F" w14:textId="77777777" w:rsidTr="007A7FA3">
        <w:trPr>
          <w:trHeight w:val="270"/>
        </w:trPr>
        <w:tc>
          <w:tcPr>
            <w:tcW w:w="1086" w:type="dxa"/>
            <w:vMerge/>
            <w:tcBorders>
              <w:top w:val="nil"/>
              <w:left w:val="single" w:sz="8" w:space="0" w:color="auto"/>
              <w:bottom w:val="nil"/>
              <w:right w:val="nil"/>
            </w:tcBorders>
            <w:vAlign w:val="center"/>
            <w:hideMark/>
          </w:tcPr>
          <w:p w14:paraId="195A8255"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4046C6E7"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76496574"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78C615AA"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623A04C8"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66D64764"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457DC642"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71600</w:t>
            </w:r>
          </w:p>
        </w:tc>
        <w:tc>
          <w:tcPr>
            <w:tcW w:w="1580" w:type="dxa"/>
            <w:tcBorders>
              <w:top w:val="nil"/>
              <w:left w:val="nil"/>
              <w:bottom w:val="single" w:sz="4" w:space="0" w:color="000000"/>
              <w:right w:val="single" w:sz="4" w:space="0" w:color="000000"/>
            </w:tcBorders>
            <w:shd w:val="clear" w:color="auto" w:fill="auto"/>
            <w:vAlign w:val="bottom"/>
            <w:hideMark/>
          </w:tcPr>
          <w:p w14:paraId="052BA048"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Travel</w:t>
            </w:r>
          </w:p>
        </w:tc>
        <w:tc>
          <w:tcPr>
            <w:tcW w:w="694" w:type="dxa"/>
            <w:tcBorders>
              <w:top w:val="nil"/>
              <w:left w:val="nil"/>
              <w:bottom w:val="single" w:sz="4" w:space="0" w:color="000000"/>
              <w:right w:val="single" w:sz="4" w:space="0" w:color="000000"/>
            </w:tcBorders>
            <w:shd w:val="clear" w:color="auto" w:fill="auto"/>
            <w:noWrap/>
            <w:vAlign w:val="bottom"/>
            <w:hideMark/>
          </w:tcPr>
          <w:p w14:paraId="75B0968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5,000 </w:t>
            </w:r>
          </w:p>
        </w:tc>
        <w:tc>
          <w:tcPr>
            <w:tcW w:w="805" w:type="dxa"/>
            <w:tcBorders>
              <w:top w:val="nil"/>
              <w:left w:val="nil"/>
              <w:bottom w:val="single" w:sz="4" w:space="0" w:color="000000"/>
              <w:right w:val="single" w:sz="4" w:space="0" w:color="000000"/>
            </w:tcBorders>
            <w:shd w:val="clear" w:color="auto" w:fill="auto"/>
            <w:noWrap/>
            <w:vAlign w:val="bottom"/>
            <w:hideMark/>
          </w:tcPr>
          <w:p w14:paraId="128B0DD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26" w:type="dxa"/>
            <w:tcBorders>
              <w:top w:val="nil"/>
              <w:left w:val="nil"/>
              <w:bottom w:val="single" w:sz="4" w:space="0" w:color="000000"/>
              <w:right w:val="single" w:sz="4" w:space="0" w:color="000000"/>
            </w:tcBorders>
            <w:shd w:val="clear" w:color="auto" w:fill="auto"/>
            <w:noWrap/>
            <w:vAlign w:val="bottom"/>
            <w:hideMark/>
          </w:tcPr>
          <w:p w14:paraId="7B9D9F8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14,000 </w:t>
            </w:r>
          </w:p>
        </w:tc>
        <w:tc>
          <w:tcPr>
            <w:tcW w:w="864" w:type="dxa"/>
            <w:tcBorders>
              <w:top w:val="nil"/>
              <w:left w:val="nil"/>
              <w:bottom w:val="single" w:sz="4" w:space="0" w:color="000000"/>
              <w:right w:val="single" w:sz="4" w:space="0" w:color="000000"/>
            </w:tcBorders>
            <w:shd w:val="clear" w:color="auto" w:fill="auto"/>
            <w:noWrap/>
            <w:vAlign w:val="bottom"/>
            <w:hideMark/>
          </w:tcPr>
          <w:p w14:paraId="68FDFC5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15,000 </w:t>
            </w:r>
          </w:p>
        </w:tc>
        <w:tc>
          <w:tcPr>
            <w:tcW w:w="834" w:type="dxa"/>
            <w:tcBorders>
              <w:top w:val="nil"/>
              <w:left w:val="nil"/>
              <w:bottom w:val="single" w:sz="4" w:space="0" w:color="000000"/>
              <w:right w:val="single" w:sz="4" w:space="0" w:color="000000"/>
            </w:tcBorders>
            <w:shd w:val="clear" w:color="auto" w:fill="auto"/>
            <w:noWrap/>
            <w:vAlign w:val="bottom"/>
            <w:hideMark/>
          </w:tcPr>
          <w:p w14:paraId="72C7ABF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5,000 </w:t>
            </w:r>
          </w:p>
        </w:tc>
        <w:tc>
          <w:tcPr>
            <w:tcW w:w="827" w:type="dxa"/>
            <w:tcBorders>
              <w:top w:val="nil"/>
              <w:left w:val="nil"/>
              <w:bottom w:val="single" w:sz="4" w:space="0" w:color="000000"/>
              <w:right w:val="single" w:sz="4" w:space="0" w:color="000000"/>
            </w:tcBorders>
            <w:shd w:val="clear" w:color="auto" w:fill="auto"/>
            <w:noWrap/>
            <w:vAlign w:val="bottom"/>
            <w:hideMark/>
          </w:tcPr>
          <w:p w14:paraId="711C17D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5,622 </w:t>
            </w:r>
          </w:p>
        </w:tc>
        <w:tc>
          <w:tcPr>
            <w:tcW w:w="980" w:type="dxa"/>
            <w:tcBorders>
              <w:top w:val="single" w:sz="8" w:space="0" w:color="000000"/>
              <w:left w:val="nil"/>
              <w:bottom w:val="single" w:sz="4" w:space="0" w:color="000000"/>
              <w:right w:val="nil"/>
            </w:tcBorders>
            <w:shd w:val="clear" w:color="auto" w:fill="auto"/>
            <w:noWrap/>
            <w:vAlign w:val="bottom"/>
            <w:hideMark/>
          </w:tcPr>
          <w:p w14:paraId="5DCA69B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54,622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39459121"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121 </w:t>
            </w:r>
          </w:p>
        </w:tc>
      </w:tr>
      <w:tr w:rsidR="007A7FA3" w:rsidRPr="007A7FA3" w14:paraId="5F02D304" w14:textId="77777777" w:rsidTr="007A7FA3">
        <w:trPr>
          <w:trHeight w:val="270"/>
        </w:trPr>
        <w:tc>
          <w:tcPr>
            <w:tcW w:w="1086" w:type="dxa"/>
            <w:vMerge/>
            <w:tcBorders>
              <w:top w:val="nil"/>
              <w:left w:val="single" w:sz="8" w:space="0" w:color="auto"/>
              <w:bottom w:val="nil"/>
              <w:right w:val="nil"/>
            </w:tcBorders>
            <w:vAlign w:val="center"/>
            <w:hideMark/>
          </w:tcPr>
          <w:p w14:paraId="1693D8A6"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40EB15BF"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15AE1821"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52E0785D"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0876617A"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4086490E"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7AAD7FB7"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72100</w:t>
            </w:r>
          </w:p>
        </w:tc>
        <w:tc>
          <w:tcPr>
            <w:tcW w:w="1580" w:type="dxa"/>
            <w:tcBorders>
              <w:top w:val="nil"/>
              <w:left w:val="nil"/>
              <w:bottom w:val="single" w:sz="4" w:space="0" w:color="000000"/>
              <w:right w:val="single" w:sz="4" w:space="0" w:color="000000"/>
            </w:tcBorders>
            <w:shd w:val="clear" w:color="auto" w:fill="auto"/>
            <w:vAlign w:val="bottom"/>
            <w:hideMark/>
          </w:tcPr>
          <w:p w14:paraId="6D098351"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Contractual Services - Companies</w:t>
            </w:r>
          </w:p>
        </w:tc>
        <w:tc>
          <w:tcPr>
            <w:tcW w:w="694" w:type="dxa"/>
            <w:tcBorders>
              <w:top w:val="nil"/>
              <w:left w:val="nil"/>
              <w:bottom w:val="single" w:sz="4" w:space="0" w:color="000000"/>
              <w:right w:val="single" w:sz="4" w:space="0" w:color="000000"/>
            </w:tcBorders>
            <w:shd w:val="clear" w:color="auto" w:fill="auto"/>
            <w:noWrap/>
            <w:vAlign w:val="bottom"/>
            <w:hideMark/>
          </w:tcPr>
          <w:p w14:paraId="20FFB3B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4,000 </w:t>
            </w:r>
          </w:p>
        </w:tc>
        <w:tc>
          <w:tcPr>
            <w:tcW w:w="805" w:type="dxa"/>
            <w:tcBorders>
              <w:top w:val="nil"/>
              <w:left w:val="nil"/>
              <w:bottom w:val="single" w:sz="4" w:space="0" w:color="000000"/>
              <w:right w:val="single" w:sz="4" w:space="0" w:color="000000"/>
            </w:tcBorders>
            <w:shd w:val="clear" w:color="auto" w:fill="auto"/>
            <w:noWrap/>
            <w:vAlign w:val="bottom"/>
            <w:hideMark/>
          </w:tcPr>
          <w:p w14:paraId="0C9F102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8,000 </w:t>
            </w:r>
          </w:p>
        </w:tc>
        <w:tc>
          <w:tcPr>
            <w:tcW w:w="826" w:type="dxa"/>
            <w:tcBorders>
              <w:top w:val="nil"/>
              <w:left w:val="nil"/>
              <w:bottom w:val="single" w:sz="4" w:space="0" w:color="000000"/>
              <w:right w:val="single" w:sz="4" w:space="0" w:color="000000"/>
            </w:tcBorders>
            <w:shd w:val="clear" w:color="auto" w:fill="auto"/>
            <w:noWrap/>
            <w:vAlign w:val="bottom"/>
            <w:hideMark/>
          </w:tcPr>
          <w:p w14:paraId="4D3AC43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9,000 </w:t>
            </w:r>
          </w:p>
        </w:tc>
        <w:tc>
          <w:tcPr>
            <w:tcW w:w="864" w:type="dxa"/>
            <w:tcBorders>
              <w:top w:val="nil"/>
              <w:left w:val="nil"/>
              <w:bottom w:val="single" w:sz="4" w:space="0" w:color="000000"/>
              <w:right w:val="single" w:sz="4" w:space="0" w:color="000000"/>
            </w:tcBorders>
            <w:shd w:val="clear" w:color="auto" w:fill="auto"/>
            <w:noWrap/>
            <w:vAlign w:val="bottom"/>
            <w:hideMark/>
          </w:tcPr>
          <w:p w14:paraId="62863FF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9,000 </w:t>
            </w:r>
          </w:p>
        </w:tc>
        <w:tc>
          <w:tcPr>
            <w:tcW w:w="834" w:type="dxa"/>
            <w:tcBorders>
              <w:top w:val="nil"/>
              <w:left w:val="nil"/>
              <w:bottom w:val="single" w:sz="4" w:space="0" w:color="000000"/>
              <w:right w:val="single" w:sz="4" w:space="0" w:color="000000"/>
            </w:tcBorders>
            <w:shd w:val="clear" w:color="auto" w:fill="auto"/>
            <w:noWrap/>
            <w:vAlign w:val="bottom"/>
            <w:hideMark/>
          </w:tcPr>
          <w:p w14:paraId="53515D6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3,800 </w:t>
            </w:r>
          </w:p>
        </w:tc>
        <w:tc>
          <w:tcPr>
            <w:tcW w:w="827" w:type="dxa"/>
            <w:tcBorders>
              <w:top w:val="nil"/>
              <w:left w:val="nil"/>
              <w:bottom w:val="single" w:sz="4" w:space="0" w:color="000000"/>
              <w:right w:val="single" w:sz="4" w:space="0" w:color="000000"/>
            </w:tcBorders>
            <w:shd w:val="clear" w:color="auto" w:fill="auto"/>
            <w:noWrap/>
            <w:vAlign w:val="bottom"/>
            <w:hideMark/>
          </w:tcPr>
          <w:p w14:paraId="7378C40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3,000 </w:t>
            </w:r>
          </w:p>
        </w:tc>
        <w:tc>
          <w:tcPr>
            <w:tcW w:w="980" w:type="dxa"/>
            <w:tcBorders>
              <w:top w:val="single" w:sz="8" w:space="0" w:color="000000"/>
              <w:left w:val="nil"/>
              <w:bottom w:val="single" w:sz="4" w:space="0" w:color="000000"/>
              <w:right w:val="nil"/>
            </w:tcBorders>
            <w:shd w:val="clear" w:color="auto" w:fill="auto"/>
            <w:noWrap/>
            <w:vAlign w:val="bottom"/>
            <w:hideMark/>
          </w:tcPr>
          <w:p w14:paraId="7B0546A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36,800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1474C6FF"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122 </w:t>
            </w:r>
          </w:p>
        </w:tc>
      </w:tr>
      <w:tr w:rsidR="007A7FA3" w:rsidRPr="007A7FA3" w14:paraId="028C40DF" w14:textId="77777777" w:rsidTr="007A7FA3">
        <w:trPr>
          <w:trHeight w:val="340"/>
        </w:trPr>
        <w:tc>
          <w:tcPr>
            <w:tcW w:w="1086" w:type="dxa"/>
            <w:vMerge/>
            <w:tcBorders>
              <w:top w:val="nil"/>
              <w:left w:val="single" w:sz="8" w:space="0" w:color="auto"/>
              <w:bottom w:val="nil"/>
              <w:right w:val="nil"/>
            </w:tcBorders>
            <w:vAlign w:val="center"/>
            <w:hideMark/>
          </w:tcPr>
          <w:p w14:paraId="0A662B01"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0C8C8415"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05B3CE62"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5E013448"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6F3F8E36"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743FA892"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4932EC17"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72400</w:t>
            </w:r>
          </w:p>
        </w:tc>
        <w:tc>
          <w:tcPr>
            <w:tcW w:w="1580" w:type="dxa"/>
            <w:tcBorders>
              <w:top w:val="nil"/>
              <w:left w:val="nil"/>
              <w:bottom w:val="single" w:sz="4" w:space="0" w:color="000000"/>
              <w:right w:val="single" w:sz="4" w:space="0" w:color="000000"/>
            </w:tcBorders>
            <w:shd w:val="clear" w:color="auto" w:fill="auto"/>
            <w:vAlign w:val="bottom"/>
            <w:hideMark/>
          </w:tcPr>
          <w:p w14:paraId="4197FC5B"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Communic &amp; Audio Visual Equip</w:t>
            </w:r>
          </w:p>
        </w:tc>
        <w:tc>
          <w:tcPr>
            <w:tcW w:w="694" w:type="dxa"/>
            <w:tcBorders>
              <w:top w:val="nil"/>
              <w:left w:val="nil"/>
              <w:bottom w:val="single" w:sz="4" w:space="0" w:color="000000"/>
              <w:right w:val="single" w:sz="4" w:space="0" w:color="000000"/>
            </w:tcBorders>
            <w:shd w:val="clear" w:color="auto" w:fill="auto"/>
            <w:noWrap/>
            <w:vAlign w:val="bottom"/>
            <w:hideMark/>
          </w:tcPr>
          <w:p w14:paraId="7EB90C4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 </w:t>
            </w:r>
          </w:p>
        </w:tc>
        <w:tc>
          <w:tcPr>
            <w:tcW w:w="805" w:type="dxa"/>
            <w:tcBorders>
              <w:top w:val="nil"/>
              <w:left w:val="nil"/>
              <w:bottom w:val="single" w:sz="4" w:space="0" w:color="000000"/>
              <w:right w:val="single" w:sz="4" w:space="0" w:color="000000"/>
            </w:tcBorders>
            <w:shd w:val="clear" w:color="auto" w:fill="auto"/>
            <w:noWrap/>
            <w:vAlign w:val="bottom"/>
            <w:hideMark/>
          </w:tcPr>
          <w:p w14:paraId="1C188B6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5,000 </w:t>
            </w:r>
          </w:p>
        </w:tc>
        <w:tc>
          <w:tcPr>
            <w:tcW w:w="826" w:type="dxa"/>
            <w:tcBorders>
              <w:top w:val="nil"/>
              <w:left w:val="nil"/>
              <w:bottom w:val="single" w:sz="4" w:space="0" w:color="000000"/>
              <w:right w:val="single" w:sz="4" w:space="0" w:color="000000"/>
            </w:tcBorders>
            <w:shd w:val="clear" w:color="auto" w:fill="auto"/>
            <w:noWrap/>
            <w:vAlign w:val="bottom"/>
            <w:hideMark/>
          </w:tcPr>
          <w:p w14:paraId="74A8F49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5,000 </w:t>
            </w:r>
          </w:p>
        </w:tc>
        <w:tc>
          <w:tcPr>
            <w:tcW w:w="864" w:type="dxa"/>
            <w:tcBorders>
              <w:top w:val="nil"/>
              <w:left w:val="nil"/>
              <w:bottom w:val="single" w:sz="4" w:space="0" w:color="000000"/>
              <w:right w:val="single" w:sz="4" w:space="0" w:color="000000"/>
            </w:tcBorders>
            <w:shd w:val="clear" w:color="auto" w:fill="auto"/>
            <w:noWrap/>
            <w:vAlign w:val="bottom"/>
            <w:hideMark/>
          </w:tcPr>
          <w:p w14:paraId="10BD111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4,000 </w:t>
            </w:r>
          </w:p>
        </w:tc>
        <w:tc>
          <w:tcPr>
            <w:tcW w:w="834" w:type="dxa"/>
            <w:tcBorders>
              <w:top w:val="nil"/>
              <w:left w:val="nil"/>
              <w:bottom w:val="single" w:sz="4" w:space="0" w:color="000000"/>
              <w:right w:val="single" w:sz="4" w:space="0" w:color="000000"/>
            </w:tcBorders>
            <w:shd w:val="clear" w:color="auto" w:fill="auto"/>
            <w:noWrap/>
            <w:vAlign w:val="bottom"/>
            <w:hideMark/>
          </w:tcPr>
          <w:p w14:paraId="4045621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 </w:t>
            </w:r>
          </w:p>
        </w:tc>
        <w:tc>
          <w:tcPr>
            <w:tcW w:w="827" w:type="dxa"/>
            <w:tcBorders>
              <w:top w:val="nil"/>
              <w:left w:val="nil"/>
              <w:bottom w:val="single" w:sz="4" w:space="0" w:color="000000"/>
              <w:right w:val="single" w:sz="4" w:space="0" w:color="000000"/>
            </w:tcBorders>
            <w:shd w:val="clear" w:color="auto" w:fill="auto"/>
            <w:noWrap/>
            <w:vAlign w:val="bottom"/>
            <w:hideMark/>
          </w:tcPr>
          <w:p w14:paraId="40D1ECA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1,600 </w:t>
            </w:r>
          </w:p>
        </w:tc>
        <w:tc>
          <w:tcPr>
            <w:tcW w:w="980" w:type="dxa"/>
            <w:tcBorders>
              <w:top w:val="single" w:sz="8" w:space="0" w:color="000000"/>
              <w:left w:val="nil"/>
              <w:bottom w:val="single" w:sz="4" w:space="0" w:color="000000"/>
              <w:right w:val="nil"/>
            </w:tcBorders>
            <w:shd w:val="clear" w:color="auto" w:fill="auto"/>
            <w:noWrap/>
            <w:vAlign w:val="bottom"/>
            <w:hideMark/>
          </w:tcPr>
          <w:p w14:paraId="507138C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18,600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229D2B20"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123 </w:t>
            </w:r>
          </w:p>
        </w:tc>
      </w:tr>
      <w:tr w:rsidR="007A7FA3" w:rsidRPr="007A7FA3" w14:paraId="08F31624" w14:textId="77777777" w:rsidTr="007A7FA3">
        <w:trPr>
          <w:trHeight w:val="240"/>
        </w:trPr>
        <w:tc>
          <w:tcPr>
            <w:tcW w:w="1086" w:type="dxa"/>
            <w:vMerge/>
            <w:tcBorders>
              <w:top w:val="nil"/>
              <w:left w:val="single" w:sz="8" w:space="0" w:color="auto"/>
              <w:bottom w:val="nil"/>
              <w:right w:val="nil"/>
            </w:tcBorders>
            <w:vAlign w:val="center"/>
            <w:hideMark/>
          </w:tcPr>
          <w:p w14:paraId="59A1611C"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1F174E8F"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5C2D9731" w14:textId="77777777" w:rsidR="007A7FA3" w:rsidRPr="007A7FA3" w:rsidRDefault="007A7FA3" w:rsidP="007A7FA3">
            <w:pPr>
              <w:rPr>
                <w:rFonts w:ascii="Calibri" w:hAnsi="Calibri" w:cs="Calibri"/>
                <w:i/>
                <w:iCs/>
                <w:color w:val="000000"/>
                <w:sz w:val="13"/>
                <w:szCs w:val="13"/>
              </w:rPr>
            </w:pPr>
          </w:p>
        </w:tc>
        <w:tc>
          <w:tcPr>
            <w:tcW w:w="3763" w:type="dxa"/>
            <w:gridSpan w:val="5"/>
            <w:tcBorders>
              <w:top w:val="single" w:sz="4" w:space="0" w:color="000000"/>
              <w:left w:val="nil"/>
              <w:bottom w:val="single" w:sz="4" w:space="0" w:color="000000"/>
              <w:right w:val="single" w:sz="4" w:space="0" w:color="000000"/>
            </w:tcBorders>
            <w:shd w:val="clear" w:color="auto" w:fill="auto"/>
            <w:vAlign w:val="center"/>
            <w:hideMark/>
          </w:tcPr>
          <w:p w14:paraId="5C0E2B6F"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Total BCC</w:t>
            </w:r>
          </w:p>
        </w:tc>
        <w:tc>
          <w:tcPr>
            <w:tcW w:w="694" w:type="dxa"/>
            <w:tcBorders>
              <w:top w:val="nil"/>
              <w:left w:val="nil"/>
              <w:bottom w:val="single" w:sz="4" w:space="0" w:color="000000"/>
              <w:right w:val="single" w:sz="4" w:space="0" w:color="000000"/>
            </w:tcBorders>
            <w:shd w:val="clear" w:color="auto" w:fill="auto"/>
            <w:noWrap/>
            <w:vAlign w:val="bottom"/>
            <w:hideMark/>
          </w:tcPr>
          <w:p w14:paraId="26A52C19"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36,000 </w:t>
            </w:r>
          </w:p>
        </w:tc>
        <w:tc>
          <w:tcPr>
            <w:tcW w:w="805" w:type="dxa"/>
            <w:tcBorders>
              <w:top w:val="nil"/>
              <w:left w:val="nil"/>
              <w:bottom w:val="single" w:sz="4" w:space="0" w:color="000000"/>
              <w:right w:val="single" w:sz="4" w:space="0" w:color="000000"/>
            </w:tcBorders>
            <w:shd w:val="clear" w:color="auto" w:fill="auto"/>
            <w:noWrap/>
            <w:vAlign w:val="bottom"/>
            <w:hideMark/>
          </w:tcPr>
          <w:p w14:paraId="29998EB4"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48,600 </w:t>
            </w:r>
          </w:p>
        </w:tc>
        <w:tc>
          <w:tcPr>
            <w:tcW w:w="826" w:type="dxa"/>
            <w:tcBorders>
              <w:top w:val="nil"/>
              <w:left w:val="nil"/>
              <w:bottom w:val="single" w:sz="4" w:space="0" w:color="000000"/>
              <w:right w:val="single" w:sz="4" w:space="0" w:color="000000"/>
            </w:tcBorders>
            <w:shd w:val="clear" w:color="auto" w:fill="auto"/>
            <w:noWrap/>
            <w:vAlign w:val="bottom"/>
            <w:hideMark/>
          </w:tcPr>
          <w:p w14:paraId="03045E25"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38,200 </w:t>
            </w:r>
          </w:p>
        </w:tc>
        <w:tc>
          <w:tcPr>
            <w:tcW w:w="864" w:type="dxa"/>
            <w:tcBorders>
              <w:top w:val="nil"/>
              <w:left w:val="nil"/>
              <w:bottom w:val="single" w:sz="4" w:space="0" w:color="000000"/>
              <w:right w:val="single" w:sz="4" w:space="0" w:color="000000"/>
            </w:tcBorders>
            <w:shd w:val="clear" w:color="auto" w:fill="auto"/>
            <w:noWrap/>
            <w:vAlign w:val="bottom"/>
            <w:hideMark/>
          </w:tcPr>
          <w:p w14:paraId="599C613F"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37,000 </w:t>
            </w:r>
          </w:p>
        </w:tc>
        <w:tc>
          <w:tcPr>
            <w:tcW w:w="834" w:type="dxa"/>
            <w:tcBorders>
              <w:top w:val="nil"/>
              <w:left w:val="nil"/>
              <w:bottom w:val="single" w:sz="4" w:space="0" w:color="000000"/>
              <w:right w:val="single" w:sz="4" w:space="0" w:color="000000"/>
            </w:tcBorders>
            <w:shd w:val="clear" w:color="auto" w:fill="auto"/>
            <w:noWrap/>
            <w:vAlign w:val="bottom"/>
            <w:hideMark/>
          </w:tcPr>
          <w:p w14:paraId="5F4B8361"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20,800 </w:t>
            </w:r>
          </w:p>
        </w:tc>
        <w:tc>
          <w:tcPr>
            <w:tcW w:w="827" w:type="dxa"/>
            <w:tcBorders>
              <w:top w:val="nil"/>
              <w:left w:val="nil"/>
              <w:bottom w:val="single" w:sz="4" w:space="0" w:color="000000"/>
              <w:right w:val="single" w:sz="4" w:space="0" w:color="000000"/>
            </w:tcBorders>
            <w:shd w:val="clear" w:color="auto" w:fill="auto"/>
            <w:noWrap/>
            <w:vAlign w:val="bottom"/>
            <w:hideMark/>
          </w:tcPr>
          <w:p w14:paraId="6EFC1ABE"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15,222 </w:t>
            </w:r>
          </w:p>
        </w:tc>
        <w:tc>
          <w:tcPr>
            <w:tcW w:w="980" w:type="dxa"/>
            <w:tcBorders>
              <w:top w:val="single" w:sz="8" w:space="0" w:color="000000"/>
              <w:left w:val="nil"/>
              <w:bottom w:val="single" w:sz="4" w:space="0" w:color="000000"/>
              <w:right w:val="nil"/>
            </w:tcBorders>
            <w:shd w:val="clear" w:color="auto" w:fill="auto"/>
            <w:noWrap/>
            <w:vAlign w:val="bottom"/>
            <w:hideMark/>
          </w:tcPr>
          <w:p w14:paraId="589AEA8D"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195,822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4A25030E"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402B69F7" w14:textId="77777777" w:rsidTr="007A7FA3">
        <w:trPr>
          <w:trHeight w:val="270"/>
        </w:trPr>
        <w:tc>
          <w:tcPr>
            <w:tcW w:w="1086" w:type="dxa"/>
            <w:vMerge/>
            <w:tcBorders>
              <w:top w:val="nil"/>
              <w:left w:val="single" w:sz="8" w:space="0" w:color="auto"/>
              <w:bottom w:val="nil"/>
              <w:right w:val="nil"/>
            </w:tcBorders>
            <w:vAlign w:val="center"/>
            <w:hideMark/>
          </w:tcPr>
          <w:p w14:paraId="70A525B0"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0AA3BD23" w14:textId="77777777" w:rsidR="007A7FA3" w:rsidRPr="007A7FA3" w:rsidRDefault="007A7FA3" w:rsidP="007A7FA3">
            <w:pPr>
              <w:rPr>
                <w:rFonts w:ascii="Calibri" w:hAnsi="Calibri" w:cs="Calibri"/>
                <w:i/>
                <w:iCs/>
                <w:color w:val="000000"/>
                <w:sz w:val="13"/>
                <w:szCs w:val="13"/>
              </w:rPr>
            </w:pPr>
          </w:p>
        </w:tc>
        <w:tc>
          <w:tcPr>
            <w:tcW w:w="5779" w:type="dxa"/>
            <w:gridSpan w:val="6"/>
            <w:tcBorders>
              <w:top w:val="nil"/>
              <w:left w:val="nil"/>
              <w:bottom w:val="single" w:sz="4" w:space="0" w:color="000000"/>
              <w:right w:val="single" w:sz="4" w:space="0" w:color="000000"/>
            </w:tcBorders>
            <w:shd w:val="clear" w:color="auto" w:fill="auto"/>
            <w:vAlign w:val="center"/>
            <w:hideMark/>
          </w:tcPr>
          <w:p w14:paraId="469BA648" w14:textId="77777777" w:rsidR="007A7FA3" w:rsidRPr="007A7FA3" w:rsidRDefault="007A7FA3" w:rsidP="007A7FA3">
            <w:pPr>
              <w:rPr>
                <w:rFonts w:ascii="Calibri" w:hAnsi="Calibri" w:cs="Calibri"/>
                <w:b/>
                <w:bCs/>
                <w:i/>
                <w:iCs/>
                <w:color w:val="000000"/>
                <w:sz w:val="13"/>
                <w:szCs w:val="13"/>
              </w:rPr>
            </w:pPr>
            <w:r w:rsidRPr="007A7FA3">
              <w:rPr>
                <w:rFonts w:ascii="Calibri" w:hAnsi="Calibri" w:cs="Calibri"/>
                <w:b/>
                <w:bCs/>
                <w:i/>
                <w:iCs/>
                <w:color w:val="000000"/>
                <w:sz w:val="13"/>
                <w:szCs w:val="13"/>
              </w:rPr>
              <w:t>Total Output 5.1.1</w:t>
            </w:r>
          </w:p>
        </w:tc>
        <w:tc>
          <w:tcPr>
            <w:tcW w:w="694" w:type="dxa"/>
            <w:tcBorders>
              <w:top w:val="nil"/>
              <w:left w:val="nil"/>
              <w:bottom w:val="single" w:sz="4" w:space="0" w:color="000000"/>
              <w:right w:val="single" w:sz="4" w:space="0" w:color="000000"/>
            </w:tcBorders>
            <w:shd w:val="clear" w:color="auto" w:fill="auto"/>
            <w:noWrap/>
            <w:vAlign w:val="bottom"/>
            <w:hideMark/>
          </w:tcPr>
          <w:p w14:paraId="5C46E555"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36,000 </w:t>
            </w:r>
          </w:p>
        </w:tc>
        <w:tc>
          <w:tcPr>
            <w:tcW w:w="805" w:type="dxa"/>
            <w:tcBorders>
              <w:top w:val="nil"/>
              <w:left w:val="nil"/>
              <w:bottom w:val="single" w:sz="4" w:space="0" w:color="000000"/>
              <w:right w:val="single" w:sz="4" w:space="0" w:color="000000"/>
            </w:tcBorders>
            <w:shd w:val="clear" w:color="auto" w:fill="auto"/>
            <w:noWrap/>
            <w:vAlign w:val="bottom"/>
            <w:hideMark/>
          </w:tcPr>
          <w:p w14:paraId="26D8CB2B"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48,600 </w:t>
            </w:r>
          </w:p>
        </w:tc>
        <w:tc>
          <w:tcPr>
            <w:tcW w:w="826" w:type="dxa"/>
            <w:tcBorders>
              <w:top w:val="nil"/>
              <w:left w:val="nil"/>
              <w:bottom w:val="single" w:sz="4" w:space="0" w:color="000000"/>
              <w:right w:val="single" w:sz="4" w:space="0" w:color="000000"/>
            </w:tcBorders>
            <w:shd w:val="clear" w:color="auto" w:fill="auto"/>
            <w:noWrap/>
            <w:vAlign w:val="bottom"/>
            <w:hideMark/>
          </w:tcPr>
          <w:p w14:paraId="65F6E991"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38,200 </w:t>
            </w:r>
          </w:p>
        </w:tc>
        <w:tc>
          <w:tcPr>
            <w:tcW w:w="864" w:type="dxa"/>
            <w:tcBorders>
              <w:top w:val="nil"/>
              <w:left w:val="nil"/>
              <w:bottom w:val="single" w:sz="4" w:space="0" w:color="000000"/>
              <w:right w:val="single" w:sz="4" w:space="0" w:color="000000"/>
            </w:tcBorders>
            <w:shd w:val="clear" w:color="auto" w:fill="auto"/>
            <w:noWrap/>
            <w:vAlign w:val="bottom"/>
            <w:hideMark/>
          </w:tcPr>
          <w:p w14:paraId="4C6B3B50"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37,000 </w:t>
            </w:r>
          </w:p>
        </w:tc>
        <w:tc>
          <w:tcPr>
            <w:tcW w:w="834" w:type="dxa"/>
            <w:tcBorders>
              <w:top w:val="nil"/>
              <w:left w:val="nil"/>
              <w:bottom w:val="single" w:sz="4" w:space="0" w:color="000000"/>
              <w:right w:val="single" w:sz="4" w:space="0" w:color="000000"/>
            </w:tcBorders>
            <w:shd w:val="clear" w:color="auto" w:fill="auto"/>
            <w:noWrap/>
            <w:vAlign w:val="bottom"/>
            <w:hideMark/>
          </w:tcPr>
          <w:p w14:paraId="48CF4B85"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20,800 </w:t>
            </w:r>
          </w:p>
        </w:tc>
        <w:tc>
          <w:tcPr>
            <w:tcW w:w="827" w:type="dxa"/>
            <w:tcBorders>
              <w:top w:val="nil"/>
              <w:left w:val="nil"/>
              <w:bottom w:val="single" w:sz="4" w:space="0" w:color="000000"/>
              <w:right w:val="single" w:sz="4" w:space="0" w:color="000000"/>
            </w:tcBorders>
            <w:shd w:val="clear" w:color="auto" w:fill="auto"/>
            <w:noWrap/>
            <w:vAlign w:val="bottom"/>
            <w:hideMark/>
          </w:tcPr>
          <w:p w14:paraId="539116E4"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15,222 </w:t>
            </w:r>
          </w:p>
        </w:tc>
        <w:tc>
          <w:tcPr>
            <w:tcW w:w="980" w:type="dxa"/>
            <w:tcBorders>
              <w:top w:val="nil"/>
              <w:left w:val="nil"/>
              <w:bottom w:val="single" w:sz="4" w:space="0" w:color="000000"/>
              <w:right w:val="nil"/>
            </w:tcBorders>
            <w:shd w:val="clear" w:color="auto" w:fill="auto"/>
            <w:noWrap/>
            <w:vAlign w:val="bottom"/>
            <w:hideMark/>
          </w:tcPr>
          <w:p w14:paraId="0028000D"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195,822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19969052"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292B8CE5" w14:textId="77777777" w:rsidTr="007A7FA3">
        <w:trPr>
          <w:trHeight w:val="255"/>
        </w:trPr>
        <w:tc>
          <w:tcPr>
            <w:tcW w:w="1086" w:type="dxa"/>
            <w:vMerge/>
            <w:tcBorders>
              <w:top w:val="nil"/>
              <w:left w:val="single" w:sz="8" w:space="0" w:color="auto"/>
              <w:bottom w:val="nil"/>
              <w:right w:val="nil"/>
            </w:tcBorders>
            <w:vAlign w:val="center"/>
            <w:hideMark/>
          </w:tcPr>
          <w:p w14:paraId="5C8CF836"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271B069C" w14:textId="77777777" w:rsidR="007A7FA3" w:rsidRPr="007A7FA3" w:rsidRDefault="007A7FA3" w:rsidP="007A7FA3">
            <w:pPr>
              <w:rPr>
                <w:rFonts w:ascii="Calibri" w:hAnsi="Calibri" w:cs="Calibri"/>
                <w:i/>
                <w:iCs/>
                <w:color w:val="000000"/>
                <w:sz w:val="13"/>
                <w:szCs w:val="13"/>
              </w:rPr>
            </w:pPr>
          </w:p>
        </w:tc>
        <w:tc>
          <w:tcPr>
            <w:tcW w:w="2016"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52D96417"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 xml:space="preserve">5.1.2 Communication and Outreach Programme for awareness raising on Sustainable Blue/ocean economy and implementation of SEP and GAP  </w:t>
            </w:r>
          </w:p>
        </w:tc>
        <w:tc>
          <w:tcPr>
            <w:tcW w:w="631" w:type="dxa"/>
            <w:vMerge w:val="restart"/>
            <w:tcBorders>
              <w:top w:val="nil"/>
              <w:left w:val="nil"/>
              <w:bottom w:val="nil"/>
              <w:right w:val="nil"/>
            </w:tcBorders>
            <w:shd w:val="clear" w:color="auto" w:fill="auto"/>
            <w:vAlign w:val="center"/>
            <w:hideMark/>
          </w:tcPr>
          <w:p w14:paraId="78E1A2E4"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BCC</w:t>
            </w:r>
          </w:p>
        </w:tc>
        <w:tc>
          <w:tcPr>
            <w:tcW w:w="504" w:type="dxa"/>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0332EB2F"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val="restart"/>
            <w:tcBorders>
              <w:top w:val="nil"/>
              <w:left w:val="single" w:sz="4" w:space="0" w:color="000000"/>
              <w:bottom w:val="nil"/>
              <w:right w:val="nil"/>
            </w:tcBorders>
            <w:shd w:val="clear" w:color="auto" w:fill="auto"/>
            <w:vAlign w:val="center"/>
            <w:hideMark/>
          </w:tcPr>
          <w:p w14:paraId="53752258"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w:t>
            </w:r>
          </w:p>
        </w:tc>
        <w:tc>
          <w:tcPr>
            <w:tcW w:w="544" w:type="dxa"/>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4FB3739F"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71200</w:t>
            </w:r>
          </w:p>
        </w:tc>
        <w:tc>
          <w:tcPr>
            <w:tcW w:w="1580" w:type="dxa"/>
            <w:tcBorders>
              <w:top w:val="single" w:sz="8" w:space="0" w:color="000000"/>
              <w:left w:val="nil"/>
              <w:bottom w:val="single" w:sz="4" w:space="0" w:color="000000"/>
              <w:right w:val="single" w:sz="4" w:space="0" w:color="000000"/>
            </w:tcBorders>
            <w:shd w:val="clear" w:color="auto" w:fill="auto"/>
            <w:vAlign w:val="bottom"/>
            <w:hideMark/>
          </w:tcPr>
          <w:p w14:paraId="32676996"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International Consultants</w:t>
            </w:r>
          </w:p>
        </w:tc>
        <w:tc>
          <w:tcPr>
            <w:tcW w:w="694" w:type="dxa"/>
            <w:tcBorders>
              <w:top w:val="single" w:sz="8" w:space="0" w:color="000000"/>
              <w:left w:val="nil"/>
              <w:bottom w:val="single" w:sz="4" w:space="0" w:color="000000"/>
              <w:right w:val="single" w:sz="4" w:space="0" w:color="000000"/>
            </w:tcBorders>
            <w:shd w:val="clear" w:color="auto" w:fill="auto"/>
            <w:noWrap/>
            <w:vAlign w:val="bottom"/>
            <w:hideMark/>
          </w:tcPr>
          <w:p w14:paraId="444A7CA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5,000 </w:t>
            </w:r>
          </w:p>
        </w:tc>
        <w:tc>
          <w:tcPr>
            <w:tcW w:w="805" w:type="dxa"/>
            <w:tcBorders>
              <w:top w:val="single" w:sz="8" w:space="0" w:color="000000"/>
              <w:left w:val="nil"/>
              <w:bottom w:val="single" w:sz="4" w:space="0" w:color="000000"/>
              <w:right w:val="single" w:sz="4" w:space="0" w:color="000000"/>
            </w:tcBorders>
            <w:shd w:val="clear" w:color="auto" w:fill="auto"/>
            <w:noWrap/>
            <w:vAlign w:val="bottom"/>
            <w:hideMark/>
          </w:tcPr>
          <w:p w14:paraId="789BFDD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5,000 </w:t>
            </w:r>
          </w:p>
        </w:tc>
        <w:tc>
          <w:tcPr>
            <w:tcW w:w="826" w:type="dxa"/>
            <w:tcBorders>
              <w:top w:val="single" w:sz="8" w:space="0" w:color="000000"/>
              <w:left w:val="nil"/>
              <w:bottom w:val="single" w:sz="4" w:space="0" w:color="000000"/>
              <w:right w:val="single" w:sz="4" w:space="0" w:color="000000"/>
            </w:tcBorders>
            <w:shd w:val="clear" w:color="auto" w:fill="auto"/>
            <w:noWrap/>
            <w:vAlign w:val="bottom"/>
            <w:hideMark/>
          </w:tcPr>
          <w:p w14:paraId="1366C4C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64" w:type="dxa"/>
            <w:tcBorders>
              <w:top w:val="single" w:sz="8" w:space="0" w:color="000000"/>
              <w:left w:val="nil"/>
              <w:bottom w:val="single" w:sz="4" w:space="0" w:color="000000"/>
              <w:right w:val="single" w:sz="4" w:space="0" w:color="000000"/>
            </w:tcBorders>
            <w:shd w:val="clear" w:color="auto" w:fill="auto"/>
            <w:noWrap/>
            <w:vAlign w:val="bottom"/>
            <w:hideMark/>
          </w:tcPr>
          <w:p w14:paraId="6898CB4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34" w:type="dxa"/>
            <w:tcBorders>
              <w:top w:val="single" w:sz="8" w:space="0" w:color="000000"/>
              <w:left w:val="nil"/>
              <w:bottom w:val="single" w:sz="4" w:space="0" w:color="000000"/>
              <w:right w:val="single" w:sz="4" w:space="0" w:color="000000"/>
            </w:tcBorders>
            <w:shd w:val="clear" w:color="auto" w:fill="auto"/>
            <w:noWrap/>
            <w:vAlign w:val="bottom"/>
            <w:hideMark/>
          </w:tcPr>
          <w:p w14:paraId="48BA743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7" w:type="dxa"/>
            <w:tcBorders>
              <w:top w:val="single" w:sz="8" w:space="0" w:color="000000"/>
              <w:left w:val="nil"/>
              <w:bottom w:val="single" w:sz="4" w:space="0" w:color="000000"/>
              <w:right w:val="single" w:sz="4" w:space="0" w:color="000000"/>
            </w:tcBorders>
            <w:shd w:val="clear" w:color="auto" w:fill="auto"/>
            <w:noWrap/>
            <w:vAlign w:val="bottom"/>
            <w:hideMark/>
          </w:tcPr>
          <w:p w14:paraId="34089E7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49B4488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244FEC5E"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124 </w:t>
            </w:r>
          </w:p>
        </w:tc>
      </w:tr>
      <w:tr w:rsidR="007A7FA3" w:rsidRPr="007A7FA3" w14:paraId="27E3B499" w14:textId="77777777" w:rsidTr="007A7FA3">
        <w:trPr>
          <w:trHeight w:val="240"/>
        </w:trPr>
        <w:tc>
          <w:tcPr>
            <w:tcW w:w="1086" w:type="dxa"/>
            <w:vMerge/>
            <w:tcBorders>
              <w:top w:val="nil"/>
              <w:left w:val="single" w:sz="8" w:space="0" w:color="auto"/>
              <w:bottom w:val="nil"/>
              <w:right w:val="nil"/>
            </w:tcBorders>
            <w:vAlign w:val="center"/>
            <w:hideMark/>
          </w:tcPr>
          <w:p w14:paraId="06C8F042"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65B5B6E4"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07363B66"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4691611E"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5247840E"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1CA1E3DB"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09AF0913"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71300</w:t>
            </w:r>
          </w:p>
        </w:tc>
        <w:tc>
          <w:tcPr>
            <w:tcW w:w="1580" w:type="dxa"/>
            <w:tcBorders>
              <w:top w:val="nil"/>
              <w:left w:val="nil"/>
              <w:bottom w:val="single" w:sz="4" w:space="0" w:color="000000"/>
              <w:right w:val="single" w:sz="4" w:space="0" w:color="000000"/>
            </w:tcBorders>
            <w:shd w:val="clear" w:color="auto" w:fill="auto"/>
            <w:vAlign w:val="bottom"/>
            <w:hideMark/>
          </w:tcPr>
          <w:p w14:paraId="1AFBE071"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Local Consultants</w:t>
            </w:r>
          </w:p>
        </w:tc>
        <w:tc>
          <w:tcPr>
            <w:tcW w:w="694" w:type="dxa"/>
            <w:tcBorders>
              <w:top w:val="nil"/>
              <w:left w:val="nil"/>
              <w:bottom w:val="single" w:sz="4" w:space="0" w:color="000000"/>
              <w:right w:val="single" w:sz="4" w:space="0" w:color="000000"/>
            </w:tcBorders>
            <w:shd w:val="clear" w:color="auto" w:fill="auto"/>
            <w:noWrap/>
            <w:vAlign w:val="bottom"/>
            <w:hideMark/>
          </w:tcPr>
          <w:p w14:paraId="4BDE0DE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4,000 </w:t>
            </w:r>
          </w:p>
        </w:tc>
        <w:tc>
          <w:tcPr>
            <w:tcW w:w="805" w:type="dxa"/>
            <w:tcBorders>
              <w:top w:val="nil"/>
              <w:left w:val="nil"/>
              <w:bottom w:val="single" w:sz="4" w:space="0" w:color="000000"/>
              <w:right w:val="single" w:sz="4" w:space="0" w:color="000000"/>
            </w:tcBorders>
            <w:shd w:val="clear" w:color="auto" w:fill="auto"/>
            <w:noWrap/>
            <w:vAlign w:val="bottom"/>
            <w:hideMark/>
          </w:tcPr>
          <w:p w14:paraId="20C8B30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8,000 </w:t>
            </w:r>
          </w:p>
        </w:tc>
        <w:tc>
          <w:tcPr>
            <w:tcW w:w="826" w:type="dxa"/>
            <w:tcBorders>
              <w:top w:val="nil"/>
              <w:left w:val="nil"/>
              <w:bottom w:val="single" w:sz="4" w:space="0" w:color="000000"/>
              <w:right w:val="single" w:sz="4" w:space="0" w:color="000000"/>
            </w:tcBorders>
            <w:shd w:val="clear" w:color="auto" w:fill="auto"/>
            <w:noWrap/>
            <w:vAlign w:val="bottom"/>
            <w:hideMark/>
          </w:tcPr>
          <w:p w14:paraId="4E8A134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8,000 </w:t>
            </w:r>
          </w:p>
        </w:tc>
        <w:tc>
          <w:tcPr>
            <w:tcW w:w="864" w:type="dxa"/>
            <w:tcBorders>
              <w:top w:val="nil"/>
              <w:left w:val="nil"/>
              <w:bottom w:val="single" w:sz="4" w:space="0" w:color="000000"/>
              <w:right w:val="single" w:sz="4" w:space="0" w:color="000000"/>
            </w:tcBorders>
            <w:shd w:val="clear" w:color="auto" w:fill="auto"/>
            <w:noWrap/>
            <w:vAlign w:val="bottom"/>
            <w:hideMark/>
          </w:tcPr>
          <w:p w14:paraId="22115F0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8,000 </w:t>
            </w:r>
          </w:p>
        </w:tc>
        <w:tc>
          <w:tcPr>
            <w:tcW w:w="834" w:type="dxa"/>
            <w:tcBorders>
              <w:top w:val="nil"/>
              <w:left w:val="nil"/>
              <w:bottom w:val="single" w:sz="4" w:space="0" w:color="000000"/>
              <w:right w:val="single" w:sz="4" w:space="0" w:color="000000"/>
            </w:tcBorders>
            <w:shd w:val="clear" w:color="auto" w:fill="auto"/>
            <w:noWrap/>
            <w:vAlign w:val="bottom"/>
            <w:hideMark/>
          </w:tcPr>
          <w:p w14:paraId="0F78900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8,000 </w:t>
            </w:r>
          </w:p>
        </w:tc>
        <w:tc>
          <w:tcPr>
            <w:tcW w:w="827" w:type="dxa"/>
            <w:tcBorders>
              <w:top w:val="nil"/>
              <w:left w:val="nil"/>
              <w:bottom w:val="single" w:sz="4" w:space="0" w:color="000000"/>
              <w:right w:val="single" w:sz="4" w:space="0" w:color="000000"/>
            </w:tcBorders>
            <w:shd w:val="clear" w:color="auto" w:fill="auto"/>
            <w:noWrap/>
            <w:vAlign w:val="bottom"/>
            <w:hideMark/>
          </w:tcPr>
          <w:p w14:paraId="1F3929C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5,000 </w:t>
            </w:r>
          </w:p>
        </w:tc>
        <w:tc>
          <w:tcPr>
            <w:tcW w:w="980" w:type="dxa"/>
            <w:tcBorders>
              <w:top w:val="single" w:sz="8" w:space="0" w:color="000000"/>
              <w:left w:val="nil"/>
              <w:bottom w:val="single" w:sz="4" w:space="0" w:color="000000"/>
              <w:right w:val="nil"/>
            </w:tcBorders>
            <w:shd w:val="clear" w:color="auto" w:fill="auto"/>
            <w:noWrap/>
            <w:vAlign w:val="bottom"/>
            <w:hideMark/>
          </w:tcPr>
          <w:p w14:paraId="6F040EE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41,000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09BCB7CC"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125 </w:t>
            </w:r>
          </w:p>
        </w:tc>
      </w:tr>
      <w:tr w:rsidR="007A7FA3" w:rsidRPr="007A7FA3" w14:paraId="270DF204" w14:textId="77777777" w:rsidTr="007A7FA3">
        <w:trPr>
          <w:trHeight w:val="240"/>
        </w:trPr>
        <w:tc>
          <w:tcPr>
            <w:tcW w:w="1086" w:type="dxa"/>
            <w:vMerge/>
            <w:tcBorders>
              <w:top w:val="nil"/>
              <w:left w:val="single" w:sz="8" w:space="0" w:color="auto"/>
              <w:bottom w:val="nil"/>
              <w:right w:val="nil"/>
            </w:tcBorders>
            <w:vAlign w:val="center"/>
            <w:hideMark/>
          </w:tcPr>
          <w:p w14:paraId="659420DB"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7EBD5223"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40050E16"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1CFA481F"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48AD96D7"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46809E2E"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4F413003"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71600</w:t>
            </w:r>
          </w:p>
        </w:tc>
        <w:tc>
          <w:tcPr>
            <w:tcW w:w="1580" w:type="dxa"/>
            <w:tcBorders>
              <w:top w:val="nil"/>
              <w:left w:val="nil"/>
              <w:bottom w:val="single" w:sz="4" w:space="0" w:color="000000"/>
              <w:right w:val="single" w:sz="4" w:space="0" w:color="000000"/>
            </w:tcBorders>
            <w:shd w:val="clear" w:color="auto" w:fill="auto"/>
            <w:vAlign w:val="bottom"/>
            <w:hideMark/>
          </w:tcPr>
          <w:p w14:paraId="12DBD31C"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Travel</w:t>
            </w:r>
          </w:p>
        </w:tc>
        <w:tc>
          <w:tcPr>
            <w:tcW w:w="694" w:type="dxa"/>
            <w:tcBorders>
              <w:top w:val="nil"/>
              <w:left w:val="nil"/>
              <w:bottom w:val="single" w:sz="4" w:space="0" w:color="000000"/>
              <w:right w:val="single" w:sz="4" w:space="0" w:color="000000"/>
            </w:tcBorders>
            <w:shd w:val="clear" w:color="auto" w:fill="auto"/>
            <w:noWrap/>
            <w:vAlign w:val="bottom"/>
            <w:hideMark/>
          </w:tcPr>
          <w:p w14:paraId="163EA1D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3,000 </w:t>
            </w:r>
          </w:p>
        </w:tc>
        <w:tc>
          <w:tcPr>
            <w:tcW w:w="805" w:type="dxa"/>
            <w:tcBorders>
              <w:top w:val="nil"/>
              <w:left w:val="nil"/>
              <w:bottom w:val="single" w:sz="4" w:space="0" w:color="000000"/>
              <w:right w:val="single" w:sz="4" w:space="0" w:color="000000"/>
            </w:tcBorders>
            <w:shd w:val="clear" w:color="auto" w:fill="auto"/>
            <w:noWrap/>
            <w:vAlign w:val="bottom"/>
            <w:hideMark/>
          </w:tcPr>
          <w:p w14:paraId="7BD4096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5,000 </w:t>
            </w:r>
          </w:p>
        </w:tc>
        <w:tc>
          <w:tcPr>
            <w:tcW w:w="826" w:type="dxa"/>
            <w:tcBorders>
              <w:top w:val="nil"/>
              <w:left w:val="nil"/>
              <w:bottom w:val="single" w:sz="4" w:space="0" w:color="000000"/>
              <w:right w:val="single" w:sz="4" w:space="0" w:color="000000"/>
            </w:tcBorders>
            <w:shd w:val="clear" w:color="auto" w:fill="auto"/>
            <w:noWrap/>
            <w:vAlign w:val="bottom"/>
            <w:hideMark/>
          </w:tcPr>
          <w:p w14:paraId="1078984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5,000 </w:t>
            </w:r>
          </w:p>
        </w:tc>
        <w:tc>
          <w:tcPr>
            <w:tcW w:w="864" w:type="dxa"/>
            <w:tcBorders>
              <w:top w:val="nil"/>
              <w:left w:val="nil"/>
              <w:bottom w:val="single" w:sz="4" w:space="0" w:color="000000"/>
              <w:right w:val="single" w:sz="4" w:space="0" w:color="000000"/>
            </w:tcBorders>
            <w:shd w:val="clear" w:color="auto" w:fill="auto"/>
            <w:noWrap/>
            <w:vAlign w:val="bottom"/>
            <w:hideMark/>
          </w:tcPr>
          <w:p w14:paraId="7D76543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5,000 </w:t>
            </w:r>
          </w:p>
        </w:tc>
        <w:tc>
          <w:tcPr>
            <w:tcW w:w="834" w:type="dxa"/>
            <w:tcBorders>
              <w:top w:val="nil"/>
              <w:left w:val="nil"/>
              <w:bottom w:val="single" w:sz="4" w:space="0" w:color="000000"/>
              <w:right w:val="single" w:sz="4" w:space="0" w:color="000000"/>
            </w:tcBorders>
            <w:shd w:val="clear" w:color="auto" w:fill="auto"/>
            <w:noWrap/>
            <w:vAlign w:val="bottom"/>
            <w:hideMark/>
          </w:tcPr>
          <w:p w14:paraId="3F8A01A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5,000 </w:t>
            </w:r>
          </w:p>
        </w:tc>
        <w:tc>
          <w:tcPr>
            <w:tcW w:w="827" w:type="dxa"/>
            <w:tcBorders>
              <w:top w:val="nil"/>
              <w:left w:val="nil"/>
              <w:bottom w:val="single" w:sz="4" w:space="0" w:color="000000"/>
              <w:right w:val="single" w:sz="4" w:space="0" w:color="000000"/>
            </w:tcBorders>
            <w:shd w:val="clear" w:color="auto" w:fill="auto"/>
            <w:noWrap/>
            <w:vAlign w:val="bottom"/>
            <w:hideMark/>
          </w:tcPr>
          <w:p w14:paraId="2C6E095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 </w:t>
            </w:r>
          </w:p>
        </w:tc>
        <w:tc>
          <w:tcPr>
            <w:tcW w:w="980" w:type="dxa"/>
            <w:tcBorders>
              <w:top w:val="single" w:sz="8" w:space="0" w:color="000000"/>
              <w:left w:val="nil"/>
              <w:bottom w:val="single" w:sz="4" w:space="0" w:color="000000"/>
              <w:right w:val="nil"/>
            </w:tcBorders>
            <w:shd w:val="clear" w:color="auto" w:fill="auto"/>
            <w:noWrap/>
            <w:vAlign w:val="bottom"/>
            <w:hideMark/>
          </w:tcPr>
          <w:p w14:paraId="1469CFE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25,000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3A59EE0B"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126 </w:t>
            </w:r>
          </w:p>
        </w:tc>
      </w:tr>
      <w:tr w:rsidR="007A7FA3" w:rsidRPr="007A7FA3" w14:paraId="67A8D975" w14:textId="77777777" w:rsidTr="007A7FA3">
        <w:trPr>
          <w:trHeight w:val="255"/>
        </w:trPr>
        <w:tc>
          <w:tcPr>
            <w:tcW w:w="1086" w:type="dxa"/>
            <w:vMerge/>
            <w:tcBorders>
              <w:top w:val="nil"/>
              <w:left w:val="single" w:sz="8" w:space="0" w:color="auto"/>
              <w:bottom w:val="nil"/>
              <w:right w:val="nil"/>
            </w:tcBorders>
            <w:vAlign w:val="center"/>
            <w:hideMark/>
          </w:tcPr>
          <w:p w14:paraId="5D0A4B02"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6EEC7779"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00B03E71"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045834AB"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46E93FC4"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7D4017A7"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1ED84D44"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72100</w:t>
            </w:r>
          </w:p>
        </w:tc>
        <w:tc>
          <w:tcPr>
            <w:tcW w:w="1580" w:type="dxa"/>
            <w:tcBorders>
              <w:top w:val="nil"/>
              <w:left w:val="nil"/>
              <w:bottom w:val="single" w:sz="4" w:space="0" w:color="000000"/>
              <w:right w:val="single" w:sz="4" w:space="0" w:color="000000"/>
            </w:tcBorders>
            <w:shd w:val="clear" w:color="auto" w:fill="auto"/>
            <w:vAlign w:val="bottom"/>
            <w:hideMark/>
          </w:tcPr>
          <w:p w14:paraId="6B18FD3F"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Contractual Services - Companies</w:t>
            </w:r>
          </w:p>
        </w:tc>
        <w:tc>
          <w:tcPr>
            <w:tcW w:w="694" w:type="dxa"/>
            <w:tcBorders>
              <w:top w:val="nil"/>
              <w:left w:val="nil"/>
              <w:bottom w:val="single" w:sz="4" w:space="0" w:color="000000"/>
              <w:right w:val="single" w:sz="4" w:space="0" w:color="000000"/>
            </w:tcBorders>
            <w:shd w:val="clear" w:color="auto" w:fill="auto"/>
            <w:noWrap/>
            <w:vAlign w:val="bottom"/>
            <w:hideMark/>
          </w:tcPr>
          <w:p w14:paraId="38B8480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5,000 </w:t>
            </w:r>
          </w:p>
        </w:tc>
        <w:tc>
          <w:tcPr>
            <w:tcW w:w="805" w:type="dxa"/>
            <w:tcBorders>
              <w:top w:val="nil"/>
              <w:left w:val="nil"/>
              <w:bottom w:val="single" w:sz="4" w:space="0" w:color="000000"/>
              <w:right w:val="single" w:sz="4" w:space="0" w:color="000000"/>
            </w:tcBorders>
            <w:shd w:val="clear" w:color="auto" w:fill="auto"/>
            <w:noWrap/>
            <w:vAlign w:val="bottom"/>
            <w:hideMark/>
          </w:tcPr>
          <w:p w14:paraId="10B0355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6" w:type="dxa"/>
            <w:tcBorders>
              <w:top w:val="nil"/>
              <w:left w:val="nil"/>
              <w:bottom w:val="single" w:sz="4" w:space="0" w:color="000000"/>
              <w:right w:val="single" w:sz="4" w:space="0" w:color="000000"/>
            </w:tcBorders>
            <w:shd w:val="clear" w:color="auto" w:fill="auto"/>
            <w:noWrap/>
            <w:vAlign w:val="bottom"/>
            <w:hideMark/>
          </w:tcPr>
          <w:p w14:paraId="52FB540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64" w:type="dxa"/>
            <w:tcBorders>
              <w:top w:val="nil"/>
              <w:left w:val="nil"/>
              <w:bottom w:val="single" w:sz="4" w:space="0" w:color="000000"/>
              <w:right w:val="single" w:sz="4" w:space="0" w:color="000000"/>
            </w:tcBorders>
            <w:shd w:val="clear" w:color="auto" w:fill="auto"/>
            <w:noWrap/>
            <w:vAlign w:val="bottom"/>
            <w:hideMark/>
          </w:tcPr>
          <w:p w14:paraId="0ED348F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34" w:type="dxa"/>
            <w:tcBorders>
              <w:top w:val="nil"/>
              <w:left w:val="nil"/>
              <w:bottom w:val="single" w:sz="4" w:space="0" w:color="000000"/>
              <w:right w:val="single" w:sz="4" w:space="0" w:color="000000"/>
            </w:tcBorders>
            <w:shd w:val="clear" w:color="auto" w:fill="auto"/>
            <w:noWrap/>
            <w:vAlign w:val="bottom"/>
            <w:hideMark/>
          </w:tcPr>
          <w:p w14:paraId="5AA2FCF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7" w:type="dxa"/>
            <w:tcBorders>
              <w:top w:val="nil"/>
              <w:left w:val="nil"/>
              <w:bottom w:val="single" w:sz="4" w:space="0" w:color="000000"/>
              <w:right w:val="single" w:sz="4" w:space="0" w:color="000000"/>
            </w:tcBorders>
            <w:shd w:val="clear" w:color="auto" w:fill="auto"/>
            <w:noWrap/>
            <w:vAlign w:val="bottom"/>
            <w:hideMark/>
          </w:tcPr>
          <w:p w14:paraId="39CEF29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533D251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6BC46022"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127 </w:t>
            </w:r>
          </w:p>
        </w:tc>
      </w:tr>
      <w:tr w:rsidR="007A7FA3" w:rsidRPr="007A7FA3" w14:paraId="031A5EAA" w14:textId="77777777" w:rsidTr="007A7FA3">
        <w:trPr>
          <w:trHeight w:val="255"/>
        </w:trPr>
        <w:tc>
          <w:tcPr>
            <w:tcW w:w="1086" w:type="dxa"/>
            <w:vMerge/>
            <w:tcBorders>
              <w:top w:val="nil"/>
              <w:left w:val="single" w:sz="8" w:space="0" w:color="auto"/>
              <w:bottom w:val="nil"/>
              <w:right w:val="nil"/>
            </w:tcBorders>
            <w:vAlign w:val="center"/>
            <w:hideMark/>
          </w:tcPr>
          <w:p w14:paraId="53AB46ED"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6CCCE1BD"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0AFD023B"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274B3A92"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0C12C22B"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46AF97E7"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5963602B"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72400</w:t>
            </w:r>
          </w:p>
        </w:tc>
        <w:tc>
          <w:tcPr>
            <w:tcW w:w="1580" w:type="dxa"/>
            <w:tcBorders>
              <w:top w:val="nil"/>
              <w:left w:val="nil"/>
              <w:bottom w:val="single" w:sz="4" w:space="0" w:color="000000"/>
              <w:right w:val="single" w:sz="4" w:space="0" w:color="000000"/>
            </w:tcBorders>
            <w:shd w:val="clear" w:color="auto" w:fill="auto"/>
            <w:vAlign w:val="bottom"/>
            <w:hideMark/>
          </w:tcPr>
          <w:p w14:paraId="546D3700"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Communic &amp; Audio Visual Equip</w:t>
            </w:r>
          </w:p>
        </w:tc>
        <w:tc>
          <w:tcPr>
            <w:tcW w:w="694" w:type="dxa"/>
            <w:tcBorders>
              <w:top w:val="nil"/>
              <w:left w:val="nil"/>
              <w:bottom w:val="single" w:sz="4" w:space="0" w:color="000000"/>
              <w:right w:val="single" w:sz="4" w:space="0" w:color="000000"/>
            </w:tcBorders>
            <w:shd w:val="clear" w:color="auto" w:fill="auto"/>
            <w:noWrap/>
            <w:vAlign w:val="bottom"/>
            <w:hideMark/>
          </w:tcPr>
          <w:p w14:paraId="7CE3CB9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nil"/>
              <w:left w:val="nil"/>
              <w:bottom w:val="single" w:sz="4" w:space="0" w:color="000000"/>
              <w:right w:val="single" w:sz="4" w:space="0" w:color="000000"/>
            </w:tcBorders>
            <w:shd w:val="clear" w:color="auto" w:fill="auto"/>
            <w:noWrap/>
            <w:vAlign w:val="bottom"/>
            <w:hideMark/>
          </w:tcPr>
          <w:p w14:paraId="4A077DA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 </w:t>
            </w:r>
          </w:p>
        </w:tc>
        <w:tc>
          <w:tcPr>
            <w:tcW w:w="826" w:type="dxa"/>
            <w:tcBorders>
              <w:top w:val="nil"/>
              <w:left w:val="nil"/>
              <w:bottom w:val="single" w:sz="4" w:space="0" w:color="000000"/>
              <w:right w:val="single" w:sz="4" w:space="0" w:color="000000"/>
            </w:tcBorders>
            <w:shd w:val="clear" w:color="auto" w:fill="auto"/>
            <w:noWrap/>
            <w:vAlign w:val="bottom"/>
            <w:hideMark/>
          </w:tcPr>
          <w:p w14:paraId="1C6D843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 </w:t>
            </w:r>
          </w:p>
        </w:tc>
        <w:tc>
          <w:tcPr>
            <w:tcW w:w="864" w:type="dxa"/>
            <w:tcBorders>
              <w:top w:val="nil"/>
              <w:left w:val="nil"/>
              <w:bottom w:val="single" w:sz="4" w:space="0" w:color="000000"/>
              <w:right w:val="single" w:sz="4" w:space="0" w:color="000000"/>
            </w:tcBorders>
            <w:shd w:val="clear" w:color="auto" w:fill="auto"/>
            <w:noWrap/>
            <w:vAlign w:val="bottom"/>
            <w:hideMark/>
          </w:tcPr>
          <w:p w14:paraId="3075B2B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 </w:t>
            </w:r>
          </w:p>
        </w:tc>
        <w:tc>
          <w:tcPr>
            <w:tcW w:w="834" w:type="dxa"/>
            <w:tcBorders>
              <w:top w:val="nil"/>
              <w:left w:val="nil"/>
              <w:bottom w:val="single" w:sz="4" w:space="0" w:color="000000"/>
              <w:right w:val="single" w:sz="4" w:space="0" w:color="000000"/>
            </w:tcBorders>
            <w:shd w:val="clear" w:color="auto" w:fill="auto"/>
            <w:noWrap/>
            <w:vAlign w:val="bottom"/>
            <w:hideMark/>
          </w:tcPr>
          <w:p w14:paraId="2E5682B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 </w:t>
            </w:r>
          </w:p>
        </w:tc>
        <w:tc>
          <w:tcPr>
            <w:tcW w:w="827" w:type="dxa"/>
            <w:tcBorders>
              <w:top w:val="nil"/>
              <w:left w:val="nil"/>
              <w:bottom w:val="single" w:sz="4" w:space="0" w:color="000000"/>
              <w:right w:val="single" w:sz="4" w:space="0" w:color="000000"/>
            </w:tcBorders>
            <w:shd w:val="clear" w:color="auto" w:fill="auto"/>
            <w:noWrap/>
            <w:vAlign w:val="bottom"/>
            <w:hideMark/>
          </w:tcPr>
          <w:p w14:paraId="47E20EC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980" w:type="dxa"/>
            <w:tcBorders>
              <w:top w:val="single" w:sz="8" w:space="0" w:color="000000"/>
              <w:left w:val="nil"/>
              <w:bottom w:val="single" w:sz="4" w:space="0" w:color="000000"/>
              <w:right w:val="nil"/>
            </w:tcBorders>
            <w:shd w:val="clear" w:color="auto" w:fill="auto"/>
            <w:noWrap/>
            <w:vAlign w:val="bottom"/>
            <w:hideMark/>
          </w:tcPr>
          <w:p w14:paraId="465D059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79AD2967"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128 </w:t>
            </w:r>
          </w:p>
        </w:tc>
      </w:tr>
      <w:tr w:rsidR="007A7FA3" w:rsidRPr="007A7FA3" w14:paraId="414B5234" w14:textId="77777777" w:rsidTr="007A7FA3">
        <w:trPr>
          <w:trHeight w:val="270"/>
        </w:trPr>
        <w:tc>
          <w:tcPr>
            <w:tcW w:w="1086" w:type="dxa"/>
            <w:vMerge/>
            <w:tcBorders>
              <w:top w:val="nil"/>
              <w:left w:val="single" w:sz="8" w:space="0" w:color="auto"/>
              <w:bottom w:val="nil"/>
              <w:right w:val="nil"/>
            </w:tcBorders>
            <w:vAlign w:val="center"/>
            <w:hideMark/>
          </w:tcPr>
          <w:p w14:paraId="25AE582E"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2C79ADF0"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531296C5" w14:textId="77777777" w:rsidR="007A7FA3" w:rsidRPr="007A7FA3" w:rsidRDefault="007A7FA3" w:rsidP="007A7FA3">
            <w:pPr>
              <w:rPr>
                <w:rFonts w:ascii="Calibri" w:hAnsi="Calibri" w:cs="Calibri"/>
                <w:i/>
                <w:iCs/>
                <w:color w:val="000000"/>
                <w:sz w:val="13"/>
                <w:szCs w:val="13"/>
              </w:rPr>
            </w:pPr>
          </w:p>
        </w:tc>
        <w:tc>
          <w:tcPr>
            <w:tcW w:w="3763" w:type="dxa"/>
            <w:gridSpan w:val="5"/>
            <w:tcBorders>
              <w:top w:val="single" w:sz="4" w:space="0" w:color="000000"/>
              <w:left w:val="nil"/>
              <w:bottom w:val="single" w:sz="4" w:space="0" w:color="000000"/>
              <w:right w:val="single" w:sz="4" w:space="0" w:color="000000"/>
            </w:tcBorders>
            <w:shd w:val="clear" w:color="auto" w:fill="auto"/>
            <w:vAlign w:val="center"/>
            <w:hideMark/>
          </w:tcPr>
          <w:p w14:paraId="0B2EE175"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Total BCC</w:t>
            </w:r>
          </w:p>
        </w:tc>
        <w:tc>
          <w:tcPr>
            <w:tcW w:w="694" w:type="dxa"/>
            <w:tcBorders>
              <w:top w:val="nil"/>
              <w:left w:val="nil"/>
              <w:bottom w:val="single" w:sz="4" w:space="0" w:color="000000"/>
              <w:right w:val="single" w:sz="4" w:space="0" w:color="000000"/>
            </w:tcBorders>
            <w:shd w:val="clear" w:color="auto" w:fill="auto"/>
            <w:noWrap/>
            <w:vAlign w:val="bottom"/>
            <w:hideMark/>
          </w:tcPr>
          <w:p w14:paraId="208BE979"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17,000 </w:t>
            </w:r>
          </w:p>
        </w:tc>
        <w:tc>
          <w:tcPr>
            <w:tcW w:w="805" w:type="dxa"/>
            <w:tcBorders>
              <w:top w:val="nil"/>
              <w:left w:val="nil"/>
              <w:bottom w:val="single" w:sz="4" w:space="0" w:color="000000"/>
              <w:right w:val="single" w:sz="4" w:space="0" w:color="000000"/>
            </w:tcBorders>
            <w:shd w:val="clear" w:color="auto" w:fill="auto"/>
            <w:noWrap/>
            <w:vAlign w:val="bottom"/>
            <w:hideMark/>
          </w:tcPr>
          <w:p w14:paraId="328881A1"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19,000 </w:t>
            </w:r>
          </w:p>
        </w:tc>
        <w:tc>
          <w:tcPr>
            <w:tcW w:w="826" w:type="dxa"/>
            <w:tcBorders>
              <w:top w:val="nil"/>
              <w:left w:val="nil"/>
              <w:bottom w:val="single" w:sz="4" w:space="0" w:color="000000"/>
              <w:right w:val="single" w:sz="4" w:space="0" w:color="000000"/>
            </w:tcBorders>
            <w:shd w:val="clear" w:color="auto" w:fill="auto"/>
            <w:noWrap/>
            <w:vAlign w:val="bottom"/>
            <w:hideMark/>
          </w:tcPr>
          <w:p w14:paraId="39E1B995"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14,000 </w:t>
            </w:r>
          </w:p>
        </w:tc>
        <w:tc>
          <w:tcPr>
            <w:tcW w:w="864" w:type="dxa"/>
            <w:tcBorders>
              <w:top w:val="nil"/>
              <w:left w:val="nil"/>
              <w:bottom w:val="single" w:sz="4" w:space="0" w:color="000000"/>
              <w:right w:val="single" w:sz="4" w:space="0" w:color="000000"/>
            </w:tcBorders>
            <w:shd w:val="clear" w:color="auto" w:fill="auto"/>
            <w:noWrap/>
            <w:vAlign w:val="bottom"/>
            <w:hideMark/>
          </w:tcPr>
          <w:p w14:paraId="23995688"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14,000 </w:t>
            </w:r>
          </w:p>
        </w:tc>
        <w:tc>
          <w:tcPr>
            <w:tcW w:w="834" w:type="dxa"/>
            <w:tcBorders>
              <w:top w:val="nil"/>
              <w:left w:val="nil"/>
              <w:bottom w:val="single" w:sz="4" w:space="0" w:color="000000"/>
              <w:right w:val="single" w:sz="4" w:space="0" w:color="000000"/>
            </w:tcBorders>
            <w:shd w:val="clear" w:color="auto" w:fill="auto"/>
            <w:noWrap/>
            <w:vAlign w:val="bottom"/>
            <w:hideMark/>
          </w:tcPr>
          <w:p w14:paraId="4C996B3C"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14,000 </w:t>
            </w:r>
          </w:p>
        </w:tc>
        <w:tc>
          <w:tcPr>
            <w:tcW w:w="827" w:type="dxa"/>
            <w:tcBorders>
              <w:top w:val="nil"/>
              <w:left w:val="nil"/>
              <w:bottom w:val="single" w:sz="4" w:space="0" w:color="000000"/>
              <w:right w:val="single" w:sz="4" w:space="0" w:color="000000"/>
            </w:tcBorders>
            <w:shd w:val="clear" w:color="auto" w:fill="auto"/>
            <w:noWrap/>
            <w:vAlign w:val="bottom"/>
            <w:hideMark/>
          </w:tcPr>
          <w:p w14:paraId="34B3AFBE"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7,000 </w:t>
            </w:r>
          </w:p>
        </w:tc>
        <w:tc>
          <w:tcPr>
            <w:tcW w:w="980" w:type="dxa"/>
            <w:tcBorders>
              <w:top w:val="single" w:sz="8" w:space="0" w:color="000000"/>
              <w:left w:val="nil"/>
              <w:bottom w:val="single" w:sz="4" w:space="0" w:color="000000"/>
              <w:right w:val="nil"/>
            </w:tcBorders>
            <w:shd w:val="clear" w:color="auto" w:fill="auto"/>
            <w:noWrap/>
            <w:vAlign w:val="bottom"/>
            <w:hideMark/>
          </w:tcPr>
          <w:p w14:paraId="6C69E8C8"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85,000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36143BEA"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22F01F27" w14:textId="77777777" w:rsidTr="007A7FA3">
        <w:trPr>
          <w:trHeight w:val="255"/>
        </w:trPr>
        <w:tc>
          <w:tcPr>
            <w:tcW w:w="1086" w:type="dxa"/>
            <w:vMerge/>
            <w:tcBorders>
              <w:top w:val="nil"/>
              <w:left w:val="single" w:sz="8" w:space="0" w:color="auto"/>
              <w:bottom w:val="nil"/>
              <w:right w:val="nil"/>
            </w:tcBorders>
            <w:vAlign w:val="center"/>
            <w:hideMark/>
          </w:tcPr>
          <w:p w14:paraId="019D78B3"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112C1C69" w14:textId="77777777" w:rsidR="007A7FA3" w:rsidRPr="007A7FA3" w:rsidRDefault="007A7FA3" w:rsidP="007A7FA3">
            <w:pPr>
              <w:rPr>
                <w:rFonts w:ascii="Calibri" w:hAnsi="Calibri" w:cs="Calibri"/>
                <w:i/>
                <w:iCs/>
                <w:color w:val="000000"/>
                <w:sz w:val="13"/>
                <w:szCs w:val="13"/>
              </w:rPr>
            </w:pPr>
          </w:p>
        </w:tc>
        <w:tc>
          <w:tcPr>
            <w:tcW w:w="5779" w:type="dxa"/>
            <w:gridSpan w:val="6"/>
            <w:tcBorders>
              <w:top w:val="nil"/>
              <w:left w:val="nil"/>
              <w:bottom w:val="single" w:sz="4" w:space="0" w:color="000000"/>
              <w:right w:val="single" w:sz="4" w:space="0" w:color="000000"/>
            </w:tcBorders>
            <w:shd w:val="clear" w:color="auto" w:fill="auto"/>
            <w:vAlign w:val="center"/>
            <w:hideMark/>
          </w:tcPr>
          <w:p w14:paraId="644A9028" w14:textId="77777777" w:rsidR="007A7FA3" w:rsidRPr="007A7FA3" w:rsidRDefault="007A7FA3" w:rsidP="007A7FA3">
            <w:pPr>
              <w:rPr>
                <w:rFonts w:ascii="Calibri" w:hAnsi="Calibri" w:cs="Calibri"/>
                <w:b/>
                <w:bCs/>
                <w:i/>
                <w:iCs/>
                <w:color w:val="000000"/>
                <w:sz w:val="13"/>
                <w:szCs w:val="13"/>
              </w:rPr>
            </w:pPr>
            <w:r w:rsidRPr="007A7FA3">
              <w:rPr>
                <w:rFonts w:ascii="Calibri" w:hAnsi="Calibri" w:cs="Calibri"/>
                <w:b/>
                <w:bCs/>
                <w:i/>
                <w:iCs/>
                <w:color w:val="000000"/>
                <w:sz w:val="13"/>
                <w:szCs w:val="13"/>
              </w:rPr>
              <w:t>Total Output 5.1.2</w:t>
            </w:r>
          </w:p>
        </w:tc>
        <w:tc>
          <w:tcPr>
            <w:tcW w:w="694" w:type="dxa"/>
            <w:tcBorders>
              <w:top w:val="nil"/>
              <w:left w:val="nil"/>
              <w:bottom w:val="single" w:sz="4" w:space="0" w:color="000000"/>
              <w:right w:val="single" w:sz="4" w:space="0" w:color="000000"/>
            </w:tcBorders>
            <w:shd w:val="clear" w:color="auto" w:fill="auto"/>
            <w:noWrap/>
            <w:vAlign w:val="bottom"/>
            <w:hideMark/>
          </w:tcPr>
          <w:p w14:paraId="1B8933B9"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17,000 </w:t>
            </w:r>
          </w:p>
        </w:tc>
        <w:tc>
          <w:tcPr>
            <w:tcW w:w="805" w:type="dxa"/>
            <w:tcBorders>
              <w:top w:val="nil"/>
              <w:left w:val="nil"/>
              <w:bottom w:val="single" w:sz="4" w:space="0" w:color="000000"/>
              <w:right w:val="single" w:sz="4" w:space="0" w:color="000000"/>
            </w:tcBorders>
            <w:shd w:val="clear" w:color="auto" w:fill="auto"/>
            <w:noWrap/>
            <w:vAlign w:val="bottom"/>
            <w:hideMark/>
          </w:tcPr>
          <w:p w14:paraId="799212A0"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19,000 </w:t>
            </w:r>
          </w:p>
        </w:tc>
        <w:tc>
          <w:tcPr>
            <w:tcW w:w="826" w:type="dxa"/>
            <w:tcBorders>
              <w:top w:val="nil"/>
              <w:left w:val="nil"/>
              <w:bottom w:val="single" w:sz="4" w:space="0" w:color="000000"/>
              <w:right w:val="single" w:sz="4" w:space="0" w:color="000000"/>
            </w:tcBorders>
            <w:shd w:val="clear" w:color="auto" w:fill="auto"/>
            <w:noWrap/>
            <w:vAlign w:val="bottom"/>
            <w:hideMark/>
          </w:tcPr>
          <w:p w14:paraId="73E17CD5"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14,000 </w:t>
            </w:r>
          </w:p>
        </w:tc>
        <w:tc>
          <w:tcPr>
            <w:tcW w:w="864" w:type="dxa"/>
            <w:tcBorders>
              <w:top w:val="nil"/>
              <w:left w:val="nil"/>
              <w:bottom w:val="single" w:sz="4" w:space="0" w:color="000000"/>
              <w:right w:val="single" w:sz="4" w:space="0" w:color="000000"/>
            </w:tcBorders>
            <w:shd w:val="clear" w:color="auto" w:fill="auto"/>
            <w:noWrap/>
            <w:vAlign w:val="bottom"/>
            <w:hideMark/>
          </w:tcPr>
          <w:p w14:paraId="2C7EE932"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14,000 </w:t>
            </w:r>
          </w:p>
        </w:tc>
        <w:tc>
          <w:tcPr>
            <w:tcW w:w="834" w:type="dxa"/>
            <w:tcBorders>
              <w:top w:val="nil"/>
              <w:left w:val="nil"/>
              <w:bottom w:val="single" w:sz="4" w:space="0" w:color="000000"/>
              <w:right w:val="single" w:sz="4" w:space="0" w:color="000000"/>
            </w:tcBorders>
            <w:shd w:val="clear" w:color="auto" w:fill="auto"/>
            <w:noWrap/>
            <w:vAlign w:val="bottom"/>
            <w:hideMark/>
          </w:tcPr>
          <w:p w14:paraId="1BC4F9B5"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14,000 </w:t>
            </w:r>
          </w:p>
        </w:tc>
        <w:tc>
          <w:tcPr>
            <w:tcW w:w="827" w:type="dxa"/>
            <w:tcBorders>
              <w:top w:val="nil"/>
              <w:left w:val="nil"/>
              <w:bottom w:val="single" w:sz="4" w:space="0" w:color="000000"/>
              <w:right w:val="single" w:sz="4" w:space="0" w:color="000000"/>
            </w:tcBorders>
            <w:shd w:val="clear" w:color="auto" w:fill="auto"/>
            <w:noWrap/>
            <w:vAlign w:val="bottom"/>
            <w:hideMark/>
          </w:tcPr>
          <w:p w14:paraId="6EAC66B9"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7,000 </w:t>
            </w:r>
          </w:p>
        </w:tc>
        <w:tc>
          <w:tcPr>
            <w:tcW w:w="980" w:type="dxa"/>
            <w:tcBorders>
              <w:top w:val="single" w:sz="8" w:space="0" w:color="000000"/>
              <w:left w:val="nil"/>
              <w:bottom w:val="single" w:sz="4" w:space="0" w:color="000000"/>
              <w:right w:val="nil"/>
            </w:tcBorders>
            <w:shd w:val="clear" w:color="auto" w:fill="auto"/>
            <w:noWrap/>
            <w:vAlign w:val="bottom"/>
            <w:hideMark/>
          </w:tcPr>
          <w:p w14:paraId="66EDBC78"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85,000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49642BC6"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2AA3569D" w14:textId="77777777" w:rsidTr="007A7FA3">
        <w:trPr>
          <w:trHeight w:val="240"/>
        </w:trPr>
        <w:tc>
          <w:tcPr>
            <w:tcW w:w="1086" w:type="dxa"/>
            <w:vMerge/>
            <w:tcBorders>
              <w:top w:val="nil"/>
              <w:left w:val="single" w:sz="8" w:space="0" w:color="auto"/>
              <w:bottom w:val="nil"/>
              <w:right w:val="nil"/>
            </w:tcBorders>
            <w:vAlign w:val="center"/>
            <w:hideMark/>
          </w:tcPr>
          <w:p w14:paraId="70E7D4EF"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08E0D6C1" w14:textId="77777777" w:rsidR="007A7FA3" w:rsidRPr="007A7FA3" w:rsidRDefault="007A7FA3" w:rsidP="007A7FA3">
            <w:pPr>
              <w:rPr>
                <w:rFonts w:ascii="Calibri" w:hAnsi="Calibri" w:cs="Calibri"/>
                <w:i/>
                <w:iCs/>
                <w:color w:val="000000"/>
                <w:sz w:val="13"/>
                <w:szCs w:val="13"/>
              </w:rPr>
            </w:pPr>
          </w:p>
        </w:tc>
        <w:tc>
          <w:tcPr>
            <w:tcW w:w="2016"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349B5C64"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 xml:space="preserve">5.1.3 Environmental and Social Safeguards Management is developed and operationalized </w:t>
            </w:r>
          </w:p>
        </w:tc>
        <w:tc>
          <w:tcPr>
            <w:tcW w:w="631" w:type="dxa"/>
            <w:vMerge w:val="restart"/>
            <w:tcBorders>
              <w:top w:val="nil"/>
              <w:left w:val="nil"/>
              <w:bottom w:val="nil"/>
              <w:right w:val="nil"/>
            </w:tcBorders>
            <w:shd w:val="clear" w:color="auto" w:fill="auto"/>
            <w:vAlign w:val="center"/>
            <w:hideMark/>
          </w:tcPr>
          <w:p w14:paraId="47343D99"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BCC</w:t>
            </w:r>
          </w:p>
        </w:tc>
        <w:tc>
          <w:tcPr>
            <w:tcW w:w="504" w:type="dxa"/>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3A2BE52F"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val="restart"/>
            <w:tcBorders>
              <w:top w:val="nil"/>
              <w:left w:val="single" w:sz="4" w:space="0" w:color="000000"/>
              <w:bottom w:val="nil"/>
              <w:right w:val="nil"/>
            </w:tcBorders>
            <w:shd w:val="clear" w:color="auto" w:fill="auto"/>
            <w:vAlign w:val="center"/>
            <w:hideMark/>
          </w:tcPr>
          <w:p w14:paraId="4104044E"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w:t>
            </w:r>
          </w:p>
        </w:tc>
        <w:tc>
          <w:tcPr>
            <w:tcW w:w="544" w:type="dxa"/>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52260212"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71200</w:t>
            </w:r>
          </w:p>
        </w:tc>
        <w:tc>
          <w:tcPr>
            <w:tcW w:w="1580" w:type="dxa"/>
            <w:tcBorders>
              <w:top w:val="single" w:sz="8" w:space="0" w:color="000000"/>
              <w:left w:val="nil"/>
              <w:bottom w:val="single" w:sz="4" w:space="0" w:color="000000"/>
              <w:right w:val="single" w:sz="4" w:space="0" w:color="000000"/>
            </w:tcBorders>
            <w:shd w:val="clear" w:color="auto" w:fill="auto"/>
            <w:vAlign w:val="bottom"/>
            <w:hideMark/>
          </w:tcPr>
          <w:p w14:paraId="172A4F4C"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International Consultants</w:t>
            </w:r>
          </w:p>
        </w:tc>
        <w:tc>
          <w:tcPr>
            <w:tcW w:w="694" w:type="dxa"/>
            <w:tcBorders>
              <w:top w:val="single" w:sz="8" w:space="0" w:color="000000"/>
              <w:left w:val="nil"/>
              <w:bottom w:val="single" w:sz="4" w:space="0" w:color="000000"/>
              <w:right w:val="single" w:sz="4" w:space="0" w:color="000000"/>
            </w:tcBorders>
            <w:shd w:val="clear" w:color="auto" w:fill="auto"/>
            <w:noWrap/>
            <w:vAlign w:val="bottom"/>
            <w:hideMark/>
          </w:tcPr>
          <w:p w14:paraId="4D30D98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15,000 </w:t>
            </w:r>
          </w:p>
        </w:tc>
        <w:tc>
          <w:tcPr>
            <w:tcW w:w="805" w:type="dxa"/>
            <w:tcBorders>
              <w:top w:val="single" w:sz="8" w:space="0" w:color="000000"/>
              <w:left w:val="nil"/>
              <w:bottom w:val="single" w:sz="4" w:space="0" w:color="000000"/>
              <w:right w:val="single" w:sz="4" w:space="0" w:color="000000"/>
            </w:tcBorders>
            <w:shd w:val="clear" w:color="auto" w:fill="auto"/>
            <w:noWrap/>
            <w:vAlign w:val="bottom"/>
            <w:hideMark/>
          </w:tcPr>
          <w:p w14:paraId="6615A50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15,000 </w:t>
            </w:r>
          </w:p>
        </w:tc>
        <w:tc>
          <w:tcPr>
            <w:tcW w:w="826" w:type="dxa"/>
            <w:tcBorders>
              <w:top w:val="single" w:sz="8" w:space="0" w:color="000000"/>
              <w:left w:val="nil"/>
              <w:bottom w:val="single" w:sz="4" w:space="0" w:color="000000"/>
              <w:right w:val="single" w:sz="4" w:space="0" w:color="000000"/>
            </w:tcBorders>
            <w:shd w:val="clear" w:color="auto" w:fill="auto"/>
            <w:noWrap/>
            <w:vAlign w:val="bottom"/>
            <w:hideMark/>
          </w:tcPr>
          <w:p w14:paraId="6768AB9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15,000 </w:t>
            </w:r>
          </w:p>
        </w:tc>
        <w:tc>
          <w:tcPr>
            <w:tcW w:w="864" w:type="dxa"/>
            <w:tcBorders>
              <w:top w:val="single" w:sz="8" w:space="0" w:color="000000"/>
              <w:left w:val="nil"/>
              <w:bottom w:val="single" w:sz="4" w:space="0" w:color="000000"/>
              <w:right w:val="single" w:sz="4" w:space="0" w:color="000000"/>
            </w:tcBorders>
            <w:shd w:val="clear" w:color="auto" w:fill="auto"/>
            <w:noWrap/>
            <w:vAlign w:val="bottom"/>
            <w:hideMark/>
          </w:tcPr>
          <w:p w14:paraId="358CE7C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34" w:type="dxa"/>
            <w:tcBorders>
              <w:top w:val="single" w:sz="8" w:space="0" w:color="000000"/>
              <w:left w:val="nil"/>
              <w:bottom w:val="single" w:sz="4" w:space="0" w:color="000000"/>
              <w:right w:val="single" w:sz="4" w:space="0" w:color="000000"/>
            </w:tcBorders>
            <w:shd w:val="clear" w:color="auto" w:fill="auto"/>
            <w:noWrap/>
            <w:vAlign w:val="bottom"/>
            <w:hideMark/>
          </w:tcPr>
          <w:p w14:paraId="79A572A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16,000 </w:t>
            </w:r>
          </w:p>
        </w:tc>
        <w:tc>
          <w:tcPr>
            <w:tcW w:w="827" w:type="dxa"/>
            <w:tcBorders>
              <w:top w:val="single" w:sz="8" w:space="0" w:color="000000"/>
              <w:left w:val="nil"/>
              <w:bottom w:val="single" w:sz="4" w:space="0" w:color="000000"/>
              <w:right w:val="single" w:sz="4" w:space="0" w:color="000000"/>
            </w:tcBorders>
            <w:shd w:val="clear" w:color="auto" w:fill="auto"/>
            <w:noWrap/>
            <w:vAlign w:val="bottom"/>
            <w:hideMark/>
          </w:tcPr>
          <w:p w14:paraId="5B2D0A1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15,000 </w:t>
            </w:r>
          </w:p>
        </w:tc>
        <w:tc>
          <w:tcPr>
            <w:tcW w:w="980" w:type="dxa"/>
            <w:tcBorders>
              <w:top w:val="single" w:sz="8" w:space="0" w:color="000000"/>
              <w:left w:val="nil"/>
              <w:bottom w:val="single" w:sz="4" w:space="0" w:color="000000"/>
              <w:right w:val="nil"/>
            </w:tcBorders>
            <w:shd w:val="clear" w:color="auto" w:fill="auto"/>
            <w:noWrap/>
            <w:vAlign w:val="bottom"/>
            <w:hideMark/>
          </w:tcPr>
          <w:p w14:paraId="69E9443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86,000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34EAB15F"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129 </w:t>
            </w:r>
          </w:p>
        </w:tc>
      </w:tr>
      <w:tr w:rsidR="007A7FA3" w:rsidRPr="007A7FA3" w14:paraId="2E4DBADE" w14:textId="77777777" w:rsidTr="007A7FA3">
        <w:trPr>
          <w:trHeight w:val="300"/>
        </w:trPr>
        <w:tc>
          <w:tcPr>
            <w:tcW w:w="1086" w:type="dxa"/>
            <w:vMerge/>
            <w:tcBorders>
              <w:top w:val="nil"/>
              <w:left w:val="single" w:sz="8" w:space="0" w:color="auto"/>
              <w:bottom w:val="nil"/>
              <w:right w:val="nil"/>
            </w:tcBorders>
            <w:vAlign w:val="center"/>
            <w:hideMark/>
          </w:tcPr>
          <w:p w14:paraId="573E9B5A"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17DAAF21"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3B7D39E3"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4E229C72"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20D8993B"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307B41C7"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039744DD"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71300</w:t>
            </w:r>
          </w:p>
        </w:tc>
        <w:tc>
          <w:tcPr>
            <w:tcW w:w="1580" w:type="dxa"/>
            <w:tcBorders>
              <w:top w:val="nil"/>
              <w:left w:val="nil"/>
              <w:bottom w:val="single" w:sz="4" w:space="0" w:color="000000"/>
              <w:right w:val="single" w:sz="4" w:space="0" w:color="000000"/>
            </w:tcBorders>
            <w:shd w:val="clear" w:color="auto" w:fill="auto"/>
            <w:vAlign w:val="bottom"/>
            <w:hideMark/>
          </w:tcPr>
          <w:p w14:paraId="5D399665"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Local Consultants</w:t>
            </w:r>
          </w:p>
        </w:tc>
        <w:tc>
          <w:tcPr>
            <w:tcW w:w="694" w:type="dxa"/>
            <w:tcBorders>
              <w:top w:val="nil"/>
              <w:left w:val="nil"/>
              <w:bottom w:val="single" w:sz="4" w:space="0" w:color="000000"/>
              <w:right w:val="single" w:sz="4" w:space="0" w:color="000000"/>
            </w:tcBorders>
            <w:shd w:val="clear" w:color="auto" w:fill="auto"/>
            <w:noWrap/>
            <w:vAlign w:val="bottom"/>
            <w:hideMark/>
          </w:tcPr>
          <w:p w14:paraId="054B7EC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10,000 </w:t>
            </w:r>
          </w:p>
        </w:tc>
        <w:tc>
          <w:tcPr>
            <w:tcW w:w="805" w:type="dxa"/>
            <w:tcBorders>
              <w:top w:val="nil"/>
              <w:left w:val="nil"/>
              <w:bottom w:val="single" w:sz="4" w:space="0" w:color="000000"/>
              <w:right w:val="single" w:sz="4" w:space="0" w:color="000000"/>
            </w:tcBorders>
            <w:shd w:val="clear" w:color="auto" w:fill="auto"/>
            <w:noWrap/>
            <w:vAlign w:val="bottom"/>
            <w:hideMark/>
          </w:tcPr>
          <w:p w14:paraId="3C4C5DB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15,000 </w:t>
            </w:r>
          </w:p>
        </w:tc>
        <w:tc>
          <w:tcPr>
            <w:tcW w:w="826" w:type="dxa"/>
            <w:tcBorders>
              <w:top w:val="nil"/>
              <w:left w:val="nil"/>
              <w:bottom w:val="single" w:sz="4" w:space="0" w:color="000000"/>
              <w:right w:val="single" w:sz="4" w:space="0" w:color="000000"/>
            </w:tcBorders>
            <w:shd w:val="clear" w:color="auto" w:fill="auto"/>
            <w:noWrap/>
            <w:vAlign w:val="bottom"/>
            <w:hideMark/>
          </w:tcPr>
          <w:p w14:paraId="58B3BD6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20,000 </w:t>
            </w:r>
          </w:p>
        </w:tc>
        <w:tc>
          <w:tcPr>
            <w:tcW w:w="864" w:type="dxa"/>
            <w:tcBorders>
              <w:top w:val="nil"/>
              <w:left w:val="nil"/>
              <w:bottom w:val="single" w:sz="4" w:space="0" w:color="000000"/>
              <w:right w:val="single" w:sz="4" w:space="0" w:color="000000"/>
            </w:tcBorders>
            <w:shd w:val="clear" w:color="auto" w:fill="auto"/>
            <w:noWrap/>
            <w:vAlign w:val="bottom"/>
            <w:hideMark/>
          </w:tcPr>
          <w:p w14:paraId="0276BBD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20,000 </w:t>
            </w:r>
          </w:p>
        </w:tc>
        <w:tc>
          <w:tcPr>
            <w:tcW w:w="834" w:type="dxa"/>
            <w:tcBorders>
              <w:top w:val="nil"/>
              <w:left w:val="nil"/>
              <w:bottom w:val="single" w:sz="4" w:space="0" w:color="000000"/>
              <w:right w:val="single" w:sz="4" w:space="0" w:color="000000"/>
            </w:tcBorders>
            <w:shd w:val="clear" w:color="auto" w:fill="auto"/>
            <w:noWrap/>
            <w:vAlign w:val="bottom"/>
            <w:hideMark/>
          </w:tcPr>
          <w:p w14:paraId="201003C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15,000 </w:t>
            </w:r>
          </w:p>
        </w:tc>
        <w:tc>
          <w:tcPr>
            <w:tcW w:w="827" w:type="dxa"/>
            <w:tcBorders>
              <w:top w:val="nil"/>
              <w:left w:val="nil"/>
              <w:bottom w:val="single" w:sz="4" w:space="0" w:color="000000"/>
              <w:right w:val="single" w:sz="4" w:space="0" w:color="000000"/>
            </w:tcBorders>
            <w:shd w:val="clear" w:color="auto" w:fill="auto"/>
            <w:noWrap/>
            <w:vAlign w:val="bottom"/>
            <w:hideMark/>
          </w:tcPr>
          <w:p w14:paraId="216D2A9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13,000 </w:t>
            </w:r>
          </w:p>
        </w:tc>
        <w:tc>
          <w:tcPr>
            <w:tcW w:w="980" w:type="dxa"/>
            <w:tcBorders>
              <w:top w:val="single" w:sz="8" w:space="0" w:color="000000"/>
              <w:left w:val="nil"/>
              <w:bottom w:val="single" w:sz="4" w:space="0" w:color="000000"/>
              <w:right w:val="nil"/>
            </w:tcBorders>
            <w:shd w:val="clear" w:color="auto" w:fill="auto"/>
            <w:noWrap/>
            <w:vAlign w:val="bottom"/>
            <w:hideMark/>
          </w:tcPr>
          <w:p w14:paraId="74075F5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93,000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59E12B7A"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130 </w:t>
            </w:r>
          </w:p>
        </w:tc>
      </w:tr>
      <w:tr w:rsidR="007A7FA3" w:rsidRPr="007A7FA3" w14:paraId="26C48F19" w14:textId="77777777" w:rsidTr="007A7FA3">
        <w:trPr>
          <w:trHeight w:val="300"/>
        </w:trPr>
        <w:tc>
          <w:tcPr>
            <w:tcW w:w="1086" w:type="dxa"/>
            <w:vMerge/>
            <w:tcBorders>
              <w:top w:val="nil"/>
              <w:left w:val="single" w:sz="8" w:space="0" w:color="auto"/>
              <w:bottom w:val="nil"/>
              <w:right w:val="nil"/>
            </w:tcBorders>
            <w:vAlign w:val="center"/>
            <w:hideMark/>
          </w:tcPr>
          <w:p w14:paraId="77069E6D"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53F8BC40"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085AB872"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1B62B50C"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34C859B6"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0526787B"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2FE8C699"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71600</w:t>
            </w:r>
          </w:p>
        </w:tc>
        <w:tc>
          <w:tcPr>
            <w:tcW w:w="1580" w:type="dxa"/>
            <w:tcBorders>
              <w:top w:val="nil"/>
              <w:left w:val="nil"/>
              <w:bottom w:val="single" w:sz="4" w:space="0" w:color="000000"/>
              <w:right w:val="single" w:sz="4" w:space="0" w:color="000000"/>
            </w:tcBorders>
            <w:shd w:val="clear" w:color="auto" w:fill="auto"/>
            <w:vAlign w:val="bottom"/>
            <w:hideMark/>
          </w:tcPr>
          <w:p w14:paraId="1017B31A"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Travel</w:t>
            </w:r>
          </w:p>
        </w:tc>
        <w:tc>
          <w:tcPr>
            <w:tcW w:w="694" w:type="dxa"/>
            <w:tcBorders>
              <w:top w:val="nil"/>
              <w:left w:val="nil"/>
              <w:bottom w:val="single" w:sz="4" w:space="0" w:color="000000"/>
              <w:right w:val="single" w:sz="4" w:space="0" w:color="000000"/>
            </w:tcBorders>
            <w:shd w:val="clear" w:color="auto" w:fill="auto"/>
            <w:noWrap/>
            <w:vAlign w:val="bottom"/>
            <w:hideMark/>
          </w:tcPr>
          <w:p w14:paraId="783EA5E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4,000 </w:t>
            </w:r>
          </w:p>
        </w:tc>
        <w:tc>
          <w:tcPr>
            <w:tcW w:w="805" w:type="dxa"/>
            <w:tcBorders>
              <w:top w:val="nil"/>
              <w:left w:val="nil"/>
              <w:bottom w:val="single" w:sz="4" w:space="0" w:color="000000"/>
              <w:right w:val="single" w:sz="4" w:space="0" w:color="000000"/>
            </w:tcBorders>
            <w:shd w:val="clear" w:color="auto" w:fill="auto"/>
            <w:noWrap/>
            <w:vAlign w:val="bottom"/>
            <w:hideMark/>
          </w:tcPr>
          <w:p w14:paraId="166FE81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5,000 </w:t>
            </w:r>
          </w:p>
        </w:tc>
        <w:tc>
          <w:tcPr>
            <w:tcW w:w="826" w:type="dxa"/>
            <w:tcBorders>
              <w:top w:val="nil"/>
              <w:left w:val="nil"/>
              <w:bottom w:val="single" w:sz="4" w:space="0" w:color="000000"/>
              <w:right w:val="single" w:sz="4" w:space="0" w:color="000000"/>
            </w:tcBorders>
            <w:shd w:val="clear" w:color="auto" w:fill="auto"/>
            <w:noWrap/>
            <w:vAlign w:val="bottom"/>
            <w:hideMark/>
          </w:tcPr>
          <w:p w14:paraId="5E26709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5,000 </w:t>
            </w:r>
          </w:p>
        </w:tc>
        <w:tc>
          <w:tcPr>
            <w:tcW w:w="864" w:type="dxa"/>
            <w:tcBorders>
              <w:top w:val="nil"/>
              <w:left w:val="nil"/>
              <w:bottom w:val="single" w:sz="4" w:space="0" w:color="000000"/>
              <w:right w:val="single" w:sz="4" w:space="0" w:color="000000"/>
            </w:tcBorders>
            <w:shd w:val="clear" w:color="auto" w:fill="auto"/>
            <w:noWrap/>
            <w:vAlign w:val="bottom"/>
            <w:hideMark/>
          </w:tcPr>
          <w:p w14:paraId="03B98B2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5,000 </w:t>
            </w:r>
          </w:p>
        </w:tc>
        <w:tc>
          <w:tcPr>
            <w:tcW w:w="834" w:type="dxa"/>
            <w:tcBorders>
              <w:top w:val="nil"/>
              <w:left w:val="nil"/>
              <w:bottom w:val="single" w:sz="4" w:space="0" w:color="000000"/>
              <w:right w:val="single" w:sz="4" w:space="0" w:color="000000"/>
            </w:tcBorders>
            <w:shd w:val="clear" w:color="auto" w:fill="auto"/>
            <w:noWrap/>
            <w:vAlign w:val="bottom"/>
            <w:hideMark/>
          </w:tcPr>
          <w:p w14:paraId="001CF3A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5,000 </w:t>
            </w:r>
          </w:p>
        </w:tc>
        <w:tc>
          <w:tcPr>
            <w:tcW w:w="827" w:type="dxa"/>
            <w:tcBorders>
              <w:top w:val="nil"/>
              <w:left w:val="nil"/>
              <w:bottom w:val="single" w:sz="4" w:space="0" w:color="000000"/>
              <w:right w:val="single" w:sz="4" w:space="0" w:color="000000"/>
            </w:tcBorders>
            <w:shd w:val="clear" w:color="auto" w:fill="auto"/>
            <w:noWrap/>
            <w:vAlign w:val="bottom"/>
            <w:hideMark/>
          </w:tcPr>
          <w:p w14:paraId="71BCDB6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 </w:t>
            </w:r>
          </w:p>
        </w:tc>
        <w:tc>
          <w:tcPr>
            <w:tcW w:w="980" w:type="dxa"/>
            <w:tcBorders>
              <w:top w:val="single" w:sz="8" w:space="0" w:color="000000"/>
              <w:left w:val="nil"/>
              <w:bottom w:val="single" w:sz="4" w:space="0" w:color="000000"/>
              <w:right w:val="nil"/>
            </w:tcBorders>
            <w:shd w:val="clear" w:color="auto" w:fill="auto"/>
            <w:noWrap/>
            <w:vAlign w:val="bottom"/>
            <w:hideMark/>
          </w:tcPr>
          <w:p w14:paraId="753A216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25,000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521FBDE3"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131 </w:t>
            </w:r>
          </w:p>
        </w:tc>
      </w:tr>
      <w:tr w:rsidR="007A7FA3" w:rsidRPr="007A7FA3" w14:paraId="736F844E" w14:textId="77777777" w:rsidTr="007A7FA3">
        <w:trPr>
          <w:trHeight w:val="255"/>
        </w:trPr>
        <w:tc>
          <w:tcPr>
            <w:tcW w:w="1086" w:type="dxa"/>
            <w:vMerge/>
            <w:tcBorders>
              <w:top w:val="nil"/>
              <w:left w:val="single" w:sz="8" w:space="0" w:color="auto"/>
              <w:bottom w:val="nil"/>
              <w:right w:val="nil"/>
            </w:tcBorders>
            <w:vAlign w:val="center"/>
            <w:hideMark/>
          </w:tcPr>
          <w:p w14:paraId="5DB27F8E"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23D463BF"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26036537"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6B4EA5C0"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4339AE7C"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16E7AF14"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5134588C"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72100</w:t>
            </w:r>
          </w:p>
        </w:tc>
        <w:tc>
          <w:tcPr>
            <w:tcW w:w="1580" w:type="dxa"/>
            <w:tcBorders>
              <w:top w:val="nil"/>
              <w:left w:val="nil"/>
              <w:bottom w:val="single" w:sz="4" w:space="0" w:color="000000"/>
              <w:right w:val="single" w:sz="4" w:space="0" w:color="000000"/>
            </w:tcBorders>
            <w:shd w:val="clear" w:color="auto" w:fill="auto"/>
            <w:vAlign w:val="bottom"/>
            <w:hideMark/>
          </w:tcPr>
          <w:p w14:paraId="6035DB3C"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Contractual Services - Companies</w:t>
            </w:r>
          </w:p>
        </w:tc>
        <w:tc>
          <w:tcPr>
            <w:tcW w:w="694" w:type="dxa"/>
            <w:tcBorders>
              <w:top w:val="nil"/>
              <w:left w:val="nil"/>
              <w:bottom w:val="single" w:sz="4" w:space="0" w:color="000000"/>
              <w:right w:val="single" w:sz="4" w:space="0" w:color="000000"/>
            </w:tcBorders>
            <w:shd w:val="clear" w:color="auto" w:fill="auto"/>
            <w:noWrap/>
            <w:vAlign w:val="bottom"/>
            <w:hideMark/>
          </w:tcPr>
          <w:p w14:paraId="0D28679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nil"/>
              <w:left w:val="nil"/>
              <w:bottom w:val="single" w:sz="4" w:space="0" w:color="000000"/>
              <w:right w:val="single" w:sz="4" w:space="0" w:color="000000"/>
            </w:tcBorders>
            <w:shd w:val="clear" w:color="auto" w:fill="auto"/>
            <w:noWrap/>
            <w:vAlign w:val="bottom"/>
            <w:hideMark/>
          </w:tcPr>
          <w:p w14:paraId="621BAB3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 </w:t>
            </w:r>
          </w:p>
        </w:tc>
        <w:tc>
          <w:tcPr>
            <w:tcW w:w="826" w:type="dxa"/>
            <w:tcBorders>
              <w:top w:val="nil"/>
              <w:left w:val="nil"/>
              <w:bottom w:val="single" w:sz="4" w:space="0" w:color="000000"/>
              <w:right w:val="single" w:sz="4" w:space="0" w:color="000000"/>
            </w:tcBorders>
            <w:shd w:val="clear" w:color="auto" w:fill="auto"/>
            <w:noWrap/>
            <w:vAlign w:val="bottom"/>
            <w:hideMark/>
          </w:tcPr>
          <w:p w14:paraId="5A83DA6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3,000 </w:t>
            </w:r>
          </w:p>
        </w:tc>
        <w:tc>
          <w:tcPr>
            <w:tcW w:w="864" w:type="dxa"/>
            <w:tcBorders>
              <w:top w:val="nil"/>
              <w:left w:val="nil"/>
              <w:bottom w:val="single" w:sz="4" w:space="0" w:color="000000"/>
              <w:right w:val="single" w:sz="4" w:space="0" w:color="000000"/>
            </w:tcBorders>
            <w:shd w:val="clear" w:color="auto" w:fill="auto"/>
            <w:noWrap/>
            <w:vAlign w:val="bottom"/>
            <w:hideMark/>
          </w:tcPr>
          <w:p w14:paraId="0F5FA76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3,000 </w:t>
            </w:r>
          </w:p>
        </w:tc>
        <w:tc>
          <w:tcPr>
            <w:tcW w:w="834" w:type="dxa"/>
            <w:tcBorders>
              <w:top w:val="nil"/>
              <w:left w:val="nil"/>
              <w:bottom w:val="single" w:sz="4" w:space="0" w:color="000000"/>
              <w:right w:val="single" w:sz="4" w:space="0" w:color="000000"/>
            </w:tcBorders>
            <w:shd w:val="clear" w:color="auto" w:fill="auto"/>
            <w:noWrap/>
            <w:vAlign w:val="bottom"/>
            <w:hideMark/>
          </w:tcPr>
          <w:p w14:paraId="63A69E9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 </w:t>
            </w:r>
          </w:p>
        </w:tc>
        <w:tc>
          <w:tcPr>
            <w:tcW w:w="827" w:type="dxa"/>
            <w:tcBorders>
              <w:top w:val="nil"/>
              <w:left w:val="nil"/>
              <w:bottom w:val="single" w:sz="4" w:space="0" w:color="000000"/>
              <w:right w:val="single" w:sz="4" w:space="0" w:color="000000"/>
            </w:tcBorders>
            <w:shd w:val="clear" w:color="auto" w:fill="auto"/>
            <w:noWrap/>
            <w:vAlign w:val="bottom"/>
            <w:hideMark/>
          </w:tcPr>
          <w:p w14:paraId="0A1E13B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 </w:t>
            </w:r>
          </w:p>
        </w:tc>
        <w:tc>
          <w:tcPr>
            <w:tcW w:w="980" w:type="dxa"/>
            <w:tcBorders>
              <w:top w:val="single" w:sz="8" w:space="0" w:color="000000"/>
              <w:left w:val="nil"/>
              <w:bottom w:val="single" w:sz="4" w:space="0" w:color="000000"/>
              <w:right w:val="nil"/>
            </w:tcBorders>
            <w:shd w:val="clear" w:color="auto" w:fill="auto"/>
            <w:noWrap/>
            <w:vAlign w:val="bottom"/>
            <w:hideMark/>
          </w:tcPr>
          <w:p w14:paraId="3EE6402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12,000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2238ADC8"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132 </w:t>
            </w:r>
          </w:p>
        </w:tc>
      </w:tr>
      <w:tr w:rsidR="007A7FA3" w:rsidRPr="007A7FA3" w14:paraId="666A7FF2" w14:textId="77777777" w:rsidTr="007A7FA3">
        <w:trPr>
          <w:trHeight w:val="240"/>
        </w:trPr>
        <w:tc>
          <w:tcPr>
            <w:tcW w:w="1086" w:type="dxa"/>
            <w:vMerge/>
            <w:tcBorders>
              <w:top w:val="nil"/>
              <w:left w:val="single" w:sz="8" w:space="0" w:color="auto"/>
              <w:bottom w:val="nil"/>
              <w:right w:val="nil"/>
            </w:tcBorders>
            <w:vAlign w:val="center"/>
            <w:hideMark/>
          </w:tcPr>
          <w:p w14:paraId="18339C73"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0F05A1DA"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661ED2E7"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478DD64A"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27629DB7"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0D493E3D"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4DE56BF2"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72400</w:t>
            </w:r>
          </w:p>
        </w:tc>
        <w:tc>
          <w:tcPr>
            <w:tcW w:w="1580" w:type="dxa"/>
            <w:tcBorders>
              <w:top w:val="nil"/>
              <w:left w:val="nil"/>
              <w:bottom w:val="single" w:sz="4" w:space="0" w:color="000000"/>
              <w:right w:val="single" w:sz="4" w:space="0" w:color="000000"/>
            </w:tcBorders>
            <w:shd w:val="clear" w:color="auto" w:fill="auto"/>
            <w:vAlign w:val="bottom"/>
            <w:hideMark/>
          </w:tcPr>
          <w:p w14:paraId="756B0F2F"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Communic &amp; Audio Visual Equip</w:t>
            </w:r>
          </w:p>
        </w:tc>
        <w:tc>
          <w:tcPr>
            <w:tcW w:w="694" w:type="dxa"/>
            <w:tcBorders>
              <w:top w:val="nil"/>
              <w:left w:val="nil"/>
              <w:bottom w:val="single" w:sz="4" w:space="0" w:color="000000"/>
              <w:right w:val="single" w:sz="4" w:space="0" w:color="000000"/>
            </w:tcBorders>
            <w:shd w:val="clear" w:color="auto" w:fill="auto"/>
            <w:noWrap/>
            <w:vAlign w:val="bottom"/>
            <w:hideMark/>
          </w:tcPr>
          <w:p w14:paraId="273269F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nil"/>
              <w:left w:val="nil"/>
              <w:bottom w:val="single" w:sz="4" w:space="0" w:color="000000"/>
              <w:right w:val="single" w:sz="4" w:space="0" w:color="000000"/>
            </w:tcBorders>
            <w:shd w:val="clear" w:color="auto" w:fill="auto"/>
            <w:noWrap/>
            <w:vAlign w:val="bottom"/>
            <w:hideMark/>
          </w:tcPr>
          <w:p w14:paraId="54183E8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 </w:t>
            </w:r>
          </w:p>
        </w:tc>
        <w:tc>
          <w:tcPr>
            <w:tcW w:w="826" w:type="dxa"/>
            <w:tcBorders>
              <w:top w:val="nil"/>
              <w:left w:val="nil"/>
              <w:bottom w:val="single" w:sz="4" w:space="0" w:color="000000"/>
              <w:right w:val="single" w:sz="4" w:space="0" w:color="000000"/>
            </w:tcBorders>
            <w:shd w:val="clear" w:color="auto" w:fill="auto"/>
            <w:noWrap/>
            <w:vAlign w:val="bottom"/>
            <w:hideMark/>
          </w:tcPr>
          <w:p w14:paraId="4123054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 </w:t>
            </w:r>
          </w:p>
        </w:tc>
        <w:tc>
          <w:tcPr>
            <w:tcW w:w="864" w:type="dxa"/>
            <w:tcBorders>
              <w:top w:val="nil"/>
              <w:left w:val="nil"/>
              <w:bottom w:val="single" w:sz="4" w:space="0" w:color="000000"/>
              <w:right w:val="single" w:sz="4" w:space="0" w:color="000000"/>
            </w:tcBorders>
            <w:shd w:val="clear" w:color="auto" w:fill="auto"/>
            <w:noWrap/>
            <w:vAlign w:val="bottom"/>
            <w:hideMark/>
          </w:tcPr>
          <w:p w14:paraId="778D440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 </w:t>
            </w:r>
          </w:p>
        </w:tc>
        <w:tc>
          <w:tcPr>
            <w:tcW w:w="834" w:type="dxa"/>
            <w:tcBorders>
              <w:top w:val="nil"/>
              <w:left w:val="nil"/>
              <w:bottom w:val="single" w:sz="4" w:space="0" w:color="000000"/>
              <w:right w:val="single" w:sz="4" w:space="0" w:color="000000"/>
            </w:tcBorders>
            <w:shd w:val="clear" w:color="auto" w:fill="auto"/>
            <w:noWrap/>
            <w:vAlign w:val="bottom"/>
            <w:hideMark/>
          </w:tcPr>
          <w:p w14:paraId="0177FAA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1,000 </w:t>
            </w:r>
          </w:p>
        </w:tc>
        <w:tc>
          <w:tcPr>
            <w:tcW w:w="827" w:type="dxa"/>
            <w:tcBorders>
              <w:top w:val="nil"/>
              <w:left w:val="nil"/>
              <w:bottom w:val="single" w:sz="4" w:space="0" w:color="000000"/>
              <w:right w:val="single" w:sz="4" w:space="0" w:color="000000"/>
            </w:tcBorders>
            <w:shd w:val="clear" w:color="auto" w:fill="auto"/>
            <w:noWrap/>
            <w:vAlign w:val="bottom"/>
            <w:hideMark/>
          </w:tcPr>
          <w:p w14:paraId="72D82D1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   </w:t>
            </w:r>
          </w:p>
        </w:tc>
        <w:tc>
          <w:tcPr>
            <w:tcW w:w="980" w:type="dxa"/>
            <w:tcBorders>
              <w:top w:val="single" w:sz="8" w:space="0" w:color="000000"/>
              <w:left w:val="nil"/>
              <w:bottom w:val="single" w:sz="4" w:space="0" w:color="000000"/>
              <w:right w:val="nil"/>
            </w:tcBorders>
            <w:shd w:val="clear" w:color="auto" w:fill="auto"/>
            <w:noWrap/>
            <w:vAlign w:val="bottom"/>
            <w:hideMark/>
          </w:tcPr>
          <w:p w14:paraId="6A46A35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32F46F9C"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133 </w:t>
            </w:r>
          </w:p>
        </w:tc>
      </w:tr>
      <w:tr w:rsidR="007A7FA3" w:rsidRPr="007A7FA3" w14:paraId="272A5BF8" w14:textId="77777777" w:rsidTr="007A7FA3">
        <w:trPr>
          <w:trHeight w:val="285"/>
        </w:trPr>
        <w:tc>
          <w:tcPr>
            <w:tcW w:w="1086" w:type="dxa"/>
            <w:vMerge/>
            <w:tcBorders>
              <w:top w:val="nil"/>
              <w:left w:val="single" w:sz="8" w:space="0" w:color="auto"/>
              <w:bottom w:val="nil"/>
              <w:right w:val="nil"/>
            </w:tcBorders>
            <w:vAlign w:val="center"/>
            <w:hideMark/>
          </w:tcPr>
          <w:p w14:paraId="1EBB63AC"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15EB8186"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06D4A276" w14:textId="77777777" w:rsidR="007A7FA3" w:rsidRPr="007A7FA3" w:rsidRDefault="007A7FA3" w:rsidP="007A7FA3">
            <w:pPr>
              <w:rPr>
                <w:rFonts w:ascii="Calibri" w:hAnsi="Calibri" w:cs="Calibri"/>
                <w:i/>
                <w:iCs/>
                <w:color w:val="000000"/>
                <w:sz w:val="13"/>
                <w:szCs w:val="13"/>
              </w:rPr>
            </w:pPr>
          </w:p>
        </w:tc>
        <w:tc>
          <w:tcPr>
            <w:tcW w:w="3763" w:type="dxa"/>
            <w:gridSpan w:val="5"/>
            <w:tcBorders>
              <w:top w:val="single" w:sz="4" w:space="0" w:color="000000"/>
              <w:left w:val="nil"/>
              <w:bottom w:val="single" w:sz="4" w:space="0" w:color="000000"/>
              <w:right w:val="single" w:sz="4" w:space="0" w:color="000000"/>
            </w:tcBorders>
            <w:shd w:val="clear" w:color="auto" w:fill="auto"/>
            <w:vAlign w:val="center"/>
            <w:hideMark/>
          </w:tcPr>
          <w:p w14:paraId="266945DC"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Total BCC</w:t>
            </w:r>
          </w:p>
        </w:tc>
        <w:tc>
          <w:tcPr>
            <w:tcW w:w="694" w:type="dxa"/>
            <w:tcBorders>
              <w:top w:val="nil"/>
              <w:left w:val="nil"/>
              <w:bottom w:val="single" w:sz="4" w:space="0" w:color="000000"/>
              <w:right w:val="single" w:sz="4" w:space="0" w:color="000000"/>
            </w:tcBorders>
            <w:shd w:val="clear" w:color="auto" w:fill="auto"/>
            <w:noWrap/>
            <w:vAlign w:val="bottom"/>
            <w:hideMark/>
          </w:tcPr>
          <w:p w14:paraId="2FA9DD38"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29,000 </w:t>
            </w:r>
          </w:p>
        </w:tc>
        <w:tc>
          <w:tcPr>
            <w:tcW w:w="805" w:type="dxa"/>
            <w:tcBorders>
              <w:top w:val="nil"/>
              <w:left w:val="nil"/>
              <w:bottom w:val="single" w:sz="4" w:space="0" w:color="000000"/>
              <w:right w:val="single" w:sz="4" w:space="0" w:color="000000"/>
            </w:tcBorders>
            <w:shd w:val="clear" w:color="auto" w:fill="auto"/>
            <w:noWrap/>
            <w:vAlign w:val="bottom"/>
            <w:hideMark/>
          </w:tcPr>
          <w:p w14:paraId="22986E15"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38,000 </w:t>
            </w:r>
          </w:p>
        </w:tc>
        <w:tc>
          <w:tcPr>
            <w:tcW w:w="826" w:type="dxa"/>
            <w:tcBorders>
              <w:top w:val="nil"/>
              <w:left w:val="nil"/>
              <w:bottom w:val="single" w:sz="4" w:space="0" w:color="000000"/>
              <w:right w:val="single" w:sz="4" w:space="0" w:color="000000"/>
            </w:tcBorders>
            <w:shd w:val="clear" w:color="auto" w:fill="auto"/>
            <w:noWrap/>
            <w:vAlign w:val="bottom"/>
            <w:hideMark/>
          </w:tcPr>
          <w:p w14:paraId="4CC3F312"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44,000 </w:t>
            </w:r>
          </w:p>
        </w:tc>
        <w:tc>
          <w:tcPr>
            <w:tcW w:w="864" w:type="dxa"/>
            <w:tcBorders>
              <w:top w:val="nil"/>
              <w:left w:val="nil"/>
              <w:bottom w:val="single" w:sz="4" w:space="0" w:color="000000"/>
              <w:right w:val="single" w:sz="4" w:space="0" w:color="000000"/>
            </w:tcBorders>
            <w:shd w:val="clear" w:color="auto" w:fill="auto"/>
            <w:noWrap/>
            <w:vAlign w:val="bottom"/>
            <w:hideMark/>
          </w:tcPr>
          <w:p w14:paraId="1450D268"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39,000 </w:t>
            </w:r>
          </w:p>
        </w:tc>
        <w:tc>
          <w:tcPr>
            <w:tcW w:w="834" w:type="dxa"/>
            <w:tcBorders>
              <w:top w:val="nil"/>
              <w:left w:val="nil"/>
              <w:bottom w:val="single" w:sz="4" w:space="0" w:color="000000"/>
              <w:right w:val="single" w:sz="4" w:space="0" w:color="000000"/>
            </w:tcBorders>
            <w:shd w:val="clear" w:color="auto" w:fill="auto"/>
            <w:noWrap/>
            <w:vAlign w:val="bottom"/>
            <w:hideMark/>
          </w:tcPr>
          <w:p w14:paraId="7BA4A397"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39,000 </w:t>
            </w:r>
          </w:p>
        </w:tc>
        <w:tc>
          <w:tcPr>
            <w:tcW w:w="827" w:type="dxa"/>
            <w:tcBorders>
              <w:top w:val="nil"/>
              <w:left w:val="nil"/>
              <w:bottom w:val="single" w:sz="4" w:space="0" w:color="000000"/>
              <w:right w:val="single" w:sz="4" w:space="0" w:color="000000"/>
            </w:tcBorders>
            <w:shd w:val="clear" w:color="auto" w:fill="auto"/>
            <w:noWrap/>
            <w:vAlign w:val="bottom"/>
            <w:hideMark/>
          </w:tcPr>
          <w:p w14:paraId="7624C074"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31,000 </w:t>
            </w:r>
          </w:p>
        </w:tc>
        <w:tc>
          <w:tcPr>
            <w:tcW w:w="980" w:type="dxa"/>
            <w:tcBorders>
              <w:top w:val="single" w:sz="8" w:space="0" w:color="000000"/>
              <w:left w:val="nil"/>
              <w:bottom w:val="single" w:sz="4" w:space="0" w:color="000000"/>
              <w:right w:val="nil"/>
            </w:tcBorders>
            <w:shd w:val="clear" w:color="auto" w:fill="auto"/>
            <w:noWrap/>
            <w:vAlign w:val="bottom"/>
            <w:hideMark/>
          </w:tcPr>
          <w:p w14:paraId="7AF811DB"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220,000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19D1F82B"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6F3C7B95" w14:textId="77777777" w:rsidTr="007A7FA3">
        <w:trPr>
          <w:trHeight w:val="270"/>
        </w:trPr>
        <w:tc>
          <w:tcPr>
            <w:tcW w:w="1086" w:type="dxa"/>
            <w:vMerge/>
            <w:tcBorders>
              <w:top w:val="nil"/>
              <w:left w:val="single" w:sz="8" w:space="0" w:color="auto"/>
              <w:bottom w:val="nil"/>
              <w:right w:val="nil"/>
            </w:tcBorders>
            <w:vAlign w:val="center"/>
            <w:hideMark/>
          </w:tcPr>
          <w:p w14:paraId="1F170479"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51136575" w14:textId="77777777" w:rsidR="007A7FA3" w:rsidRPr="007A7FA3" w:rsidRDefault="007A7FA3" w:rsidP="007A7FA3">
            <w:pPr>
              <w:rPr>
                <w:rFonts w:ascii="Calibri" w:hAnsi="Calibri" w:cs="Calibri"/>
                <w:i/>
                <w:iCs/>
                <w:color w:val="000000"/>
                <w:sz w:val="13"/>
                <w:szCs w:val="13"/>
              </w:rPr>
            </w:pPr>
          </w:p>
        </w:tc>
        <w:tc>
          <w:tcPr>
            <w:tcW w:w="5779" w:type="dxa"/>
            <w:gridSpan w:val="6"/>
            <w:tcBorders>
              <w:top w:val="nil"/>
              <w:left w:val="nil"/>
              <w:bottom w:val="single" w:sz="4" w:space="0" w:color="000000"/>
              <w:right w:val="single" w:sz="4" w:space="0" w:color="000000"/>
            </w:tcBorders>
            <w:shd w:val="clear" w:color="auto" w:fill="auto"/>
            <w:vAlign w:val="center"/>
            <w:hideMark/>
          </w:tcPr>
          <w:p w14:paraId="702808A0" w14:textId="77777777" w:rsidR="007A7FA3" w:rsidRPr="007A7FA3" w:rsidRDefault="007A7FA3" w:rsidP="007A7FA3">
            <w:pPr>
              <w:rPr>
                <w:rFonts w:ascii="Calibri" w:hAnsi="Calibri" w:cs="Calibri"/>
                <w:b/>
                <w:bCs/>
                <w:i/>
                <w:iCs/>
                <w:color w:val="000000"/>
                <w:sz w:val="13"/>
                <w:szCs w:val="13"/>
              </w:rPr>
            </w:pPr>
            <w:r w:rsidRPr="007A7FA3">
              <w:rPr>
                <w:rFonts w:ascii="Calibri" w:hAnsi="Calibri" w:cs="Calibri"/>
                <w:b/>
                <w:bCs/>
                <w:i/>
                <w:iCs/>
                <w:color w:val="000000"/>
                <w:sz w:val="13"/>
                <w:szCs w:val="13"/>
              </w:rPr>
              <w:t>Total Output 5.1.3</w:t>
            </w:r>
          </w:p>
        </w:tc>
        <w:tc>
          <w:tcPr>
            <w:tcW w:w="694" w:type="dxa"/>
            <w:tcBorders>
              <w:top w:val="nil"/>
              <w:left w:val="nil"/>
              <w:bottom w:val="single" w:sz="4" w:space="0" w:color="000000"/>
              <w:right w:val="single" w:sz="4" w:space="0" w:color="000000"/>
            </w:tcBorders>
            <w:shd w:val="clear" w:color="auto" w:fill="auto"/>
            <w:noWrap/>
            <w:vAlign w:val="bottom"/>
            <w:hideMark/>
          </w:tcPr>
          <w:p w14:paraId="4ADFDB22"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29,000 </w:t>
            </w:r>
          </w:p>
        </w:tc>
        <w:tc>
          <w:tcPr>
            <w:tcW w:w="805" w:type="dxa"/>
            <w:tcBorders>
              <w:top w:val="nil"/>
              <w:left w:val="nil"/>
              <w:bottom w:val="single" w:sz="4" w:space="0" w:color="000000"/>
              <w:right w:val="single" w:sz="4" w:space="0" w:color="000000"/>
            </w:tcBorders>
            <w:shd w:val="clear" w:color="auto" w:fill="auto"/>
            <w:noWrap/>
            <w:vAlign w:val="bottom"/>
            <w:hideMark/>
          </w:tcPr>
          <w:p w14:paraId="08E68EAE"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38,000 </w:t>
            </w:r>
          </w:p>
        </w:tc>
        <w:tc>
          <w:tcPr>
            <w:tcW w:w="826" w:type="dxa"/>
            <w:tcBorders>
              <w:top w:val="nil"/>
              <w:left w:val="nil"/>
              <w:bottom w:val="single" w:sz="4" w:space="0" w:color="000000"/>
              <w:right w:val="single" w:sz="4" w:space="0" w:color="000000"/>
            </w:tcBorders>
            <w:shd w:val="clear" w:color="auto" w:fill="auto"/>
            <w:noWrap/>
            <w:vAlign w:val="bottom"/>
            <w:hideMark/>
          </w:tcPr>
          <w:p w14:paraId="0FFC6F32"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44,000 </w:t>
            </w:r>
          </w:p>
        </w:tc>
        <w:tc>
          <w:tcPr>
            <w:tcW w:w="864" w:type="dxa"/>
            <w:tcBorders>
              <w:top w:val="nil"/>
              <w:left w:val="nil"/>
              <w:bottom w:val="single" w:sz="4" w:space="0" w:color="000000"/>
              <w:right w:val="single" w:sz="4" w:space="0" w:color="000000"/>
            </w:tcBorders>
            <w:shd w:val="clear" w:color="auto" w:fill="auto"/>
            <w:noWrap/>
            <w:vAlign w:val="bottom"/>
            <w:hideMark/>
          </w:tcPr>
          <w:p w14:paraId="62429DAA"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39,000 </w:t>
            </w:r>
          </w:p>
        </w:tc>
        <w:tc>
          <w:tcPr>
            <w:tcW w:w="834" w:type="dxa"/>
            <w:tcBorders>
              <w:top w:val="nil"/>
              <w:left w:val="nil"/>
              <w:bottom w:val="single" w:sz="4" w:space="0" w:color="000000"/>
              <w:right w:val="single" w:sz="4" w:space="0" w:color="000000"/>
            </w:tcBorders>
            <w:shd w:val="clear" w:color="auto" w:fill="auto"/>
            <w:noWrap/>
            <w:vAlign w:val="bottom"/>
            <w:hideMark/>
          </w:tcPr>
          <w:p w14:paraId="30A76E0E"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39,000 </w:t>
            </w:r>
          </w:p>
        </w:tc>
        <w:tc>
          <w:tcPr>
            <w:tcW w:w="827" w:type="dxa"/>
            <w:tcBorders>
              <w:top w:val="nil"/>
              <w:left w:val="nil"/>
              <w:bottom w:val="single" w:sz="4" w:space="0" w:color="000000"/>
              <w:right w:val="single" w:sz="4" w:space="0" w:color="000000"/>
            </w:tcBorders>
            <w:shd w:val="clear" w:color="auto" w:fill="auto"/>
            <w:noWrap/>
            <w:vAlign w:val="bottom"/>
            <w:hideMark/>
          </w:tcPr>
          <w:p w14:paraId="2235ED20"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31,000 </w:t>
            </w:r>
          </w:p>
        </w:tc>
        <w:tc>
          <w:tcPr>
            <w:tcW w:w="980" w:type="dxa"/>
            <w:tcBorders>
              <w:top w:val="single" w:sz="8" w:space="0" w:color="000000"/>
              <w:left w:val="nil"/>
              <w:bottom w:val="single" w:sz="4" w:space="0" w:color="000000"/>
              <w:right w:val="nil"/>
            </w:tcBorders>
            <w:shd w:val="clear" w:color="auto" w:fill="auto"/>
            <w:noWrap/>
            <w:vAlign w:val="bottom"/>
            <w:hideMark/>
          </w:tcPr>
          <w:p w14:paraId="09D69688"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220,000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085991D6"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62F6515F" w14:textId="77777777" w:rsidTr="007A7FA3">
        <w:trPr>
          <w:trHeight w:val="255"/>
        </w:trPr>
        <w:tc>
          <w:tcPr>
            <w:tcW w:w="1086" w:type="dxa"/>
            <w:vMerge/>
            <w:tcBorders>
              <w:top w:val="nil"/>
              <w:left w:val="single" w:sz="8" w:space="0" w:color="auto"/>
              <w:bottom w:val="nil"/>
              <w:right w:val="nil"/>
            </w:tcBorders>
            <w:vAlign w:val="center"/>
            <w:hideMark/>
          </w:tcPr>
          <w:p w14:paraId="7E5DEFD9" w14:textId="77777777" w:rsidR="007A7FA3" w:rsidRPr="007A7FA3" w:rsidRDefault="007A7FA3" w:rsidP="007A7FA3">
            <w:pPr>
              <w:rPr>
                <w:rFonts w:ascii="Calibri" w:hAnsi="Calibri" w:cs="Calibri"/>
                <w:i/>
                <w:iCs/>
                <w:color w:val="000000"/>
                <w:sz w:val="13"/>
                <w:szCs w:val="13"/>
              </w:rPr>
            </w:pPr>
          </w:p>
        </w:tc>
        <w:tc>
          <w:tcPr>
            <w:tcW w:w="6650" w:type="dxa"/>
            <w:gridSpan w:val="7"/>
            <w:tcBorders>
              <w:top w:val="nil"/>
              <w:left w:val="single" w:sz="4" w:space="0" w:color="000000"/>
              <w:bottom w:val="single" w:sz="4" w:space="0" w:color="000000"/>
              <w:right w:val="single" w:sz="4" w:space="0" w:color="000000"/>
            </w:tcBorders>
            <w:shd w:val="clear" w:color="FEF2CB" w:fill="FEF2CB"/>
            <w:vAlign w:val="center"/>
            <w:hideMark/>
          </w:tcPr>
          <w:p w14:paraId="74C7473F" w14:textId="77777777" w:rsidR="007A7FA3" w:rsidRPr="007A7FA3" w:rsidRDefault="007A7FA3" w:rsidP="007A7FA3">
            <w:pPr>
              <w:rPr>
                <w:rFonts w:ascii="Calibri" w:hAnsi="Calibri" w:cs="Calibri"/>
                <w:b/>
                <w:bCs/>
                <w:i/>
                <w:iCs/>
                <w:color w:val="000000"/>
                <w:sz w:val="13"/>
                <w:szCs w:val="13"/>
              </w:rPr>
            </w:pPr>
            <w:r w:rsidRPr="007A7FA3">
              <w:rPr>
                <w:rFonts w:ascii="Calibri" w:hAnsi="Calibri" w:cs="Calibri"/>
                <w:b/>
                <w:bCs/>
                <w:i/>
                <w:iCs/>
                <w:color w:val="000000"/>
                <w:sz w:val="13"/>
                <w:szCs w:val="13"/>
              </w:rPr>
              <w:t>Total Outcome 5.1</w:t>
            </w:r>
          </w:p>
        </w:tc>
        <w:tc>
          <w:tcPr>
            <w:tcW w:w="694" w:type="dxa"/>
            <w:tcBorders>
              <w:top w:val="nil"/>
              <w:left w:val="nil"/>
              <w:bottom w:val="single" w:sz="8" w:space="0" w:color="000000"/>
              <w:right w:val="single" w:sz="4" w:space="0" w:color="000000"/>
            </w:tcBorders>
            <w:shd w:val="clear" w:color="FEF2CB" w:fill="FEF2CB"/>
            <w:noWrap/>
            <w:vAlign w:val="bottom"/>
            <w:hideMark/>
          </w:tcPr>
          <w:p w14:paraId="1C053FFD"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82,000 </w:t>
            </w:r>
          </w:p>
        </w:tc>
        <w:tc>
          <w:tcPr>
            <w:tcW w:w="805" w:type="dxa"/>
            <w:tcBorders>
              <w:top w:val="nil"/>
              <w:left w:val="nil"/>
              <w:bottom w:val="single" w:sz="8" w:space="0" w:color="000000"/>
              <w:right w:val="single" w:sz="4" w:space="0" w:color="000000"/>
            </w:tcBorders>
            <w:shd w:val="clear" w:color="FEF2CB" w:fill="FEF2CB"/>
            <w:noWrap/>
            <w:vAlign w:val="bottom"/>
            <w:hideMark/>
          </w:tcPr>
          <w:p w14:paraId="10748961"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105,600 </w:t>
            </w:r>
          </w:p>
        </w:tc>
        <w:tc>
          <w:tcPr>
            <w:tcW w:w="826" w:type="dxa"/>
            <w:tcBorders>
              <w:top w:val="nil"/>
              <w:left w:val="nil"/>
              <w:bottom w:val="single" w:sz="8" w:space="0" w:color="000000"/>
              <w:right w:val="single" w:sz="4" w:space="0" w:color="000000"/>
            </w:tcBorders>
            <w:shd w:val="clear" w:color="FEF2CB" w:fill="FEF2CB"/>
            <w:noWrap/>
            <w:vAlign w:val="bottom"/>
            <w:hideMark/>
          </w:tcPr>
          <w:p w14:paraId="61C7181E"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96,200 </w:t>
            </w:r>
          </w:p>
        </w:tc>
        <w:tc>
          <w:tcPr>
            <w:tcW w:w="864" w:type="dxa"/>
            <w:tcBorders>
              <w:top w:val="nil"/>
              <w:left w:val="nil"/>
              <w:bottom w:val="single" w:sz="8" w:space="0" w:color="000000"/>
              <w:right w:val="single" w:sz="4" w:space="0" w:color="000000"/>
            </w:tcBorders>
            <w:shd w:val="clear" w:color="FEF2CB" w:fill="FEF2CB"/>
            <w:noWrap/>
            <w:vAlign w:val="bottom"/>
            <w:hideMark/>
          </w:tcPr>
          <w:p w14:paraId="2DF5147C"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90,000 </w:t>
            </w:r>
          </w:p>
        </w:tc>
        <w:tc>
          <w:tcPr>
            <w:tcW w:w="834" w:type="dxa"/>
            <w:tcBorders>
              <w:top w:val="nil"/>
              <w:left w:val="nil"/>
              <w:bottom w:val="single" w:sz="8" w:space="0" w:color="000000"/>
              <w:right w:val="single" w:sz="4" w:space="0" w:color="000000"/>
            </w:tcBorders>
            <w:shd w:val="clear" w:color="FEF2CB" w:fill="FEF2CB"/>
            <w:noWrap/>
            <w:vAlign w:val="bottom"/>
            <w:hideMark/>
          </w:tcPr>
          <w:p w14:paraId="2E1FADDE"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73,800 </w:t>
            </w:r>
          </w:p>
        </w:tc>
        <w:tc>
          <w:tcPr>
            <w:tcW w:w="827" w:type="dxa"/>
            <w:tcBorders>
              <w:top w:val="nil"/>
              <w:left w:val="nil"/>
              <w:bottom w:val="single" w:sz="8" w:space="0" w:color="000000"/>
              <w:right w:val="single" w:sz="4" w:space="0" w:color="000000"/>
            </w:tcBorders>
            <w:shd w:val="clear" w:color="FEF2CB" w:fill="FEF2CB"/>
            <w:noWrap/>
            <w:vAlign w:val="bottom"/>
            <w:hideMark/>
          </w:tcPr>
          <w:p w14:paraId="105DE8CE"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53,222 </w:t>
            </w:r>
          </w:p>
        </w:tc>
        <w:tc>
          <w:tcPr>
            <w:tcW w:w="980" w:type="dxa"/>
            <w:tcBorders>
              <w:top w:val="nil"/>
              <w:left w:val="nil"/>
              <w:bottom w:val="single" w:sz="8" w:space="0" w:color="000000"/>
              <w:right w:val="nil"/>
            </w:tcBorders>
            <w:shd w:val="clear" w:color="FEF2CB" w:fill="FEF2CB"/>
            <w:noWrap/>
            <w:vAlign w:val="bottom"/>
            <w:hideMark/>
          </w:tcPr>
          <w:p w14:paraId="7DB8E16D"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500,822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38AD1473"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4411E5BE" w14:textId="77777777" w:rsidTr="007A7FA3">
        <w:trPr>
          <w:trHeight w:val="300"/>
        </w:trPr>
        <w:tc>
          <w:tcPr>
            <w:tcW w:w="1086" w:type="dxa"/>
            <w:vMerge/>
            <w:tcBorders>
              <w:top w:val="nil"/>
              <w:left w:val="single" w:sz="8" w:space="0" w:color="auto"/>
              <w:bottom w:val="nil"/>
              <w:right w:val="nil"/>
            </w:tcBorders>
            <w:vAlign w:val="center"/>
            <w:hideMark/>
          </w:tcPr>
          <w:p w14:paraId="1E9CA24C" w14:textId="77777777" w:rsidR="007A7FA3" w:rsidRPr="007A7FA3" w:rsidRDefault="007A7FA3" w:rsidP="007A7FA3">
            <w:pPr>
              <w:rPr>
                <w:rFonts w:ascii="Calibri" w:hAnsi="Calibri" w:cs="Calibri"/>
                <w:i/>
                <w:iCs/>
                <w:color w:val="000000"/>
                <w:sz w:val="13"/>
                <w:szCs w:val="13"/>
              </w:rPr>
            </w:pPr>
          </w:p>
        </w:tc>
        <w:tc>
          <w:tcPr>
            <w:tcW w:w="871" w:type="dxa"/>
            <w:vMerge w:val="restart"/>
            <w:tcBorders>
              <w:top w:val="nil"/>
              <w:left w:val="single" w:sz="4" w:space="0" w:color="000000"/>
              <w:bottom w:val="single" w:sz="4" w:space="0" w:color="000000"/>
              <w:right w:val="single" w:sz="4" w:space="0" w:color="000000"/>
            </w:tcBorders>
            <w:shd w:val="clear" w:color="auto" w:fill="auto"/>
            <w:noWrap/>
            <w:vAlign w:val="bottom"/>
            <w:hideMark/>
          </w:tcPr>
          <w:p w14:paraId="7A0B0FF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2016" w:type="dxa"/>
            <w:vMerge w:val="restart"/>
            <w:tcBorders>
              <w:top w:val="nil"/>
              <w:left w:val="single" w:sz="4" w:space="0" w:color="000000"/>
              <w:bottom w:val="single" w:sz="4" w:space="0" w:color="000000"/>
              <w:right w:val="single" w:sz="4" w:space="0" w:color="000000"/>
            </w:tcBorders>
            <w:shd w:val="clear" w:color="auto" w:fill="auto"/>
            <w:vAlign w:val="bottom"/>
            <w:hideMark/>
          </w:tcPr>
          <w:p w14:paraId="156FF56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5.2.1. Communications and knowledge products (information packages, tools and approaches) for upscaling developed and shared with beneficiaries via knowledge-sharing platform</w:t>
            </w:r>
          </w:p>
        </w:tc>
        <w:tc>
          <w:tcPr>
            <w:tcW w:w="631"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03258041"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BCC</w:t>
            </w:r>
          </w:p>
        </w:tc>
        <w:tc>
          <w:tcPr>
            <w:tcW w:w="504" w:type="dxa"/>
            <w:tcBorders>
              <w:top w:val="nil"/>
              <w:left w:val="nil"/>
              <w:bottom w:val="single" w:sz="4" w:space="0" w:color="000000"/>
              <w:right w:val="single" w:sz="4" w:space="0" w:color="000000"/>
            </w:tcBorders>
            <w:shd w:val="clear" w:color="auto" w:fill="auto"/>
            <w:vAlign w:val="center"/>
            <w:hideMark/>
          </w:tcPr>
          <w:p w14:paraId="50B5F44F"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val="restart"/>
            <w:tcBorders>
              <w:top w:val="nil"/>
              <w:left w:val="single" w:sz="4" w:space="0" w:color="000000"/>
              <w:bottom w:val="nil"/>
              <w:right w:val="nil"/>
            </w:tcBorders>
            <w:shd w:val="clear" w:color="auto" w:fill="auto"/>
            <w:noWrap/>
            <w:vAlign w:val="bottom"/>
            <w:hideMark/>
          </w:tcPr>
          <w:p w14:paraId="6F6A6B7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60A9B33B"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71300</w:t>
            </w:r>
          </w:p>
        </w:tc>
        <w:tc>
          <w:tcPr>
            <w:tcW w:w="1580" w:type="dxa"/>
            <w:tcBorders>
              <w:top w:val="nil"/>
              <w:left w:val="nil"/>
              <w:bottom w:val="single" w:sz="4" w:space="0" w:color="000000"/>
              <w:right w:val="single" w:sz="4" w:space="0" w:color="000000"/>
            </w:tcBorders>
            <w:shd w:val="clear" w:color="auto" w:fill="auto"/>
            <w:vAlign w:val="bottom"/>
            <w:hideMark/>
          </w:tcPr>
          <w:p w14:paraId="694DDA23"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Local Consultants</w:t>
            </w:r>
          </w:p>
        </w:tc>
        <w:tc>
          <w:tcPr>
            <w:tcW w:w="694" w:type="dxa"/>
            <w:tcBorders>
              <w:top w:val="single" w:sz="4" w:space="0" w:color="000000"/>
              <w:left w:val="nil"/>
              <w:bottom w:val="single" w:sz="4" w:space="0" w:color="000000"/>
              <w:right w:val="single" w:sz="4" w:space="0" w:color="000000"/>
            </w:tcBorders>
            <w:shd w:val="clear" w:color="auto" w:fill="auto"/>
            <w:noWrap/>
            <w:vAlign w:val="bottom"/>
            <w:hideMark/>
          </w:tcPr>
          <w:p w14:paraId="6AB66CA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single" w:sz="4" w:space="0" w:color="000000"/>
              <w:left w:val="nil"/>
              <w:bottom w:val="single" w:sz="4" w:space="0" w:color="000000"/>
              <w:right w:val="single" w:sz="4" w:space="0" w:color="000000"/>
            </w:tcBorders>
            <w:shd w:val="clear" w:color="auto" w:fill="auto"/>
            <w:noWrap/>
            <w:vAlign w:val="bottom"/>
            <w:hideMark/>
          </w:tcPr>
          <w:p w14:paraId="7372E06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6" w:type="dxa"/>
            <w:tcBorders>
              <w:top w:val="single" w:sz="4" w:space="0" w:color="000000"/>
              <w:left w:val="nil"/>
              <w:bottom w:val="single" w:sz="4" w:space="0" w:color="000000"/>
              <w:right w:val="single" w:sz="4" w:space="0" w:color="000000"/>
            </w:tcBorders>
            <w:shd w:val="clear" w:color="auto" w:fill="auto"/>
            <w:noWrap/>
            <w:vAlign w:val="bottom"/>
            <w:hideMark/>
          </w:tcPr>
          <w:p w14:paraId="1918209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3,000 </w:t>
            </w:r>
          </w:p>
        </w:tc>
        <w:tc>
          <w:tcPr>
            <w:tcW w:w="864" w:type="dxa"/>
            <w:tcBorders>
              <w:top w:val="single" w:sz="4" w:space="0" w:color="000000"/>
              <w:left w:val="nil"/>
              <w:bottom w:val="single" w:sz="4" w:space="0" w:color="000000"/>
              <w:right w:val="single" w:sz="4" w:space="0" w:color="000000"/>
            </w:tcBorders>
            <w:shd w:val="clear" w:color="auto" w:fill="auto"/>
            <w:noWrap/>
            <w:vAlign w:val="bottom"/>
            <w:hideMark/>
          </w:tcPr>
          <w:p w14:paraId="4DA82CA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4,000 </w:t>
            </w:r>
          </w:p>
        </w:tc>
        <w:tc>
          <w:tcPr>
            <w:tcW w:w="834" w:type="dxa"/>
            <w:tcBorders>
              <w:top w:val="single" w:sz="4" w:space="0" w:color="000000"/>
              <w:left w:val="nil"/>
              <w:bottom w:val="single" w:sz="4" w:space="0" w:color="000000"/>
              <w:right w:val="single" w:sz="4" w:space="0" w:color="000000"/>
            </w:tcBorders>
            <w:shd w:val="clear" w:color="auto" w:fill="auto"/>
            <w:noWrap/>
            <w:vAlign w:val="bottom"/>
            <w:hideMark/>
          </w:tcPr>
          <w:p w14:paraId="47C5178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4,000 </w:t>
            </w:r>
          </w:p>
        </w:tc>
        <w:tc>
          <w:tcPr>
            <w:tcW w:w="827" w:type="dxa"/>
            <w:tcBorders>
              <w:top w:val="single" w:sz="4" w:space="0" w:color="000000"/>
              <w:left w:val="nil"/>
              <w:bottom w:val="single" w:sz="4" w:space="0" w:color="000000"/>
              <w:right w:val="single" w:sz="4" w:space="0" w:color="000000"/>
            </w:tcBorders>
            <w:shd w:val="clear" w:color="auto" w:fill="auto"/>
            <w:noWrap/>
            <w:vAlign w:val="bottom"/>
            <w:hideMark/>
          </w:tcPr>
          <w:p w14:paraId="6F242CE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4,000 </w:t>
            </w:r>
          </w:p>
        </w:tc>
        <w:tc>
          <w:tcPr>
            <w:tcW w:w="980" w:type="dxa"/>
            <w:tcBorders>
              <w:top w:val="nil"/>
              <w:left w:val="nil"/>
              <w:bottom w:val="single" w:sz="4" w:space="0" w:color="000000"/>
              <w:right w:val="nil"/>
            </w:tcBorders>
            <w:shd w:val="clear" w:color="auto" w:fill="auto"/>
            <w:noWrap/>
            <w:vAlign w:val="bottom"/>
            <w:hideMark/>
          </w:tcPr>
          <w:p w14:paraId="59DB366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49C27511"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134 </w:t>
            </w:r>
          </w:p>
        </w:tc>
      </w:tr>
      <w:tr w:rsidR="007A7FA3" w:rsidRPr="007A7FA3" w14:paraId="53794E99" w14:textId="77777777" w:rsidTr="007A7FA3">
        <w:trPr>
          <w:trHeight w:val="240"/>
        </w:trPr>
        <w:tc>
          <w:tcPr>
            <w:tcW w:w="1086" w:type="dxa"/>
            <w:vMerge/>
            <w:tcBorders>
              <w:top w:val="nil"/>
              <w:left w:val="single" w:sz="8" w:space="0" w:color="auto"/>
              <w:bottom w:val="nil"/>
              <w:right w:val="nil"/>
            </w:tcBorders>
            <w:vAlign w:val="center"/>
            <w:hideMark/>
          </w:tcPr>
          <w:p w14:paraId="7DA77852"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1CBFDAE0" w14:textId="77777777" w:rsidR="007A7FA3" w:rsidRPr="007A7FA3" w:rsidRDefault="007A7FA3" w:rsidP="007A7FA3">
            <w:pPr>
              <w:rPr>
                <w:rFonts w:ascii="Calibri" w:hAnsi="Calibri" w:cs="Calibri"/>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073C8B3C" w14:textId="77777777" w:rsidR="007A7FA3" w:rsidRPr="007A7FA3" w:rsidRDefault="007A7FA3" w:rsidP="007A7FA3">
            <w:pPr>
              <w:rPr>
                <w:rFonts w:ascii="Calibri" w:hAnsi="Calibri" w:cs="Calibri"/>
                <w:color w:val="000000"/>
                <w:sz w:val="13"/>
                <w:szCs w:val="13"/>
              </w:rPr>
            </w:pPr>
          </w:p>
        </w:tc>
        <w:tc>
          <w:tcPr>
            <w:tcW w:w="631" w:type="dxa"/>
            <w:vMerge/>
            <w:tcBorders>
              <w:top w:val="nil"/>
              <w:left w:val="single" w:sz="4" w:space="0" w:color="000000"/>
              <w:bottom w:val="single" w:sz="4" w:space="0" w:color="000000"/>
              <w:right w:val="single" w:sz="4" w:space="0" w:color="000000"/>
            </w:tcBorders>
            <w:vAlign w:val="center"/>
            <w:hideMark/>
          </w:tcPr>
          <w:p w14:paraId="38B637B1" w14:textId="77777777" w:rsidR="007A7FA3" w:rsidRPr="007A7FA3" w:rsidRDefault="007A7FA3" w:rsidP="007A7FA3">
            <w:pPr>
              <w:rPr>
                <w:rFonts w:ascii="Calibri" w:hAnsi="Calibri" w:cs="Calibri"/>
                <w:i/>
                <w:iCs/>
                <w:color w:val="000000"/>
                <w:sz w:val="13"/>
                <w:szCs w:val="13"/>
              </w:rPr>
            </w:pPr>
          </w:p>
        </w:tc>
        <w:tc>
          <w:tcPr>
            <w:tcW w:w="504" w:type="dxa"/>
            <w:tcBorders>
              <w:top w:val="nil"/>
              <w:left w:val="nil"/>
              <w:bottom w:val="single" w:sz="4" w:space="0" w:color="000000"/>
              <w:right w:val="single" w:sz="4" w:space="0" w:color="000000"/>
            </w:tcBorders>
            <w:shd w:val="clear" w:color="auto" w:fill="auto"/>
            <w:vAlign w:val="center"/>
            <w:hideMark/>
          </w:tcPr>
          <w:p w14:paraId="4183524C"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65F91502" w14:textId="77777777" w:rsidR="007A7FA3" w:rsidRPr="007A7FA3" w:rsidRDefault="007A7FA3" w:rsidP="007A7FA3">
            <w:pPr>
              <w:rPr>
                <w:rFonts w:ascii="Calibri" w:hAnsi="Calibri" w:cs="Calibri"/>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1FA7E10B"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71600</w:t>
            </w:r>
          </w:p>
        </w:tc>
        <w:tc>
          <w:tcPr>
            <w:tcW w:w="1580" w:type="dxa"/>
            <w:tcBorders>
              <w:top w:val="nil"/>
              <w:left w:val="nil"/>
              <w:bottom w:val="single" w:sz="4" w:space="0" w:color="000000"/>
              <w:right w:val="single" w:sz="4" w:space="0" w:color="000000"/>
            </w:tcBorders>
            <w:shd w:val="clear" w:color="auto" w:fill="auto"/>
            <w:vAlign w:val="bottom"/>
            <w:hideMark/>
          </w:tcPr>
          <w:p w14:paraId="06712B61"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Travel</w:t>
            </w:r>
          </w:p>
        </w:tc>
        <w:tc>
          <w:tcPr>
            <w:tcW w:w="694" w:type="dxa"/>
            <w:tcBorders>
              <w:top w:val="nil"/>
              <w:left w:val="nil"/>
              <w:bottom w:val="single" w:sz="4" w:space="0" w:color="000000"/>
              <w:right w:val="single" w:sz="4" w:space="0" w:color="000000"/>
            </w:tcBorders>
            <w:shd w:val="clear" w:color="auto" w:fill="auto"/>
            <w:noWrap/>
            <w:vAlign w:val="bottom"/>
            <w:hideMark/>
          </w:tcPr>
          <w:p w14:paraId="3E99ED8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nil"/>
              <w:left w:val="nil"/>
              <w:bottom w:val="single" w:sz="4" w:space="0" w:color="000000"/>
              <w:right w:val="single" w:sz="4" w:space="0" w:color="000000"/>
            </w:tcBorders>
            <w:shd w:val="clear" w:color="auto" w:fill="auto"/>
            <w:noWrap/>
            <w:vAlign w:val="bottom"/>
            <w:hideMark/>
          </w:tcPr>
          <w:p w14:paraId="323AEE6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6" w:type="dxa"/>
            <w:tcBorders>
              <w:top w:val="nil"/>
              <w:left w:val="nil"/>
              <w:bottom w:val="single" w:sz="4" w:space="0" w:color="000000"/>
              <w:right w:val="single" w:sz="4" w:space="0" w:color="000000"/>
            </w:tcBorders>
            <w:shd w:val="clear" w:color="auto" w:fill="auto"/>
            <w:noWrap/>
            <w:vAlign w:val="bottom"/>
            <w:hideMark/>
          </w:tcPr>
          <w:p w14:paraId="19D79C8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7,000 </w:t>
            </w:r>
          </w:p>
        </w:tc>
        <w:tc>
          <w:tcPr>
            <w:tcW w:w="864" w:type="dxa"/>
            <w:tcBorders>
              <w:top w:val="nil"/>
              <w:left w:val="nil"/>
              <w:bottom w:val="single" w:sz="4" w:space="0" w:color="000000"/>
              <w:right w:val="single" w:sz="4" w:space="0" w:color="000000"/>
            </w:tcBorders>
            <w:shd w:val="clear" w:color="auto" w:fill="auto"/>
            <w:noWrap/>
            <w:vAlign w:val="bottom"/>
            <w:hideMark/>
          </w:tcPr>
          <w:p w14:paraId="7F9D0E6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7,000 </w:t>
            </w:r>
          </w:p>
        </w:tc>
        <w:tc>
          <w:tcPr>
            <w:tcW w:w="834" w:type="dxa"/>
            <w:tcBorders>
              <w:top w:val="nil"/>
              <w:left w:val="nil"/>
              <w:bottom w:val="single" w:sz="4" w:space="0" w:color="000000"/>
              <w:right w:val="single" w:sz="4" w:space="0" w:color="000000"/>
            </w:tcBorders>
            <w:shd w:val="clear" w:color="auto" w:fill="auto"/>
            <w:noWrap/>
            <w:vAlign w:val="bottom"/>
            <w:hideMark/>
          </w:tcPr>
          <w:p w14:paraId="473F89E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7,000 </w:t>
            </w:r>
          </w:p>
        </w:tc>
        <w:tc>
          <w:tcPr>
            <w:tcW w:w="827" w:type="dxa"/>
            <w:tcBorders>
              <w:top w:val="nil"/>
              <w:left w:val="nil"/>
              <w:bottom w:val="single" w:sz="4" w:space="0" w:color="000000"/>
              <w:right w:val="single" w:sz="4" w:space="0" w:color="000000"/>
            </w:tcBorders>
            <w:shd w:val="clear" w:color="auto" w:fill="auto"/>
            <w:noWrap/>
            <w:vAlign w:val="bottom"/>
            <w:hideMark/>
          </w:tcPr>
          <w:p w14:paraId="6B9AF53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6,000 </w:t>
            </w:r>
          </w:p>
        </w:tc>
        <w:tc>
          <w:tcPr>
            <w:tcW w:w="980" w:type="dxa"/>
            <w:tcBorders>
              <w:top w:val="single" w:sz="8" w:space="0" w:color="000000"/>
              <w:left w:val="nil"/>
              <w:bottom w:val="single" w:sz="4" w:space="0" w:color="000000"/>
              <w:right w:val="nil"/>
            </w:tcBorders>
            <w:shd w:val="clear" w:color="auto" w:fill="auto"/>
            <w:noWrap/>
            <w:vAlign w:val="bottom"/>
            <w:hideMark/>
          </w:tcPr>
          <w:p w14:paraId="32BEB1C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27,000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58B5DA01"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135 </w:t>
            </w:r>
          </w:p>
        </w:tc>
      </w:tr>
      <w:tr w:rsidR="007A7FA3" w:rsidRPr="007A7FA3" w14:paraId="4DA9044C" w14:textId="77777777" w:rsidTr="007A7FA3">
        <w:trPr>
          <w:trHeight w:val="315"/>
        </w:trPr>
        <w:tc>
          <w:tcPr>
            <w:tcW w:w="1086" w:type="dxa"/>
            <w:vMerge/>
            <w:tcBorders>
              <w:top w:val="nil"/>
              <w:left w:val="single" w:sz="8" w:space="0" w:color="auto"/>
              <w:bottom w:val="nil"/>
              <w:right w:val="nil"/>
            </w:tcBorders>
            <w:vAlign w:val="center"/>
            <w:hideMark/>
          </w:tcPr>
          <w:p w14:paraId="6FC9358C"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15182044" w14:textId="77777777" w:rsidR="007A7FA3" w:rsidRPr="007A7FA3" w:rsidRDefault="007A7FA3" w:rsidP="007A7FA3">
            <w:pPr>
              <w:rPr>
                <w:rFonts w:ascii="Calibri" w:hAnsi="Calibri" w:cs="Calibri"/>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599A9377" w14:textId="77777777" w:rsidR="007A7FA3" w:rsidRPr="007A7FA3" w:rsidRDefault="007A7FA3" w:rsidP="007A7FA3">
            <w:pPr>
              <w:rPr>
                <w:rFonts w:ascii="Calibri" w:hAnsi="Calibri" w:cs="Calibri"/>
                <w:color w:val="000000"/>
                <w:sz w:val="13"/>
                <w:szCs w:val="13"/>
              </w:rPr>
            </w:pPr>
          </w:p>
        </w:tc>
        <w:tc>
          <w:tcPr>
            <w:tcW w:w="631" w:type="dxa"/>
            <w:vMerge/>
            <w:tcBorders>
              <w:top w:val="nil"/>
              <w:left w:val="single" w:sz="4" w:space="0" w:color="000000"/>
              <w:bottom w:val="single" w:sz="4" w:space="0" w:color="000000"/>
              <w:right w:val="single" w:sz="4" w:space="0" w:color="000000"/>
            </w:tcBorders>
            <w:vAlign w:val="center"/>
            <w:hideMark/>
          </w:tcPr>
          <w:p w14:paraId="1A181001" w14:textId="77777777" w:rsidR="007A7FA3" w:rsidRPr="007A7FA3" w:rsidRDefault="007A7FA3" w:rsidP="007A7FA3">
            <w:pPr>
              <w:rPr>
                <w:rFonts w:ascii="Calibri" w:hAnsi="Calibri" w:cs="Calibri"/>
                <w:i/>
                <w:iCs/>
                <w:color w:val="000000"/>
                <w:sz w:val="13"/>
                <w:szCs w:val="13"/>
              </w:rPr>
            </w:pPr>
          </w:p>
        </w:tc>
        <w:tc>
          <w:tcPr>
            <w:tcW w:w="504" w:type="dxa"/>
            <w:tcBorders>
              <w:top w:val="nil"/>
              <w:left w:val="nil"/>
              <w:bottom w:val="single" w:sz="4" w:space="0" w:color="000000"/>
              <w:right w:val="single" w:sz="4" w:space="0" w:color="000000"/>
            </w:tcBorders>
            <w:shd w:val="clear" w:color="auto" w:fill="auto"/>
            <w:vAlign w:val="center"/>
            <w:hideMark/>
          </w:tcPr>
          <w:p w14:paraId="282AACB0"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082FA9DE" w14:textId="77777777" w:rsidR="007A7FA3" w:rsidRPr="007A7FA3" w:rsidRDefault="007A7FA3" w:rsidP="007A7FA3">
            <w:pPr>
              <w:rPr>
                <w:rFonts w:ascii="Calibri" w:hAnsi="Calibri" w:cs="Calibri"/>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27945988"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72100</w:t>
            </w:r>
          </w:p>
        </w:tc>
        <w:tc>
          <w:tcPr>
            <w:tcW w:w="1580" w:type="dxa"/>
            <w:tcBorders>
              <w:top w:val="nil"/>
              <w:left w:val="nil"/>
              <w:bottom w:val="single" w:sz="4" w:space="0" w:color="000000"/>
              <w:right w:val="single" w:sz="4" w:space="0" w:color="000000"/>
            </w:tcBorders>
            <w:shd w:val="clear" w:color="auto" w:fill="auto"/>
            <w:vAlign w:val="bottom"/>
            <w:hideMark/>
          </w:tcPr>
          <w:p w14:paraId="013B6C82"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Contractual Services - Companies</w:t>
            </w:r>
          </w:p>
        </w:tc>
        <w:tc>
          <w:tcPr>
            <w:tcW w:w="694" w:type="dxa"/>
            <w:tcBorders>
              <w:top w:val="nil"/>
              <w:left w:val="nil"/>
              <w:bottom w:val="single" w:sz="4" w:space="0" w:color="000000"/>
              <w:right w:val="single" w:sz="4" w:space="0" w:color="000000"/>
            </w:tcBorders>
            <w:shd w:val="clear" w:color="auto" w:fill="auto"/>
            <w:noWrap/>
            <w:vAlign w:val="bottom"/>
            <w:hideMark/>
          </w:tcPr>
          <w:p w14:paraId="5FBE703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nil"/>
              <w:left w:val="nil"/>
              <w:bottom w:val="single" w:sz="4" w:space="0" w:color="000000"/>
              <w:right w:val="single" w:sz="4" w:space="0" w:color="000000"/>
            </w:tcBorders>
            <w:shd w:val="clear" w:color="auto" w:fill="auto"/>
            <w:noWrap/>
            <w:vAlign w:val="bottom"/>
            <w:hideMark/>
          </w:tcPr>
          <w:p w14:paraId="27E5037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6" w:type="dxa"/>
            <w:tcBorders>
              <w:top w:val="nil"/>
              <w:left w:val="nil"/>
              <w:bottom w:val="single" w:sz="4" w:space="0" w:color="000000"/>
              <w:right w:val="single" w:sz="4" w:space="0" w:color="000000"/>
            </w:tcBorders>
            <w:shd w:val="clear" w:color="auto" w:fill="auto"/>
            <w:noWrap/>
            <w:vAlign w:val="bottom"/>
            <w:hideMark/>
          </w:tcPr>
          <w:p w14:paraId="17C3DF9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3,000 </w:t>
            </w:r>
          </w:p>
        </w:tc>
        <w:tc>
          <w:tcPr>
            <w:tcW w:w="864" w:type="dxa"/>
            <w:tcBorders>
              <w:top w:val="nil"/>
              <w:left w:val="nil"/>
              <w:bottom w:val="single" w:sz="4" w:space="0" w:color="000000"/>
              <w:right w:val="single" w:sz="4" w:space="0" w:color="000000"/>
            </w:tcBorders>
            <w:shd w:val="clear" w:color="auto" w:fill="auto"/>
            <w:noWrap/>
            <w:vAlign w:val="bottom"/>
            <w:hideMark/>
          </w:tcPr>
          <w:p w14:paraId="5064EC5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3,000 </w:t>
            </w:r>
          </w:p>
        </w:tc>
        <w:tc>
          <w:tcPr>
            <w:tcW w:w="834" w:type="dxa"/>
            <w:tcBorders>
              <w:top w:val="nil"/>
              <w:left w:val="nil"/>
              <w:bottom w:val="single" w:sz="4" w:space="0" w:color="000000"/>
              <w:right w:val="single" w:sz="4" w:space="0" w:color="000000"/>
            </w:tcBorders>
            <w:shd w:val="clear" w:color="auto" w:fill="auto"/>
            <w:noWrap/>
            <w:vAlign w:val="bottom"/>
            <w:hideMark/>
          </w:tcPr>
          <w:p w14:paraId="4ACB623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3,000 </w:t>
            </w:r>
          </w:p>
        </w:tc>
        <w:tc>
          <w:tcPr>
            <w:tcW w:w="827" w:type="dxa"/>
            <w:tcBorders>
              <w:top w:val="nil"/>
              <w:left w:val="nil"/>
              <w:bottom w:val="single" w:sz="4" w:space="0" w:color="000000"/>
              <w:right w:val="single" w:sz="4" w:space="0" w:color="000000"/>
            </w:tcBorders>
            <w:shd w:val="clear" w:color="auto" w:fill="auto"/>
            <w:noWrap/>
            <w:vAlign w:val="bottom"/>
            <w:hideMark/>
          </w:tcPr>
          <w:p w14:paraId="778433B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3,000 </w:t>
            </w:r>
          </w:p>
        </w:tc>
        <w:tc>
          <w:tcPr>
            <w:tcW w:w="980" w:type="dxa"/>
            <w:tcBorders>
              <w:top w:val="single" w:sz="8" w:space="0" w:color="000000"/>
              <w:left w:val="nil"/>
              <w:bottom w:val="single" w:sz="4" w:space="0" w:color="000000"/>
              <w:right w:val="nil"/>
            </w:tcBorders>
            <w:shd w:val="clear" w:color="auto" w:fill="auto"/>
            <w:noWrap/>
            <w:vAlign w:val="bottom"/>
            <w:hideMark/>
          </w:tcPr>
          <w:p w14:paraId="25C1F6B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12,000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1D22732B"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136 </w:t>
            </w:r>
          </w:p>
        </w:tc>
      </w:tr>
      <w:tr w:rsidR="007A7FA3" w:rsidRPr="007A7FA3" w14:paraId="32C1E7EC" w14:textId="77777777" w:rsidTr="007A7FA3">
        <w:trPr>
          <w:trHeight w:val="270"/>
        </w:trPr>
        <w:tc>
          <w:tcPr>
            <w:tcW w:w="1086" w:type="dxa"/>
            <w:vMerge/>
            <w:tcBorders>
              <w:top w:val="nil"/>
              <w:left w:val="single" w:sz="8" w:space="0" w:color="auto"/>
              <w:bottom w:val="nil"/>
              <w:right w:val="nil"/>
            </w:tcBorders>
            <w:vAlign w:val="center"/>
            <w:hideMark/>
          </w:tcPr>
          <w:p w14:paraId="6816C2FB"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4C42FC30" w14:textId="77777777" w:rsidR="007A7FA3" w:rsidRPr="007A7FA3" w:rsidRDefault="007A7FA3" w:rsidP="007A7FA3">
            <w:pPr>
              <w:rPr>
                <w:rFonts w:ascii="Calibri" w:hAnsi="Calibri" w:cs="Calibri"/>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40D19195" w14:textId="77777777" w:rsidR="007A7FA3" w:rsidRPr="007A7FA3" w:rsidRDefault="007A7FA3" w:rsidP="007A7FA3">
            <w:pPr>
              <w:rPr>
                <w:rFonts w:ascii="Calibri" w:hAnsi="Calibri" w:cs="Calibri"/>
                <w:color w:val="000000"/>
                <w:sz w:val="13"/>
                <w:szCs w:val="13"/>
              </w:rPr>
            </w:pPr>
          </w:p>
        </w:tc>
        <w:tc>
          <w:tcPr>
            <w:tcW w:w="631" w:type="dxa"/>
            <w:vMerge/>
            <w:tcBorders>
              <w:top w:val="nil"/>
              <w:left w:val="single" w:sz="4" w:space="0" w:color="000000"/>
              <w:bottom w:val="single" w:sz="4" w:space="0" w:color="000000"/>
              <w:right w:val="single" w:sz="4" w:space="0" w:color="000000"/>
            </w:tcBorders>
            <w:vAlign w:val="center"/>
            <w:hideMark/>
          </w:tcPr>
          <w:p w14:paraId="42CADA4B" w14:textId="77777777" w:rsidR="007A7FA3" w:rsidRPr="007A7FA3" w:rsidRDefault="007A7FA3" w:rsidP="007A7FA3">
            <w:pPr>
              <w:rPr>
                <w:rFonts w:ascii="Calibri" w:hAnsi="Calibri" w:cs="Calibri"/>
                <w:i/>
                <w:iCs/>
                <w:color w:val="000000"/>
                <w:sz w:val="13"/>
                <w:szCs w:val="13"/>
              </w:rPr>
            </w:pPr>
          </w:p>
        </w:tc>
        <w:tc>
          <w:tcPr>
            <w:tcW w:w="504" w:type="dxa"/>
            <w:tcBorders>
              <w:top w:val="nil"/>
              <w:left w:val="nil"/>
              <w:bottom w:val="single" w:sz="4" w:space="0" w:color="000000"/>
              <w:right w:val="single" w:sz="4" w:space="0" w:color="000000"/>
            </w:tcBorders>
            <w:shd w:val="clear" w:color="auto" w:fill="auto"/>
            <w:vAlign w:val="center"/>
            <w:hideMark/>
          </w:tcPr>
          <w:p w14:paraId="7B254EED"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6151D893" w14:textId="77777777" w:rsidR="007A7FA3" w:rsidRPr="007A7FA3" w:rsidRDefault="007A7FA3" w:rsidP="007A7FA3">
            <w:pPr>
              <w:rPr>
                <w:rFonts w:ascii="Calibri" w:hAnsi="Calibri" w:cs="Calibri"/>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1BEE709F"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72400</w:t>
            </w:r>
          </w:p>
        </w:tc>
        <w:tc>
          <w:tcPr>
            <w:tcW w:w="1580" w:type="dxa"/>
            <w:tcBorders>
              <w:top w:val="nil"/>
              <w:left w:val="nil"/>
              <w:bottom w:val="single" w:sz="4" w:space="0" w:color="000000"/>
              <w:right w:val="single" w:sz="4" w:space="0" w:color="000000"/>
            </w:tcBorders>
            <w:shd w:val="clear" w:color="auto" w:fill="auto"/>
            <w:vAlign w:val="bottom"/>
            <w:hideMark/>
          </w:tcPr>
          <w:p w14:paraId="256348D9"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Communic &amp; Audio Visual Equip</w:t>
            </w:r>
          </w:p>
        </w:tc>
        <w:tc>
          <w:tcPr>
            <w:tcW w:w="694" w:type="dxa"/>
            <w:tcBorders>
              <w:top w:val="nil"/>
              <w:left w:val="nil"/>
              <w:bottom w:val="single" w:sz="4" w:space="0" w:color="000000"/>
              <w:right w:val="single" w:sz="4" w:space="0" w:color="000000"/>
            </w:tcBorders>
            <w:shd w:val="clear" w:color="auto" w:fill="auto"/>
            <w:noWrap/>
            <w:vAlign w:val="bottom"/>
            <w:hideMark/>
          </w:tcPr>
          <w:p w14:paraId="6CEE727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nil"/>
              <w:left w:val="nil"/>
              <w:bottom w:val="single" w:sz="4" w:space="0" w:color="000000"/>
              <w:right w:val="single" w:sz="4" w:space="0" w:color="000000"/>
            </w:tcBorders>
            <w:shd w:val="clear" w:color="auto" w:fill="auto"/>
            <w:noWrap/>
            <w:vAlign w:val="bottom"/>
            <w:hideMark/>
          </w:tcPr>
          <w:p w14:paraId="12A9291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6" w:type="dxa"/>
            <w:tcBorders>
              <w:top w:val="nil"/>
              <w:left w:val="nil"/>
              <w:bottom w:val="single" w:sz="4" w:space="0" w:color="000000"/>
              <w:right w:val="single" w:sz="4" w:space="0" w:color="000000"/>
            </w:tcBorders>
            <w:shd w:val="clear" w:color="auto" w:fill="auto"/>
            <w:noWrap/>
            <w:vAlign w:val="bottom"/>
            <w:hideMark/>
          </w:tcPr>
          <w:p w14:paraId="7E99977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 </w:t>
            </w:r>
          </w:p>
        </w:tc>
        <w:tc>
          <w:tcPr>
            <w:tcW w:w="864" w:type="dxa"/>
            <w:tcBorders>
              <w:top w:val="nil"/>
              <w:left w:val="nil"/>
              <w:bottom w:val="single" w:sz="4" w:space="0" w:color="000000"/>
              <w:right w:val="single" w:sz="4" w:space="0" w:color="000000"/>
            </w:tcBorders>
            <w:shd w:val="clear" w:color="auto" w:fill="auto"/>
            <w:noWrap/>
            <w:vAlign w:val="bottom"/>
            <w:hideMark/>
          </w:tcPr>
          <w:p w14:paraId="6553A63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 </w:t>
            </w:r>
          </w:p>
        </w:tc>
        <w:tc>
          <w:tcPr>
            <w:tcW w:w="834" w:type="dxa"/>
            <w:tcBorders>
              <w:top w:val="nil"/>
              <w:left w:val="nil"/>
              <w:bottom w:val="single" w:sz="4" w:space="0" w:color="000000"/>
              <w:right w:val="single" w:sz="4" w:space="0" w:color="000000"/>
            </w:tcBorders>
            <w:shd w:val="clear" w:color="auto" w:fill="auto"/>
            <w:noWrap/>
            <w:vAlign w:val="bottom"/>
            <w:hideMark/>
          </w:tcPr>
          <w:p w14:paraId="551C4FA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 </w:t>
            </w:r>
          </w:p>
        </w:tc>
        <w:tc>
          <w:tcPr>
            <w:tcW w:w="827" w:type="dxa"/>
            <w:tcBorders>
              <w:top w:val="nil"/>
              <w:left w:val="nil"/>
              <w:bottom w:val="single" w:sz="4" w:space="0" w:color="000000"/>
              <w:right w:val="single" w:sz="4" w:space="0" w:color="000000"/>
            </w:tcBorders>
            <w:shd w:val="clear" w:color="auto" w:fill="auto"/>
            <w:noWrap/>
            <w:vAlign w:val="bottom"/>
            <w:hideMark/>
          </w:tcPr>
          <w:p w14:paraId="3A28213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 </w:t>
            </w:r>
          </w:p>
        </w:tc>
        <w:tc>
          <w:tcPr>
            <w:tcW w:w="980" w:type="dxa"/>
            <w:tcBorders>
              <w:top w:val="single" w:sz="8" w:space="0" w:color="000000"/>
              <w:left w:val="nil"/>
              <w:bottom w:val="single" w:sz="4" w:space="0" w:color="000000"/>
              <w:right w:val="nil"/>
            </w:tcBorders>
            <w:shd w:val="clear" w:color="auto" w:fill="auto"/>
            <w:noWrap/>
            <w:vAlign w:val="bottom"/>
            <w:hideMark/>
          </w:tcPr>
          <w:p w14:paraId="3090191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23208CAF"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137 </w:t>
            </w:r>
          </w:p>
        </w:tc>
      </w:tr>
      <w:tr w:rsidR="007A7FA3" w:rsidRPr="007A7FA3" w14:paraId="4949B971" w14:textId="77777777" w:rsidTr="007A7FA3">
        <w:trPr>
          <w:trHeight w:val="640"/>
        </w:trPr>
        <w:tc>
          <w:tcPr>
            <w:tcW w:w="1086" w:type="dxa"/>
            <w:vMerge/>
            <w:tcBorders>
              <w:top w:val="nil"/>
              <w:left w:val="single" w:sz="8" w:space="0" w:color="auto"/>
              <w:bottom w:val="nil"/>
              <w:right w:val="nil"/>
            </w:tcBorders>
            <w:vAlign w:val="center"/>
            <w:hideMark/>
          </w:tcPr>
          <w:p w14:paraId="53EB141D"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7C6F6C08" w14:textId="77777777" w:rsidR="007A7FA3" w:rsidRPr="007A7FA3" w:rsidRDefault="007A7FA3" w:rsidP="007A7FA3">
            <w:pPr>
              <w:rPr>
                <w:rFonts w:ascii="Calibri" w:hAnsi="Calibri" w:cs="Calibri"/>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59906464" w14:textId="77777777" w:rsidR="007A7FA3" w:rsidRPr="007A7FA3" w:rsidRDefault="007A7FA3" w:rsidP="007A7FA3">
            <w:pPr>
              <w:rPr>
                <w:rFonts w:ascii="Calibri" w:hAnsi="Calibri" w:cs="Calibri"/>
                <w:color w:val="000000"/>
                <w:sz w:val="13"/>
                <w:szCs w:val="13"/>
              </w:rPr>
            </w:pPr>
          </w:p>
        </w:tc>
        <w:tc>
          <w:tcPr>
            <w:tcW w:w="3763" w:type="dxa"/>
            <w:gridSpan w:val="5"/>
            <w:tcBorders>
              <w:top w:val="single" w:sz="4" w:space="0" w:color="000000"/>
              <w:left w:val="nil"/>
              <w:bottom w:val="single" w:sz="4" w:space="0" w:color="000000"/>
              <w:right w:val="single" w:sz="4" w:space="0" w:color="000000"/>
            </w:tcBorders>
            <w:shd w:val="clear" w:color="auto" w:fill="auto"/>
            <w:vAlign w:val="center"/>
            <w:hideMark/>
          </w:tcPr>
          <w:p w14:paraId="13684957"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Total BCC</w:t>
            </w:r>
          </w:p>
        </w:tc>
        <w:tc>
          <w:tcPr>
            <w:tcW w:w="694" w:type="dxa"/>
            <w:tcBorders>
              <w:top w:val="nil"/>
              <w:left w:val="nil"/>
              <w:bottom w:val="single" w:sz="4" w:space="0" w:color="000000"/>
              <w:right w:val="single" w:sz="4" w:space="0" w:color="000000"/>
            </w:tcBorders>
            <w:shd w:val="clear" w:color="auto" w:fill="auto"/>
            <w:noWrap/>
            <w:vAlign w:val="bottom"/>
            <w:hideMark/>
          </w:tcPr>
          <w:p w14:paraId="22D24F7F"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05" w:type="dxa"/>
            <w:tcBorders>
              <w:top w:val="nil"/>
              <w:left w:val="nil"/>
              <w:bottom w:val="single" w:sz="4" w:space="0" w:color="000000"/>
              <w:right w:val="single" w:sz="4" w:space="0" w:color="000000"/>
            </w:tcBorders>
            <w:shd w:val="clear" w:color="auto" w:fill="auto"/>
            <w:noWrap/>
            <w:vAlign w:val="bottom"/>
            <w:hideMark/>
          </w:tcPr>
          <w:p w14:paraId="79407A26"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26" w:type="dxa"/>
            <w:tcBorders>
              <w:top w:val="nil"/>
              <w:left w:val="nil"/>
              <w:bottom w:val="single" w:sz="4" w:space="0" w:color="000000"/>
              <w:right w:val="single" w:sz="4" w:space="0" w:color="000000"/>
            </w:tcBorders>
            <w:shd w:val="clear" w:color="auto" w:fill="auto"/>
            <w:noWrap/>
            <w:vAlign w:val="bottom"/>
            <w:hideMark/>
          </w:tcPr>
          <w:p w14:paraId="399AFACB"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14,500 </w:t>
            </w:r>
          </w:p>
        </w:tc>
        <w:tc>
          <w:tcPr>
            <w:tcW w:w="864" w:type="dxa"/>
            <w:tcBorders>
              <w:top w:val="nil"/>
              <w:left w:val="nil"/>
              <w:bottom w:val="single" w:sz="4" w:space="0" w:color="000000"/>
              <w:right w:val="single" w:sz="4" w:space="0" w:color="000000"/>
            </w:tcBorders>
            <w:shd w:val="clear" w:color="auto" w:fill="auto"/>
            <w:noWrap/>
            <w:vAlign w:val="bottom"/>
            <w:hideMark/>
          </w:tcPr>
          <w:p w14:paraId="0994024F"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15,500 </w:t>
            </w:r>
          </w:p>
        </w:tc>
        <w:tc>
          <w:tcPr>
            <w:tcW w:w="834" w:type="dxa"/>
            <w:tcBorders>
              <w:top w:val="nil"/>
              <w:left w:val="nil"/>
              <w:bottom w:val="single" w:sz="4" w:space="0" w:color="000000"/>
              <w:right w:val="single" w:sz="4" w:space="0" w:color="000000"/>
            </w:tcBorders>
            <w:shd w:val="clear" w:color="auto" w:fill="auto"/>
            <w:noWrap/>
            <w:vAlign w:val="bottom"/>
            <w:hideMark/>
          </w:tcPr>
          <w:p w14:paraId="0E294BE5"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15,500 </w:t>
            </w:r>
          </w:p>
        </w:tc>
        <w:tc>
          <w:tcPr>
            <w:tcW w:w="827" w:type="dxa"/>
            <w:tcBorders>
              <w:top w:val="nil"/>
              <w:left w:val="nil"/>
              <w:bottom w:val="single" w:sz="4" w:space="0" w:color="000000"/>
              <w:right w:val="single" w:sz="4" w:space="0" w:color="000000"/>
            </w:tcBorders>
            <w:shd w:val="clear" w:color="auto" w:fill="auto"/>
            <w:noWrap/>
            <w:vAlign w:val="bottom"/>
            <w:hideMark/>
          </w:tcPr>
          <w:p w14:paraId="615156B2"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14,500 </w:t>
            </w:r>
          </w:p>
        </w:tc>
        <w:tc>
          <w:tcPr>
            <w:tcW w:w="980" w:type="dxa"/>
            <w:tcBorders>
              <w:top w:val="single" w:sz="8" w:space="0" w:color="000000"/>
              <w:left w:val="nil"/>
              <w:bottom w:val="single" w:sz="4" w:space="0" w:color="000000"/>
              <w:right w:val="nil"/>
            </w:tcBorders>
            <w:shd w:val="clear" w:color="auto" w:fill="auto"/>
            <w:noWrap/>
            <w:vAlign w:val="bottom"/>
            <w:hideMark/>
          </w:tcPr>
          <w:p w14:paraId="0877E7F3"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60,000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7B09FD5C"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49829319" w14:textId="77777777" w:rsidTr="007A7FA3">
        <w:trPr>
          <w:trHeight w:val="270"/>
        </w:trPr>
        <w:tc>
          <w:tcPr>
            <w:tcW w:w="1086" w:type="dxa"/>
            <w:vMerge/>
            <w:tcBorders>
              <w:top w:val="nil"/>
              <w:left w:val="single" w:sz="8" w:space="0" w:color="auto"/>
              <w:bottom w:val="nil"/>
              <w:right w:val="nil"/>
            </w:tcBorders>
            <w:vAlign w:val="center"/>
            <w:hideMark/>
          </w:tcPr>
          <w:p w14:paraId="2C5C0A2E"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61FF504A" w14:textId="77777777" w:rsidR="007A7FA3" w:rsidRPr="007A7FA3" w:rsidRDefault="007A7FA3" w:rsidP="007A7FA3">
            <w:pPr>
              <w:rPr>
                <w:rFonts w:ascii="Calibri" w:hAnsi="Calibri" w:cs="Calibri"/>
                <w:color w:val="000000"/>
                <w:sz w:val="13"/>
                <w:szCs w:val="13"/>
              </w:rPr>
            </w:pPr>
          </w:p>
        </w:tc>
        <w:tc>
          <w:tcPr>
            <w:tcW w:w="5779" w:type="dxa"/>
            <w:gridSpan w:val="6"/>
            <w:tcBorders>
              <w:top w:val="single" w:sz="4" w:space="0" w:color="000000"/>
              <w:left w:val="nil"/>
              <w:bottom w:val="single" w:sz="4" w:space="0" w:color="000000"/>
              <w:right w:val="single" w:sz="4" w:space="0" w:color="000000"/>
            </w:tcBorders>
            <w:shd w:val="clear" w:color="auto" w:fill="auto"/>
            <w:vAlign w:val="center"/>
            <w:hideMark/>
          </w:tcPr>
          <w:p w14:paraId="1AB80EF6" w14:textId="77777777" w:rsidR="007A7FA3" w:rsidRPr="007A7FA3" w:rsidRDefault="007A7FA3" w:rsidP="007A7FA3">
            <w:pPr>
              <w:rPr>
                <w:rFonts w:ascii="Calibri" w:hAnsi="Calibri" w:cs="Calibri"/>
                <w:b/>
                <w:bCs/>
                <w:i/>
                <w:iCs/>
                <w:color w:val="000000"/>
                <w:sz w:val="13"/>
                <w:szCs w:val="13"/>
              </w:rPr>
            </w:pPr>
            <w:r w:rsidRPr="007A7FA3">
              <w:rPr>
                <w:rFonts w:ascii="Calibri" w:hAnsi="Calibri" w:cs="Calibri"/>
                <w:b/>
                <w:bCs/>
                <w:i/>
                <w:iCs/>
                <w:color w:val="000000"/>
                <w:sz w:val="13"/>
                <w:szCs w:val="13"/>
              </w:rPr>
              <w:t>Total Output 5.2.1</w:t>
            </w:r>
          </w:p>
        </w:tc>
        <w:tc>
          <w:tcPr>
            <w:tcW w:w="694" w:type="dxa"/>
            <w:tcBorders>
              <w:top w:val="nil"/>
              <w:left w:val="nil"/>
              <w:bottom w:val="single" w:sz="4" w:space="0" w:color="000000"/>
              <w:right w:val="single" w:sz="4" w:space="0" w:color="000000"/>
            </w:tcBorders>
            <w:shd w:val="clear" w:color="auto" w:fill="auto"/>
            <w:noWrap/>
            <w:vAlign w:val="bottom"/>
            <w:hideMark/>
          </w:tcPr>
          <w:p w14:paraId="2222B24F"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05" w:type="dxa"/>
            <w:tcBorders>
              <w:top w:val="nil"/>
              <w:left w:val="nil"/>
              <w:bottom w:val="single" w:sz="4" w:space="0" w:color="000000"/>
              <w:right w:val="single" w:sz="4" w:space="0" w:color="000000"/>
            </w:tcBorders>
            <w:shd w:val="clear" w:color="auto" w:fill="auto"/>
            <w:noWrap/>
            <w:vAlign w:val="bottom"/>
            <w:hideMark/>
          </w:tcPr>
          <w:p w14:paraId="281F4A5B"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   </w:t>
            </w:r>
          </w:p>
        </w:tc>
        <w:tc>
          <w:tcPr>
            <w:tcW w:w="826" w:type="dxa"/>
            <w:tcBorders>
              <w:top w:val="nil"/>
              <w:left w:val="nil"/>
              <w:bottom w:val="single" w:sz="4" w:space="0" w:color="000000"/>
              <w:right w:val="single" w:sz="4" w:space="0" w:color="000000"/>
            </w:tcBorders>
            <w:shd w:val="clear" w:color="auto" w:fill="auto"/>
            <w:noWrap/>
            <w:vAlign w:val="bottom"/>
            <w:hideMark/>
          </w:tcPr>
          <w:p w14:paraId="53744DBD"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14,500 </w:t>
            </w:r>
          </w:p>
        </w:tc>
        <w:tc>
          <w:tcPr>
            <w:tcW w:w="864" w:type="dxa"/>
            <w:tcBorders>
              <w:top w:val="nil"/>
              <w:left w:val="nil"/>
              <w:bottom w:val="single" w:sz="4" w:space="0" w:color="000000"/>
              <w:right w:val="single" w:sz="4" w:space="0" w:color="000000"/>
            </w:tcBorders>
            <w:shd w:val="clear" w:color="auto" w:fill="auto"/>
            <w:noWrap/>
            <w:vAlign w:val="bottom"/>
            <w:hideMark/>
          </w:tcPr>
          <w:p w14:paraId="2FD72CD8"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15,500 </w:t>
            </w:r>
          </w:p>
        </w:tc>
        <w:tc>
          <w:tcPr>
            <w:tcW w:w="834" w:type="dxa"/>
            <w:tcBorders>
              <w:top w:val="nil"/>
              <w:left w:val="nil"/>
              <w:bottom w:val="single" w:sz="4" w:space="0" w:color="000000"/>
              <w:right w:val="single" w:sz="4" w:space="0" w:color="000000"/>
            </w:tcBorders>
            <w:shd w:val="clear" w:color="auto" w:fill="auto"/>
            <w:noWrap/>
            <w:vAlign w:val="bottom"/>
            <w:hideMark/>
          </w:tcPr>
          <w:p w14:paraId="6CE0247F"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15,500 </w:t>
            </w:r>
          </w:p>
        </w:tc>
        <w:tc>
          <w:tcPr>
            <w:tcW w:w="827" w:type="dxa"/>
            <w:tcBorders>
              <w:top w:val="nil"/>
              <w:left w:val="nil"/>
              <w:bottom w:val="single" w:sz="4" w:space="0" w:color="000000"/>
              <w:right w:val="single" w:sz="4" w:space="0" w:color="000000"/>
            </w:tcBorders>
            <w:shd w:val="clear" w:color="auto" w:fill="auto"/>
            <w:noWrap/>
            <w:vAlign w:val="bottom"/>
            <w:hideMark/>
          </w:tcPr>
          <w:p w14:paraId="6DE507A8"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14,500 </w:t>
            </w:r>
          </w:p>
        </w:tc>
        <w:tc>
          <w:tcPr>
            <w:tcW w:w="980" w:type="dxa"/>
            <w:tcBorders>
              <w:top w:val="single" w:sz="8" w:space="0" w:color="000000"/>
              <w:left w:val="nil"/>
              <w:bottom w:val="single" w:sz="4" w:space="0" w:color="000000"/>
              <w:right w:val="nil"/>
            </w:tcBorders>
            <w:shd w:val="clear" w:color="auto" w:fill="auto"/>
            <w:noWrap/>
            <w:vAlign w:val="bottom"/>
            <w:hideMark/>
          </w:tcPr>
          <w:p w14:paraId="0663AB0D"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60,000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38A5BE4E"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30E2E1C7" w14:textId="77777777" w:rsidTr="007A7FA3">
        <w:trPr>
          <w:trHeight w:val="240"/>
        </w:trPr>
        <w:tc>
          <w:tcPr>
            <w:tcW w:w="1086" w:type="dxa"/>
            <w:vMerge/>
            <w:tcBorders>
              <w:top w:val="nil"/>
              <w:left w:val="single" w:sz="8" w:space="0" w:color="auto"/>
              <w:bottom w:val="nil"/>
              <w:right w:val="nil"/>
            </w:tcBorders>
            <w:vAlign w:val="center"/>
            <w:hideMark/>
          </w:tcPr>
          <w:p w14:paraId="3151FAFA"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31161AF1" w14:textId="77777777" w:rsidR="007A7FA3" w:rsidRPr="007A7FA3" w:rsidRDefault="007A7FA3" w:rsidP="007A7FA3">
            <w:pPr>
              <w:rPr>
                <w:rFonts w:ascii="Calibri" w:hAnsi="Calibri" w:cs="Calibri"/>
                <w:color w:val="000000"/>
                <w:sz w:val="13"/>
                <w:szCs w:val="13"/>
              </w:rPr>
            </w:pPr>
          </w:p>
        </w:tc>
        <w:tc>
          <w:tcPr>
            <w:tcW w:w="2016" w:type="dxa"/>
            <w:vMerge w:val="restart"/>
            <w:tcBorders>
              <w:top w:val="nil"/>
              <w:left w:val="single" w:sz="4" w:space="0" w:color="000000"/>
              <w:bottom w:val="single" w:sz="4" w:space="0" w:color="000000"/>
              <w:right w:val="single" w:sz="4" w:space="0" w:color="000000"/>
            </w:tcBorders>
            <w:shd w:val="clear" w:color="auto" w:fill="auto"/>
            <w:noWrap/>
            <w:vAlign w:val="bottom"/>
            <w:hideMark/>
          </w:tcPr>
          <w:p w14:paraId="38146C63"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5.2.2  IW:LEARN</w:t>
            </w:r>
          </w:p>
        </w:tc>
        <w:tc>
          <w:tcPr>
            <w:tcW w:w="631" w:type="dxa"/>
            <w:vMerge w:val="restart"/>
            <w:tcBorders>
              <w:top w:val="nil"/>
              <w:left w:val="nil"/>
              <w:bottom w:val="nil"/>
              <w:right w:val="nil"/>
            </w:tcBorders>
            <w:shd w:val="clear" w:color="auto" w:fill="auto"/>
            <w:noWrap/>
            <w:vAlign w:val="center"/>
            <w:hideMark/>
          </w:tcPr>
          <w:p w14:paraId="028EEDD5"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BCC</w:t>
            </w: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4046AC04"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val="restart"/>
            <w:tcBorders>
              <w:top w:val="nil"/>
              <w:left w:val="single" w:sz="4" w:space="0" w:color="000000"/>
              <w:bottom w:val="nil"/>
              <w:right w:val="nil"/>
            </w:tcBorders>
            <w:shd w:val="clear" w:color="auto" w:fill="auto"/>
            <w:noWrap/>
            <w:vAlign w:val="bottom"/>
            <w:hideMark/>
          </w:tcPr>
          <w:p w14:paraId="7241F2A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67075319"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71300</w:t>
            </w:r>
          </w:p>
        </w:tc>
        <w:tc>
          <w:tcPr>
            <w:tcW w:w="1580" w:type="dxa"/>
            <w:tcBorders>
              <w:top w:val="nil"/>
              <w:left w:val="nil"/>
              <w:bottom w:val="single" w:sz="4" w:space="0" w:color="000000"/>
              <w:right w:val="single" w:sz="4" w:space="0" w:color="000000"/>
            </w:tcBorders>
            <w:shd w:val="clear" w:color="auto" w:fill="auto"/>
            <w:vAlign w:val="bottom"/>
            <w:hideMark/>
          </w:tcPr>
          <w:p w14:paraId="1F0BE34A"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Local Consultants</w:t>
            </w:r>
          </w:p>
        </w:tc>
        <w:tc>
          <w:tcPr>
            <w:tcW w:w="694" w:type="dxa"/>
            <w:tcBorders>
              <w:top w:val="nil"/>
              <w:left w:val="nil"/>
              <w:bottom w:val="single" w:sz="4" w:space="0" w:color="000000"/>
              <w:right w:val="single" w:sz="4" w:space="0" w:color="000000"/>
            </w:tcBorders>
            <w:shd w:val="clear" w:color="auto" w:fill="auto"/>
            <w:noWrap/>
            <w:vAlign w:val="bottom"/>
            <w:hideMark/>
          </w:tcPr>
          <w:p w14:paraId="261B555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5,000 </w:t>
            </w:r>
          </w:p>
        </w:tc>
        <w:tc>
          <w:tcPr>
            <w:tcW w:w="805" w:type="dxa"/>
            <w:tcBorders>
              <w:top w:val="nil"/>
              <w:left w:val="nil"/>
              <w:bottom w:val="single" w:sz="4" w:space="0" w:color="000000"/>
              <w:right w:val="single" w:sz="4" w:space="0" w:color="000000"/>
            </w:tcBorders>
            <w:shd w:val="clear" w:color="auto" w:fill="auto"/>
            <w:noWrap/>
            <w:vAlign w:val="bottom"/>
            <w:hideMark/>
          </w:tcPr>
          <w:p w14:paraId="01A6B59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8,000 </w:t>
            </w:r>
          </w:p>
        </w:tc>
        <w:tc>
          <w:tcPr>
            <w:tcW w:w="826" w:type="dxa"/>
            <w:tcBorders>
              <w:top w:val="nil"/>
              <w:left w:val="nil"/>
              <w:bottom w:val="single" w:sz="4" w:space="0" w:color="000000"/>
              <w:right w:val="single" w:sz="4" w:space="0" w:color="000000"/>
            </w:tcBorders>
            <w:shd w:val="clear" w:color="auto" w:fill="auto"/>
            <w:noWrap/>
            <w:vAlign w:val="bottom"/>
            <w:hideMark/>
          </w:tcPr>
          <w:p w14:paraId="73903AE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8,000 </w:t>
            </w:r>
          </w:p>
        </w:tc>
        <w:tc>
          <w:tcPr>
            <w:tcW w:w="864" w:type="dxa"/>
            <w:tcBorders>
              <w:top w:val="nil"/>
              <w:left w:val="nil"/>
              <w:bottom w:val="single" w:sz="4" w:space="0" w:color="000000"/>
              <w:right w:val="single" w:sz="4" w:space="0" w:color="000000"/>
            </w:tcBorders>
            <w:shd w:val="clear" w:color="auto" w:fill="auto"/>
            <w:noWrap/>
            <w:vAlign w:val="bottom"/>
            <w:hideMark/>
          </w:tcPr>
          <w:p w14:paraId="7F31088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8,000 </w:t>
            </w:r>
          </w:p>
        </w:tc>
        <w:tc>
          <w:tcPr>
            <w:tcW w:w="834" w:type="dxa"/>
            <w:tcBorders>
              <w:top w:val="nil"/>
              <w:left w:val="nil"/>
              <w:bottom w:val="single" w:sz="4" w:space="0" w:color="000000"/>
              <w:right w:val="single" w:sz="4" w:space="0" w:color="000000"/>
            </w:tcBorders>
            <w:shd w:val="clear" w:color="auto" w:fill="auto"/>
            <w:noWrap/>
            <w:vAlign w:val="bottom"/>
            <w:hideMark/>
          </w:tcPr>
          <w:p w14:paraId="172159F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8,000 </w:t>
            </w:r>
          </w:p>
        </w:tc>
        <w:tc>
          <w:tcPr>
            <w:tcW w:w="827" w:type="dxa"/>
            <w:tcBorders>
              <w:top w:val="nil"/>
              <w:left w:val="nil"/>
              <w:bottom w:val="single" w:sz="4" w:space="0" w:color="000000"/>
              <w:right w:val="single" w:sz="4" w:space="0" w:color="000000"/>
            </w:tcBorders>
            <w:shd w:val="clear" w:color="auto" w:fill="auto"/>
            <w:noWrap/>
            <w:vAlign w:val="bottom"/>
            <w:hideMark/>
          </w:tcPr>
          <w:p w14:paraId="75845B3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8,000 </w:t>
            </w:r>
          </w:p>
        </w:tc>
        <w:tc>
          <w:tcPr>
            <w:tcW w:w="980" w:type="dxa"/>
            <w:tcBorders>
              <w:top w:val="single" w:sz="8" w:space="0" w:color="000000"/>
              <w:left w:val="nil"/>
              <w:bottom w:val="single" w:sz="4" w:space="0" w:color="000000"/>
              <w:right w:val="nil"/>
            </w:tcBorders>
            <w:shd w:val="clear" w:color="auto" w:fill="auto"/>
            <w:noWrap/>
            <w:vAlign w:val="bottom"/>
            <w:hideMark/>
          </w:tcPr>
          <w:p w14:paraId="71AC906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45,000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042C41BF"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138 </w:t>
            </w:r>
          </w:p>
        </w:tc>
      </w:tr>
      <w:tr w:rsidR="007A7FA3" w:rsidRPr="007A7FA3" w14:paraId="44B55CB0" w14:textId="77777777" w:rsidTr="007A7FA3">
        <w:trPr>
          <w:trHeight w:val="240"/>
        </w:trPr>
        <w:tc>
          <w:tcPr>
            <w:tcW w:w="1086" w:type="dxa"/>
            <w:vMerge/>
            <w:tcBorders>
              <w:top w:val="nil"/>
              <w:left w:val="single" w:sz="8" w:space="0" w:color="auto"/>
              <w:bottom w:val="nil"/>
              <w:right w:val="nil"/>
            </w:tcBorders>
            <w:vAlign w:val="center"/>
            <w:hideMark/>
          </w:tcPr>
          <w:p w14:paraId="0AFC5B46"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0E4646F4" w14:textId="77777777" w:rsidR="007A7FA3" w:rsidRPr="007A7FA3" w:rsidRDefault="007A7FA3" w:rsidP="007A7FA3">
            <w:pPr>
              <w:rPr>
                <w:rFonts w:ascii="Calibri" w:hAnsi="Calibri" w:cs="Calibri"/>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391CACCC"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nil"/>
              <w:bottom w:val="nil"/>
              <w:right w:val="nil"/>
            </w:tcBorders>
            <w:vAlign w:val="center"/>
            <w:hideMark/>
          </w:tcPr>
          <w:p w14:paraId="1C1DE3C1" w14:textId="77777777" w:rsidR="007A7FA3" w:rsidRPr="007A7FA3" w:rsidRDefault="007A7FA3" w:rsidP="007A7FA3">
            <w:pPr>
              <w:rPr>
                <w:rFonts w:ascii="Calibri" w:hAnsi="Calibri" w:cs="Calibri"/>
                <w:i/>
                <w:iCs/>
                <w:color w:val="000000"/>
                <w:sz w:val="13"/>
                <w:szCs w:val="13"/>
              </w:rPr>
            </w:pPr>
          </w:p>
        </w:tc>
        <w:tc>
          <w:tcPr>
            <w:tcW w:w="504" w:type="dxa"/>
            <w:tcBorders>
              <w:top w:val="nil"/>
              <w:left w:val="single" w:sz="4" w:space="0" w:color="000000"/>
              <w:bottom w:val="single" w:sz="4" w:space="0" w:color="000000"/>
              <w:right w:val="single" w:sz="4" w:space="0" w:color="000000"/>
            </w:tcBorders>
            <w:shd w:val="clear" w:color="auto" w:fill="auto"/>
            <w:vAlign w:val="center"/>
            <w:hideMark/>
          </w:tcPr>
          <w:p w14:paraId="41B72E31"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2B73E7CB" w14:textId="77777777" w:rsidR="007A7FA3" w:rsidRPr="007A7FA3" w:rsidRDefault="007A7FA3" w:rsidP="007A7FA3">
            <w:pPr>
              <w:rPr>
                <w:rFonts w:ascii="Calibri" w:hAnsi="Calibri" w:cs="Calibri"/>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18900FFE"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71600</w:t>
            </w:r>
          </w:p>
        </w:tc>
        <w:tc>
          <w:tcPr>
            <w:tcW w:w="1580" w:type="dxa"/>
            <w:tcBorders>
              <w:top w:val="nil"/>
              <w:left w:val="nil"/>
              <w:bottom w:val="single" w:sz="4" w:space="0" w:color="000000"/>
              <w:right w:val="single" w:sz="4" w:space="0" w:color="000000"/>
            </w:tcBorders>
            <w:shd w:val="clear" w:color="auto" w:fill="auto"/>
            <w:vAlign w:val="bottom"/>
            <w:hideMark/>
          </w:tcPr>
          <w:p w14:paraId="69C2546B"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Travel</w:t>
            </w:r>
          </w:p>
        </w:tc>
        <w:tc>
          <w:tcPr>
            <w:tcW w:w="694" w:type="dxa"/>
            <w:tcBorders>
              <w:top w:val="nil"/>
              <w:left w:val="nil"/>
              <w:bottom w:val="single" w:sz="4" w:space="0" w:color="000000"/>
              <w:right w:val="single" w:sz="4" w:space="0" w:color="000000"/>
            </w:tcBorders>
            <w:shd w:val="clear" w:color="auto" w:fill="auto"/>
            <w:noWrap/>
            <w:vAlign w:val="bottom"/>
            <w:hideMark/>
          </w:tcPr>
          <w:p w14:paraId="5F2D823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5,000 </w:t>
            </w:r>
          </w:p>
        </w:tc>
        <w:tc>
          <w:tcPr>
            <w:tcW w:w="805" w:type="dxa"/>
            <w:tcBorders>
              <w:top w:val="nil"/>
              <w:left w:val="nil"/>
              <w:bottom w:val="single" w:sz="4" w:space="0" w:color="000000"/>
              <w:right w:val="single" w:sz="4" w:space="0" w:color="000000"/>
            </w:tcBorders>
            <w:shd w:val="clear" w:color="auto" w:fill="auto"/>
            <w:noWrap/>
            <w:vAlign w:val="bottom"/>
            <w:hideMark/>
          </w:tcPr>
          <w:p w14:paraId="6FE9165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15,000 </w:t>
            </w:r>
          </w:p>
        </w:tc>
        <w:tc>
          <w:tcPr>
            <w:tcW w:w="826" w:type="dxa"/>
            <w:tcBorders>
              <w:top w:val="nil"/>
              <w:left w:val="nil"/>
              <w:bottom w:val="single" w:sz="4" w:space="0" w:color="000000"/>
              <w:right w:val="single" w:sz="4" w:space="0" w:color="000000"/>
            </w:tcBorders>
            <w:shd w:val="clear" w:color="auto" w:fill="auto"/>
            <w:noWrap/>
            <w:vAlign w:val="bottom"/>
            <w:hideMark/>
          </w:tcPr>
          <w:p w14:paraId="5C0A5DA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5,000 </w:t>
            </w:r>
          </w:p>
        </w:tc>
        <w:tc>
          <w:tcPr>
            <w:tcW w:w="864" w:type="dxa"/>
            <w:tcBorders>
              <w:top w:val="nil"/>
              <w:left w:val="nil"/>
              <w:bottom w:val="single" w:sz="4" w:space="0" w:color="000000"/>
              <w:right w:val="single" w:sz="4" w:space="0" w:color="000000"/>
            </w:tcBorders>
            <w:shd w:val="clear" w:color="auto" w:fill="auto"/>
            <w:noWrap/>
            <w:vAlign w:val="bottom"/>
            <w:hideMark/>
          </w:tcPr>
          <w:p w14:paraId="14B7679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15,000 </w:t>
            </w:r>
          </w:p>
        </w:tc>
        <w:tc>
          <w:tcPr>
            <w:tcW w:w="834" w:type="dxa"/>
            <w:tcBorders>
              <w:top w:val="nil"/>
              <w:left w:val="nil"/>
              <w:bottom w:val="single" w:sz="4" w:space="0" w:color="000000"/>
              <w:right w:val="single" w:sz="4" w:space="0" w:color="000000"/>
            </w:tcBorders>
            <w:shd w:val="clear" w:color="auto" w:fill="auto"/>
            <w:noWrap/>
            <w:vAlign w:val="bottom"/>
            <w:hideMark/>
          </w:tcPr>
          <w:p w14:paraId="5B0D23B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5,000 </w:t>
            </w:r>
          </w:p>
        </w:tc>
        <w:tc>
          <w:tcPr>
            <w:tcW w:w="827" w:type="dxa"/>
            <w:tcBorders>
              <w:top w:val="nil"/>
              <w:left w:val="nil"/>
              <w:bottom w:val="single" w:sz="4" w:space="0" w:color="000000"/>
              <w:right w:val="single" w:sz="4" w:space="0" w:color="000000"/>
            </w:tcBorders>
            <w:shd w:val="clear" w:color="auto" w:fill="auto"/>
            <w:noWrap/>
            <w:vAlign w:val="bottom"/>
            <w:hideMark/>
          </w:tcPr>
          <w:p w14:paraId="221F9E2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15,000 </w:t>
            </w:r>
          </w:p>
        </w:tc>
        <w:tc>
          <w:tcPr>
            <w:tcW w:w="980" w:type="dxa"/>
            <w:tcBorders>
              <w:top w:val="single" w:sz="8" w:space="0" w:color="000000"/>
              <w:left w:val="nil"/>
              <w:bottom w:val="single" w:sz="4" w:space="0" w:color="000000"/>
              <w:right w:val="nil"/>
            </w:tcBorders>
            <w:shd w:val="clear" w:color="auto" w:fill="auto"/>
            <w:noWrap/>
            <w:vAlign w:val="bottom"/>
            <w:hideMark/>
          </w:tcPr>
          <w:p w14:paraId="320368B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47D4AB1D"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139 </w:t>
            </w:r>
          </w:p>
        </w:tc>
      </w:tr>
      <w:tr w:rsidR="007A7FA3" w:rsidRPr="007A7FA3" w14:paraId="7CF058B0" w14:textId="77777777" w:rsidTr="007A7FA3">
        <w:trPr>
          <w:trHeight w:val="700"/>
        </w:trPr>
        <w:tc>
          <w:tcPr>
            <w:tcW w:w="1086" w:type="dxa"/>
            <w:vMerge/>
            <w:tcBorders>
              <w:top w:val="nil"/>
              <w:left w:val="single" w:sz="8" w:space="0" w:color="auto"/>
              <w:bottom w:val="nil"/>
              <w:right w:val="nil"/>
            </w:tcBorders>
            <w:vAlign w:val="center"/>
            <w:hideMark/>
          </w:tcPr>
          <w:p w14:paraId="7CB1AE04"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476DC6BD" w14:textId="77777777" w:rsidR="007A7FA3" w:rsidRPr="007A7FA3" w:rsidRDefault="007A7FA3" w:rsidP="007A7FA3">
            <w:pPr>
              <w:rPr>
                <w:rFonts w:ascii="Calibri" w:hAnsi="Calibri" w:cs="Calibri"/>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596E2117" w14:textId="77777777" w:rsidR="007A7FA3" w:rsidRPr="007A7FA3" w:rsidRDefault="007A7FA3" w:rsidP="007A7FA3">
            <w:pPr>
              <w:rPr>
                <w:rFonts w:ascii="Calibri" w:hAnsi="Calibri" w:cs="Calibri"/>
                <w:i/>
                <w:iCs/>
                <w:color w:val="000000"/>
                <w:sz w:val="13"/>
                <w:szCs w:val="13"/>
              </w:rPr>
            </w:pPr>
          </w:p>
        </w:tc>
        <w:tc>
          <w:tcPr>
            <w:tcW w:w="3763" w:type="dxa"/>
            <w:gridSpan w:val="5"/>
            <w:tcBorders>
              <w:top w:val="single" w:sz="4" w:space="0" w:color="000000"/>
              <w:left w:val="nil"/>
              <w:bottom w:val="single" w:sz="4" w:space="0" w:color="000000"/>
              <w:right w:val="single" w:sz="4" w:space="0" w:color="000000"/>
            </w:tcBorders>
            <w:shd w:val="clear" w:color="auto" w:fill="auto"/>
            <w:vAlign w:val="center"/>
            <w:hideMark/>
          </w:tcPr>
          <w:p w14:paraId="70F866CA"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Total BCC</w:t>
            </w:r>
          </w:p>
        </w:tc>
        <w:tc>
          <w:tcPr>
            <w:tcW w:w="694" w:type="dxa"/>
            <w:tcBorders>
              <w:top w:val="nil"/>
              <w:left w:val="nil"/>
              <w:bottom w:val="single" w:sz="4" w:space="0" w:color="000000"/>
              <w:right w:val="single" w:sz="4" w:space="0" w:color="000000"/>
            </w:tcBorders>
            <w:shd w:val="clear" w:color="auto" w:fill="auto"/>
            <w:noWrap/>
            <w:vAlign w:val="bottom"/>
            <w:hideMark/>
          </w:tcPr>
          <w:p w14:paraId="048C41C2"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10,000 </w:t>
            </w:r>
          </w:p>
        </w:tc>
        <w:tc>
          <w:tcPr>
            <w:tcW w:w="805" w:type="dxa"/>
            <w:tcBorders>
              <w:top w:val="nil"/>
              <w:left w:val="nil"/>
              <w:bottom w:val="single" w:sz="4" w:space="0" w:color="000000"/>
              <w:right w:val="single" w:sz="4" w:space="0" w:color="000000"/>
            </w:tcBorders>
            <w:shd w:val="clear" w:color="auto" w:fill="auto"/>
            <w:noWrap/>
            <w:vAlign w:val="bottom"/>
            <w:hideMark/>
          </w:tcPr>
          <w:p w14:paraId="13C35206"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23,000 </w:t>
            </w:r>
          </w:p>
        </w:tc>
        <w:tc>
          <w:tcPr>
            <w:tcW w:w="826" w:type="dxa"/>
            <w:tcBorders>
              <w:top w:val="nil"/>
              <w:left w:val="nil"/>
              <w:bottom w:val="single" w:sz="4" w:space="0" w:color="000000"/>
              <w:right w:val="single" w:sz="4" w:space="0" w:color="000000"/>
            </w:tcBorders>
            <w:shd w:val="clear" w:color="auto" w:fill="auto"/>
            <w:noWrap/>
            <w:vAlign w:val="bottom"/>
            <w:hideMark/>
          </w:tcPr>
          <w:p w14:paraId="472E598A"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13,000 </w:t>
            </w:r>
          </w:p>
        </w:tc>
        <w:tc>
          <w:tcPr>
            <w:tcW w:w="864" w:type="dxa"/>
            <w:tcBorders>
              <w:top w:val="nil"/>
              <w:left w:val="nil"/>
              <w:bottom w:val="single" w:sz="4" w:space="0" w:color="000000"/>
              <w:right w:val="single" w:sz="4" w:space="0" w:color="000000"/>
            </w:tcBorders>
            <w:shd w:val="clear" w:color="auto" w:fill="auto"/>
            <w:noWrap/>
            <w:vAlign w:val="bottom"/>
            <w:hideMark/>
          </w:tcPr>
          <w:p w14:paraId="582DE729"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23,000 </w:t>
            </w:r>
          </w:p>
        </w:tc>
        <w:tc>
          <w:tcPr>
            <w:tcW w:w="834" w:type="dxa"/>
            <w:tcBorders>
              <w:top w:val="nil"/>
              <w:left w:val="nil"/>
              <w:bottom w:val="single" w:sz="4" w:space="0" w:color="000000"/>
              <w:right w:val="single" w:sz="4" w:space="0" w:color="000000"/>
            </w:tcBorders>
            <w:shd w:val="clear" w:color="auto" w:fill="auto"/>
            <w:noWrap/>
            <w:vAlign w:val="bottom"/>
            <w:hideMark/>
          </w:tcPr>
          <w:p w14:paraId="7409FC8A"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13,000 </w:t>
            </w:r>
          </w:p>
        </w:tc>
        <w:tc>
          <w:tcPr>
            <w:tcW w:w="827" w:type="dxa"/>
            <w:tcBorders>
              <w:top w:val="nil"/>
              <w:left w:val="nil"/>
              <w:bottom w:val="single" w:sz="4" w:space="0" w:color="000000"/>
              <w:right w:val="single" w:sz="4" w:space="0" w:color="000000"/>
            </w:tcBorders>
            <w:shd w:val="clear" w:color="auto" w:fill="auto"/>
            <w:noWrap/>
            <w:vAlign w:val="bottom"/>
            <w:hideMark/>
          </w:tcPr>
          <w:p w14:paraId="3E2A2282"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23,000 </w:t>
            </w:r>
          </w:p>
        </w:tc>
        <w:tc>
          <w:tcPr>
            <w:tcW w:w="980" w:type="dxa"/>
            <w:tcBorders>
              <w:top w:val="single" w:sz="8" w:space="0" w:color="000000"/>
              <w:left w:val="nil"/>
              <w:bottom w:val="single" w:sz="4" w:space="0" w:color="000000"/>
              <w:right w:val="nil"/>
            </w:tcBorders>
            <w:shd w:val="clear" w:color="auto" w:fill="auto"/>
            <w:noWrap/>
            <w:vAlign w:val="bottom"/>
            <w:hideMark/>
          </w:tcPr>
          <w:p w14:paraId="717AB01D"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105,000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0AC32F0A"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5CED27FB" w14:textId="77777777" w:rsidTr="007A7FA3">
        <w:trPr>
          <w:trHeight w:val="300"/>
        </w:trPr>
        <w:tc>
          <w:tcPr>
            <w:tcW w:w="1086" w:type="dxa"/>
            <w:vMerge/>
            <w:tcBorders>
              <w:top w:val="nil"/>
              <w:left w:val="single" w:sz="8" w:space="0" w:color="auto"/>
              <w:bottom w:val="nil"/>
              <w:right w:val="nil"/>
            </w:tcBorders>
            <w:vAlign w:val="center"/>
            <w:hideMark/>
          </w:tcPr>
          <w:p w14:paraId="2B8751C6"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0158D9E6" w14:textId="77777777" w:rsidR="007A7FA3" w:rsidRPr="007A7FA3" w:rsidRDefault="007A7FA3" w:rsidP="007A7FA3">
            <w:pPr>
              <w:rPr>
                <w:rFonts w:ascii="Calibri" w:hAnsi="Calibri" w:cs="Calibri"/>
                <w:color w:val="000000"/>
                <w:sz w:val="13"/>
                <w:szCs w:val="13"/>
              </w:rPr>
            </w:pPr>
          </w:p>
        </w:tc>
        <w:tc>
          <w:tcPr>
            <w:tcW w:w="5779" w:type="dxa"/>
            <w:gridSpan w:val="6"/>
            <w:tcBorders>
              <w:top w:val="nil"/>
              <w:left w:val="nil"/>
              <w:bottom w:val="single" w:sz="4" w:space="0" w:color="000000"/>
              <w:right w:val="single" w:sz="4" w:space="0" w:color="000000"/>
            </w:tcBorders>
            <w:shd w:val="clear" w:color="auto" w:fill="auto"/>
            <w:vAlign w:val="center"/>
            <w:hideMark/>
          </w:tcPr>
          <w:p w14:paraId="48ABEC2D" w14:textId="77777777" w:rsidR="007A7FA3" w:rsidRPr="007A7FA3" w:rsidRDefault="007A7FA3" w:rsidP="007A7FA3">
            <w:pPr>
              <w:rPr>
                <w:rFonts w:ascii="Calibri" w:hAnsi="Calibri" w:cs="Calibri"/>
                <w:b/>
                <w:bCs/>
                <w:i/>
                <w:iCs/>
                <w:color w:val="000000"/>
                <w:sz w:val="13"/>
                <w:szCs w:val="13"/>
              </w:rPr>
            </w:pPr>
            <w:r w:rsidRPr="007A7FA3">
              <w:rPr>
                <w:rFonts w:ascii="Calibri" w:hAnsi="Calibri" w:cs="Calibri"/>
                <w:b/>
                <w:bCs/>
                <w:i/>
                <w:iCs/>
                <w:color w:val="000000"/>
                <w:sz w:val="13"/>
                <w:szCs w:val="13"/>
              </w:rPr>
              <w:t>Total Output 5.2.2</w:t>
            </w:r>
          </w:p>
        </w:tc>
        <w:tc>
          <w:tcPr>
            <w:tcW w:w="694" w:type="dxa"/>
            <w:tcBorders>
              <w:top w:val="nil"/>
              <w:left w:val="nil"/>
              <w:bottom w:val="single" w:sz="4" w:space="0" w:color="000000"/>
              <w:right w:val="single" w:sz="4" w:space="0" w:color="000000"/>
            </w:tcBorders>
            <w:shd w:val="clear" w:color="auto" w:fill="auto"/>
            <w:noWrap/>
            <w:vAlign w:val="bottom"/>
            <w:hideMark/>
          </w:tcPr>
          <w:p w14:paraId="069046DB"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10,000 </w:t>
            </w:r>
          </w:p>
        </w:tc>
        <w:tc>
          <w:tcPr>
            <w:tcW w:w="805" w:type="dxa"/>
            <w:tcBorders>
              <w:top w:val="nil"/>
              <w:left w:val="nil"/>
              <w:bottom w:val="single" w:sz="4" w:space="0" w:color="000000"/>
              <w:right w:val="single" w:sz="4" w:space="0" w:color="000000"/>
            </w:tcBorders>
            <w:shd w:val="clear" w:color="auto" w:fill="auto"/>
            <w:noWrap/>
            <w:vAlign w:val="bottom"/>
            <w:hideMark/>
          </w:tcPr>
          <w:p w14:paraId="67FAE997"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23,000 </w:t>
            </w:r>
          </w:p>
        </w:tc>
        <w:tc>
          <w:tcPr>
            <w:tcW w:w="826" w:type="dxa"/>
            <w:tcBorders>
              <w:top w:val="nil"/>
              <w:left w:val="nil"/>
              <w:bottom w:val="single" w:sz="4" w:space="0" w:color="000000"/>
              <w:right w:val="single" w:sz="4" w:space="0" w:color="000000"/>
            </w:tcBorders>
            <w:shd w:val="clear" w:color="auto" w:fill="auto"/>
            <w:noWrap/>
            <w:vAlign w:val="bottom"/>
            <w:hideMark/>
          </w:tcPr>
          <w:p w14:paraId="1FE0423D"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13,000 </w:t>
            </w:r>
          </w:p>
        </w:tc>
        <w:tc>
          <w:tcPr>
            <w:tcW w:w="864" w:type="dxa"/>
            <w:tcBorders>
              <w:top w:val="nil"/>
              <w:left w:val="nil"/>
              <w:bottom w:val="single" w:sz="4" w:space="0" w:color="000000"/>
              <w:right w:val="single" w:sz="4" w:space="0" w:color="000000"/>
            </w:tcBorders>
            <w:shd w:val="clear" w:color="auto" w:fill="auto"/>
            <w:noWrap/>
            <w:vAlign w:val="bottom"/>
            <w:hideMark/>
          </w:tcPr>
          <w:p w14:paraId="7959E5B7"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23,000 </w:t>
            </w:r>
          </w:p>
        </w:tc>
        <w:tc>
          <w:tcPr>
            <w:tcW w:w="834" w:type="dxa"/>
            <w:tcBorders>
              <w:top w:val="nil"/>
              <w:left w:val="nil"/>
              <w:bottom w:val="single" w:sz="4" w:space="0" w:color="000000"/>
              <w:right w:val="single" w:sz="4" w:space="0" w:color="000000"/>
            </w:tcBorders>
            <w:shd w:val="clear" w:color="auto" w:fill="auto"/>
            <w:noWrap/>
            <w:vAlign w:val="bottom"/>
            <w:hideMark/>
          </w:tcPr>
          <w:p w14:paraId="08CE893B"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13,000 </w:t>
            </w:r>
          </w:p>
        </w:tc>
        <w:tc>
          <w:tcPr>
            <w:tcW w:w="827" w:type="dxa"/>
            <w:tcBorders>
              <w:top w:val="nil"/>
              <w:left w:val="nil"/>
              <w:bottom w:val="single" w:sz="4" w:space="0" w:color="000000"/>
              <w:right w:val="single" w:sz="4" w:space="0" w:color="000000"/>
            </w:tcBorders>
            <w:shd w:val="clear" w:color="auto" w:fill="auto"/>
            <w:noWrap/>
            <w:vAlign w:val="bottom"/>
            <w:hideMark/>
          </w:tcPr>
          <w:p w14:paraId="767357B3"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23,000 </w:t>
            </w:r>
          </w:p>
        </w:tc>
        <w:tc>
          <w:tcPr>
            <w:tcW w:w="980" w:type="dxa"/>
            <w:tcBorders>
              <w:top w:val="single" w:sz="8" w:space="0" w:color="000000"/>
              <w:left w:val="nil"/>
              <w:bottom w:val="single" w:sz="4" w:space="0" w:color="000000"/>
              <w:right w:val="nil"/>
            </w:tcBorders>
            <w:shd w:val="clear" w:color="auto" w:fill="auto"/>
            <w:noWrap/>
            <w:vAlign w:val="bottom"/>
            <w:hideMark/>
          </w:tcPr>
          <w:p w14:paraId="41F861DE"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105,000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70CF5497"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48F1C106" w14:textId="77777777" w:rsidTr="007A7FA3">
        <w:trPr>
          <w:trHeight w:val="315"/>
        </w:trPr>
        <w:tc>
          <w:tcPr>
            <w:tcW w:w="1086" w:type="dxa"/>
            <w:vMerge/>
            <w:tcBorders>
              <w:top w:val="nil"/>
              <w:left w:val="single" w:sz="8" w:space="0" w:color="auto"/>
              <w:bottom w:val="nil"/>
              <w:right w:val="nil"/>
            </w:tcBorders>
            <w:vAlign w:val="center"/>
            <w:hideMark/>
          </w:tcPr>
          <w:p w14:paraId="11239D3B" w14:textId="77777777" w:rsidR="007A7FA3" w:rsidRPr="007A7FA3" w:rsidRDefault="007A7FA3" w:rsidP="007A7FA3">
            <w:pPr>
              <w:rPr>
                <w:rFonts w:ascii="Calibri" w:hAnsi="Calibri" w:cs="Calibri"/>
                <w:i/>
                <w:iCs/>
                <w:color w:val="000000"/>
                <w:sz w:val="13"/>
                <w:szCs w:val="13"/>
              </w:rPr>
            </w:pPr>
          </w:p>
        </w:tc>
        <w:tc>
          <w:tcPr>
            <w:tcW w:w="6650" w:type="dxa"/>
            <w:gridSpan w:val="7"/>
            <w:tcBorders>
              <w:top w:val="single" w:sz="4" w:space="0" w:color="000000"/>
              <w:left w:val="single" w:sz="4" w:space="0" w:color="000000"/>
              <w:bottom w:val="nil"/>
              <w:right w:val="single" w:sz="4" w:space="0" w:color="000000"/>
            </w:tcBorders>
            <w:shd w:val="clear" w:color="FEF2CB" w:fill="FEF2CB"/>
            <w:vAlign w:val="center"/>
            <w:hideMark/>
          </w:tcPr>
          <w:p w14:paraId="1E539A21" w14:textId="77777777" w:rsidR="007A7FA3" w:rsidRPr="007A7FA3" w:rsidRDefault="007A7FA3" w:rsidP="007A7FA3">
            <w:pPr>
              <w:rPr>
                <w:rFonts w:ascii="Calibri" w:hAnsi="Calibri" w:cs="Calibri"/>
                <w:b/>
                <w:bCs/>
                <w:i/>
                <w:iCs/>
                <w:color w:val="000000"/>
                <w:sz w:val="13"/>
                <w:szCs w:val="13"/>
              </w:rPr>
            </w:pPr>
            <w:r w:rsidRPr="007A7FA3">
              <w:rPr>
                <w:rFonts w:ascii="Calibri" w:hAnsi="Calibri" w:cs="Calibri"/>
                <w:b/>
                <w:bCs/>
                <w:i/>
                <w:iCs/>
                <w:color w:val="000000"/>
                <w:sz w:val="13"/>
                <w:szCs w:val="13"/>
              </w:rPr>
              <w:t>Total Outcome 5.2</w:t>
            </w:r>
          </w:p>
        </w:tc>
        <w:tc>
          <w:tcPr>
            <w:tcW w:w="694" w:type="dxa"/>
            <w:tcBorders>
              <w:top w:val="nil"/>
              <w:left w:val="nil"/>
              <w:bottom w:val="single" w:sz="4" w:space="0" w:color="000000"/>
              <w:right w:val="single" w:sz="4" w:space="0" w:color="000000"/>
            </w:tcBorders>
            <w:shd w:val="clear" w:color="FEF2CB" w:fill="FEF2CB"/>
            <w:noWrap/>
            <w:vAlign w:val="bottom"/>
            <w:hideMark/>
          </w:tcPr>
          <w:p w14:paraId="084CB896"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10,000 </w:t>
            </w:r>
          </w:p>
        </w:tc>
        <w:tc>
          <w:tcPr>
            <w:tcW w:w="805" w:type="dxa"/>
            <w:tcBorders>
              <w:top w:val="nil"/>
              <w:left w:val="nil"/>
              <w:bottom w:val="single" w:sz="4" w:space="0" w:color="000000"/>
              <w:right w:val="single" w:sz="4" w:space="0" w:color="000000"/>
            </w:tcBorders>
            <w:shd w:val="clear" w:color="FEF2CB" w:fill="FEF2CB"/>
            <w:noWrap/>
            <w:vAlign w:val="bottom"/>
            <w:hideMark/>
          </w:tcPr>
          <w:p w14:paraId="025208BF"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23,000 </w:t>
            </w:r>
          </w:p>
        </w:tc>
        <w:tc>
          <w:tcPr>
            <w:tcW w:w="826" w:type="dxa"/>
            <w:tcBorders>
              <w:top w:val="nil"/>
              <w:left w:val="nil"/>
              <w:bottom w:val="single" w:sz="4" w:space="0" w:color="000000"/>
              <w:right w:val="single" w:sz="4" w:space="0" w:color="000000"/>
            </w:tcBorders>
            <w:shd w:val="clear" w:color="FEF2CB" w:fill="FEF2CB"/>
            <w:noWrap/>
            <w:vAlign w:val="bottom"/>
            <w:hideMark/>
          </w:tcPr>
          <w:p w14:paraId="202627FC"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27,500 </w:t>
            </w:r>
          </w:p>
        </w:tc>
        <w:tc>
          <w:tcPr>
            <w:tcW w:w="864" w:type="dxa"/>
            <w:tcBorders>
              <w:top w:val="nil"/>
              <w:left w:val="nil"/>
              <w:bottom w:val="single" w:sz="4" w:space="0" w:color="000000"/>
              <w:right w:val="single" w:sz="4" w:space="0" w:color="000000"/>
            </w:tcBorders>
            <w:shd w:val="clear" w:color="FEF2CB" w:fill="FEF2CB"/>
            <w:noWrap/>
            <w:vAlign w:val="bottom"/>
            <w:hideMark/>
          </w:tcPr>
          <w:p w14:paraId="72D8A28C"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38,500 </w:t>
            </w:r>
          </w:p>
        </w:tc>
        <w:tc>
          <w:tcPr>
            <w:tcW w:w="834" w:type="dxa"/>
            <w:tcBorders>
              <w:top w:val="nil"/>
              <w:left w:val="nil"/>
              <w:bottom w:val="single" w:sz="4" w:space="0" w:color="000000"/>
              <w:right w:val="single" w:sz="4" w:space="0" w:color="000000"/>
            </w:tcBorders>
            <w:shd w:val="clear" w:color="FEF2CB" w:fill="FEF2CB"/>
            <w:noWrap/>
            <w:vAlign w:val="bottom"/>
            <w:hideMark/>
          </w:tcPr>
          <w:p w14:paraId="7BE0C7F2"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28,500 </w:t>
            </w:r>
          </w:p>
        </w:tc>
        <w:tc>
          <w:tcPr>
            <w:tcW w:w="827" w:type="dxa"/>
            <w:tcBorders>
              <w:top w:val="nil"/>
              <w:left w:val="nil"/>
              <w:bottom w:val="single" w:sz="4" w:space="0" w:color="000000"/>
              <w:right w:val="single" w:sz="4" w:space="0" w:color="000000"/>
            </w:tcBorders>
            <w:shd w:val="clear" w:color="FEF2CB" w:fill="FEF2CB"/>
            <w:noWrap/>
            <w:vAlign w:val="bottom"/>
            <w:hideMark/>
          </w:tcPr>
          <w:p w14:paraId="79638F1D"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37,500 </w:t>
            </w:r>
          </w:p>
        </w:tc>
        <w:tc>
          <w:tcPr>
            <w:tcW w:w="980" w:type="dxa"/>
            <w:tcBorders>
              <w:top w:val="nil"/>
              <w:left w:val="nil"/>
              <w:bottom w:val="single" w:sz="4" w:space="0" w:color="000000"/>
              <w:right w:val="nil"/>
            </w:tcBorders>
            <w:shd w:val="clear" w:color="FEF2CB" w:fill="FEF2CB"/>
            <w:noWrap/>
            <w:vAlign w:val="bottom"/>
            <w:hideMark/>
          </w:tcPr>
          <w:p w14:paraId="7B7643A4"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165,000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030DF161"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46F82145" w14:textId="77777777" w:rsidTr="007A7FA3">
        <w:trPr>
          <w:trHeight w:val="330"/>
        </w:trPr>
        <w:tc>
          <w:tcPr>
            <w:tcW w:w="7736" w:type="dxa"/>
            <w:gridSpan w:val="8"/>
            <w:tcBorders>
              <w:top w:val="single" w:sz="4" w:space="0" w:color="000000"/>
              <w:left w:val="single" w:sz="8" w:space="0" w:color="auto"/>
              <w:bottom w:val="single" w:sz="4" w:space="0" w:color="000000"/>
              <w:right w:val="single" w:sz="4" w:space="0" w:color="000000"/>
            </w:tcBorders>
            <w:shd w:val="clear" w:color="BDD6EE" w:fill="BDD6EE"/>
            <w:vAlign w:val="center"/>
            <w:hideMark/>
          </w:tcPr>
          <w:p w14:paraId="7D86D227" w14:textId="77777777" w:rsidR="007A7FA3" w:rsidRPr="007A7FA3" w:rsidRDefault="007A7FA3" w:rsidP="007A7FA3">
            <w:pPr>
              <w:rPr>
                <w:rFonts w:ascii="Calibri" w:hAnsi="Calibri" w:cs="Calibri"/>
                <w:b/>
                <w:bCs/>
                <w:i/>
                <w:iCs/>
                <w:color w:val="000000"/>
                <w:sz w:val="13"/>
                <w:szCs w:val="13"/>
              </w:rPr>
            </w:pPr>
            <w:r w:rsidRPr="007A7FA3">
              <w:rPr>
                <w:rFonts w:ascii="Calibri" w:hAnsi="Calibri" w:cs="Calibri"/>
                <w:b/>
                <w:bCs/>
                <w:i/>
                <w:iCs/>
                <w:color w:val="000000"/>
                <w:sz w:val="13"/>
                <w:szCs w:val="13"/>
              </w:rPr>
              <w:t>Total Component 5</w:t>
            </w:r>
          </w:p>
        </w:tc>
        <w:tc>
          <w:tcPr>
            <w:tcW w:w="694" w:type="dxa"/>
            <w:tcBorders>
              <w:top w:val="nil"/>
              <w:left w:val="nil"/>
              <w:bottom w:val="single" w:sz="8" w:space="0" w:color="000000"/>
              <w:right w:val="single" w:sz="4" w:space="0" w:color="000000"/>
            </w:tcBorders>
            <w:shd w:val="clear" w:color="BDD6EE" w:fill="BDD6EE"/>
            <w:noWrap/>
            <w:vAlign w:val="bottom"/>
            <w:hideMark/>
          </w:tcPr>
          <w:p w14:paraId="3839243F"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92,000 </w:t>
            </w:r>
          </w:p>
        </w:tc>
        <w:tc>
          <w:tcPr>
            <w:tcW w:w="805" w:type="dxa"/>
            <w:tcBorders>
              <w:top w:val="nil"/>
              <w:left w:val="nil"/>
              <w:bottom w:val="single" w:sz="8" w:space="0" w:color="000000"/>
              <w:right w:val="single" w:sz="4" w:space="0" w:color="000000"/>
            </w:tcBorders>
            <w:shd w:val="clear" w:color="BDD6EE" w:fill="BDD6EE"/>
            <w:noWrap/>
            <w:vAlign w:val="bottom"/>
            <w:hideMark/>
          </w:tcPr>
          <w:p w14:paraId="033044F4"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128,600 </w:t>
            </w:r>
          </w:p>
        </w:tc>
        <w:tc>
          <w:tcPr>
            <w:tcW w:w="826" w:type="dxa"/>
            <w:tcBorders>
              <w:top w:val="nil"/>
              <w:left w:val="nil"/>
              <w:bottom w:val="single" w:sz="8" w:space="0" w:color="000000"/>
              <w:right w:val="single" w:sz="4" w:space="0" w:color="000000"/>
            </w:tcBorders>
            <w:shd w:val="clear" w:color="BDD6EE" w:fill="BDD6EE"/>
            <w:noWrap/>
            <w:vAlign w:val="bottom"/>
            <w:hideMark/>
          </w:tcPr>
          <w:p w14:paraId="6DD203BA"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123,700 </w:t>
            </w:r>
          </w:p>
        </w:tc>
        <w:tc>
          <w:tcPr>
            <w:tcW w:w="864" w:type="dxa"/>
            <w:tcBorders>
              <w:top w:val="nil"/>
              <w:left w:val="nil"/>
              <w:bottom w:val="single" w:sz="8" w:space="0" w:color="000000"/>
              <w:right w:val="single" w:sz="4" w:space="0" w:color="000000"/>
            </w:tcBorders>
            <w:shd w:val="clear" w:color="BDD6EE" w:fill="BDD6EE"/>
            <w:noWrap/>
            <w:vAlign w:val="bottom"/>
            <w:hideMark/>
          </w:tcPr>
          <w:p w14:paraId="2CE5F487"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128,500 </w:t>
            </w:r>
          </w:p>
        </w:tc>
        <w:tc>
          <w:tcPr>
            <w:tcW w:w="834" w:type="dxa"/>
            <w:tcBorders>
              <w:top w:val="nil"/>
              <w:left w:val="nil"/>
              <w:bottom w:val="single" w:sz="8" w:space="0" w:color="000000"/>
              <w:right w:val="single" w:sz="4" w:space="0" w:color="000000"/>
            </w:tcBorders>
            <w:shd w:val="clear" w:color="BDD6EE" w:fill="BDD6EE"/>
            <w:noWrap/>
            <w:vAlign w:val="bottom"/>
            <w:hideMark/>
          </w:tcPr>
          <w:p w14:paraId="0CE2B67D"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102,300 </w:t>
            </w:r>
          </w:p>
        </w:tc>
        <w:tc>
          <w:tcPr>
            <w:tcW w:w="827" w:type="dxa"/>
            <w:tcBorders>
              <w:top w:val="nil"/>
              <w:left w:val="nil"/>
              <w:bottom w:val="single" w:sz="8" w:space="0" w:color="000000"/>
              <w:right w:val="single" w:sz="4" w:space="0" w:color="000000"/>
            </w:tcBorders>
            <w:shd w:val="clear" w:color="BDD6EE" w:fill="BDD6EE"/>
            <w:noWrap/>
            <w:vAlign w:val="bottom"/>
            <w:hideMark/>
          </w:tcPr>
          <w:p w14:paraId="707F8BE9"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90,722 </w:t>
            </w:r>
          </w:p>
        </w:tc>
        <w:tc>
          <w:tcPr>
            <w:tcW w:w="980" w:type="dxa"/>
            <w:tcBorders>
              <w:top w:val="nil"/>
              <w:left w:val="nil"/>
              <w:bottom w:val="single" w:sz="8" w:space="0" w:color="000000"/>
              <w:right w:val="nil"/>
            </w:tcBorders>
            <w:shd w:val="clear" w:color="BDD6EE" w:fill="BDD6EE"/>
            <w:noWrap/>
            <w:vAlign w:val="bottom"/>
            <w:hideMark/>
          </w:tcPr>
          <w:p w14:paraId="682753D1"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665,822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47C7619A"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7B4FB4D1" w14:textId="77777777" w:rsidTr="007A7FA3">
        <w:trPr>
          <w:trHeight w:val="240"/>
        </w:trPr>
        <w:tc>
          <w:tcPr>
            <w:tcW w:w="1086" w:type="dxa"/>
            <w:vMerge w:val="restart"/>
            <w:tcBorders>
              <w:top w:val="nil"/>
              <w:left w:val="single" w:sz="8" w:space="0" w:color="auto"/>
              <w:bottom w:val="single" w:sz="4" w:space="0" w:color="000000"/>
              <w:right w:val="single" w:sz="4" w:space="0" w:color="000000"/>
            </w:tcBorders>
            <w:shd w:val="clear" w:color="auto" w:fill="auto"/>
            <w:vAlign w:val="center"/>
            <w:hideMark/>
          </w:tcPr>
          <w:p w14:paraId="3821231E"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Monitoring and Evaluation (M&amp;E)</w:t>
            </w:r>
          </w:p>
        </w:tc>
        <w:tc>
          <w:tcPr>
            <w:tcW w:w="871" w:type="dxa"/>
            <w:vMerge w:val="restart"/>
            <w:tcBorders>
              <w:top w:val="nil"/>
              <w:left w:val="single" w:sz="4" w:space="0" w:color="000000"/>
              <w:bottom w:val="nil"/>
              <w:right w:val="single" w:sz="4" w:space="0" w:color="000000"/>
            </w:tcBorders>
            <w:shd w:val="clear" w:color="auto" w:fill="auto"/>
            <w:vAlign w:val="center"/>
            <w:hideMark/>
          </w:tcPr>
          <w:p w14:paraId="6A4D0193"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M&amp;E Strategy guiding project implementation and mangement to attain the set objectives</w:t>
            </w:r>
          </w:p>
        </w:tc>
        <w:tc>
          <w:tcPr>
            <w:tcW w:w="2016" w:type="dxa"/>
            <w:vMerge w:val="restart"/>
            <w:tcBorders>
              <w:top w:val="nil"/>
              <w:left w:val="single" w:sz="4" w:space="0" w:color="000000"/>
              <w:bottom w:val="nil"/>
              <w:right w:val="single" w:sz="4" w:space="0" w:color="000000"/>
            </w:tcBorders>
            <w:shd w:val="clear" w:color="auto" w:fill="auto"/>
            <w:vAlign w:val="center"/>
            <w:hideMark/>
          </w:tcPr>
          <w:p w14:paraId="27424FC7"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Output M&amp;E:  Monitoring and evaluation developed and implemented to ensure adaptive project management</w:t>
            </w:r>
          </w:p>
        </w:tc>
        <w:tc>
          <w:tcPr>
            <w:tcW w:w="631" w:type="dxa"/>
            <w:vMerge w:val="restart"/>
            <w:tcBorders>
              <w:top w:val="nil"/>
              <w:left w:val="single" w:sz="4" w:space="0" w:color="auto"/>
              <w:bottom w:val="single" w:sz="4" w:space="0" w:color="auto"/>
              <w:right w:val="single" w:sz="4" w:space="0" w:color="auto"/>
            </w:tcBorders>
            <w:shd w:val="clear" w:color="auto" w:fill="auto"/>
            <w:vAlign w:val="center"/>
            <w:hideMark/>
          </w:tcPr>
          <w:p w14:paraId="35FB43EF"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UNDP</w:t>
            </w:r>
          </w:p>
        </w:tc>
        <w:tc>
          <w:tcPr>
            <w:tcW w:w="504" w:type="dxa"/>
            <w:tcBorders>
              <w:top w:val="nil"/>
              <w:left w:val="nil"/>
              <w:bottom w:val="single" w:sz="4" w:space="0" w:color="000000"/>
              <w:right w:val="single" w:sz="4" w:space="0" w:color="000000"/>
            </w:tcBorders>
            <w:shd w:val="clear" w:color="auto" w:fill="auto"/>
            <w:vAlign w:val="center"/>
            <w:hideMark/>
          </w:tcPr>
          <w:p w14:paraId="0369FBF9"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val="restart"/>
            <w:tcBorders>
              <w:top w:val="nil"/>
              <w:left w:val="single" w:sz="4" w:space="0" w:color="000000"/>
              <w:bottom w:val="nil"/>
              <w:right w:val="nil"/>
            </w:tcBorders>
            <w:shd w:val="clear" w:color="auto" w:fill="auto"/>
            <w:vAlign w:val="center"/>
            <w:hideMark/>
          </w:tcPr>
          <w:p w14:paraId="13F43243"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w:t>
            </w: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1A38EDAA"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71200</w:t>
            </w:r>
          </w:p>
        </w:tc>
        <w:tc>
          <w:tcPr>
            <w:tcW w:w="1580" w:type="dxa"/>
            <w:tcBorders>
              <w:top w:val="nil"/>
              <w:left w:val="nil"/>
              <w:bottom w:val="single" w:sz="4" w:space="0" w:color="000000"/>
              <w:right w:val="single" w:sz="4" w:space="0" w:color="000000"/>
            </w:tcBorders>
            <w:shd w:val="clear" w:color="auto" w:fill="auto"/>
            <w:vAlign w:val="bottom"/>
            <w:hideMark/>
          </w:tcPr>
          <w:p w14:paraId="15024483"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International Consultants</w:t>
            </w:r>
          </w:p>
        </w:tc>
        <w:tc>
          <w:tcPr>
            <w:tcW w:w="694" w:type="dxa"/>
            <w:tcBorders>
              <w:top w:val="nil"/>
              <w:left w:val="nil"/>
              <w:bottom w:val="single" w:sz="4" w:space="0" w:color="000000"/>
              <w:right w:val="single" w:sz="4" w:space="0" w:color="000000"/>
            </w:tcBorders>
            <w:shd w:val="clear" w:color="auto" w:fill="auto"/>
            <w:noWrap/>
            <w:vAlign w:val="bottom"/>
            <w:hideMark/>
          </w:tcPr>
          <w:p w14:paraId="130B207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05" w:type="dxa"/>
            <w:tcBorders>
              <w:top w:val="nil"/>
              <w:left w:val="nil"/>
              <w:bottom w:val="single" w:sz="4" w:space="0" w:color="000000"/>
              <w:right w:val="single" w:sz="4" w:space="0" w:color="000000"/>
            </w:tcBorders>
            <w:shd w:val="clear" w:color="auto" w:fill="auto"/>
            <w:noWrap/>
            <w:vAlign w:val="bottom"/>
            <w:hideMark/>
          </w:tcPr>
          <w:p w14:paraId="2CE87A8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6" w:type="dxa"/>
            <w:tcBorders>
              <w:top w:val="nil"/>
              <w:left w:val="nil"/>
              <w:bottom w:val="single" w:sz="4" w:space="0" w:color="000000"/>
              <w:right w:val="single" w:sz="4" w:space="0" w:color="000000"/>
            </w:tcBorders>
            <w:shd w:val="clear" w:color="auto" w:fill="auto"/>
            <w:noWrap/>
            <w:vAlign w:val="bottom"/>
            <w:hideMark/>
          </w:tcPr>
          <w:p w14:paraId="6DB0461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64" w:type="dxa"/>
            <w:tcBorders>
              <w:top w:val="nil"/>
              <w:left w:val="nil"/>
              <w:bottom w:val="single" w:sz="4" w:space="0" w:color="000000"/>
              <w:right w:val="single" w:sz="4" w:space="0" w:color="000000"/>
            </w:tcBorders>
            <w:shd w:val="clear" w:color="auto" w:fill="auto"/>
            <w:noWrap/>
            <w:vAlign w:val="bottom"/>
            <w:hideMark/>
          </w:tcPr>
          <w:p w14:paraId="1E7E703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40,000 </w:t>
            </w:r>
          </w:p>
        </w:tc>
        <w:tc>
          <w:tcPr>
            <w:tcW w:w="834" w:type="dxa"/>
            <w:tcBorders>
              <w:top w:val="nil"/>
              <w:left w:val="nil"/>
              <w:bottom w:val="single" w:sz="4" w:space="0" w:color="000000"/>
              <w:right w:val="single" w:sz="4" w:space="0" w:color="000000"/>
            </w:tcBorders>
            <w:shd w:val="clear" w:color="auto" w:fill="auto"/>
            <w:noWrap/>
            <w:vAlign w:val="bottom"/>
            <w:hideMark/>
          </w:tcPr>
          <w:p w14:paraId="73A307B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w:t>
            </w:r>
          </w:p>
        </w:tc>
        <w:tc>
          <w:tcPr>
            <w:tcW w:w="827" w:type="dxa"/>
            <w:tcBorders>
              <w:top w:val="nil"/>
              <w:left w:val="nil"/>
              <w:bottom w:val="single" w:sz="4" w:space="0" w:color="000000"/>
              <w:right w:val="single" w:sz="4" w:space="0" w:color="000000"/>
            </w:tcBorders>
            <w:shd w:val="clear" w:color="auto" w:fill="auto"/>
            <w:noWrap/>
            <w:vAlign w:val="bottom"/>
            <w:hideMark/>
          </w:tcPr>
          <w:p w14:paraId="506B608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40,000 </w:t>
            </w:r>
          </w:p>
        </w:tc>
        <w:tc>
          <w:tcPr>
            <w:tcW w:w="980" w:type="dxa"/>
            <w:tcBorders>
              <w:top w:val="nil"/>
              <w:left w:val="nil"/>
              <w:bottom w:val="single" w:sz="4" w:space="0" w:color="000000"/>
              <w:right w:val="nil"/>
            </w:tcBorders>
            <w:shd w:val="clear" w:color="auto" w:fill="auto"/>
            <w:noWrap/>
            <w:vAlign w:val="bottom"/>
            <w:hideMark/>
          </w:tcPr>
          <w:p w14:paraId="4263EB3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80,000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0E44AA8E"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140 </w:t>
            </w:r>
          </w:p>
        </w:tc>
      </w:tr>
      <w:tr w:rsidR="007A7FA3" w:rsidRPr="007A7FA3" w14:paraId="4F53E161" w14:textId="77777777" w:rsidTr="007A7FA3">
        <w:trPr>
          <w:trHeight w:val="240"/>
        </w:trPr>
        <w:tc>
          <w:tcPr>
            <w:tcW w:w="1086" w:type="dxa"/>
            <w:vMerge/>
            <w:tcBorders>
              <w:top w:val="nil"/>
              <w:left w:val="single" w:sz="8" w:space="0" w:color="auto"/>
              <w:bottom w:val="single" w:sz="4" w:space="0" w:color="000000"/>
              <w:right w:val="single" w:sz="4" w:space="0" w:color="000000"/>
            </w:tcBorders>
            <w:vAlign w:val="center"/>
            <w:hideMark/>
          </w:tcPr>
          <w:p w14:paraId="3BD8AEB6"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nil"/>
              <w:right w:val="single" w:sz="4" w:space="0" w:color="000000"/>
            </w:tcBorders>
            <w:vAlign w:val="center"/>
            <w:hideMark/>
          </w:tcPr>
          <w:p w14:paraId="02B34E78"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nil"/>
              <w:right w:val="single" w:sz="4" w:space="0" w:color="000000"/>
            </w:tcBorders>
            <w:vAlign w:val="center"/>
            <w:hideMark/>
          </w:tcPr>
          <w:p w14:paraId="33D5F69C"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single" w:sz="4" w:space="0" w:color="auto"/>
              <w:bottom w:val="single" w:sz="4" w:space="0" w:color="auto"/>
              <w:right w:val="single" w:sz="4" w:space="0" w:color="auto"/>
            </w:tcBorders>
            <w:vAlign w:val="center"/>
            <w:hideMark/>
          </w:tcPr>
          <w:p w14:paraId="32628E2D" w14:textId="77777777" w:rsidR="007A7FA3" w:rsidRPr="007A7FA3" w:rsidRDefault="007A7FA3" w:rsidP="007A7FA3">
            <w:pPr>
              <w:rPr>
                <w:rFonts w:ascii="Calibri" w:hAnsi="Calibri" w:cs="Calibri"/>
                <w:i/>
                <w:iCs/>
                <w:color w:val="000000"/>
                <w:sz w:val="13"/>
                <w:szCs w:val="13"/>
              </w:rPr>
            </w:pPr>
          </w:p>
        </w:tc>
        <w:tc>
          <w:tcPr>
            <w:tcW w:w="504" w:type="dxa"/>
            <w:tcBorders>
              <w:top w:val="nil"/>
              <w:left w:val="nil"/>
              <w:bottom w:val="single" w:sz="4" w:space="0" w:color="000000"/>
              <w:right w:val="single" w:sz="4" w:space="0" w:color="000000"/>
            </w:tcBorders>
            <w:shd w:val="clear" w:color="auto" w:fill="auto"/>
            <w:vAlign w:val="center"/>
            <w:hideMark/>
          </w:tcPr>
          <w:p w14:paraId="09F5141E"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1A11661E"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28874E9D"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71300</w:t>
            </w:r>
          </w:p>
        </w:tc>
        <w:tc>
          <w:tcPr>
            <w:tcW w:w="1580" w:type="dxa"/>
            <w:tcBorders>
              <w:top w:val="nil"/>
              <w:left w:val="nil"/>
              <w:bottom w:val="single" w:sz="4" w:space="0" w:color="000000"/>
              <w:right w:val="single" w:sz="4" w:space="0" w:color="000000"/>
            </w:tcBorders>
            <w:shd w:val="clear" w:color="auto" w:fill="auto"/>
            <w:vAlign w:val="bottom"/>
            <w:hideMark/>
          </w:tcPr>
          <w:p w14:paraId="69DF9BF9"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Local Consultants</w:t>
            </w:r>
          </w:p>
        </w:tc>
        <w:tc>
          <w:tcPr>
            <w:tcW w:w="694" w:type="dxa"/>
            <w:tcBorders>
              <w:top w:val="nil"/>
              <w:left w:val="nil"/>
              <w:bottom w:val="single" w:sz="4" w:space="0" w:color="000000"/>
              <w:right w:val="single" w:sz="4" w:space="0" w:color="000000"/>
            </w:tcBorders>
            <w:shd w:val="clear" w:color="auto" w:fill="auto"/>
            <w:noWrap/>
            <w:vAlign w:val="bottom"/>
            <w:hideMark/>
          </w:tcPr>
          <w:p w14:paraId="426F8F7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7,000 </w:t>
            </w:r>
          </w:p>
        </w:tc>
        <w:tc>
          <w:tcPr>
            <w:tcW w:w="805" w:type="dxa"/>
            <w:tcBorders>
              <w:top w:val="nil"/>
              <w:left w:val="nil"/>
              <w:bottom w:val="single" w:sz="4" w:space="0" w:color="000000"/>
              <w:right w:val="single" w:sz="4" w:space="0" w:color="000000"/>
            </w:tcBorders>
            <w:shd w:val="clear" w:color="auto" w:fill="auto"/>
            <w:noWrap/>
            <w:vAlign w:val="bottom"/>
            <w:hideMark/>
          </w:tcPr>
          <w:p w14:paraId="4CE0040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7,000 </w:t>
            </w:r>
          </w:p>
        </w:tc>
        <w:tc>
          <w:tcPr>
            <w:tcW w:w="826" w:type="dxa"/>
            <w:tcBorders>
              <w:top w:val="nil"/>
              <w:left w:val="nil"/>
              <w:bottom w:val="single" w:sz="4" w:space="0" w:color="000000"/>
              <w:right w:val="single" w:sz="4" w:space="0" w:color="000000"/>
            </w:tcBorders>
            <w:shd w:val="clear" w:color="auto" w:fill="auto"/>
            <w:noWrap/>
            <w:vAlign w:val="bottom"/>
            <w:hideMark/>
          </w:tcPr>
          <w:p w14:paraId="4906552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9,000 </w:t>
            </w:r>
          </w:p>
        </w:tc>
        <w:tc>
          <w:tcPr>
            <w:tcW w:w="864" w:type="dxa"/>
            <w:tcBorders>
              <w:top w:val="nil"/>
              <w:left w:val="nil"/>
              <w:bottom w:val="single" w:sz="4" w:space="0" w:color="000000"/>
              <w:right w:val="single" w:sz="4" w:space="0" w:color="000000"/>
            </w:tcBorders>
            <w:shd w:val="clear" w:color="auto" w:fill="auto"/>
            <w:noWrap/>
            <w:vAlign w:val="bottom"/>
            <w:hideMark/>
          </w:tcPr>
          <w:p w14:paraId="12FEB61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9,000 </w:t>
            </w:r>
          </w:p>
        </w:tc>
        <w:tc>
          <w:tcPr>
            <w:tcW w:w="834" w:type="dxa"/>
            <w:tcBorders>
              <w:top w:val="nil"/>
              <w:left w:val="nil"/>
              <w:bottom w:val="single" w:sz="4" w:space="0" w:color="000000"/>
              <w:right w:val="single" w:sz="4" w:space="0" w:color="000000"/>
            </w:tcBorders>
            <w:shd w:val="clear" w:color="auto" w:fill="auto"/>
            <w:noWrap/>
            <w:vAlign w:val="bottom"/>
            <w:hideMark/>
          </w:tcPr>
          <w:p w14:paraId="509CEEF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9,000 </w:t>
            </w:r>
          </w:p>
        </w:tc>
        <w:tc>
          <w:tcPr>
            <w:tcW w:w="827" w:type="dxa"/>
            <w:tcBorders>
              <w:top w:val="nil"/>
              <w:left w:val="nil"/>
              <w:bottom w:val="single" w:sz="4" w:space="0" w:color="000000"/>
              <w:right w:val="single" w:sz="4" w:space="0" w:color="000000"/>
            </w:tcBorders>
            <w:shd w:val="clear" w:color="auto" w:fill="auto"/>
            <w:noWrap/>
            <w:vAlign w:val="bottom"/>
            <w:hideMark/>
          </w:tcPr>
          <w:p w14:paraId="2F886CA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9,000 </w:t>
            </w:r>
          </w:p>
        </w:tc>
        <w:tc>
          <w:tcPr>
            <w:tcW w:w="980" w:type="dxa"/>
            <w:tcBorders>
              <w:top w:val="single" w:sz="8" w:space="0" w:color="000000"/>
              <w:left w:val="nil"/>
              <w:bottom w:val="single" w:sz="4" w:space="0" w:color="000000"/>
              <w:right w:val="nil"/>
            </w:tcBorders>
            <w:shd w:val="clear" w:color="auto" w:fill="auto"/>
            <w:noWrap/>
            <w:vAlign w:val="bottom"/>
            <w:hideMark/>
          </w:tcPr>
          <w:p w14:paraId="1FBDCE6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4FA385E1"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141 </w:t>
            </w:r>
          </w:p>
        </w:tc>
      </w:tr>
      <w:tr w:rsidR="007A7FA3" w:rsidRPr="007A7FA3" w14:paraId="7EA6806C" w14:textId="77777777" w:rsidTr="007A7FA3">
        <w:trPr>
          <w:trHeight w:val="315"/>
        </w:trPr>
        <w:tc>
          <w:tcPr>
            <w:tcW w:w="1086" w:type="dxa"/>
            <w:vMerge/>
            <w:tcBorders>
              <w:top w:val="nil"/>
              <w:left w:val="single" w:sz="8" w:space="0" w:color="auto"/>
              <w:bottom w:val="single" w:sz="4" w:space="0" w:color="000000"/>
              <w:right w:val="single" w:sz="4" w:space="0" w:color="000000"/>
            </w:tcBorders>
            <w:vAlign w:val="center"/>
            <w:hideMark/>
          </w:tcPr>
          <w:p w14:paraId="5FFA1B81"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nil"/>
              <w:right w:val="single" w:sz="4" w:space="0" w:color="000000"/>
            </w:tcBorders>
            <w:vAlign w:val="center"/>
            <w:hideMark/>
          </w:tcPr>
          <w:p w14:paraId="18FE18D4"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nil"/>
              <w:right w:val="single" w:sz="4" w:space="0" w:color="000000"/>
            </w:tcBorders>
            <w:vAlign w:val="center"/>
            <w:hideMark/>
          </w:tcPr>
          <w:p w14:paraId="670B453F" w14:textId="77777777" w:rsidR="007A7FA3" w:rsidRPr="007A7FA3" w:rsidRDefault="007A7FA3" w:rsidP="007A7FA3">
            <w:pPr>
              <w:rPr>
                <w:rFonts w:ascii="Calibri" w:hAnsi="Calibri" w:cs="Calibri"/>
                <w:i/>
                <w:iCs/>
                <w:color w:val="000000"/>
                <w:sz w:val="13"/>
                <w:szCs w:val="13"/>
              </w:rPr>
            </w:pPr>
          </w:p>
        </w:tc>
        <w:tc>
          <w:tcPr>
            <w:tcW w:w="631"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366C5F9F"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BCC</w:t>
            </w:r>
          </w:p>
        </w:tc>
        <w:tc>
          <w:tcPr>
            <w:tcW w:w="504" w:type="dxa"/>
            <w:tcBorders>
              <w:top w:val="nil"/>
              <w:left w:val="nil"/>
              <w:bottom w:val="single" w:sz="4" w:space="0" w:color="000000"/>
              <w:right w:val="single" w:sz="4" w:space="0" w:color="000000"/>
            </w:tcBorders>
            <w:shd w:val="clear" w:color="auto" w:fill="auto"/>
            <w:vAlign w:val="center"/>
            <w:hideMark/>
          </w:tcPr>
          <w:p w14:paraId="769D3984"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08B4663B"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0BC2A0DB"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71600</w:t>
            </w:r>
          </w:p>
        </w:tc>
        <w:tc>
          <w:tcPr>
            <w:tcW w:w="1580" w:type="dxa"/>
            <w:tcBorders>
              <w:top w:val="nil"/>
              <w:left w:val="nil"/>
              <w:bottom w:val="single" w:sz="4" w:space="0" w:color="000000"/>
              <w:right w:val="single" w:sz="4" w:space="0" w:color="000000"/>
            </w:tcBorders>
            <w:shd w:val="clear" w:color="auto" w:fill="auto"/>
            <w:vAlign w:val="bottom"/>
            <w:hideMark/>
          </w:tcPr>
          <w:p w14:paraId="44A1A69C"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Travel</w:t>
            </w:r>
          </w:p>
        </w:tc>
        <w:tc>
          <w:tcPr>
            <w:tcW w:w="694" w:type="dxa"/>
            <w:tcBorders>
              <w:top w:val="nil"/>
              <w:left w:val="nil"/>
              <w:bottom w:val="single" w:sz="4" w:space="0" w:color="000000"/>
              <w:right w:val="single" w:sz="4" w:space="0" w:color="000000"/>
            </w:tcBorders>
            <w:shd w:val="clear" w:color="auto" w:fill="auto"/>
            <w:noWrap/>
            <w:vAlign w:val="bottom"/>
            <w:hideMark/>
          </w:tcPr>
          <w:p w14:paraId="0881793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6,000 </w:t>
            </w:r>
          </w:p>
        </w:tc>
        <w:tc>
          <w:tcPr>
            <w:tcW w:w="805" w:type="dxa"/>
            <w:tcBorders>
              <w:top w:val="nil"/>
              <w:left w:val="nil"/>
              <w:bottom w:val="single" w:sz="4" w:space="0" w:color="000000"/>
              <w:right w:val="single" w:sz="4" w:space="0" w:color="000000"/>
            </w:tcBorders>
            <w:shd w:val="clear" w:color="auto" w:fill="auto"/>
            <w:noWrap/>
            <w:vAlign w:val="bottom"/>
            <w:hideMark/>
          </w:tcPr>
          <w:p w14:paraId="6A1475A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6,000 </w:t>
            </w:r>
          </w:p>
        </w:tc>
        <w:tc>
          <w:tcPr>
            <w:tcW w:w="826" w:type="dxa"/>
            <w:tcBorders>
              <w:top w:val="nil"/>
              <w:left w:val="nil"/>
              <w:bottom w:val="single" w:sz="4" w:space="0" w:color="000000"/>
              <w:right w:val="single" w:sz="4" w:space="0" w:color="000000"/>
            </w:tcBorders>
            <w:shd w:val="clear" w:color="auto" w:fill="auto"/>
            <w:noWrap/>
            <w:vAlign w:val="bottom"/>
            <w:hideMark/>
          </w:tcPr>
          <w:p w14:paraId="2DF2110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6,000 </w:t>
            </w:r>
          </w:p>
        </w:tc>
        <w:tc>
          <w:tcPr>
            <w:tcW w:w="864" w:type="dxa"/>
            <w:tcBorders>
              <w:top w:val="nil"/>
              <w:left w:val="nil"/>
              <w:bottom w:val="single" w:sz="4" w:space="0" w:color="000000"/>
              <w:right w:val="single" w:sz="4" w:space="0" w:color="000000"/>
            </w:tcBorders>
            <w:shd w:val="clear" w:color="auto" w:fill="auto"/>
            <w:noWrap/>
            <w:vAlign w:val="bottom"/>
            <w:hideMark/>
          </w:tcPr>
          <w:p w14:paraId="3A8454C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14,500 </w:t>
            </w:r>
          </w:p>
        </w:tc>
        <w:tc>
          <w:tcPr>
            <w:tcW w:w="834" w:type="dxa"/>
            <w:tcBorders>
              <w:top w:val="nil"/>
              <w:left w:val="nil"/>
              <w:bottom w:val="single" w:sz="4" w:space="0" w:color="000000"/>
              <w:right w:val="single" w:sz="4" w:space="0" w:color="000000"/>
            </w:tcBorders>
            <w:shd w:val="clear" w:color="auto" w:fill="auto"/>
            <w:noWrap/>
            <w:vAlign w:val="bottom"/>
            <w:hideMark/>
          </w:tcPr>
          <w:p w14:paraId="01B5D76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6,000 </w:t>
            </w:r>
          </w:p>
        </w:tc>
        <w:tc>
          <w:tcPr>
            <w:tcW w:w="827" w:type="dxa"/>
            <w:tcBorders>
              <w:top w:val="nil"/>
              <w:left w:val="nil"/>
              <w:bottom w:val="single" w:sz="4" w:space="0" w:color="000000"/>
              <w:right w:val="single" w:sz="4" w:space="0" w:color="000000"/>
            </w:tcBorders>
            <w:shd w:val="clear" w:color="auto" w:fill="auto"/>
            <w:noWrap/>
            <w:vAlign w:val="bottom"/>
            <w:hideMark/>
          </w:tcPr>
          <w:p w14:paraId="3814395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14,198 </w:t>
            </w:r>
          </w:p>
        </w:tc>
        <w:tc>
          <w:tcPr>
            <w:tcW w:w="980" w:type="dxa"/>
            <w:tcBorders>
              <w:top w:val="single" w:sz="8" w:space="0" w:color="000000"/>
              <w:left w:val="nil"/>
              <w:bottom w:val="single" w:sz="4" w:space="0" w:color="000000"/>
              <w:right w:val="nil"/>
            </w:tcBorders>
            <w:shd w:val="clear" w:color="auto" w:fill="auto"/>
            <w:noWrap/>
            <w:vAlign w:val="bottom"/>
            <w:hideMark/>
          </w:tcPr>
          <w:p w14:paraId="7AE9AD87"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52,698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71B317D7"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142 </w:t>
            </w:r>
          </w:p>
        </w:tc>
      </w:tr>
      <w:tr w:rsidR="007A7FA3" w:rsidRPr="007A7FA3" w14:paraId="6FBDC007" w14:textId="77777777" w:rsidTr="007A7FA3">
        <w:trPr>
          <w:trHeight w:val="270"/>
        </w:trPr>
        <w:tc>
          <w:tcPr>
            <w:tcW w:w="1086" w:type="dxa"/>
            <w:vMerge/>
            <w:tcBorders>
              <w:top w:val="nil"/>
              <w:left w:val="single" w:sz="8" w:space="0" w:color="auto"/>
              <w:bottom w:val="single" w:sz="4" w:space="0" w:color="000000"/>
              <w:right w:val="single" w:sz="4" w:space="0" w:color="000000"/>
            </w:tcBorders>
            <w:vAlign w:val="center"/>
            <w:hideMark/>
          </w:tcPr>
          <w:p w14:paraId="5499B009"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nil"/>
              <w:right w:val="single" w:sz="4" w:space="0" w:color="000000"/>
            </w:tcBorders>
            <w:vAlign w:val="center"/>
            <w:hideMark/>
          </w:tcPr>
          <w:p w14:paraId="27032C67"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nil"/>
              <w:right w:val="single" w:sz="4" w:space="0" w:color="000000"/>
            </w:tcBorders>
            <w:vAlign w:val="center"/>
            <w:hideMark/>
          </w:tcPr>
          <w:p w14:paraId="3FCB2ACF"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single" w:sz="4" w:space="0" w:color="000000"/>
              <w:bottom w:val="single" w:sz="4" w:space="0" w:color="000000"/>
              <w:right w:val="single" w:sz="4" w:space="0" w:color="000000"/>
            </w:tcBorders>
            <w:vAlign w:val="center"/>
            <w:hideMark/>
          </w:tcPr>
          <w:p w14:paraId="7036144C" w14:textId="77777777" w:rsidR="007A7FA3" w:rsidRPr="007A7FA3" w:rsidRDefault="007A7FA3" w:rsidP="007A7FA3">
            <w:pPr>
              <w:rPr>
                <w:rFonts w:ascii="Calibri" w:hAnsi="Calibri" w:cs="Calibri"/>
                <w:i/>
                <w:iCs/>
                <w:color w:val="000000"/>
                <w:sz w:val="13"/>
                <w:szCs w:val="13"/>
              </w:rPr>
            </w:pPr>
          </w:p>
        </w:tc>
        <w:tc>
          <w:tcPr>
            <w:tcW w:w="504" w:type="dxa"/>
            <w:tcBorders>
              <w:top w:val="nil"/>
              <w:left w:val="nil"/>
              <w:bottom w:val="single" w:sz="4" w:space="0" w:color="000000"/>
              <w:right w:val="single" w:sz="4" w:space="0" w:color="000000"/>
            </w:tcBorders>
            <w:shd w:val="clear" w:color="auto" w:fill="auto"/>
            <w:vAlign w:val="center"/>
            <w:hideMark/>
          </w:tcPr>
          <w:p w14:paraId="65B5A44A"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046C8E51"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539C6E53"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72100</w:t>
            </w:r>
          </w:p>
        </w:tc>
        <w:tc>
          <w:tcPr>
            <w:tcW w:w="1580" w:type="dxa"/>
            <w:tcBorders>
              <w:top w:val="nil"/>
              <w:left w:val="nil"/>
              <w:bottom w:val="single" w:sz="4" w:space="0" w:color="000000"/>
              <w:right w:val="single" w:sz="4" w:space="0" w:color="000000"/>
            </w:tcBorders>
            <w:shd w:val="clear" w:color="auto" w:fill="auto"/>
            <w:vAlign w:val="bottom"/>
            <w:hideMark/>
          </w:tcPr>
          <w:p w14:paraId="33414922"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Contractual Services - Companies</w:t>
            </w:r>
          </w:p>
        </w:tc>
        <w:tc>
          <w:tcPr>
            <w:tcW w:w="694" w:type="dxa"/>
            <w:tcBorders>
              <w:top w:val="nil"/>
              <w:left w:val="nil"/>
              <w:bottom w:val="single" w:sz="4" w:space="0" w:color="000000"/>
              <w:right w:val="single" w:sz="4" w:space="0" w:color="000000"/>
            </w:tcBorders>
            <w:shd w:val="clear" w:color="auto" w:fill="auto"/>
            <w:noWrap/>
            <w:vAlign w:val="bottom"/>
            <w:hideMark/>
          </w:tcPr>
          <w:p w14:paraId="6A9F752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 </w:t>
            </w:r>
          </w:p>
        </w:tc>
        <w:tc>
          <w:tcPr>
            <w:tcW w:w="805" w:type="dxa"/>
            <w:tcBorders>
              <w:top w:val="nil"/>
              <w:left w:val="nil"/>
              <w:bottom w:val="single" w:sz="4" w:space="0" w:color="000000"/>
              <w:right w:val="single" w:sz="4" w:space="0" w:color="000000"/>
            </w:tcBorders>
            <w:shd w:val="clear" w:color="auto" w:fill="auto"/>
            <w:noWrap/>
            <w:vAlign w:val="bottom"/>
            <w:hideMark/>
          </w:tcPr>
          <w:p w14:paraId="025EC7F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 </w:t>
            </w:r>
          </w:p>
        </w:tc>
        <w:tc>
          <w:tcPr>
            <w:tcW w:w="826" w:type="dxa"/>
            <w:tcBorders>
              <w:top w:val="nil"/>
              <w:left w:val="nil"/>
              <w:bottom w:val="single" w:sz="4" w:space="0" w:color="000000"/>
              <w:right w:val="single" w:sz="4" w:space="0" w:color="000000"/>
            </w:tcBorders>
            <w:shd w:val="clear" w:color="auto" w:fill="auto"/>
            <w:noWrap/>
            <w:vAlign w:val="bottom"/>
            <w:hideMark/>
          </w:tcPr>
          <w:p w14:paraId="092A244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 </w:t>
            </w:r>
          </w:p>
        </w:tc>
        <w:tc>
          <w:tcPr>
            <w:tcW w:w="864" w:type="dxa"/>
            <w:tcBorders>
              <w:top w:val="nil"/>
              <w:left w:val="nil"/>
              <w:bottom w:val="single" w:sz="4" w:space="0" w:color="000000"/>
              <w:right w:val="single" w:sz="4" w:space="0" w:color="000000"/>
            </w:tcBorders>
            <w:shd w:val="clear" w:color="auto" w:fill="auto"/>
            <w:noWrap/>
            <w:vAlign w:val="bottom"/>
            <w:hideMark/>
          </w:tcPr>
          <w:p w14:paraId="30BF621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3,500 </w:t>
            </w:r>
          </w:p>
        </w:tc>
        <w:tc>
          <w:tcPr>
            <w:tcW w:w="834" w:type="dxa"/>
            <w:tcBorders>
              <w:top w:val="nil"/>
              <w:left w:val="nil"/>
              <w:bottom w:val="single" w:sz="4" w:space="0" w:color="000000"/>
              <w:right w:val="single" w:sz="4" w:space="0" w:color="000000"/>
            </w:tcBorders>
            <w:shd w:val="clear" w:color="auto" w:fill="auto"/>
            <w:noWrap/>
            <w:vAlign w:val="bottom"/>
            <w:hideMark/>
          </w:tcPr>
          <w:p w14:paraId="3922B4B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2,000 </w:t>
            </w:r>
          </w:p>
        </w:tc>
        <w:tc>
          <w:tcPr>
            <w:tcW w:w="827" w:type="dxa"/>
            <w:tcBorders>
              <w:top w:val="nil"/>
              <w:left w:val="nil"/>
              <w:bottom w:val="single" w:sz="4" w:space="0" w:color="000000"/>
              <w:right w:val="single" w:sz="4" w:space="0" w:color="000000"/>
            </w:tcBorders>
            <w:shd w:val="clear" w:color="auto" w:fill="auto"/>
            <w:noWrap/>
            <w:vAlign w:val="bottom"/>
            <w:hideMark/>
          </w:tcPr>
          <w:p w14:paraId="037C573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3,500 </w:t>
            </w:r>
          </w:p>
        </w:tc>
        <w:tc>
          <w:tcPr>
            <w:tcW w:w="980" w:type="dxa"/>
            <w:tcBorders>
              <w:top w:val="single" w:sz="8" w:space="0" w:color="000000"/>
              <w:left w:val="nil"/>
              <w:bottom w:val="single" w:sz="4" w:space="0" w:color="000000"/>
              <w:right w:val="nil"/>
            </w:tcBorders>
            <w:shd w:val="clear" w:color="auto" w:fill="auto"/>
            <w:noWrap/>
            <w:vAlign w:val="bottom"/>
            <w:hideMark/>
          </w:tcPr>
          <w:p w14:paraId="542AC31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078AB7E7"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143 </w:t>
            </w:r>
          </w:p>
        </w:tc>
      </w:tr>
      <w:tr w:rsidR="007A7FA3" w:rsidRPr="007A7FA3" w14:paraId="424B2451" w14:textId="77777777" w:rsidTr="007A7FA3">
        <w:trPr>
          <w:trHeight w:val="240"/>
        </w:trPr>
        <w:tc>
          <w:tcPr>
            <w:tcW w:w="1086" w:type="dxa"/>
            <w:vMerge/>
            <w:tcBorders>
              <w:top w:val="nil"/>
              <w:left w:val="single" w:sz="8" w:space="0" w:color="auto"/>
              <w:bottom w:val="single" w:sz="4" w:space="0" w:color="000000"/>
              <w:right w:val="single" w:sz="4" w:space="0" w:color="000000"/>
            </w:tcBorders>
            <w:vAlign w:val="center"/>
            <w:hideMark/>
          </w:tcPr>
          <w:p w14:paraId="5D7CC5B3"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nil"/>
              <w:right w:val="single" w:sz="4" w:space="0" w:color="000000"/>
            </w:tcBorders>
            <w:vAlign w:val="center"/>
            <w:hideMark/>
          </w:tcPr>
          <w:p w14:paraId="16B9594B"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nil"/>
              <w:right w:val="single" w:sz="4" w:space="0" w:color="000000"/>
            </w:tcBorders>
            <w:vAlign w:val="center"/>
            <w:hideMark/>
          </w:tcPr>
          <w:p w14:paraId="5FA34FFC"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single" w:sz="4" w:space="0" w:color="000000"/>
              <w:bottom w:val="single" w:sz="4" w:space="0" w:color="000000"/>
              <w:right w:val="single" w:sz="4" w:space="0" w:color="000000"/>
            </w:tcBorders>
            <w:vAlign w:val="center"/>
            <w:hideMark/>
          </w:tcPr>
          <w:p w14:paraId="17406A2A" w14:textId="77777777" w:rsidR="007A7FA3" w:rsidRPr="007A7FA3" w:rsidRDefault="007A7FA3" w:rsidP="007A7FA3">
            <w:pPr>
              <w:rPr>
                <w:rFonts w:ascii="Calibri" w:hAnsi="Calibri" w:cs="Calibri"/>
                <w:i/>
                <w:iCs/>
                <w:color w:val="000000"/>
                <w:sz w:val="13"/>
                <w:szCs w:val="13"/>
              </w:rPr>
            </w:pPr>
          </w:p>
        </w:tc>
        <w:tc>
          <w:tcPr>
            <w:tcW w:w="504" w:type="dxa"/>
            <w:tcBorders>
              <w:top w:val="nil"/>
              <w:left w:val="nil"/>
              <w:bottom w:val="single" w:sz="4" w:space="0" w:color="000000"/>
              <w:right w:val="single" w:sz="4" w:space="0" w:color="000000"/>
            </w:tcBorders>
            <w:shd w:val="clear" w:color="auto" w:fill="auto"/>
            <w:vAlign w:val="center"/>
            <w:hideMark/>
          </w:tcPr>
          <w:p w14:paraId="1D358B27"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nil"/>
              <w:right w:val="nil"/>
            </w:tcBorders>
            <w:vAlign w:val="center"/>
            <w:hideMark/>
          </w:tcPr>
          <w:p w14:paraId="2A280BFE" w14:textId="77777777" w:rsidR="007A7FA3" w:rsidRPr="007A7FA3" w:rsidRDefault="007A7FA3" w:rsidP="007A7FA3">
            <w:pPr>
              <w:rPr>
                <w:rFonts w:ascii="Calibri" w:hAnsi="Calibri" w:cs="Calibri"/>
                <w:i/>
                <w:iCs/>
                <w:color w:val="000000"/>
                <w:sz w:val="13"/>
                <w:szCs w:val="13"/>
              </w:rPr>
            </w:pPr>
          </w:p>
        </w:tc>
        <w:tc>
          <w:tcPr>
            <w:tcW w:w="544" w:type="dxa"/>
            <w:tcBorders>
              <w:top w:val="nil"/>
              <w:left w:val="single" w:sz="4" w:space="0" w:color="000000"/>
              <w:bottom w:val="single" w:sz="4" w:space="0" w:color="000000"/>
              <w:right w:val="single" w:sz="4" w:space="0" w:color="000000"/>
            </w:tcBorders>
            <w:shd w:val="clear" w:color="auto" w:fill="auto"/>
            <w:vAlign w:val="center"/>
            <w:hideMark/>
          </w:tcPr>
          <w:p w14:paraId="5D60EB49"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74200</w:t>
            </w:r>
          </w:p>
        </w:tc>
        <w:tc>
          <w:tcPr>
            <w:tcW w:w="1580" w:type="dxa"/>
            <w:tcBorders>
              <w:top w:val="nil"/>
              <w:left w:val="nil"/>
              <w:bottom w:val="single" w:sz="4" w:space="0" w:color="000000"/>
              <w:right w:val="single" w:sz="4" w:space="0" w:color="000000"/>
            </w:tcBorders>
            <w:shd w:val="clear" w:color="auto" w:fill="auto"/>
            <w:vAlign w:val="bottom"/>
            <w:hideMark/>
          </w:tcPr>
          <w:p w14:paraId="6A2F2B74"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Audio Visual&amp;Print Prod Cost</w:t>
            </w:r>
          </w:p>
        </w:tc>
        <w:tc>
          <w:tcPr>
            <w:tcW w:w="694" w:type="dxa"/>
            <w:tcBorders>
              <w:top w:val="nil"/>
              <w:left w:val="nil"/>
              <w:bottom w:val="single" w:sz="4" w:space="0" w:color="000000"/>
              <w:right w:val="single" w:sz="4" w:space="0" w:color="000000"/>
            </w:tcBorders>
            <w:shd w:val="clear" w:color="auto" w:fill="auto"/>
            <w:noWrap/>
            <w:vAlign w:val="bottom"/>
            <w:hideMark/>
          </w:tcPr>
          <w:p w14:paraId="2EA2FC7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 </w:t>
            </w:r>
          </w:p>
        </w:tc>
        <w:tc>
          <w:tcPr>
            <w:tcW w:w="805" w:type="dxa"/>
            <w:tcBorders>
              <w:top w:val="nil"/>
              <w:left w:val="nil"/>
              <w:bottom w:val="single" w:sz="4" w:space="0" w:color="000000"/>
              <w:right w:val="single" w:sz="4" w:space="0" w:color="000000"/>
            </w:tcBorders>
            <w:shd w:val="clear" w:color="auto" w:fill="auto"/>
            <w:noWrap/>
            <w:vAlign w:val="bottom"/>
            <w:hideMark/>
          </w:tcPr>
          <w:p w14:paraId="3DBC870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 </w:t>
            </w:r>
          </w:p>
        </w:tc>
        <w:tc>
          <w:tcPr>
            <w:tcW w:w="826" w:type="dxa"/>
            <w:tcBorders>
              <w:top w:val="nil"/>
              <w:left w:val="nil"/>
              <w:bottom w:val="single" w:sz="4" w:space="0" w:color="000000"/>
              <w:right w:val="single" w:sz="4" w:space="0" w:color="000000"/>
            </w:tcBorders>
            <w:shd w:val="clear" w:color="auto" w:fill="auto"/>
            <w:noWrap/>
            <w:vAlign w:val="bottom"/>
            <w:hideMark/>
          </w:tcPr>
          <w:p w14:paraId="0495B01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 </w:t>
            </w:r>
          </w:p>
        </w:tc>
        <w:tc>
          <w:tcPr>
            <w:tcW w:w="864" w:type="dxa"/>
            <w:tcBorders>
              <w:top w:val="nil"/>
              <w:left w:val="nil"/>
              <w:bottom w:val="single" w:sz="4" w:space="0" w:color="000000"/>
              <w:right w:val="single" w:sz="4" w:space="0" w:color="000000"/>
            </w:tcBorders>
            <w:shd w:val="clear" w:color="auto" w:fill="auto"/>
            <w:noWrap/>
            <w:vAlign w:val="bottom"/>
            <w:hideMark/>
          </w:tcPr>
          <w:p w14:paraId="7D90A523"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3,000 </w:t>
            </w:r>
          </w:p>
        </w:tc>
        <w:tc>
          <w:tcPr>
            <w:tcW w:w="834" w:type="dxa"/>
            <w:tcBorders>
              <w:top w:val="nil"/>
              <w:left w:val="nil"/>
              <w:bottom w:val="single" w:sz="4" w:space="0" w:color="000000"/>
              <w:right w:val="single" w:sz="4" w:space="0" w:color="000000"/>
            </w:tcBorders>
            <w:shd w:val="clear" w:color="auto" w:fill="auto"/>
            <w:noWrap/>
            <w:vAlign w:val="bottom"/>
            <w:hideMark/>
          </w:tcPr>
          <w:p w14:paraId="311C208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 </w:t>
            </w:r>
          </w:p>
        </w:tc>
        <w:tc>
          <w:tcPr>
            <w:tcW w:w="827" w:type="dxa"/>
            <w:tcBorders>
              <w:top w:val="nil"/>
              <w:left w:val="nil"/>
              <w:bottom w:val="single" w:sz="4" w:space="0" w:color="000000"/>
              <w:right w:val="single" w:sz="4" w:space="0" w:color="000000"/>
            </w:tcBorders>
            <w:shd w:val="clear" w:color="auto" w:fill="auto"/>
            <w:noWrap/>
            <w:vAlign w:val="bottom"/>
            <w:hideMark/>
          </w:tcPr>
          <w:p w14:paraId="1F19D6B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3,000 </w:t>
            </w:r>
          </w:p>
        </w:tc>
        <w:tc>
          <w:tcPr>
            <w:tcW w:w="980" w:type="dxa"/>
            <w:tcBorders>
              <w:top w:val="single" w:sz="8" w:space="0" w:color="000000"/>
              <w:left w:val="nil"/>
              <w:bottom w:val="single" w:sz="4" w:space="0" w:color="000000"/>
              <w:right w:val="nil"/>
            </w:tcBorders>
            <w:shd w:val="clear" w:color="auto" w:fill="auto"/>
            <w:noWrap/>
            <w:vAlign w:val="bottom"/>
            <w:hideMark/>
          </w:tcPr>
          <w:p w14:paraId="3D4E9F8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12,000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0C4B5D68"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144 </w:t>
            </w:r>
          </w:p>
        </w:tc>
      </w:tr>
      <w:tr w:rsidR="007A7FA3" w:rsidRPr="007A7FA3" w14:paraId="6E96D3E5" w14:textId="77777777" w:rsidTr="007A7FA3">
        <w:trPr>
          <w:trHeight w:val="290"/>
        </w:trPr>
        <w:tc>
          <w:tcPr>
            <w:tcW w:w="1086" w:type="dxa"/>
            <w:vMerge/>
            <w:tcBorders>
              <w:top w:val="nil"/>
              <w:left w:val="single" w:sz="8" w:space="0" w:color="auto"/>
              <w:bottom w:val="single" w:sz="4" w:space="0" w:color="000000"/>
              <w:right w:val="single" w:sz="4" w:space="0" w:color="000000"/>
            </w:tcBorders>
            <w:vAlign w:val="center"/>
            <w:hideMark/>
          </w:tcPr>
          <w:p w14:paraId="57BD007B"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nil"/>
              <w:right w:val="single" w:sz="4" w:space="0" w:color="000000"/>
            </w:tcBorders>
            <w:vAlign w:val="center"/>
            <w:hideMark/>
          </w:tcPr>
          <w:p w14:paraId="08C84C59"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nil"/>
              <w:right w:val="single" w:sz="4" w:space="0" w:color="000000"/>
            </w:tcBorders>
            <w:vAlign w:val="center"/>
            <w:hideMark/>
          </w:tcPr>
          <w:p w14:paraId="0725A7C2" w14:textId="77777777" w:rsidR="007A7FA3" w:rsidRPr="007A7FA3" w:rsidRDefault="007A7FA3" w:rsidP="007A7FA3">
            <w:pPr>
              <w:rPr>
                <w:rFonts w:ascii="Calibri" w:hAnsi="Calibri" w:cs="Calibri"/>
                <w:i/>
                <w:iCs/>
                <w:color w:val="000000"/>
                <w:sz w:val="13"/>
                <w:szCs w:val="13"/>
              </w:rPr>
            </w:pPr>
          </w:p>
        </w:tc>
        <w:tc>
          <w:tcPr>
            <w:tcW w:w="3763" w:type="dxa"/>
            <w:gridSpan w:val="5"/>
            <w:tcBorders>
              <w:top w:val="single" w:sz="4" w:space="0" w:color="000000"/>
              <w:left w:val="nil"/>
              <w:bottom w:val="single" w:sz="4" w:space="0" w:color="000000"/>
              <w:right w:val="single" w:sz="4" w:space="0" w:color="000000"/>
            </w:tcBorders>
            <w:shd w:val="clear" w:color="auto" w:fill="auto"/>
            <w:vAlign w:val="center"/>
            <w:hideMark/>
          </w:tcPr>
          <w:p w14:paraId="4AA18482"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Total BCC</w:t>
            </w:r>
          </w:p>
        </w:tc>
        <w:tc>
          <w:tcPr>
            <w:tcW w:w="694" w:type="dxa"/>
            <w:tcBorders>
              <w:top w:val="nil"/>
              <w:left w:val="nil"/>
              <w:bottom w:val="single" w:sz="4" w:space="0" w:color="000000"/>
              <w:right w:val="single" w:sz="4" w:space="0" w:color="000000"/>
            </w:tcBorders>
            <w:shd w:val="clear" w:color="auto" w:fill="auto"/>
            <w:noWrap/>
            <w:vAlign w:val="bottom"/>
            <w:hideMark/>
          </w:tcPr>
          <w:p w14:paraId="3165508F"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16,500 </w:t>
            </w:r>
          </w:p>
        </w:tc>
        <w:tc>
          <w:tcPr>
            <w:tcW w:w="805" w:type="dxa"/>
            <w:tcBorders>
              <w:top w:val="nil"/>
              <w:left w:val="nil"/>
              <w:bottom w:val="single" w:sz="4" w:space="0" w:color="000000"/>
              <w:right w:val="single" w:sz="4" w:space="0" w:color="000000"/>
            </w:tcBorders>
            <w:shd w:val="clear" w:color="auto" w:fill="auto"/>
            <w:noWrap/>
            <w:vAlign w:val="bottom"/>
            <w:hideMark/>
          </w:tcPr>
          <w:p w14:paraId="16D055EB"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16,500 </w:t>
            </w:r>
          </w:p>
        </w:tc>
        <w:tc>
          <w:tcPr>
            <w:tcW w:w="826" w:type="dxa"/>
            <w:tcBorders>
              <w:top w:val="nil"/>
              <w:left w:val="nil"/>
              <w:bottom w:val="single" w:sz="4" w:space="0" w:color="000000"/>
              <w:right w:val="single" w:sz="4" w:space="0" w:color="000000"/>
            </w:tcBorders>
            <w:shd w:val="clear" w:color="auto" w:fill="auto"/>
            <w:noWrap/>
            <w:vAlign w:val="bottom"/>
            <w:hideMark/>
          </w:tcPr>
          <w:p w14:paraId="517CD549"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18,500 </w:t>
            </w:r>
          </w:p>
        </w:tc>
        <w:tc>
          <w:tcPr>
            <w:tcW w:w="864" w:type="dxa"/>
            <w:tcBorders>
              <w:top w:val="nil"/>
              <w:left w:val="nil"/>
              <w:bottom w:val="single" w:sz="4" w:space="0" w:color="000000"/>
              <w:right w:val="single" w:sz="4" w:space="0" w:color="000000"/>
            </w:tcBorders>
            <w:shd w:val="clear" w:color="auto" w:fill="auto"/>
            <w:noWrap/>
            <w:vAlign w:val="bottom"/>
            <w:hideMark/>
          </w:tcPr>
          <w:p w14:paraId="3D0F4536"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70,000 </w:t>
            </w:r>
          </w:p>
        </w:tc>
        <w:tc>
          <w:tcPr>
            <w:tcW w:w="834" w:type="dxa"/>
            <w:tcBorders>
              <w:top w:val="nil"/>
              <w:left w:val="nil"/>
              <w:bottom w:val="single" w:sz="4" w:space="0" w:color="000000"/>
              <w:right w:val="single" w:sz="4" w:space="0" w:color="000000"/>
            </w:tcBorders>
            <w:shd w:val="clear" w:color="auto" w:fill="auto"/>
            <w:noWrap/>
            <w:vAlign w:val="bottom"/>
            <w:hideMark/>
          </w:tcPr>
          <w:p w14:paraId="0DDEED7B"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18,500 </w:t>
            </w:r>
          </w:p>
        </w:tc>
        <w:tc>
          <w:tcPr>
            <w:tcW w:w="827" w:type="dxa"/>
            <w:tcBorders>
              <w:top w:val="nil"/>
              <w:left w:val="nil"/>
              <w:bottom w:val="single" w:sz="4" w:space="0" w:color="000000"/>
              <w:right w:val="single" w:sz="4" w:space="0" w:color="000000"/>
            </w:tcBorders>
            <w:shd w:val="clear" w:color="auto" w:fill="auto"/>
            <w:noWrap/>
            <w:vAlign w:val="bottom"/>
            <w:hideMark/>
          </w:tcPr>
          <w:p w14:paraId="3C493863"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69,698 </w:t>
            </w:r>
          </w:p>
        </w:tc>
        <w:tc>
          <w:tcPr>
            <w:tcW w:w="980" w:type="dxa"/>
            <w:tcBorders>
              <w:top w:val="single" w:sz="8" w:space="0" w:color="000000"/>
              <w:left w:val="nil"/>
              <w:bottom w:val="single" w:sz="4" w:space="0" w:color="000000"/>
              <w:right w:val="nil"/>
            </w:tcBorders>
            <w:shd w:val="clear" w:color="auto" w:fill="auto"/>
            <w:noWrap/>
            <w:vAlign w:val="bottom"/>
            <w:hideMark/>
          </w:tcPr>
          <w:p w14:paraId="60050A5A"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209,698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3C6AF71C"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30D6D504" w14:textId="77777777" w:rsidTr="007A7FA3">
        <w:trPr>
          <w:trHeight w:val="390"/>
        </w:trPr>
        <w:tc>
          <w:tcPr>
            <w:tcW w:w="7736" w:type="dxa"/>
            <w:gridSpan w:val="8"/>
            <w:tcBorders>
              <w:top w:val="single" w:sz="4" w:space="0" w:color="000000"/>
              <w:left w:val="single" w:sz="8" w:space="0" w:color="auto"/>
              <w:bottom w:val="single" w:sz="8" w:space="0" w:color="000000"/>
              <w:right w:val="single" w:sz="4" w:space="0" w:color="000000"/>
            </w:tcBorders>
            <w:shd w:val="clear" w:color="BDD6EE" w:fill="BDD6EE"/>
            <w:vAlign w:val="center"/>
            <w:hideMark/>
          </w:tcPr>
          <w:p w14:paraId="2B4BF985"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Total M&amp;E</w:t>
            </w:r>
          </w:p>
        </w:tc>
        <w:tc>
          <w:tcPr>
            <w:tcW w:w="694" w:type="dxa"/>
            <w:tcBorders>
              <w:top w:val="nil"/>
              <w:left w:val="nil"/>
              <w:bottom w:val="single" w:sz="8" w:space="0" w:color="000000"/>
              <w:right w:val="single" w:sz="4" w:space="0" w:color="000000"/>
            </w:tcBorders>
            <w:shd w:val="clear" w:color="BDD6EE" w:fill="BDD6EE"/>
            <w:noWrap/>
            <w:vAlign w:val="bottom"/>
            <w:hideMark/>
          </w:tcPr>
          <w:p w14:paraId="1CB02A93"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16,500 </w:t>
            </w:r>
          </w:p>
        </w:tc>
        <w:tc>
          <w:tcPr>
            <w:tcW w:w="805" w:type="dxa"/>
            <w:tcBorders>
              <w:top w:val="nil"/>
              <w:left w:val="nil"/>
              <w:bottom w:val="single" w:sz="8" w:space="0" w:color="000000"/>
              <w:right w:val="single" w:sz="4" w:space="0" w:color="000000"/>
            </w:tcBorders>
            <w:shd w:val="clear" w:color="BDD6EE" w:fill="BDD6EE"/>
            <w:noWrap/>
            <w:vAlign w:val="bottom"/>
            <w:hideMark/>
          </w:tcPr>
          <w:p w14:paraId="2D5E1947"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16,500 </w:t>
            </w:r>
          </w:p>
        </w:tc>
        <w:tc>
          <w:tcPr>
            <w:tcW w:w="826" w:type="dxa"/>
            <w:tcBorders>
              <w:top w:val="nil"/>
              <w:left w:val="nil"/>
              <w:bottom w:val="single" w:sz="8" w:space="0" w:color="000000"/>
              <w:right w:val="single" w:sz="4" w:space="0" w:color="000000"/>
            </w:tcBorders>
            <w:shd w:val="clear" w:color="BDD6EE" w:fill="BDD6EE"/>
            <w:noWrap/>
            <w:vAlign w:val="bottom"/>
            <w:hideMark/>
          </w:tcPr>
          <w:p w14:paraId="0DFC8466"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18,500 </w:t>
            </w:r>
          </w:p>
        </w:tc>
        <w:tc>
          <w:tcPr>
            <w:tcW w:w="864" w:type="dxa"/>
            <w:tcBorders>
              <w:top w:val="nil"/>
              <w:left w:val="nil"/>
              <w:bottom w:val="single" w:sz="8" w:space="0" w:color="000000"/>
              <w:right w:val="single" w:sz="4" w:space="0" w:color="000000"/>
            </w:tcBorders>
            <w:shd w:val="clear" w:color="BDD6EE" w:fill="BDD6EE"/>
            <w:noWrap/>
            <w:vAlign w:val="bottom"/>
            <w:hideMark/>
          </w:tcPr>
          <w:p w14:paraId="2B6FFB19"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70,000 </w:t>
            </w:r>
          </w:p>
        </w:tc>
        <w:tc>
          <w:tcPr>
            <w:tcW w:w="834" w:type="dxa"/>
            <w:tcBorders>
              <w:top w:val="nil"/>
              <w:left w:val="nil"/>
              <w:bottom w:val="single" w:sz="8" w:space="0" w:color="000000"/>
              <w:right w:val="single" w:sz="4" w:space="0" w:color="000000"/>
            </w:tcBorders>
            <w:shd w:val="clear" w:color="BDD6EE" w:fill="BDD6EE"/>
            <w:noWrap/>
            <w:vAlign w:val="bottom"/>
            <w:hideMark/>
          </w:tcPr>
          <w:p w14:paraId="0200B0D9"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18,500 </w:t>
            </w:r>
          </w:p>
        </w:tc>
        <w:tc>
          <w:tcPr>
            <w:tcW w:w="827" w:type="dxa"/>
            <w:tcBorders>
              <w:top w:val="nil"/>
              <w:left w:val="nil"/>
              <w:bottom w:val="single" w:sz="8" w:space="0" w:color="000000"/>
              <w:right w:val="single" w:sz="4" w:space="0" w:color="000000"/>
            </w:tcBorders>
            <w:shd w:val="clear" w:color="BDD6EE" w:fill="BDD6EE"/>
            <w:noWrap/>
            <w:vAlign w:val="bottom"/>
            <w:hideMark/>
          </w:tcPr>
          <w:p w14:paraId="6F8D223C"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69,698 </w:t>
            </w:r>
          </w:p>
        </w:tc>
        <w:tc>
          <w:tcPr>
            <w:tcW w:w="980" w:type="dxa"/>
            <w:tcBorders>
              <w:top w:val="nil"/>
              <w:left w:val="nil"/>
              <w:bottom w:val="single" w:sz="8" w:space="0" w:color="000000"/>
              <w:right w:val="nil"/>
            </w:tcBorders>
            <w:shd w:val="clear" w:color="BDD6EE" w:fill="BDD6EE"/>
            <w:noWrap/>
            <w:vAlign w:val="bottom"/>
            <w:hideMark/>
          </w:tcPr>
          <w:p w14:paraId="14675ADA"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209,698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5C151BC2"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76132AAD" w14:textId="77777777" w:rsidTr="007A7FA3">
        <w:trPr>
          <w:trHeight w:val="240"/>
        </w:trPr>
        <w:tc>
          <w:tcPr>
            <w:tcW w:w="1086" w:type="dxa"/>
            <w:vMerge w:val="restart"/>
            <w:tcBorders>
              <w:top w:val="nil"/>
              <w:left w:val="single" w:sz="8" w:space="0" w:color="auto"/>
              <w:bottom w:val="single" w:sz="4" w:space="0" w:color="000000"/>
              <w:right w:val="single" w:sz="4" w:space="0" w:color="000000"/>
            </w:tcBorders>
            <w:shd w:val="clear" w:color="auto" w:fill="auto"/>
            <w:vAlign w:val="center"/>
            <w:hideMark/>
          </w:tcPr>
          <w:p w14:paraId="3CB6D7BD"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lastRenderedPageBreak/>
              <w:t>Project Management Cost (PMC)</w:t>
            </w:r>
          </w:p>
        </w:tc>
        <w:tc>
          <w:tcPr>
            <w:tcW w:w="871"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4D7F4CF8"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PMC</w:t>
            </w:r>
          </w:p>
        </w:tc>
        <w:tc>
          <w:tcPr>
            <w:tcW w:w="2016"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27B8A1BC"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PMC</w:t>
            </w:r>
          </w:p>
        </w:tc>
        <w:tc>
          <w:tcPr>
            <w:tcW w:w="631" w:type="dxa"/>
            <w:vMerge w:val="restart"/>
            <w:tcBorders>
              <w:top w:val="nil"/>
              <w:left w:val="single" w:sz="4" w:space="0" w:color="000000"/>
              <w:bottom w:val="single" w:sz="8" w:space="0" w:color="000000"/>
              <w:right w:val="single" w:sz="4" w:space="0" w:color="000000"/>
            </w:tcBorders>
            <w:shd w:val="clear" w:color="auto" w:fill="auto"/>
            <w:vAlign w:val="center"/>
            <w:hideMark/>
          </w:tcPr>
          <w:p w14:paraId="71216264"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BCC</w:t>
            </w:r>
          </w:p>
        </w:tc>
        <w:tc>
          <w:tcPr>
            <w:tcW w:w="504" w:type="dxa"/>
            <w:tcBorders>
              <w:top w:val="single" w:sz="4" w:space="0" w:color="000000"/>
              <w:left w:val="nil"/>
              <w:bottom w:val="single" w:sz="4" w:space="0" w:color="000000"/>
              <w:right w:val="single" w:sz="4" w:space="0" w:color="000000"/>
            </w:tcBorders>
            <w:shd w:val="clear" w:color="auto" w:fill="auto"/>
            <w:noWrap/>
            <w:vAlign w:val="center"/>
            <w:hideMark/>
          </w:tcPr>
          <w:p w14:paraId="28C87FE7"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2EDF9836"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w:t>
            </w:r>
          </w:p>
        </w:tc>
        <w:tc>
          <w:tcPr>
            <w:tcW w:w="544" w:type="dxa"/>
            <w:tcBorders>
              <w:top w:val="single" w:sz="4" w:space="0" w:color="000000"/>
              <w:left w:val="nil"/>
              <w:bottom w:val="single" w:sz="4" w:space="0" w:color="000000"/>
              <w:right w:val="single" w:sz="4" w:space="0" w:color="000000"/>
            </w:tcBorders>
            <w:shd w:val="clear" w:color="auto" w:fill="auto"/>
            <w:noWrap/>
            <w:vAlign w:val="center"/>
            <w:hideMark/>
          </w:tcPr>
          <w:p w14:paraId="52DF1A8B"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71200</w:t>
            </w:r>
          </w:p>
        </w:tc>
        <w:tc>
          <w:tcPr>
            <w:tcW w:w="1580" w:type="dxa"/>
            <w:tcBorders>
              <w:top w:val="single" w:sz="4" w:space="0" w:color="000000"/>
              <w:left w:val="nil"/>
              <w:bottom w:val="single" w:sz="4" w:space="0" w:color="000000"/>
              <w:right w:val="single" w:sz="4" w:space="0" w:color="000000"/>
            </w:tcBorders>
            <w:shd w:val="clear" w:color="auto" w:fill="auto"/>
            <w:vAlign w:val="bottom"/>
            <w:hideMark/>
          </w:tcPr>
          <w:p w14:paraId="540A38E9"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International Consultants</w:t>
            </w:r>
          </w:p>
        </w:tc>
        <w:tc>
          <w:tcPr>
            <w:tcW w:w="694" w:type="dxa"/>
            <w:tcBorders>
              <w:top w:val="nil"/>
              <w:left w:val="nil"/>
              <w:bottom w:val="single" w:sz="4" w:space="0" w:color="000000"/>
              <w:right w:val="single" w:sz="4" w:space="0" w:color="000000"/>
            </w:tcBorders>
            <w:shd w:val="clear" w:color="auto" w:fill="auto"/>
            <w:noWrap/>
            <w:vAlign w:val="bottom"/>
            <w:hideMark/>
          </w:tcPr>
          <w:p w14:paraId="27362A7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21,000 </w:t>
            </w:r>
          </w:p>
        </w:tc>
        <w:tc>
          <w:tcPr>
            <w:tcW w:w="805" w:type="dxa"/>
            <w:tcBorders>
              <w:top w:val="nil"/>
              <w:left w:val="nil"/>
              <w:bottom w:val="single" w:sz="4" w:space="0" w:color="000000"/>
              <w:right w:val="single" w:sz="4" w:space="0" w:color="000000"/>
            </w:tcBorders>
            <w:shd w:val="clear" w:color="auto" w:fill="auto"/>
            <w:noWrap/>
            <w:vAlign w:val="bottom"/>
            <w:hideMark/>
          </w:tcPr>
          <w:p w14:paraId="64091A8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21,000 </w:t>
            </w:r>
          </w:p>
        </w:tc>
        <w:tc>
          <w:tcPr>
            <w:tcW w:w="826" w:type="dxa"/>
            <w:tcBorders>
              <w:top w:val="nil"/>
              <w:left w:val="nil"/>
              <w:bottom w:val="single" w:sz="4" w:space="0" w:color="000000"/>
              <w:right w:val="single" w:sz="4" w:space="0" w:color="000000"/>
            </w:tcBorders>
            <w:shd w:val="clear" w:color="auto" w:fill="auto"/>
            <w:noWrap/>
            <w:vAlign w:val="bottom"/>
            <w:hideMark/>
          </w:tcPr>
          <w:p w14:paraId="4C4BCFC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21,000 </w:t>
            </w:r>
          </w:p>
        </w:tc>
        <w:tc>
          <w:tcPr>
            <w:tcW w:w="864" w:type="dxa"/>
            <w:tcBorders>
              <w:top w:val="nil"/>
              <w:left w:val="nil"/>
              <w:bottom w:val="single" w:sz="4" w:space="0" w:color="000000"/>
              <w:right w:val="single" w:sz="4" w:space="0" w:color="000000"/>
            </w:tcBorders>
            <w:shd w:val="clear" w:color="auto" w:fill="auto"/>
            <w:noWrap/>
            <w:vAlign w:val="bottom"/>
            <w:hideMark/>
          </w:tcPr>
          <w:p w14:paraId="136F3FF1"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21,000 </w:t>
            </w:r>
          </w:p>
        </w:tc>
        <w:tc>
          <w:tcPr>
            <w:tcW w:w="834" w:type="dxa"/>
            <w:tcBorders>
              <w:top w:val="nil"/>
              <w:left w:val="nil"/>
              <w:bottom w:val="single" w:sz="4" w:space="0" w:color="000000"/>
              <w:right w:val="single" w:sz="4" w:space="0" w:color="000000"/>
            </w:tcBorders>
            <w:shd w:val="clear" w:color="auto" w:fill="auto"/>
            <w:noWrap/>
            <w:vAlign w:val="bottom"/>
            <w:hideMark/>
          </w:tcPr>
          <w:p w14:paraId="2DF4C5F0"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22,000 </w:t>
            </w:r>
          </w:p>
        </w:tc>
        <w:tc>
          <w:tcPr>
            <w:tcW w:w="827" w:type="dxa"/>
            <w:tcBorders>
              <w:top w:val="nil"/>
              <w:left w:val="nil"/>
              <w:bottom w:val="single" w:sz="4" w:space="0" w:color="000000"/>
              <w:right w:val="single" w:sz="4" w:space="0" w:color="000000"/>
            </w:tcBorders>
            <w:shd w:val="clear" w:color="auto" w:fill="auto"/>
            <w:noWrap/>
            <w:vAlign w:val="bottom"/>
            <w:hideMark/>
          </w:tcPr>
          <w:p w14:paraId="225A434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22,000 </w:t>
            </w:r>
          </w:p>
        </w:tc>
        <w:tc>
          <w:tcPr>
            <w:tcW w:w="980" w:type="dxa"/>
            <w:tcBorders>
              <w:top w:val="nil"/>
              <w:left w:val="nil"/>
              <w:bottom w:val="single" w:sz="4" w:space="0" w:color="000000"/>
              <w:right w:val="nil"/>
            </w:tcBorders>
            <w:shd w:val="clear" w:color="auto" w:fill="auto"/>
            <w:noWrap/>
            <w:vAlign w:val="bottom"/>
            <w:hideMark/>
          </w:tcPr>
          <w:p w14:paraId="7BD4ED3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128,000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329E1833"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145 </w:t>
            </w:r>
          </w:p>
        </w:tc>
      </w:tr>
      <w:tr w:rsidR="007A7FA3" w:rsidRPr="007A7FA3" w14:paraId="0A89B8CB" w14:textId="77777777" w:rsidTr="007A7FA3">
        <w:trPr>
          <w:trHeight w:val="255"/>
        </w:trPr>
        <w:tc>
          <w:tcPr>
            <w:tcW w:w="1086" w:type="dxa"/>
            <w:vMerge/>
            <w:tcBorders>
              <w:top w:val="nil"/>
              <w:left w:val="single" w:sz="8" w:space="0" w:color="auto"/>
              <w:bottom w:val="single" w:sz="4" w:space="0" w:color="000000"/>
              <w:right w:val="single" w:sz="4" w:space="0" w:color="000000"/>
            </w:tcBorders>
            <w:vAlign w:val="center"/>
            <w:hideMark/>
          </w:tcPr>
          <w:p w14:paraId="585919FE"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6D471BE2"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5C059B8B"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single" w:sz="4" w:space="0" w:color="000000"/>
              <w:bottom w:val="single" w:sz="8" w:space="0" w:color="000000"/>
              <w:right w:val="single" w:sz="4" w:space="0" w:color="000000"/>
            </w:tcBorders>
            <w:vAlign w:val="center"/>
            <w:hideMark/>
          </w:tcPr>
          <w:p w14:paraId="5E2D19CE" w14:textId="77777777" w:rsidR="007A7FA3" w:rsidRPr="007A7FA3" w:rsidRDefault="007A7FA3" w:rsidP="007A7FA3">
            <w:pPr>
              <w:rPr>
                <w:rFonts w:ascii="Calibri" w:hAnsi="Calibri" w:cs="Calibri"/>
                <w:i/>
                <w:iCs/>
                <w:color w:val="000000"/>
                <w:sz w:val="13"/>
                <w:szCs w:val="13"/>
              </w:rPr>
            </w:pPr>
          </w:p>
        </w:tc>
        <w:tc>
          <w:tcPr>
            <w:tcW w:w="504" w:type="dxa"/>
            <w:tcBorders>
              <w:top w:val="nil"/>
              <w:left w:val="nil"/>
              <w:bottom w:val="single" w:sz="4" w:space="0" w:color="000000"/>
              <w:right w:val="single" w:sz="4" w:space="0" w:color="000000"/>
            </w:tcBorders>
            <w:shd w:val="clear" w:color="auto" w:fill="auto"/>
            <w:noWrap/>
            <w:vAlign w:val="center"/>
            <w:hideMark/>
          </w:tcPr>
          <w:p w14:paraId="0343ECC6"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single" w:sz="4" w:space="0" w:color="000000"/>
              <w:right w:val="single" w:sz="4" w:space="0" w:color="000000"/>
            </w:tcBorders>
            <w:vAlign w:val="center"/>
            <w:hideMark/>
          </w:tcPr>
          <w:p w14:paraId="5FDF21D9" w14:textId="77777777" w:rsidR="007A7FA3" w:rsidRPr="007A7FA3" w:rsidRDefault="007A7FA3" w:rsidP="007A7FA3">
            <w:pPr>
              <w:rPr>
                <w:rFonts w:ascii="Calibri" w:hAnsi="Calibri" w:cs="Calibri"/>
                <w:i/>
                <w:iCs/>
                <w:color w:val="000000"/>
                <w:sz w:val="13"/>
                <w:szCs w:val="13"/>
              </w:rPr>
            </w:pPr>
          </w:p>
        </w:tc>
        <w:tc>
          <w:tcPr>
            <w:tcW w:w="544" w:type="dxa"/>
            <w:tcBorders>
              <w:top w:val="nil"/>
              <w:left w:val="nil"/>
              <w:bottom w:val="single" w:sz="4" w:space="0" w:color="000000"/>
              <w:right w:val="single" w:sz="4" w:space="0" w:color="000000"/>
            </w:tcBorders>
            <w:shd w:val="clear" w:color="auto" w:fill="auto"/>
            <w:noWrap/>
            <w:vAlign w:val="center"/>
            <w:hideMark/>
          </w:tcPr>
          <w:p w14:paraId="0E226B56"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71800</w:t>
            </w:r>
          </w:p>
        </w:tc>
        <w:tc>
          <w:tcPr>
            <w:tcW w:w="1580" w:type="dxa"/>
            <w:tcBorders>
              <w:top w:val="nil"/>
              <w:left w:val="nil"/>
              <w:bottom w:val="single" w:sz="4" w:space="0" w:color="000000"/>
              <w:right w:val="single" w:sz="4" w:space="0" w:color="000000"/>
            </w:tcBorders>
            <w:shd w:val="clear" w:color="auto" w:fill="auto"/>
            <w:vAlign w:val="bottom"/>
            <w:hideMark/>
          </w:tcPr>
          <w:p w14:paraId="597C8321"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Contractual Services - Individuals</w:t>
            </w:r>
          </w:p>
        </w:tc>
        <w:tc>
          <w:tcPr>
            <w:tcW w:w="694" w:type="dxa"/>
            <w:tcBorders>
              <w:top w:val="nil"/>
              <w:left w:val="nil"/>
              <w:bottom w:val="single" w:sz="4" w:space="0" w:color="000000"/>
              <w:right w:val="single" w:sz="4" w:space="0" w:color="000000"/>
            </w:tcBorders>
            <w:shd w:val="clear" w:color="auto" w:fill="auto"/>
            <w:noWrap/>
            <w:vAlign w:val="bottom"/>
            <w:hideMark/>
          </w:tcPr>
          <w:p w14:paraId="18BF6E5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42,000 </w:t>
            </w:r>
          </w:p>
        </w:tc>
        <w:tc>
          <w:tcPr>
            <w:tcW w:w="805" w:type="dxa"/>
            <w:tcBorders>
              <w:top w:val="nil"/>
              <w:left w:val="nil"/>
              <w:bottom w:val="single" w:sz="4" w:space="0" w:color="000000"/>
              <w:right w:val="single" w:sz="4" w:space="0" w:color="000000"/>
            </w:tcBorders>
            <w:shd w:val="clear" w:color="auto" w:fill="auto"/>
            <w:noWrap/>
            <w:vAlign w:val="bottom"/>
            <w:hideMark/>
          </w:tcPr>
          <w:p w14:paraId="02F9DCC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42,000 </w:t>
            </w:r>
          </w:p>
        </w:tc>
        <w:tc>
          <w:tcPr>
            <w:tcW w:w="826" w:type="dxa"/>
            <w:tcBorders>
              <w:top w:val="nil"/>
              <w:left w:val="nil"/>
              <w:bottom w:val="single" w:sz="4" w:space="0" w:color="000000"/>
              <w:right w:val="single" w:sz="4" w:space="0" w:color="000000"/>
            </w:tcBorders>
            <w:shd w:val="clear" w:color="auto" w:fill="auto"/>
            <w:noWrap/>
            <w:vAlign w:val="bottom"/>
            <w:hideMark/>
          </w:tcPr>
          <w:p w14:paraId="46975C7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42,000 </w:t>
            </w:r>
          </w:p>
        </w:tc>
        <w:tc>
          <w:tcPr>
            <w:tcW w:w="864" w:type="dxa"/>
            <w:tcBorders>
              <w:top w:val="nil"/>
              <w:left w:val="nil"/>
              <w:bottom w:val="single" w:sz="4" w:space="0" w:color="000000"/>
              <w:right w:val="single" w:sz="4" w:space="0" w:color="000000"/>
            </w:tcBorders>
            <w:shd w:val="clear" w:color="auto" w:fill="auto"/>
            <w:noWrap/>
            <w:vAlign w:val="bottom"/>
            <w:hideMark/>
          </w:tcPr>
          <w:p w14:paraId="37C408F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42,000 </w:t>
            </w:r>
          </w:p>
        </w:tc>
        <w:tc>
          <w:tcPr>
            <w:tcW w:w="834" w:type="dxa"/>
            <w:tcBorders>
              <w:top w:val="nil"/>
              <w:left w:val="nil"/>
              <w:bottom w:val="single" w:sz="4" w:space="0" w:color="000000"/>
              <w:right w:val="single" w:sz="4" w:space="0" w:color="000000"/>
            </w:tcBorders>
            <w:shd w:val="clear" w:color="auto" w:fill="auto"/>
            <w:noWrap/>
            <w:vAlign w:val="bottom"/>
            <w:hideMark/>
          </w:tcPr>
          <w:p w14:paraId="7698EF9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42,000 </w:t>
            </w:r>
          </w:p>
        </w:tc>
        <w:tc>
          <w:tcPr>
            <w:tcW w:w="827" w:type="dxa"/>
            <w:tcBorders>
              <w:top w:val="nil"/>
              <w:left w:val="nil"/>
              <w:bottom w:val="single" w:sz="4" w:space="0" w:color="000000"/>
              <w:right w:val="single" w:sz="4" w:space="0" w:color="000000"/>
            </w:tcBorders>
            <w:shd w:val="clear" w:color="auto" w:fill="auto"/>
            <w:noWrap/>
            <w:vAlign w:val="bottom"/>
            <w:hideMark/>
          </w:tcPr>
          <w:p w14:paraId="642CDB2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42,000 </w:t>
            </w:r>
          </w:p>
        </w:tc>
        <w:tc>
          <w:tcPr>
            <w:tcW w:w="980" w:type="dxa"/>
            <w:tcBorders>
              <w:top w:val="single" w:sz="8" w:space="0" w:color="000000"/>
              <w:left w:val="nil"/>
              <w:bottom w:val="single" w:sz="4" w:space="0" w:color="000000"/>
              <w:right w:val="nil"/>
            </w:tcBorders>
            <w:shd w:val="clear" w:color="auto" w:fill="auto"/>
            <w:noWrap/>
            <w:vAlign w:val="bottom"/>
            <w:hideMark/>
          </w:tcPr>
          <w:p w14:paraId="27E0833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252,000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6B17C912"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146 </w:t>
            </w:r>
          </w:p>
        </w:tc>
      </w:tr>
      <w:tr w:rsidR="007A7FA3" w:rsidRPr="007A7FA3" w14:paraId="4099CF1B" w14:textId="77777777" w:rsidTr="007A7FA3">
        <w:trPr>
          <w:trHeight w:val="300"/>
        </w:trPr>
        <w:tc>
          <w:tcPr>
            <w:tcW w:w="1086" w:type="dxa"/>
            <w:vMerge/>
            <w:tcBorders>
              <w:top w:val="nil"/>
              <w:left w:val="single" w:sz="8" w:space="0" w:color="auto"/>
              <w:bottom w:val="single" w:sz="4" w:space="0" w:color="000000"/>
              <w:right w:val="single" w:sz="4" w:space="0" w:color="000000"/>
            </w:tcBorders>
            <w:vAlign w:val="center"/>
            <w:hideMark/>
          </w:tcPr>
          <w:p w14:paraId="608303F5"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1D3BC165"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18770F0B"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single" w:sz="4" w:space="0" w:color="000000"/>
              <w:bottom w:val="single" w:sz="8" w:space="0" w:color="000000"/>
              <w:right w:val="single" w:sz="4" w:space="0" w:color="000000"/>
            </w:tcBorders>
            <w:vAlign w:val="center"/>
            <w:hideMark/>
          </w:tcPr>
          <w:p w14:paraId="2A88DA2F" w14:textId="77777777" w:rsidR="007A7FA3" w:rsidRPr="007A7FA3" w:rsidRDefault="007A7FA3" w:rsidP="007A7FA3">
            <w:pPr>
              <w:rPr>
                <w:rFonts w:ascii="Calibri" w:hAnsi="Calibri" w:cs="Calibri"/>
                <w:i/>
                <w:iCs/>
                <w:color w:val="000000"/>
                <w:sz w:val="13"/>
                <w:szCs w:val="13"/>
              </w:rPr>
            </w:pPr>
          </w:p>
        </w:tc>
        <w:tc>
          <w:tcPr>
            <w:tcW w:w="504" w:type="dxa"/>
            <w:tcBorders>
              <w:top w:val="nil"/>
              <w:left w:val="nil"/>
              <w:bottom w:val="single" w:sz="4" w:space="0" w:color="000000"/>
              <w:right w:val="single" w:sz="4" w:space="0" w:color="000000"/>
            </w:tcBorders>
            <w:shd w:val="clear" w:color="auto" w:fill="auto"/>
            <w:noWrap/>
            <w:vAlign w:val="center"/>
            <w:hideMark/>
          </w:tcPr>
          <w:p w14:paraId="5F2717F6"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single" w:sz="4" w:space="0" w:color="000000"/>
              <w:right w:val="single" w:sz="4" w:space="0" w:color="000000"/>
            </w:tcBorders>
            <w:vAlign w:val="center"/>
            <w:hideMark/>
          </w:tcPr>
          <w:p w14:paraId="79CF1EDE" w14:textId="77777777" w:rsidR="007A7FA3" w:rsidRPr="007A7FA3" w:rsidRDefault="007A7FA3" w:rsidP="007A7FA3">
            <w:pPr>
              <w:rPr>
                <w:rFonts w:ascii="Calibri" w:hAnsi="Calibri" w:cs="Calibri"/>
                <w:i/>
                <w:iCs/>
                <w:color w:val="000000"/>
                <w:sz w:val="13"/>
                <w:szCs w:val="13"/>
              </w:rPr>
            </w:pPr>
          </w:p>
        </w:tc>
        <w:tc>
          <w:tcPr>
            <w:tcW w:w="544" w:type="dxa"/>
            <w:tcBorders>
              <w:top w:val="nil"/>
              <w:left w:val="nil"/>
              <w:bottom w:val="single" w:sz="4" w:space="0" w:color="000000"/>
              <w:right w:val="single" w:sz="4" w:space="0" w:color="000000"/>
            </w:tcBorders>
            <w:shd w:val="clear" w:color="auto" w:fill="auto"/>
            <w:noWrap/>
            <w:vAlign w:val="center"/>
            <w:hideMark/>
          </w:tcPr>
          <w:p w14:paraId="19E01713"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71600</w:t>
            </w:r>
          </w:p>
        </w:tc>
        <w:tc>
          <w:tcPr>
            <w:tcW w:w="1580" w:type="dxa"/>
            <w:tcBorders>
              <w:top w:val="nil"/>
              <w:left w:val="nil"/>
              <w:bottom w:val="single" w:sz="4" w:space="0" w:color="000000"/>
              <w:right w:val="single" w:sz="4" w:space="0" w:color="000000"/>
            </w:tcBorders>
            <w:shd w:val="clear" w:color="auto" w:fill="auto"/>
            <w:vAlign w:val="bottom"/>
            <w:hideMark/>
          </w:tcPr>
          <w:p w14:paraId="44E1E116"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Travel</w:t>
            </w:r>
          </w:p>
        </w:tc>
        <w:tc>
          <w:tcPr>
            <w:tcW w:w="694" w:type="dxa"/>
            <w:tcBorders>
              <w:top w:val="nil"/>
              <w:left w:val="nil"/>
              <w:bottom w:val="single" w:sz="4" w:space="0" w:color="000000"/>
              <w:right w:val="single" w:sz="4" w:space="0" w:color="000000"/>
            </w:tcBorders>
            <w:shd w:val="clear" w:color="auto" w:fill="auto"/>
            <w:noWrap/>
            <w:vAlign w:val="bottom"/>
            <w:hideMark/>
          </w:tcPr>
          <w:p w14:paraId="2884D0C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15,000 </w:t>
            </w:r>
          </w:p>
        </w:tc>
        <w:tc>
          <w:tcPr>
            <w:tcW w:w="805" w:type="dxa"/>
            <w:tcBorders>
              <w:top w:val="nil"/>
              <w:left w:val="nil"/>
              <w:bottom w:val="single" w:sz="4" w:space="0" w:color="000000"/>
              <w:right w:val="single" w:sz="4" w:space="0" w:color="000000"/>
            </w:tcBorders>
            <w:shd w:val="clear" w:color="auto" w:fill="auto"/>
            <w:noWrap/>
            <w:vAlign w:val="bottom"/>
            <w:hideMark/>
          </w:tcPr>
          <w:p w14:paraId="0A4A163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15,000 </w:t>
            </w:r>
          </w:p>
        </w:tc>
        <w:tc>
          <w:tcPr>
            <w:tcW w:w="826" w:type="dxa"/>
            <w:tcBorders>
              <w:top w:val="nil"/>
              <w:left w:val="nil"/>
              <w:bottom w:val="single" w:sz="4" w:space="0" w:color="000000"/>
              <w:right w:val="single" w:sz="4" w:space="0" w:color="000000"/>
            </w:tcBorders>
            <w:shd w:val="clear" w:color="auto" w:fill="auto"/>
            <w:noWrap/>
            <w:vAlign w:val="bottom"/>
            <w:hideMark/>
          </w:tcPr>
          <w:p w14:paraId="57433776"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15,247 </w:t>
            </w:r>
          </w:p>
        </w:tc>
        <w:tc>
          <w:tcPr>
            <w:tcW w:w="864" w:type="dxa"/>
            <w:tcBorders>
              <w:top w:val="nil"/>
              <w:left w:val="nil"/>
              <w:bottom w:val="single" w:sz="4" w:space="0" w:color="000000"/>
              <w:right w:val="single" w:sz="4" w:space="0" w:color="000000"/>
            </w:tcBorders>
            <w:shd w:val="clear" w:color="auto" w:fill="auto"/>
            <w:noWrap/>
            <w:vAlign w:val="bottom"/>
            <w:hideMark/>
          </w:tcPr>
          <w:p w14:paraId="48B390E5"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15,000 </w:t>
            </w:r>
          </w:p>
        </w:tc>
        <w:tc>
          <w:tcPr>
            <w:tcW w:w="834" w:type="dxa"/>
            <w:tcBorders>
              <w:top w:val="nil"/>
              <w:left w:val="nil"/>
              <w:bottom w:val="single" w:sz="4" w:space="0" w:color="000000"/>
              <w:right w:val="single" w:sz="4" w:space="0" w:color="000000"/>
            </w:tcBorders>
            <w:shd w:val="clear" w:color="auto" w:fill="auto"/>
            <w:noWrap/>
            <w:vAlign w:val="bottom"/>
            <w:hideMark/>
          </w:tcPr>
          <w:p w14:paraId="2BCA71AA"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15,000 </w:t>
            </w:r>
          </w:p>
        </w:tc>
        <w:tc>
          <w:tcPr>
            <w:tcW w:w="827" w:type="dxa"/>
            <w:tcBorders>
              <w:top w:val="nil"/>
              <w:left w:val="nil"/>
              <w:bottom w:val="single" w:sz="4" w:space="0" w:color="000000"/>
              <w:right w:val="single" w:sz="4" w:space="0" w:color="000000"/>
            </w:tcBorders>
            <w:shd w:val="clear" w:color="auto" w:fill="auto"/>
            <w:noWrap/>
            <w:vAlign w:val="bottom"/>
            <w:hideMark/>
          </w:tcPr>
          <w:p w14:paraId="107763B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15,000 </w:t>
            </w:r>
          </w:p>
        </w:tc>
        <w:tc>
          <w:tcPr>
            <w:tcW w:w="980" w:type="dxa"/>
            <w:tcBorders>
              <w:top w:val="single" w:sz="8" w:space="0" w:color="000000"/>
              <w:left w:val="nil"/>
              <w:bottom w:val="single" w:sz="4" w:space="0" w:color="000000"/>
              <w:right w:val="nil"/>
            </w:tcBorders>
            <w:shd w:val="clear" w:color="auto" w:fill="auto"/>
            <w:noWrap/>
            <w:vAlign w:val="bottom"/>
            <w:hideMark/>
          </w:tcPr>
          <w:p w14:paraId="4F3A59D2"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90,247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0C94B96A"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147 </w:t>
            </w:r>
          </w:p>
        </w:tc>
      </w:tr>
      <w:tr w:rsidR="007A7FA3" w:rsidRPr="007A7FA3" w14:paraId="496C2A9F" w14:textId="77777777" w:rsidTr="007A7FA3">
        <w:trPr>
          <w:trHeight w:val="300"/>
        </w:trPr>
        <w:tc>
          <w:tcPr>
            <w:tcW w:w="1086" w:type="dxa"/>
            <w:vMerge/>
            <w:tcBorders>
              <w:top w:val="nil"/>
              <w:left w:val="single" w:sz="8" w:space="0" w:color="auto"/>
              <w:bottom w:val="single" w:sz="4" w:space="0" w:color="000000"/>
              <w:right w:val="single" w:sz="4" w:space="0" w:color="000000"/>
            </w:tcBorders>
            <w:vAlign w:val="center"/>
            <w:hideMark/>
          </w:tcPr>
          <w:p w14:paraId="67AB101B"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2895B8B9"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12DC4DAD" w14:textId="77777777" w:rsidR="007A7FA3" w:rsidRPr="007A7FA3" w:rsidRDefault="007A7FA3" w:rsidP="007A7FA3">
            <w:pPr>
              <w:rPr>
                <w:rFonts w:ascii="Calibri" w:hAnsi="Calibri" w:cs="Calibri"/>
                <w:i/>
                <w:iCs/>
                <w:color w:val="000000"/>
                <w:sz w:val="13"/>
                <w:szCs w:val="13"/>
              </w:rPr>
            </w:pPr>
          </w:p>
        </w:tc>
        <w:tc>
          <w:tcPr>
            <w:tcW w:w="631" w:type="dxa"/>
            <w:vMerge/>
            <w:tcBorders>
              <w:top w:val="nil"/>
              <w:left w:val="single" w:sz="4" w:space="0" w:color="000000"/>
              <w:bottom w:val="single" w:sz="8" w:space="0" w:color="000000"/>
              <w:right w:val="single" w:sz="4" w:space="0" w:color="000000"/>
            </w:tcBorders>
            <w:vAlign w:val="center"/>
            <w:hideMark/>
          </w:tcPr>
          <w:p w14:paraId="289CAFBB" w14:textId="77777777" w:rsidR="007A7FA3" w:rsidRPr="007A7FA3" w:rsidRDefault="007A7FA3" w:rsidP="007A7FA3">
            <w:pPr>
              <w:rPr>
                <w:rFonts w:ascii="Calibri" w:hAnsi="Calibri" w:cs="Calibri"/>
                <w:i/>
                <w:iCs/>
                <w:color w:val="000000"/>
                <w:sz w:val="13"/>
                <w:szCs w:val="13"/>
              </w:rPr>
            </w:pPr>
          </w:p>
        </w:tc>
        <w:tc>
          <w:tcPr>
            <w:tcW w:w="504" w:type="dxa"/>
            <w:tcBorders>
              <w:top w:val="nil"/>
              <w:left w:val="nil"/>
              <w:bottom w:val="single" w:sz="4" w:space="0" w:color="000000"/>
              <w:right w:val="single" w:sz="4" w:space="0" w:color="000000"/>
            </w:tcBorders>
            <w:shd w:val="clear" w:color="auto" w:fill="auto"/>
            <w:noWrap/>
            <w:vAlign w:val="center"/>
            <w:hideMark/>
          </w:tcPr>
          <w:p w14:paraId="1E0E5028"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single" w:sz="4" w:space="0" w:color="000000"/>
              <w:right w:val="single" w:sz="4" w:space="0" w:color="000000"/>
            </w:tcBorders>
            <w:vAlign w:val="center"/>
            <w:hideMark/>
          </w:tcPr>
          <w:p w14:paraId="2625E35A" w14:textId="77777777" w:rsidR="007A7FA3" w:rsidRPr="007A7FA3" w:rsidRDefault="007A7FA3" w:rsidP="007A7FA3">
            <w:pPr>
              <w:rPr>
                <w:rFonts w:ascii="Calibri" w:hAnsi="Calibri" w:cs="Calibri"/>
                <w:i/>
                <w:iCs/>
                <w:color w:val="000000"/>
                <w:sz w:val="13"/>
                <w:szCs w:val="13"/>
              </w:rPr>
            </w:pPr>
          </w:p>
        </w:tc>
        <w:tc>
          <w:tcPr>
            <w:tcW w:w="544" w:type="dxa"/>
            <w:tcBorders>
              <w:top w:val="nil"/>
              <w:left w:val="nil"/>
              <w:bottom w:val="single" w:sz="4" w:space="0" w:color="000000"/>
              <w:right w:val="single" w:sz="4" w:space="0" w:color="000000"/>
            </w:tcBorders>
            <w:shd w:val="clear" w:color="auto" w:fill="auto"/>
            <w:noWrap/>
            <w:vAlign w:val="center"/>
            <w:hideMark/>
          </w:tcPr>
          <w:p w14:paraId="168FBEDA"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72500</w:t>
            </w:r>
          </w:p>
        </w:tc>
        <w:tc>
          <w:tcPr>
            <w:tcW w:w="1580" w:type="dxa"/>
            <w:tcBorders>
              <w:top w:val="nil"/>
              <w:left w:val="nil"/>
              <w:bottom w:val="single" w:sz="4" w:space="0" w:color="000000"/>
              <w:right w:val="single" w:sz="4" w:space="0" w:color="000000"/>
            </w:tcBorders>
            <w:shd w:val="clear" w:color="auto" w:fill="auto"/>
            <w:vAlign w:val="bottom"/>
            <w:hideMark/>
          </w:tcPr>
          <w:p w14:paraId="23996BCB"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Supplies</w:t>
            </w:r>
          </w:p>
        </w:tc>
        <w:tc>
          <w:tcPr>
            <w:tcW w:w="694" w:type="dxa"/>
            <w:tcBorders>
              <w:top w:val="nil"/>
              <w:left w:val="nil"/>
              <w:bottom w:val="single" w:sz="4" w:space="0" w:color="000000"/>
              <w:right w:val="single" w:sz="4" w:space="0" w:color="000000"/>
            </w:tcBorders>
            <w:shd w:val="clear" w:color="auto" w:fill="auto"/>
            <w:noWrap/>
            <w:vAlign w:val="bottom"/>
            <w:hideMark/>
          </w:tcPr>
          <w:p w14:paraId="4FC8FFD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4,000 </w:t>
            </w:r>
          </w:p>
        </w:tc>
        <w:tc>
          <w:tcPr>
            <w:tcW w:w="805" w:type="dxa"/>
            <w:tcBorders>
              <w:top w:val="nil"/>
              <w:left w:val="nil"/>
              <w:bottom w:val="single" w:sz="4" w:space="0" w:color="000000"/>
              <w:right w:val="single" w:sz="4" w:space="0" w:color="000000"/>
            </w:tcBorders>
            <w:shd w:val="clear" w:color="auto" w:fill="auto"/>
            <w:noWrap/>
            <w:vAlign w:val="bottom"/>
            <w:hideMark/>
          </w:tcPr>
          <w:p w14:paraId="6D0CDF8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4,000 </w:t>
            </w:r>
          </w:p>
        </w:tc>
        <w:tc>
          <w:tcPr>
            <w:tcW w:w="826" w:type="dxa"/>
            <w:tcBorders>
              <w:top w:val="nil"/>
              <w:left w:val="nil"/>
              <w:bottom w:val="single" w:sz="4" w:space="0" w:color="000000"/>
              <w:right w:val="single" w:sz="4" w:space="0" w:color="000000"/>
            </w:tcBorders>
            <w:shd w:val="clear" w:color="auto" w:fill="auto"/>
            <w:noWrap/>
            <w:vAlign w:val="bottom"/>
            <w:hideMark/>
          </w:tcPr>
          <w:p w14:paraId="21E8563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4,000 </w:t>
            </w:r>
          </w:p>
        </w:tc>
        <w:tc>
          <w:tcPr>
            <w:tcW w:w="864" w:type="dxa"/>
            <w:tcBorders>
              <w:top w:val="nil"/>
              <w:left w:val="nil"/>
              <w:bottom w:val="single" w:sz="4" w:space="0" w:color="000000"/>
              <w:right w:val="single" w:sz="4" w:space="0" w:color="000000"/>
            </w:tcBorders>
            <w:shd w:val="clear" w:color="auto" w:fill="auto"/>
            <w:noWrap/>
            <w:vAlign w:val="bottom"/>
            <w:hideMark/>
          </w:tcPr>
          <w:p w14:paraId="69409F3F"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4,000 </w:t>
            </w:r>
          </w:p>
        </w:tc>
        <w:tc>
          <w:tcPr>
            <w:tcW w:w="834" w:type="dxa"/>
            <w:tcBorders>
              <w:top w:val="nil"/>
              <w:left w:val="nil"/>
              <w:bottom w:val="single" w:sz="4" w:space="0" w:color="000000"/>
              <w:right w:val="single" w:sz="4" w:space="0" w:color="000000"/>
            </w:tcBorders>
            <w:shd w:val="clear" w:color="auto" w:fill="auto"/>
            <w:noWrap/>
            <w:vAlign w:val="bottom"/>
            <w:hideMark/>
          </w:tcPr>
          <w:p w14:paraId="6F2A2C3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4,000 </w:t>
            </w:r>
          </w:p>
        </w:tc>
        <w:tc>
          <w:tcPr>
            <w:tcW w:w="827" w:type="dxa"/>
            <w:tcBorders>
              <w:top w:val="nil"/>
              <w:left w:val="nil"/>
              <w:bottom w:val="single" w:sz="4" w:space="0" w:color="000000"/>
              <w:right w:val="single" w:sz="4" w:space="0" w:color="000000"/>
            </w:tcBorders>
            <w:shd w:val="clear" w:color="auto" w:fill="auto"/>
            <w:noWrap/>
            <w:vAlign w:val="bottom"/>
            <w:hideMark/>
          </w:tcPr>
          <w:p w14:paraId="3FEF559B"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4,000 </w:t>
            </w:r>
          </w:p>
        </w:tc>
        <w:tc>
          <w:tcPr>
            <w:tcW w:w="980" w:type="dxa"/>
            <w:tcBorders>
              <w:top w:val="single" w:sz="8" w:space="0" w:color="000000"/>
              <w:left w:val="nil"/>
              <w:bottom w:val="single" w:sz="4" w:space="0" w:color="000000"/>
              <w:right w:val="nil"/>
            </w:tcBorders>
            <w:shd w:val="clear" w:color="auto" w:fill="auto"/>
            <w:noWrap/>
            <w:vAlign w:val="bottom"/>
            <w:hideMark/>
          </w:tcPr>
          <w:p w14:paraId="5BB3FF7D"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24,000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235D32A2"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148 </w:t>
            </w:r>
          </w:p>
        </w:tc>
      </w:tr>
      <w:tr w:rsidR="007A7FA3" w:rsidRPr="007A7FA3" w14:paraId="78B98566" w14:textId="77777777" w:rsidTr="007A7FA3">
        <w:trPr>
          <w:trHeight w:val="270"/>
        </w:trPr>
        <w:tc>
          <w:tcPr>
            <w:tcW w:w="1086" w:type="dxa"/>
            <w:vMerge/>
            <w:tcBorders>
              <w:top w:val="nil"/>
              <w:left w:val="single" w:sz="8" w:space="0" w:color="auto"/>
              <w:bottom w:val="single" w:sz="4" w:space="0" w:color="000000"/>
              <w:right w:val="single" w:sz="4" w:space="0" w:color="000000"/>
            </w:tcBorders>
            <w:vAlign w:val="center"/>
            <w:hideMark/>
          </w:tcPr>
          <w:p w14:paraId="55ABF153"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4055D5A5"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37F1E246" w14:textId="77777777" w:rsidR="007A7FA3" w:rsidRPr="007A7FA3" w:rsidRDefault="007A7FA3" w:rsidP="007A7FA3">
            <w:pPr>
              <w:rPr>
                <w:rFonts w:ascii="Calibri" w:hAnsi="Calibri" w:cs="Calibri"/>
                <w:i/>
                <w:iCs/>
                <w:color w:val="000000"/>
                <w:sz w:val="13"/>
                <w:szCs w:val="13"/>
              </w:rPr>
            </w:pPr>
          </w:p>
        </w:tc>
        <w:tc>
          <w:tcPr>
            <w:tcW w:w="631" w:type="dxa"/>
            <w:tcBorders>
              <w:top w:val="nil"/>
              <w:left w:val="nil"/>
              <w:bottom w:val="nil"/>
              <w:right w:val="single" w:sz="4" w:space="0" w:color="000000"/>
            </w:tcBorders>
            <w:shd w:val="clear" w:color="auto" w:fill="auto"/>
            <w:vAlign w:val="center"/>
            <w:hideMark/>
          </w:tcPr>
          <w:p w14:paraId="55826E45"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UNDP</w:t>
            </w:r>
          </w:p>
        </w:tc>
        <w:tc>
          <w:tcPr>
            <w:tcW w:w="504" w:type="dxa"/>
            <w:tcBorders>
              <w:top w:val="nil"/>
              <w:left w:val="nil"/>
              <w:bottom w:val="single" w:sz="4" w:space="0" w:color="000000"/>
              <w:right w:val="single" w:sz="4" w:space="0" w:color="000000"/>
            </w:tcBorders>
            <w:shd w:val="clear" w:color="auto" w:fill="auto"/>
            <w:noWrap/>
            <w:vAlign w:val="center"/>
            <w:hideMark/>
          </w:tcPr>
          <w:p w14:paraId="07CD3AEA"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62000</w:t>
            </w:r>
          </w:p>
        </w:tc>
        <w:tc>
          <w:tcPr>
            <w:tcW w:w="504" w:type="dxa"/>
            <w:vMerge/>
            <w:tcBorders>
              <w:top w:val="nil"/>
              <w:left w:val="single" w:sz="4" w:space="0" w:color="000000"/>
              <w:bottom w:val="single" w:sz="4" w:space="0" w:color="000000"/>
              <w:right w:val="single" w:sz="4" w:space="0" w:color="000000"/>
            </w:tcBorders>
            <w:vAlign w:val="center"/>
            <w:hideMark/>
          </w:tcPr>
          <w:p w14:paraId="6759E16C" w14:textId="77777777" w:rsidR="007A7FA3" w:rsidRPr="007A7FA3" w:rsidRDefault="007A7FA3" w:rsidP="007A7FA3">
            <w:pPr>
              <w:rPr>
                <w:rFonts w:ascii="Calibri" w:hAnsi="Calibri" w:cs="Calibri"/>
                <w:i/>
                <w:iCs/>
                <w:color w:val="000000"/>
                <w:sz w:val="13"/>
                <w:szCs w:val="13"/>
              </w:rPr>
            </w:pPr>
          </w:p>
        </w:tc>
        <w:tc>
          <w:tcPr>
            <w:tcW w:w="544" w:type="dxa"/>
            <w:tcBorders>
              <w:top w:val="nil"/>
              <w:left w:val="nil"/>
              <w:bottom w:val="single" w:sz="4" w:space="0" w:color="000000"/>
              <w:right w:val="single" w:sz="4" w:space="0" w:color="000000"/>
            </w:tcBorders>
            <w:shd w:val="clear" w:color="auto" w:fill="auto"/>
            <w:noWrap/>
            <w:vAlign w:val="center"/>
            <w:hideMark/>
          </w:tcPr>
          <w:p w14:paraId="7E29D1D5"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74100</w:t>
            </w:r>
          </w:p>
        </w:tc>
        <w:tc>
          <w:tcPr>
            <w:tcW w:w="1580" w:type="dxa"/>
            <w:tcBorders>
              <w:top w:val="nil"/>
              <w:left w:val="nil"/>
              <w:bottom w:val="single" w:sz="4" w:space="0" w:color="000000"/>
              <w:right w:val="single" w:sz="4" w:space="0" w:color="000000"/>
            </w:tcBorders>
            <w:shd w:val="clear" w:color="auto" w:fill="auto"/>
            <w:vAlign w:val="bottom"/>
            <w:hideMark/>
          </w:tcPr>
          <w:p w14:paraId="2563E446" w14:textId="77777777" w:rsidR="007A7FA3" w:rsidRPr="007A7FA3" w:rsidRDefault="007A7FA3" w:rsidP="007A7FA3">
            <w:pPr>
              <w:jc w:val="center"/>
              <w:rPr>
                <w:rFonts w:ascii="Calibri" w:hAnsi="Calibri" w:cs="Calibri"/>
                <w:i/>
                <w:iCs/>
                <w:color w:val="000000"/>
                <w:sz w:val="13"/>
                <w:szCs w:val="13"/>
              </w:rPr>
            </w:pPr>
            <w:r w:rsidRPr="007A7FA3">
              <w:rPr>
                <w:rFonts w:ascii="Calibri" w:hAnsi="Calibri" w:cs="Calibri"/>
                <w:i/>
                <w:iCs/>
                <w:color w:val="000000"/>
                <w:sz w:val="13"/>
                <w:szCs w:val="13"/>
              </w:rPr>
              <w:t>Professional Services</w:t>
            </w:r>
          </w:p>
        </w:tc>
        <w:tc>
          <w:tcPr>
            <w:tcW w:w="694" w:type="dxa"/>
            <w:tcBorders>
              <w:top w:val="nil"/>
              <w:left w:val="nil"/>
              <w:bottom w:val="single" w:sz="4" w:space="0" w:color="000000"/>
              <w:right w:val="single" w:sz="4" w:space="0" w:color="000000"/>
            </w:tcBorders>
            <w:shd w:val="clear" w:color="auto" w:fill="auto"/>
            <w:noWrap/>
            <w:vAlign w:val="bottom"/>
            <w:hideMark/>
          </w:tcPr>
          <w:p w14:paraId="043909B4"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5,000 </w:t>
            </w:r>
          </w:p>
        </w:tc>
        <w:tc>
          <w:tcPr>
            <w:tcW w:w="805" w:type="dxa"/>
            <w:tcBorders>
              <w:top w:val="nil"/>
              <w:left w:val="nil"/>
              <w:bottom w:val="single" w:sz="4" w:space="0" w:color="000000"/>
              <w:right w:val="single" w:sz="4" w:space="0" w:color="000000"/>
            </w:tcBorders>
            <w:shd w:val="clear" w:color="auto" w:fill="auto"/>
            <w:noWrap/>
            <w:vAlign w:val="bottom"/>
            <w:hideMark/>
          </w:tcPr>
          <w:p w14:paraId="1B3601AE"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5,000 </w:t>
            </w:r>
          </w:p>
        </w:tc>
        <w:tc>
          <w:tcPr>
            <w:tcW w:w="826" w:type="dxa"/>
            <w:tcBorders>
              <w:top w:val="nil"/>
              <w:left w:val="nil"/>
              <w:bottom w:val="single" w:sz="4" w:space="0" w:color="000000"/>
              <w:right w:val="single" w:sz="4" w:space="0" w:color="000000"/>
            </w:tcBorders>
            <w:shd w:val="clear" w:color="auto" w:fill="auto"/>
            <w:noWrap/>
            <w:vAlign w:val="bottom"/>
            <w:hideMark/>
          </w:tcPr>
          <w:p w14:paraId="01EB280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5,000 </w:t>
            </w:r>
          </w:p>
        </w:tc>
        <w:tc>
          <w:tcPr>
            <w:tcW w:w="864" w:type="dxa"/>
            <w:tcBorders>
              <w:top w:val="nil"/>
              <w:left w:val="nil"/>
              <w:bottom w:val="single" w:sz="4" w:space="0" w:color="000000"/>
              <w:right w:val="single" w:sz="4" w:space="0" w:color="000000"/>
            </w:tcBorders>
            <w:shd w:val="clear" w:color="auto" w:fill="auto"/>
            <w:noWrap/>
            <w:vAlign w:val="bottom"/>
            <w:hideMark/>
          </w:tcPr>
          <w:p w14:paraId="356BA11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5,000 </w:t>
            </w:r>
          </w:p>
        </w:tc>
        <w:tc>
          <w:tcPr>
            <w:tcW w:w="834" w:type="dxa"/>
            <w:tcBorders>
              <w:top w:val="nil"/>
              <w:left w:val="nil"/>
              <w:bottom w:val="single" w:sz="4" w:space="0" w:color="000000"/>
              <w:right w:val="single" w:sz="4" w:space="0" w:color="000000"/>
            </w:tcBorders>
            <w:shd w:val="clear" w:color="auto" w:fill="auto"/>
            <w:noWrap/>
            <w:vAlign w:val="bottom"/>
            <w:hideMark/>
          </w:tcPr>
          <w:p w14:paraId="7D107FB8"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5,000 </w:t>
            </w:r>
          </w:p>
        </w:tc>
        <w:tc>
          <w:tcPr>
            <w:tcW w:w="827" w:type="dxa"/>
            <w:tcBorders>
              <w:top w:val="nil"/>
              <w:left w:val="nil"/>
              <w:bottom w:val="single" w:sz="4" w:space="0" w:color="000000"/>
              <w:right w:val="single" w:sz="4" w:space="0" w:color="000000"/>
            </w:tcBorders>
            <w:shd w:val="clear" w:color="auto" w:fill="auto"/>
            <w:noWrap/>
            <w:vAlign w:val="bottom"/>
            <w:hideMark/>
          </w:tcPr>
          <w:p w14:paraId="7D00B0CC"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5,000 </w:t>
            </w:r>
          </w:p>
        </w:tc>
        <w:tc>
          <w:tcPr>
            <w:tcW w:w="980" w:type="dxa"/>
            <w:tcBorders>
              <w:top w:val="single" w:sz="8" w:space="0" w:color="000000"/>
              <w:left w:val="nil"/>
              <w:bottom w:val="single" w:sz="4" w:space="0" w:color="000000"/>
              <w:right w:val="nil"/>
            </w:tcBorders>
            <w:shd w:val="clear" w:color="auto" w:fill="auto"/>
            <w:noWrap/>
            <w:vAlign w:val="bottom"/>
            <w:hideMark/>
          </w:tcPr>
          <w:p w14:paraId="1E8B8529" w14:textId="77777777" w:rsidR="007A7FA3" w:rsidRPr="007A7FA3" w:rsidRDefault="007A7FA3" w:rsidP="007A7FA3">
            <w:pPr>
              <w:rPr>
                <w:rFonts w:ascii="Calibri" w:hAnsi="Calibri" w:cs="Calibri"/>
                <w:color w:val="000000"/>
                <w:sz w:val="13"/>
                <w:szCs w:val="13"/>
              </w:rPr>
            </w:pPr>
            <w:r w:rsidRPr="007A7FA3">
              <w:rPr>
                <w:rFonts w:ascii="Calibri" w:hAnsi="Calibri" w:cs="Calibri"/>
                <w:color w:val="000000"/>
                <w:sz w:val="13"/>
                <w:szCs w:val="13"/>
              </w:rPr>
              <w:t xml:space="preserve">                 30,000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698043E5"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xml:space="preserve">   149 </w:t>
            </w:r>
          </w:p>
        </w:tc>
      </w:tr>
      <w:tr w:rsidR="007A7FA3" w:rsidRPr="007A7FA3" w14:paraId="05C65089" w14:textId="77777777" w:rsidTr="007A7FA3">
        <w:trPr>
          <w:trHeight w:val="270"/>
        </w:trPr>
        <w:tc>
          <w:tcPr>
            <w:tcW w:w="1086" w:type="dxa"/>
            <w:vMerge/>
            <w:tcBorders>
              <w:top w:val="nil"/>
              <w:left w:val="single" w:sz="8" w:space="0" w:color="auto"/>
              <w:bottom w:val="single" w:sz="4" w:space="0" w:color="000000"/>
              <w:right w:val="single" w:sz="4" w:space="0" w:color="000000"/>
            </w:tcBorders>
            <w:vAlign w:val="center"/>
            <w:hideMark/>
          </w:tcPr>
          <w:p w14:paraId="003F98C3" w14:textId="77777777" w:rsidR="007A7FA3" w:rsidRPr="007A7FA3" w:rsidRDefault="007A7FA3" w:rsidP="007A7FA3">
            <w:pPr>
              <w:rPr>
                <w:rFonts w:ascii="Calibri" w:hAnsi="Calibri" w:cs="Calibri"/>
                <w:i/>
                <w:iCs/>
                <w:color w:val="000000"/>
                <w:sz w:val="13"/>
                <w:szCs w:val="13"/>
              </w:rPr>
            </w:pPr>
          </w:p>
        </w:tc>
        <w:tc>
          <w:tcPr>
            <w:tcW w:w="871" w:type="dxa"/>
            <w:vMerge/>
            <w:tcBorders>
              <w:top w:val="nil"/>
              <w:left w:val="single" w:sz="4" w:space="0" w:color="000000"/>
              <w:bottom w:val="single" w:sz="4" w:space="0" w:color="000000"/>
              <w:right w:val="single" w:sz="4" w:space="0" w:color="000000"/>
            </w:tcBorders>
            <w:vAlign w:val="center"/>
            <w:hideMark/>
          </w:tcPr>
          <w:p w14:paraId="22D42A50" w14:textId="77777777" w:rsidR="007A7FA3" w:rsidRPr="007A7FA3" w:rsidRDefault="007A7FA3" w:rsidP="007A7FA3">
            <w:pPr>
              <w:rPr>
                <w:rFonts w:ascii="Calibri" w:hAnsi="Calibri" w:cs="Calibri"/>
                <w:i/>
                <w:iCs/>
                <w:color w:val="000000"/>
                <w:sz w:val="13"/>
                <w:szCs w:val="13"/>
              </w:rPr>
            </w:pPr>
          </w:p>
        </w:tc>
        <w:tc>
          <w:tcPr>
            <w:tcW w:w="2016" w:type="dxa"/>
            <w:vMerge/>
            <w:tcBorders>
              <w:top w:val="nil"/>
              <w:left w:val="single" w:sz="4" w:space="0" w:color="000000"/>
              <w:bottom w:val="single" w:sz="4" w:space="0" w:color="000000"/>
              <w:right w:val="single" w:sz="4" w:space="0" w:color="000000"/>
            </w:tcBorders>
            <w:vAlign w:val="center"/>
            <w:hideMark/>
          </w:tcPr>
          <w:p w14:paraId="4067FEC1" w14:textId="77777777" w:rsidR="007A7FA3" w:rsidRPr="007A7FA3" w:rsidRDefault="007A7FA3" w:rsidP="007A7FA3">
            <w:pPr>
              <w:rPr>
                <w:rFonts w:ascii="Calibri" w:hAnsi="Calibri" w:cs="Calibri"/>
                <w:i/>
                <w:iCs/>
                <w:color w:val="000000"/>
                <w:sz w:val="13"/>
                <w:szCs w:val="13"/>
              </w:rPr>
            </w:pPr>
          </w:p>
        </w:tc>
        <w:tc>
          <w:tcPr>
            <w:tcW w:w="3763" w:type="dxa"/>
            <w:gridSpan w:val="5"/>
            <w:tcBorders>
              <w:top w:val="single" w:sz="4" w:space="0" w:color="000000"/>
              <w:left w:val="nil"/>
              <w:bottom w:val="single" w:sz="4" w:space="0" w:color="000000"/>
              <w:right w:val="single" w:sz="4" w:space="0" w:color="000000"/>
            </w:tcBorders>
            <w:shd w:val="clear" w:color="auto" w:fill="auto"/>
            <w:vAlign w:val="center"/>
            <w:hideMark/>
          </w:tcPr>
          <w:p w14:paraId="70A5031C" w14:textId="77777777" w:rsidR="007A7FA3" w:rsidRPr="007A7FA3" w:rsidRDefault="007A7FA3" w:rsidP="007A7FA3">
            <w:pPr>
              <w:rPr>
                <w:rFonts w:ascii="Calibri" w:hAnsi="Calibri" w:cs="Calibri"/>
                <w:i/>
                <w:iCs/>
                <w:color w:val="000000"/>
                <w:sz w:val="13"/>
                <w:szCs w:val="13"/>
              </w:rPr>
            </w:pPr>
            <w:r w:rsidRPr="007A7FA3">
              <w:rPr>
                <w:rFonts w:ascii="Calibri" w:hAnsi="Calibri" w:cs="Calibri"/>
                <w:i/>
                <w:iCs/>
                <w:color w:val="000000"/>
                <w:sz w:val="13"/>
                <w:szCs w:val="13"/>
              </w:rPr>
              <w:t>Total BCC</w:t>
            </w:r>
          </w:p>
        </w:tc>
        <w:tc>
          <w:tcPr>
            <w:tcW w:w="694" w:type="dxa"/>
            <w:tcBorders>
              <w:top w:val="nil"/>
              <w:left w:val="nil"/>
              <w:bottom w:val="single" w:sz="4" w:space="0" w:color="000000"/>
              <w:right w:val="single" w:sz="4" w:space="0" w:color="000000"/>
            </w:tcBorders>
            <w:shd w:val="clear" w:color="auto" w:fill="auto"/>
            <w:noWrap/>
            <w:vAlign w:val="bottom"/>
            <w:hideMark/>
          </w:tcPr>
          <w:p w14:paraId="05753094"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87,000 </w:t>
            </w:r>
          </w:p>
        </w:tc>
        <w:tc>
          <w:tcPr>
            <w:tcW w:w="805" w:type="dxa"/>
            <w:tcBorders>
              <w:top w:val="nil"/>
              <w:left w:val="nil"/>
              <w:bottom w:val="single" w:sz="4" w:space="0" w:color="000000"/>
              <w:right w:val="single" w:sz="4" w:space="0" w:color="000000"/>
            </w:tcBorders>
            <w:shd w:val="clear" w:color="auto" w:fill="auto"/>
            <w:noWrap/>
            <w:vAlign w:val="bottom"/>
            <w:hideMark/>
          </w:tcPr>
          <w:p w14:paraId="7BD5445A"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87,000 </w:t>
            </w:r>
          </w:p>
        </w:tc>
        <w:tc>
          <w:tcPr>
            <w:tcW w:w="826" w:type="dxa"/>
            <w:tcBorders>
              <w:top w:val="nil"/>
              <w:left w:val="nil"/>
              <w:bottom w:val="single" w:sz="4" w:space="0" w:color="000000"/>
              <w:right w:val="single" w:sz="4" w:space="0" w:color="000000"/>
            </w:tcBorders>
            <w:shd w:val="clear" w:color="auto" w:fill="auto"/>
            <w:noWrap/>
            <w:vAlign w:val="bottom"/>
            <w:hideMark/>
          </w:tcPr>
          <w:p w14:paraId="3FAC1F71"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87,247 </w:t>
            </w:r>
          </w:p>
        </w:tc>
        <w:tc>
          <w:tcPr>
            <w:tcW w:w="864" w:type="dxa"/>
            <w:tcBorders>
              <w:top w:val="nil"/>
              <w:left w:val="nil"/>
              <w:bottom w:val="single" w:sz="4" w:space="0" w:color="000000"/>
              <w:right w:val="single" w:sz="4" w:space="0" w:color="000000"/>
            </w:tcBorders>
            <w:shd w:val="clear" w:color="auto" w:fill="auto"/>
            <w:noWrap/>
            <w:vAlign w:val="bottom"/>
            <w:hideMark/>
          </w:tcPr>
          <w:p w14:paraId="493EF782"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87,000 </w:t>
            </w:r>
          </w:p>
        </w:tc>
        <w:tc>
          <w:tcPr>
            <w:tcW w:w="834" w:type="dxa"/>
            <w:tcBorders>
              <w:top w:val="nil"/>
              <w:left w:val="nil"/>
              <w:bottom w:val="single" w:sz="4" w:space="0" w:color="000000"/>
              <w:right w:val="single" w:sz="4" w:space="0" w:color="000000"/>
            </w:tcBorders>
            <w:shd w:val="clear" w:color="auto" w:fill="auto"/>
            <w:noWrap/>
            <w:vAlign w:val="bottom"/>
            <w:hideMark/>
          </w:tcPr>
          <w:p w14:paraId="0FAA1EAE"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88,000 </w:t>
            </w:r>
          </w:p>
        </w:tc>
        <w:tc>
          <w:tcPr>
            <w:tcW w:w="827" w:type="dxa"/>
            <w:tcBorders>
              <w:top w:val="nil"/>
              <w:left w:val="nil"/>
              <w:bottom w:val="single" w:sz="4" w:space="0" w:color="000000"/>
              <w:right w:val="single" w:sz="4" w:space="0" w:color="000000"/>
            </w:tcBorders>
            <w:shd w:val="clear" w:color="auto" w:fill="auto"/>
            <w:noWrap/>
            <w:vAlign w:val="bottom"/>
            <w:hideMark/>
          </w:tcPr>
          <w:p w14:paraId="0C67B4A2"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88,000 </w:t>
            </w:r>
          </w:p>
        </w:tc>
        <w:tc>
          <w:tcPr>
            <w:tcW w:w="980" w:type="dxa"/>
            <w:tcBorders>
              <w:top w:val="nil"/>
              <w:left w:val="nil"/>
              <w:bottom w:val="single" w:sz="4" w:space="0" w:color="000000"/>
              <w:right w:val="nil"/>
            </w:tcBorders>
            <w:shd w:val="clear" w:color="auto" w:fill="auto"/>
            <w:noWrap/>
            <w:vAlign w:val="bottom"/>
            <w:hideMark/>
          </w:tcPr>
          <w:p w14:paraId="01895FE8"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524,247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0E30EB7A"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061D35B6" w14:textId="77777777" w:rsidTr="007A7FA3">
        <w:trPr>
          <w:trHeight w:val="420"/>
        </w:trPr>
        <w:tc>
          <w:tcPr>
            <w:tcW w:w="7736" w:type="dxa"/>
            <w:gridSpan w:val="8"/>
            <w:tcBorders>
              <w:top w:val="single" w:sz="4" w:space="0" w:color="000000"/>
              <w:left w:val="single" w:sz="8" w:space="0" w:color="auto"/>
              <w:bottom w:val="single" w:sz="8" w:space="0" w:color="000000"/>
              <w:right w:val="single" w:sz="4" w:space="0" w:color="000000"/>
            </w:tcBorders>
            <w:shd w:val="clear" w:color="BDD6EE" w:fill="BDD6EE"/>
            <w:vAlign w:val="center"/>
            <w:hideMark/>
          </w:tcPr>
          <w:p w14:paraId="240C5301" w14:textId="77777777" w:rsidR="007A7FA3" w:rsidRPr="007A7FA3" w:rsidRDefault="007A7FA3" w:rsidP="007A7FA3">
            <w:pPr>
              <w:rPr>
                <w:rFonts w:ascii="Calibri" w:hAnsi="Calibri" w:cs="Calibri"/>
                <w:b/>
                <w:bCs/>
                <w:i/>
                <w:iCs/>
                <w:color w:val="000000"/>
                <w:sz w:val="13"/>
                <w:szCs w:val="13"/>
              </w:rPr>
            </w:pPr>
            <w:r w:rsidRPr="007A7FA3">
              <w:rPr>
                <w:rFonts w:ascii="Calibri" w:hAnsi="Calibri" w:cs="Calibri"/>
                <w:b/>
                <w:bCs/>
                <w:i/>
                <w:iCs/>
                <w:color w:val="000000"/>
                <w:sz w:val="13"/>
                <w:szCs w:val="13"/>
              </w:rPr>
              <w:t>Total Project Management Cost</w:t>
            </w:r>
          </w:p>
        </w:tc>
        <w:tc>
          <w:tcPr>
            <w:tcW w:w="694" w:type="dxa"/>
            <w:tcBorders>
              <w:top w:val="nil"/>
              <w:left w:val="nil"/>
              <w:bottom w:val="single" w:sz="8" w:space="0" w:color="000000"/>
              <w:right w:val="single" w:sz="4" w:space="0" w:color="000000"/>
            </w:tcBorders>
            <w:shd w:val="clear" w:color="BDD6EE" w:fill="BDD6EE"/>
            <w:noWrap/>
            <w:vAlign w:val="bottom"/>
            <w:hideMark/>
          </w:tcPr>
          <w:p w14:paraId="07D9042D"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87,000 </w:t>
            </w:r>
          </w:p>
        </w:tc>
        <w:tc>
          <w:tcPr>
            <w:tcW w:w="805" w:type="dxa"/>
            <w:tcBorders>
              <w:top w:val="nil"/>
              <w:left w:val="nil"/>
              <w:bottom w:val="single" w:sz="8" w:space="0" w:color="000000"/>
              <w:right w:val="single" w:sz="4" w:space="0" w:color="000000"/>
            </w:tcBorders>
            <w:shd w:val="clear" w:color="BDD6EE" w:fill="BDD6EE"/>
            <w:noWrap/>
            <w:vAlign w:val="bottom"/>
            <w:hideMark/>
          </w:tcPr>
          <w:p w14:paraId="2B81F406"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87,000 </w:t>
            </w:r>
          </w:p>
        </w:tc>
        <w:tc>
          <w:tcPr>
            <w:tcW w:w="826" w:type="dxa"/>
            <w:tcBorders>
              <w:top w:val="nil"/>
              <w:left w:val="nil"/>
              <w:bottom w:val="single" w:sz="8" w:space="0" w:color="000000"/>
              <w:right w:val="single" w:sz="4" w:space="0" w:color="000000"/>
            </w:tcBorders>
            <w:shd w:val="clear" w:color="BDD6EE" w:fill="BDD6EE"/>
            <w:noWrap/>
            <w:vAlign w:val="bottom"/>
            <w:hideMark/>
          </w:tcPr>
          <w:p w14:paraId="337B58D1"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87,247 </w:t>
            </w:r>
          </w:p>
        </w:tc>
        <w:tc>
          <w:tcPr>
            <w:tcW w:w="864" w:type="dxa"/>
            <w:tcBorders>
              <w:top w:val="nil"/>
              <w:left w:val="nil"/>
              <w:bottom w:val="single" w:sz="8" w:space="0" w:color="000000"/>
              <w:right w:val="single" w:sz="4" w:space="0" w:color="000000"/>
            </w:tcBorders>
            <w:shd w:val="clear" w:color="BDD6EE" w:fill="BDD6EE"/>
            <w:noWrap/>
            <w:vAlign w:val="bottom"/>
            <w:hideMark/>
          </w:tcPr>
          <w:p w14:paraId="1E0B28D3"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87,000 </w:t>
            </w:r>
          </w:p>
        </w:tc>
        <w:tc>
          <w:tcPr>
            <w:tcW w:w="834" w:type="dxa"/>
            <w:tcBorders>
              <w:top w:val="nil"/>
              <w:left w:val="nil"/>
              <w:bottom w:val="single" w:sz="8" w:space="0" w:color="000000"/>
              <w:right w:val="single" w:sz="4" w:space="0" w:color="000000"/>
            </w:tcBorders>
            <w:shd w:val="clear" w:color="BDD6EE" w:fill="BDD6EE"/>
            <w:noWrap/>
            <w:vAlign w:val="bottom"/>
            <w:hideMark/>
          </w:tcPr>
          <w:p w14:paraId="2D29EF26"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88,000 </w:t>
            </w:r>
          </w:p>
        </w:tc>
        <w:tc>
          <w:tcPr>
            <w:tcW w:w="827" w:type="dxa"/>
            <w:tcBorders>
              <w:top w:val="nil"/>
              <w:left w:val="nil"/>
              <w:bottom w:val="single" w:sz="8" w:space="0" w:color="000000"/>
              <w:right w:val="single" w:sz="4" w:space="0" w:color="000000"/>
            </w:tcBorders>
            <w:shd w:val="clear" w:color="BDD6EE" w:fill="BDD6EE"/>
            <w:noWrap/>
            <w:vAlign w:val="bottom"/>
            <w:hideMark/>
          </w:tcPr>
          <w:p w14:paraId="3CC84162"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88,000 </w:t>
            </w:r>
          </w:p>
        </w:tc>
        <w:tc>
          <w:tcPr>
            <w:tcW w:w="980" w:type="dxa"/>
            <w:tcBorders>
              <w:top w:val="nil"/>
              <w:left w:val="nil"/>
              <w:bottom w:val="single" w:sz="8" w:space="0" w:color="000000"/>
              <w:right w:val="nil"/>
            </w:tcBorders>
            <w:shd w:val="clear" w:color="BDD6EE" w:fill="BDD6EE"/>
            <w:noWrap/>
            <w:vAlign w:val="bottom"/>
            <w:hideMark/>
          </w:tcPr>
          <w:p w14:paraId="6981341D"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524,247 </w:t>
            </w:r>
          </w:p>
        </w:tc>
        <w:tc>
          <w:tcPr>
            <w:tcW w:w="385" w:type="dxa"/>
            <w:tcBorders>
              <w:top w:val="nil"/>
              <w:left w:val="single" w:sz="4" w:space="0" w:color="auto"/>
              <w:bottom w:val="single" w:sz="4" w:space="0" w:color="auto"/>
              <w:right w:val="single" w:sz="8" w:space="0" w:color="auto"/>
            </w:tcBorders>
            <w:shd w:val="clear" w:color="auto" w:fill="auto"/>
            <w:noWrap/>
            <w:vAlign w:val="center"/>
            <w:hideMark/>
          </w:tcPr>
          <w:p w14:paraId="1CB92716"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r w:rsidR="007A7FA3" w:rsidRPr="007A7FA3" w14:paraId="04064339" w14:textId="77777777" w:rsidTr="007A7FA3">
        <w:trPr>
          <w:trHeight w:val="300"/>
        </w:trPr>
        <w:tc>
          <w:tcPr>
            <w:tcW w:w="1086" w:type="dxa"/>
            <w:tcBorders>
              <w:top w:val="single" w:sz="4" w:space="0" w:color="000000"/>
              <w:left w:val="single" w:sz="8" w:space="0" w:color="auto"/>
              <w:bottom w:val="single" w:sz="8" w:space="0" w:color="auto"/>
              <w:right w:val="single" w:sz="4" w:space="0" w:color="000000"/>
            </w:tcBorders>
            <w:shd w:val="clear" w:color="FBE4D5" w:fill="FBE4D5"/>
            <w:noWrap/>
            <w:vAlign w:val="bottom"/>
            <w:hideMark/>
          </w:tcPr>
          <w:p w14:paraId="29A23BDE"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Total Project Grant </w:t>
            </w:r>
          </w:p>
        </w:tc>
        <w:tc>
          <w:tcPr>
            <w:tcW w:w="871" w:type="dxa"/>
            <w:tcBorders>
              <w:top w:val="single" w:sz="4" w:space="0" w:color="000000"/>
              <w:left w:val="nil"/>
              <w:bottom w:val="single" w:sz="8" w:space="0" w:color="auto"/>
              <w:right w:val="single" w:sz="4" w:space="0" w:color="000000"/>
            </w:tcBorders>
            <w:shd w:val="clear" w:color="FBE4D5" w:fill="FBE4D5"/>
            <w:noWrap/>
            <w:vAlign w:val="bottom"/>
            <w:hideMark/>
          </w:tcPr>
          <w:p w14:paraId="4FDF88B1"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w:t>
            </w:r>
          </w:p>
        </w:tc>
        <w:tc>
          <w:tcPr>
            <w:tcW w:w="2016" w:type="dxa"/>
            <w:tcBorders>
              <w:top w:val="single" w:sz="4" w:space="0" w:color="000000"/>
              <w:left w:val="nil"/>
              <w:bottom w:val="single" w:sz="8" w:space="0" w:color="auto"/>
              <w:right w:val="single" w:sz="4" w:space="0" w:color="000000"/>
            </w:tcBorders>
            <w:shd w:val="clear" w:color="FBE4D5" w:fill="FBE4D5"/>
            <w:noWrap/>
            <w:vAlign w:val="bottom"/>
            <w:hideMark/>
          </w:tcPr>
          <w:p w14:paraId="4D8BCE5C"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w:t>
            </w:r>
          </w:p>
        </w:tc>
        <w:tc>
          <w:tcPr>
            <w:tcW w:w="631" w:type="dxa"/>
            <w:tcBorders>
              <w:top w:val="single" w:sz="4" w:space="0" w:color="000000"/>
              <w:left w:val="nil"/>
              <w:bottom w:val="single" w:sz="8" w:space="0" w:color="auto"/>
              <w:right w:val="single" w:sz="4" w:space="0" w:color="000000"/>
            </w:tcBorders>
            <w:shd w:val="clear" w:color="FBE4D5" w:fill="FBE4D5"/>
            <w:noWrap/>
            <w:vAlign w:val="bottom"/>
            <w:hideMark/>
          </w:tcPr>
          <w:p w14:paraId="07787405"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w:t>
            </w:r>
          </w:p>
        </w:tc>
        <w:tc>
          <w:tcPr>
            <w:tcW w:w="504" w:type="dxa"/>
            <w:tcBorders>
              <w:top w:val="single" w:sz="4" w:space="0" w:color="000000"/>
              <w:left w:val="nil"/>
              <w:bottom w:val="single" w:sz="8" w:space="0" w:color="auto"/>
              <w:right w:val="single" w:sz="4" w:space="0" w:color="000000"/>
            </w:tcBorders>
            <w:shd w:val="clear" w:color="FBE4D5" w:fill="FBE4D5"/>
            <w:noWrap/>
            <w:vAlign w:val="bottom"/>
            <w:hideMark/>
          </w:tcPr>
          <w:p w14:paraId="33079A11"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w:t>
            </w:r>
          </w:p>
        </w:tc>
        <w:tc>
          <w:tcPr>
            <w:tcW w:w="504" w:type="dxa"/>
            <w:tcBorders>
              <w:top w:val="single" w:sz="4" w:space="0" w:color="000000"/>
              <w:left w:val="nil"/>
              <w:bottom w:val="single" w:sz="8" w:space="0" w:color="auto"/>
              <w:right w:val="single" w:sz="4" w:space="0" w:color="000000"/>
            </w:tcBorders>
            <w:shd w:val="clear" w:color="FBE4D5" w:fill="FBE4D5"/>
            <w:noWrap/>
            <w:vAlign w:val="bottom"/>
            <w:hideMark/>
          </w:tcPr>
          <w:p w14:paraId="45AE4522"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w:t>
            </w:r>
          </w:p>
        </w:tc>
        <w:tc>
          <w:tcPr>
            <w:tcW w:w="544" w:type="dxa"/>
            <w:tcBorders>
              <w:top w:val="single" w:sz="4" w:space="0" w:color="000000"/>
              <w:left w:val="nil"/>
              <w:bottom w:val="single" w:sz="8" w:space="0" w:color="auto"/>
              <w:right w:val="single" w:sz="4" w:space="0" w:color="000000"/>
            </w:tcBorders>
            <w:shd w:val="clear" w:color="FBE4D5" w:fill="FBE4D5"/>
            <w:noWrap/>
            <w:vAlign w:val="bottom"/>
            <w:hideMark/>
          </w:tcPr>
          <w:p w14:paraId="499F03B7"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w:t>
            </w:r>
          </w:p>
        </w:tc>
        <w:tc>
          <w:tcPr>
            <w:tcW w:w="1580" w:type="dxa"/>
            <w:tcBorders>
              <w:top w:val="single" w:sz="4" w:space="0" w:color="000000"/>
              <w:left w:val="nil"/>
              <w:bottom w:val="single" w:sz="8" w:space="0" w:color="auto"/>
              <w:right w:val="single" w:sz="4" w:space="0" w:color="000000"/>
            </w:tcBorders>
            <w:shd w:val="clear" w:color="FBE4D5" w:fill="FBE4D5"/>
            <w:vAlign w:val="bottom"/>
            <w:hideMark/>
          </w:tcPr>
          <w:p w14:paraId="745E5F91" w14:textId="77777777" w:rsidR="007A7FA3" w:rsidRPr="007A7FA3" w:rsidRDefault="007A7FA3" w:rsidP="007A7FA3">
            <w:pPr>
              <w:jc w:val="center"/>
              <w:rPr>
                <w:rFonts w:ascii="Calibri" w:hAnsi="Calibri" w:cs="Calibri"/>
                <w:b/>
                <w:bCs/>
                <w:color w:val="000000"/>
                <w:sz w:val="13"/>
                <w:szCs w:val="13"/>
              </w:rPr>
            </w:pPr>
            <w:r w:rsidRPr="007A7FA3">
              <w:rPr>
                <w:rFonts w:ascii="Calibri" w:hAnsi="Calibri" w:cs="Calibri"/>
                <w:b/>
                <w:bCs/>
                <w:color w:val="000000"/>
                <w:sz w:val="13"/>
                <w:szCs w:val="13"/>
              </w:rPr>
              <w:t> </w:t>
            </w:r>
          </w:p>
        </w:tc>
        <w:tc>
          <w:tcPr>
            <w:tcW w:w="694" w:type="dxa"/>
            <w:tcBorders>
              <w:top w:val="single" w:sz="4" w:space="0" w:color="000000"/>
              <w:left w:val="nil"/>
              <w:bottom w:val="single" w:sz="8" w:space="0" w:color="auto"/>
              <w:right w:val="single" w:sz="4" w:space="0" w:color="000000"/>
            </w:tcBorders>
            <w:shd w:val="clear" w:color="FBE4D5" w:fill="FBE4D5"/>
            <w:noWrap/>
            <w:vAlign w:val="bottom"/>
            <w:hideMark/>
          </w:tcPr>
          <w:p w14:paraId="63852094"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962,500 </w:t>
            </w:r>
          </w:p>
        </w:tc>
        <w:tc>
          <w:tcPr>
            <w:tcW w:w="805" w:type="dxa"/>
            <w:tcBorders>
              <w:top w:val="single" w:sz="4" w:space="0" w:color="000000"/>
              <w:left w:val="nil"/>
              <w:bottom w:val="single" w:sz="8" w:space="0" w:color="auto"/>
              <w:right w:val="single" w:sz="4" w:space="0" w:color="000000"/>
            </w:tcBorders>
            <w:shd w:val="clear" w:color="FBE4D5" w:fill="FBE4D5"/>
            <w:noWrap/>
            <w:vAlign w:val="bottom"/>
            <w:hideMark/>
          </w:tcPr>
          <w:p w14:paraId="053FC4FB"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2,621,750 </w:t>
            </w:r>
          </w:p>
        </w:tc>
        <w:tc>
          <w:tcPr>
            <w:tcW w:w="826" w:type="dxa"/>
            <w:tcBorders>
              <w:top w:val="single" w:sz="4" w:space="0" w:color="000000"/>
              <w:left w:val="nil"/>
              <w:bottom w:val="single" w:sz="8" w:space="0" w:color="auto"/>
              <w:right w:val="single" w:sz="4" w:space="0" w:color="000000"/>
            </w:tcBorders>
            <w:shd w:val="clear" w:color="FBE4D5" w:fill="FBE4D5"/>
            <w:noWrap/>
            <w:vAlign w:val="bottom"/>
            <w:hideMark/>
          </w:tcPr>
          <w:p w14:paraId="7A748448"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2,061,471 </w:t>
            </w:r>
          </w:p>
        </w:tc>
        <w:tc>
          <w:tcPr>
            <w:tcW w:w="864" w:type="dxa"/>
            <w:tcBorders>
              <w:top w:val="single" w:sz="4" w:space="0" w:color="000000"/>
              <w:left w:val="nil"/>
              <w:bottom w:val="single" w:sz="8" w:space="0" w:color="auto"/>
              <w:right w:val="single" w:sz="4" w:space="0" w:color="000000"/>
            </w:tcBorders>
            <w:shd w:val="clear" w:color="FBE4D5" w:fill="FBE4D5"/>
            <w:noWrap/>
            <w:vAlign w:val="bottom"/>
            <w:hideMark/>
          </w:tcPr>
          <w:p w14:paraId="6303B9B6"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2,045,400 </w:t>
            </w:r>
          </w:p>
        </w:tc>
        <w:tc>
          <w:tcPr>
            <w:tcW w:w="834" w:type="dxa"/>
            <w:tcBorders>
              <w:top w:val="single" w:sz="4" w:space="0" w:color="000000"/>
              <w:left w:val="nil"/>
              <w:bottom w:val="single" w:sz="8" w:space="0" w:color="auto"/>
              <w:right w:val="single" w:sz="4" w:space="0" w:color="000000"/>
            </w:tcBorders>
            <w:shd w:val="clear" w:color="FBE4D5" w:fill="FBE4D5"/>
            <w:noWrap/>
            <w:vAlign w:val="bottom"/>
            <w:hideMark/>
          </w:tcPr>
          <w:p w14:paraId="20F86930"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1,685,090 </w:t>
            </w:r>
          </w:p>
        </w:tc>
        <w:tc>
          <w:tcPr>
            <w:tcW w:w="827" w:type="dxa"/>
            <w:tcBorders>
              <w:top w:val="single" w:sz="4" w:space="0" w:color="000000"/>
              <w:left w:val="nil"/>
              <w:bottom w:val="single" w:sz="8" w:space="0" w:color="auto"/>
              <w:right w:val="single" w:sz="4" w:space="0" w:color="000000"/>
            </w:tcBorders>
            <w:shd w:val="clear" w:color="FBE4D5" w:fill="FBE4D5"/>
            <w:noWrap/>
            <w:vAlign w:val="bottom"/>
            <w:hideMark/>
          </w:tcPr>
          <w:p w14:paraId="74E829C1"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1,108,720 </w:t>
            </w:r>
          </w:p>
        </w:tc>
        <w:tc>
          <w:tcPr>
            <w:tcW w:w="980" w:type="dxa"/>
            <w:tcBorders>
              <w:top w:val="single" w:sz="4" w:space="0" w:color="000000"/>
              <w:left w:val="nil"/>
              <w:bottom w:val="single" w:sz="8" w:space="0" w:color="auto"/>
              <w:right w:val="nil"/>
            </w:tcBorders>
            <w:shd w:val="clear" w:color="FBE4D5" w:fill="FBE4D5"/>
            <w:noWrap/>
            <w:vAlign w:val="bottom"/>
            <w:hideMark/>
          </w:tcPr>
          <w:p w14:paraId="0996D0B8" w14:textId="77777777" w:rsidR="007A7FA3" w:rsidRPr="007A7FA3" w:rsidRDefault="007A7FA3" w:rsidP="007A7FA3">
            <w:pPr>
              <w:rPr>
                <w:rFonts w:ascii="Calibri" w:hAnsi="Calibri" w:cs="Calibri"/>
                <w:b/>
                <w:bCs/>
                <w:color w:val="000000"/>
                <w:sz w:val="13"/>
                <w:szCs w:val="13"/>
              </w:rPr>
            </w:pPr>
            <w:r w:rsidRPr="007A7FA3">
              <w:rPr>
                <w:rFonts w:ascii="Calibri" w:hAnsi="Calibri" w:cs="Calibri"/>
                <w:b/>
                <w:bCs/>
                <w:color w:val="000000"/>
                <w:sz w:val="13"/>
                <w:szCs w:val="13"/>
              </w:rPr>
              <w:t xml:space="preserve">         10,484,931 </w:t>
            </w:r>
          </w:p>
        </w:tc>
        <w:tc>
          <w:tcPr>
            <w:tcW w:w="385" w:type="dxa"/>
            <w:tcBorders>
              <w:top w:val="nil"/>
              <w:left w:val="single" w:sz="4" w:space="0" w:color="auto"/>
              <w:bottom w:val="single" w:sz="8" w:space="0" w:color="auto"/>
              <w:right w:val="single" w:sz="8" w:space="0" w:color="auto"/>
            </w:tcBorders>
            <w:shd w:val="clear" w:color="auto" w:fill="auto"/>
            <w:noWrap/>
            <w:vAlign w:val="center"/>
            <w:hideMark/>
          </w:tcPr>
          <w:p w14:paraId="79D1E334" w14:textId="77777777" w:rsidR="007A7FA3" w:rsidRPr="007A7FA3" w:rsidRDefault="007A7FA3" w:rsidP="007A7FA3">
            <w:pPr>
              <w:jc w:val="center"/>
              <w:rPr>
                <w:rFonts w:ascii="Calibri" w:hAnsi="Calibri" w:cs="Calibri"/>
                <w:color w:val="000000"/>
                <w:sz w:val="13"/>
                <w:szCs w:val="13"/>
              </w:rPr>
            </w:pPr>
            <w:r w:rsidRPr="007A7FA3">
              <w:rPr>
                <w:rFonts w:ascii="Calibri" w:hAnsi="Calibri" w:cs="Calibri"/>
                <w:color w:val="000000"/>
                <w:sz w:val="13"/>
                <w:szCs w:val="13"/>
              </w:rPr>
              <w:t> </w:t>
            </w:r>
          </w:p>
        </w:tc>
      </w:tr>
    </w:tbl>
    <w:p w14:paraId="6808FED5" w14:textId="77777777" w:rsidR="00CF33D9" w:rsidRDefault="00E3332A">
      <w:pPr>
        <w:spacing w:after="60"/>
        <w:jc w:val="both"/>
        <w:rPr>
          <w:rFonts w:ascii="Calibri" w:hAnsi="Calibri" w:cs="Calibri"/>
          <w:sz w:val="20"/>
          <w:szCs w:val="20"/>
        </w:rPr>
      </w:pPr>
      <w:r>
        <w:rPr>
          <w:rFonts w:ascii="Calibri" w:eastAsia="Calibri" w:hAnsi="Calibri" w:cs="Calibri"/>
          <w:sz w:val="20"/>
          <w:szCs w:val="20"/>
        </w:rPr>
        <w:fldChar w:fldCharType="begin"/>
      </w:r>
      <w:r>
        <w:rPr>
          <w:rFonts w:ascii="Calibri" w:hAnsi="Calibri" w:cs="Calibri"/>
          <w:sz w:val="20"/>
          <w:szCs w:val="20"/>
        </w:rPr>
        <w:instrText xml:space="preserve"> LINK Excel.Sheet.12 "D:\\BCLME IV PPG\\Project Development Documents\\Revised ProDoc\\BCLME IV TBWP_DRAFT V2.xlsx" "TBWP for conversion!R9C1:R241C16" \a \f 4 \h  \* MERGEFORMAT</w:instrText>
      </w:r>
      <w:r>
        <w:rPr>
          <w:rFonts w:ascii="Calibri" w:eastAsia="Calibri" w:hAnsi="Calibri" w:cs="Calibri"/>
          <w:sz w:val="20"/>
          <w:szCs w:val="20"/>
        </w:rPr>
        <w:fldChar w:fldCharType="separate"/>
      </w:r>
    </w:p>
    <w:p w14:paraId="6808FED6" w14:textId="77777777" w:rsidR="00CF33D9" w:rsidRDefault="00E3332A">
      <w:pPr>
        <w:spacing w:after="60"/>
        <w:jc w:val="both"/>
        <w:rPr>
          <w:rFonts w:ascii="Calibri" w:eastAsia="Calibri" w:hAnsi="Calibri" w:cs="Calibri"/>
          <w:sz w:val="20"/>
          <w:szCs w:val="20"/>
        </w:rPr>
      </w:pPr>
      <w:r>
        <w:rPr>
          <w:rFonts w:ascii="Calibri" w:eastAsia="Calibri" w:hAnsi="Calibri" w:cs="Calibri"/>
          <w:sz w:val="20"/>
          <w:szCs w:val="20"/>
        </w:rPr>
        <w:fldChar w:fldCharType="end"/>
      </w:r>
    </w:p>
    <w:p w14:paraId="68090CD2" w14:textId="77777777" w:rsidR="00CF33D9" w:rsidRDefault="00CF33D9">
      <w:pPr>
        <w:spacing w:after="60"/>
        <w:jc w:val="both"/>
        <w:rPr>
          <w:rFonts w:ascii="Calibri" w:eastAsia="Calibri" w:hAnsi="Calibri" w:cs="Calibri"/>
          <w:sz w:val="20"/>
          <w:szCs w:val="20"/>
        </w:rPr>
      </w:pPr>
    </w:p>
    <w:p w14:paraId="68090CD3" w14:textId="77777777" w:rsidR="00CF33D9" w:rsidRDefault="00CF33D9">
      <w:pPr>
        <w:rPr>
          <w:rFonts w:ascii="Calibri" w:eastAsia="Calibri" w:hAnsi="Calibri" w:cs="Calibri"/>
          <w:b/>
          <w:sz w:val="20"/>
          <w:szCs w:val="20"/>
        </w:rPr>
      </w:pPr>
    </w:p>
    <w:p w14:paraId="68090CD4" w14:textId="77777777" w:rsidR="00CF33D9" w:rsidRDefault="00CF33D9">
      <w:pPr>
        <w:spacing w:after="60"/>
        <w:jc w:val="both"/>
        <w:rPr>
          <w:rFonts w:ascii="Calibri" w:eastAsia="Calibri" w:hAnsi="Calibri" w:cs="Calibri"/>
          <w:b/>
          <w:sz w:val="20"/>
          <w:szCs w:val="20"/>
        </w:rPr>
      </w:pPr>
    </w:p>
    <w:p w14:paraId="68090CD5" w14:textId="77777777" w:rsidR="00CF33D9" w:rsidRDefault="00E3332A">
      <w:pPr>
        <w:rPr>
          <w:rFonts w:ascii="Calibri" w:eastAsia="Calibri" w:hAnsi="Calibri" w:cs="Calibri"/>
          <w:b/>
          <w:sz w:val="20"/>
          <w:szCs w:val="20"/>
        </w:rPr>
      </w:pPr>
      <w:r>
        <w:rPr>
          <w:rFonts w:ascii="Calibri" w:eastAsia="Calibri" w:hAnsi="Calibri" w:cs="Calibri"/>
          <w:b/>
          <w:sz w:val="20"/>
          <w:szCs w:val="20"/>
        </w:rPr>
        <w:br w:type="page"/>
      </w:r>
    </w:p>
    <w:p w14:paraId="68090CD6" w14:textId="77777777" w:rsidR="00CF33D9" w:rsidRDefault="00E3332A">
      <w:pPr>
        <w:spacing w:after="60"/>
        <w:jc w:val="both"/>
        <w:rPr>
          <w:rFonts w:ascii="Calibri" w:eastAsia="Calibri" w:hAnsi="Calibri" w:cs="Calibri"/>
          <w:b/>
          <w:sz w:val="20"/>
          <w:szCs w:val="20"/>
        </w:rPr>
      </w:pPr>
      <w:r>
        <w:rPr>
          <w:rFonts w:ascii="Calibri" w:eastAsia="Calibri" w:hAnsi="Calibri" w:cs="Calibri"/>
          <w:b/>
          <w:sz w:val="20"/>
          <w:szCs w:val="20"/>
        </w:rPr>
        <w:lastRenderedPageBreak/>
        <w:t xml:space="preserve">Budget Notes </w:t>
      </w:r>
    </w:p>
    <w:p w14:paraId="68090CD7" w14:textId="77777777" w:rsidR="00CF33D9" w:rsidRDefault="00CF33D9">
      <w:pPr>
        <w:spacing w:after="60"/>
        <w:jc w:val="both"/>
        <w:rPr>
          <w:rFonts w:ascii="Calibri" w:eastAsia="Calibri" w:hAnsi="Calibri" w:cs="Calibri"/>
          <w:b/>
          <w:sz w:val="20"/>
          <w:szCs w:val="20"/>
        </w:rPr>
      </w:pPr>
    </w:p>
    <w:tbl>
      <w:tblPr>
        <w:tblW w:w="12560" w:type="dxa"/>
        <w:tblLook w:val="04A0" w:firstRow="1" w:lastRow="0" w:firstColumn="1" w:lastColumn="0" w:noHBand="0" w:noVBand="1"/>
      </w:tblPr>
      <w:tblGrid>
        <w:gridCol w:w="1151"/>
        <w:gridCol w:w="11187"/>
        <w:gridCol w:w="222"/>
      </w:tblGrid>
      <w:tr w:rsidR="007A7FA3" w14:paraId="1813E2BB" w14:textId="77777777" w:rsidTr="007A7FA3">
        <w:trPr>
          <w:gridAfter w:val="1"/>
          <w:wAfter w:w="36" w:type="dxa"/>
          <w:trHeight w:val="570"/>
        </w:trPr>
        <w:tc>
          <w:tcPr>
            <w:tcW w:w="1158" w:type="dxa"/>
            <w:tcBorders>
              <w:top w:val="single" w:sz="8" w:space="0" w:color="auto"/>
              <w:left w:val="single" w:sz="8" w:space="0" w:color="auto"/>
              <w:bottom w:val="single" w:sz="8" w:space="0" w:color="auto"/>
              <w:right w:val="single" w:sz="8" w:space="0" w:color="auto"/>
            </w:tcBorders>
            <w:shd w:val="clear" w:color="000000" w:fill="D0CECE"/>
            <w:vAlign w:val="center"/>
            <w:hideMark/>
          </w:tcPr>
          <w:p w14:paraId="4BD3DF29" w14:textId="77777777" w:rsidR="007A7FA3" w:rsidRDefault="007A7FA3">
            <w:pPr>
              <w:jc w:val="center"/>
              <w:rPr>
                <w:rFonts w:ascii="Calibri" w:hAnsi="Calibri" w:cs="Calibri"/>
                <w:b/>
                <w:bCs/>
                <w:color w:val="000000"/>
                <w:sz w:val="20"/>
                <w:szCs w:val="20"/>
              </w:rPr>
            </w:pPr>
            <w:r>
              <w:rPr>
                <w:rFonts w:ascii="Calibri" w:hAnsi="Calibri" w:cs="Calibri"/>
                <w:b/>
                <w:bCs/>
                <w:color w:val="000000"/>
                <w:sz w:val="20"/>
                <w:szCs w:val="20"/>
              </w:rPr>
              <w:t>Budget Note #</w:t>
            </w:r>
          </w:p>
        </w:tc>
        <w:tc>
          <w:tcPr>
            <w:tcW w:w="11366" w:type="dxa"/>
            <w:tcBorders>
              <w:top w:val="single" w:sz="8" w:space="0" w:color="auto"/>
              <w:left w:val="nil"/>
              <w:bottom w:val="single" w:sz="8" w:space="0" w:color="auto"/>
              <w:right w:val="single" w:sz="8" w:space="0" w:color="auto"/>
            </w:tcBorders>
            <w:shd w:val="clear" w:color="000000" w:fill="D0CECE"/>
            <w:vAlign w:val="center"/>
            <w:hideMark/>
          </w:tcPr>
          <w:p w14:paraId="1A24FD3E" w14:textId="77777777" w:rsidR="007A7FA3" w:rsidRDefault="007A7FA3">
            <w:pPr>
              <w:jc w:val="center"/>
              <w:rPr>
                <w:rFonts w:ascii="Calibri" w:hAnsi="Calibri" w:cs="Calibri"/>
                <w:b/>
                <w:bCs/>
                <w:color w:val="000000"/>
                <w:sz w:val="20"/>
                <w:szCs w:val="20"/>
              </w:rPr>
            </w:pPr>
            <w:r>
              <w:rPr>
                <w:rFonts w:ascii="Calibri" w:hAnsi="Calibri" w:cs="Calibri"/>
                <w:b/>
                <w:bCs/>
                <w:color w:val="000000"/>
                <w:sz w:val="20"/>
                <w:szCs w:val="20"/>
              </w:rPr>
              <w:t>Description</w:t>
            </w:r>
          </w:p>
        </w:tc>
      </w:tr>
      <w:tr w:rsidR="007A7FA3" w14:paraId="040AE30C" w14:textId="77777777" w:rsidTr="007A7FA3">
        <w:trPr>
          <w:gridAfter w:val="1"/>
          <w:wAfter w:w="36" w:type="dxa"/>
          <w:trHeight w:val="290"/>
        </w:trPr>
        <w:tc>
          <w:tcPr>
            <w:tcW w:w="1158" w:type="dxa"/>
            <w:vMerge w:val="restart"/>
            <w:tcBorders>
              <w:top w:val="nil"/>
              <w:left w:val="single" w:sz="8" w:space="0" w:color="auto"/>
              <w:bottom w:val="single" w:sz="8" w:space="0" w:color="000000"/>
              <w:right w:val="single" w:sz="8" w:space="0" w:color="auto"/>
            </w:tcBorders>
            <w:shd w:val="clear" w:color="auto" w:fill="auto"/>
            <w:vAlign w:val="center"/>
            <w:hideMark/>
          </w:tcPr>
          <w:p w14:paraId="4DEDE40B"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w:t>
            </w:r>
          </w:p>
        </w:tc>
        <w:tc>
          <w:tcPr>
            <w:tcW w:w="11366" w:type="dxa"/>
            <w:vMerge w:val="restart"/>
            <w:tcBorders>
              <w:top w:val="nil"/>
              <w:left w:val="single" w:sz="8" w:space="0" w:color="auto"/>
              <w:bottom w:val="single" w:sz="8" w:space="0" w:color="000000"/>
              <w:right w:val="single" w:sz="8" w:space="0" w:color="auto"/>
            </w:tcBorders>
            <w:shd w:val="clear" w:color="auto" w:fill="auto"/>
            <w:vAlign w:val="center"/>
            <w:hideMark/>
          </w:tcPr>
          <w:p w14:paraId="3A52581B"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 xml:space="preserve">International consultant to: (1) analyse legal framework of selected MPAs in three countries and assess gaps and weaknesses: $15,000; (2) develop selection criteria for new MPAs: $5,000; (3) drafting suggestions for improvement: $15,000; and (4) presentation of results at a training workshop: $5,000. </w:t>
            </w:r>
          </w:p>
        </w:tc>
      </w:tr>
      <w:tr w:rsidR="007A7FA3" w14:paraId="415D9FCA" w14:textId="77777777" w:rsidTr="007A7FA3">
        <w:trPr>
          <w:trHeight w:val="290"/>
        </w:trPr>
        <w:tc>
          <w:tcPr>
            <w:tcW w:w="1158" w:type="dxa"/>
            <w:vMerge/>
            <w:tcBorders>
              <w:top w:val="nil"/>
              <w:left w:val="single" w:sz="8" w:space="0" w:color="auto"/>
              <w:bottom w:val="single" w:sz="8" w:space="0" w:color="000000"/>
              <w:right w:val="single" w:sz="8" w:space="0" w:color="auto"/>
            </w:tcBorders>
            <w:vAlign w:val="center"/>
            <w:hideMark/>
          </w:tcPr>
          <w:p w14:paraId="30B4F1AB" w14:textId="77777777" w:rsidR="007A7FA3" w:rsidRDefault="007A7FA3">
            <w:pPr>
              <w:rPr>
                <w:rFonts w:ascii="Calibri" w:hAnsi="Calibri" w:cs="Calibri"/>
                <w:color w:val="000000"/>
                <w:sz w:val="20"/>
                <w:szCs w:val="20"/>
              </w:rPr>
            </w:pPr>
          </w:p>
        </w:tc>
        <w:tc>
          <w:tcPr>
            <w:tcW w:w="11366" w:type="dxa"/>
            <w:vMerge/>
            <w:tcBorders>
              <w:top w:val="nil"/>
              <w:left w:val="single" w:sz="8" w:space="0" w:color="auto"/>
              <w:bottom w:val="single" w:sz="8" w:space="0" w:color="000000"/>
              <w:right w:val="single" w:sz="8" w:space="0" w:color="auto"/>
            </w:tcBorders>
            <w:vAlign w:val="center"/>
            <w:hideMark/>
          </w:tcPr>
          <w:p w14:paraId="28A7EA57" w14:textId="77777777" w:rsidR="007A7FA3" w:rsidRDefault="007A7FA3">
            <w:pPr>
              <w:rPr>
                <w:rFonts w:ascii="Calibri" w:hAnsi="Calibri" w:cs="Calibri"/>
                <w:color w:val="000000"/>
                <w:sz w:val="20"/>
                <w:szCs w:val="20"/>
              </w:rPr>
            </w:pPr>
          </w:p>
        </w:tc>
        <w:tc>
          <w:tcPr>
            <w:tcW w:w="36" w:type="dxa"/>
            <w:tcBorders>
              <w:top w:val="nil"/>
              <w:left w:val="nil"/>
              <w:bottom w:val="nil"/>
              <w:right w:val="nil"/>
            </w:tcBorders>
            <w:shd w:val="clear" w:color="auto" w:fill="auto"/>
            <w:noWrap/>
            <w:vAlign w:val="bottom"/>
            <w:hideMark/>
          </w:tcPr>
          <w:p w14:paraId="4CD5CE71" w14:textId="77777777" w:rsidR="007A7FA3" w:rsidRDefault="007A7FA3">
            <w:pPr>
              <w:jc w:val="both"/>
              <w:rPr>
                <w:rFonts w:ascii="Calibri" w:hAnsi="Calibri" w:cs="Calibri"/>
                <w:color w:val="000000"/>
                <w:sz w:val="20"/>
                <w:szCs w:val="20"/>
              </w:rPr>
            </w:pPr>
          </w:p>
        </w:tc>
      </w:tr>
      <w:tr w:rsidR="007A7FA3" w14:paraId="26BADB45" w14:textId="77777777" w:rsidTr="007A7FA3">
        <w:trPr>
          <w:trHeight w:val="300"/>
        </w:trPr>
        <w:tc>
          <w:tcPr>
            <w:tcW w:w="1158" w:type="dxa"/>
            <w:vMerge/>
            <w:tcBorders>
              <w:top w:val="nil"/>
              <w:left w:val="single" w:sz="8" w:space="0" w:color="auto"/>
              <w:bottom w:val="single" w:sz="8" w:space="0" w:color="000000"/>
              <w:right w:val="single" w:sz="8" w:space="0" w:color="auto"/>
            </w:tcBorders>
            <w:vAlign w:val="center"/>
            <w:hideMark/>
          </w:tcPr>
          <w:p w14:paraId="3FC7E0F3" w14:textId="77777777" w:rsidR="007A7FA3" w:rsidRDefault="007A7FA3">
            <w:pPr>
              <w:rPr>
                <w:rFonts w:ascii="Calibri" w:hAnsi="Calibri" w:cs="Calibri"/>
                <w:color w:val="000000"/>
                <w:sz w:val="20"/>
                <w:szCs w:val="20"/>
              </w:rPr>
            </w:pPr>
          </w:p>
        </w:tc>
        <w:tc>
          <w:tcPr>
            <w:tcW w:w="11366" w:type="dxa"/>
            <w:vMerge/>
            <w:tcBorders>
              <w:top w:val="nil"/>
              <w:left w:val="single" w:sz="8" w:space="0" w:color="auto"/>
              <w:bottom w:val="single" w:sz="8" w:space="0" w:color="000000"/>
              <w:right w:val="single" w:sz="8" w:space="0" w:color="auto"/>
            </w:tcBorders>
            <w:vAlign w:val="center"/>
            <w:hideMark/>
          </w:tcPr>
          <w:p w14:paraId="720D9893" w14:textId="77777777" w:rsidR="007A7FA3" w:rsidRDefault="007A7FA3">
            <w:pPr>
              <w:rPr>
                <w:rFonts w:ascii="Calibri" w:hAnsi="Calibri" w:cs="Calibri"/>
                <w:color w:val="000000"/>
                <w:sz w:val="20"/>
                <w:szCs w:val="20"/>
              </w:rPr>
            </w:pPr>
          </w:p>
        </w:tc>
        <w:tc>
          <w:tcPr>
            <w:tcW w:w="36" w:type="dxa"/>
            <w:tcBorders>
              <w:top w:val="nil"/>
              <w:left w:val="nil"/>
              <w:bottom w:val="nil"/>
              <w:right w:val="nil"/>
            </w:tcBorders>
            <w:shd w:val="clear" w:color="auto" w:fill="auto"/>
            <w:noWrap/>
            <w:vAlign w:val="bottom"/>
            <w:hideMark/>
          </w:tcPr>
          <w:p w14:paraId="0EA3387D" w14:textId="77777777" w:rsidR="007A7FA3" w:rsidRDefault="007A7FA3">
            <w:pPr>
              <w:rPr>
                <w:sz w:val="20"/>
                <w:szCs w:val="20"/>
              </w:rPr>
            </w:pPr>
          </w:p>
        </w:tc>
      </w:tr>
      <w:tr w:rsidR="007A7FA3" w14:paraId="059AD765" w14:textId="77777777" w:rsidTr="007A7FA3">
        <w:trPr>
          <w:trHeight w:val="53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697AA0F5"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2</w:t>
            </w:r>
          </w:p>
        </w:tc>
        <w:tc>
          <w:tcPr>
            <w:tcW w:w="11366" w:type="dxa"/>
            <w:tcBorders>
              <w:top w:val="nil"/>
              <w:left w:val="nil"/>
              <w:bottom w:val="single" w:sz="8" w:space="0" w:color="auto"/>
              <w:right w:val="single" w:sz="8" w:space="0" w:color="auto"/>
            </w:tcBorders>
            <w:shd w:val="clear" w:color="auto" w:fill="auto"/>
            <w:vAlign w:val="center"/>
            <w:hideMark/>
          </w:tcPr>
          <w:p w14:paraId="207DCE5E"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National consultants to: (1) assist international consultant to analyse national legislation: $15,000; (2) assist international consultant to draft recommendations: $10,000; and (3) assist international consultant at three national workshops: $5,000.</w:t>
            </w:r>
          </w:p>
        </w:tc>
        <w:tc>
          <w:tcPr>
            <w:tcW w:w="36" w:type="dxa"/>
            <w:vAlign w:val="center"/>
            <w:hideMark/>
          </w:tcPr>
          <w:p w14:paraId="1562AD30" w14:textId="77777777" w:rsidR="007A7FA3" w:rsidRDefault="007A7FA3">
            <w:pPr>
              <w:rPr>
                <w:sz w:val="20"/>
                <w:szCs w:val="20"/>
              </w:rPr>
            </w:pPr>
          </w:p>
        </w:tc>
      </w:tr>
      <w:tr w:rsidR="007A7FA3" w14:paraId="65F08A32" w14:textId="77777777" w:rsidTr="007A7FA3">
        <w:trPr>
          <w:trHeight w:val="290"/>
        </w:trPr>
        <w:tc>
          <w:tcPr>
            <w:tcW w:w="1158" w:type="dxa"/>
            <w:vMerge w:val="restart"/>
            <w:tcBorders>
              <w:top w:val="nil"/>
              <w:left w:val="single" w:sz="8" w:space="0" w:color="auto"/>
              <w:bottom w:val="single" w:sz="8" w:space="0" w:color="000000"/>
              <w:right w:val="single" w:sz="8" w:space="0" w:color="auto"/>
            </w:tcBorders>
            <w:shd w:val="clear" w:color="auto" w:fill="auto"/>
            <w:vAlign w:val="center"/>
            <w:hideMark/>
          </w:tcPr>
          <w:p w14:paraId="2045DFB6"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3</w:t>
            </w:r>
          </w:p>
        </w:tc>
        <w:tc>
          <w:tcPr>
            <w:tcW w:w="11366" w:type="dxa"/>
            <w:tcBorders>
              <w:top w:val="nil"/>
              <w:left w:val="nil"/>
              <w:bottom w:val="nil"/>
              <w:right w:val="single" w:sz="8" w:space="0" w:color="auto"/>
            </w:tcBorders>
            <w:shd w:val="clear" w:color="auto" w:fill="auto"/>
            <w:vAlign w:val="center"/>
            <w:hideMark/>
          </w:tcPr>
          <w:p w14:paraId="33A40E6D"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Travel expenses (including flights and DSA) for the international expert: $15,000</w:t>
            </w:r>
          </w:p>
        </w:tc>
        <w:tc>
          <w:tcPr>
            <w:tcW w:w="36" w:type="dxa"/>
            <w:vAlign w:val="center"/>
            <w:hideMark/>
          </w:tcPr>
          <w:p w14:paraId="37CA461D" w14:textId="77777777" w:rsidR="007A7FA3" w:rsidRDefault="007A7FA3">
            <w:pPr>
              <w:rPr>
                <w:sz w:val="20"/>
                <w:szCs w:val="20"/>
              </w:rPr>
            </w:pPr>
          </w:p>
        </w:tc>
      </w:tr>
      <w:tr w:rsidR="007A7FA3" w14:paraId="3C54D7DA" w14:textId="77777777" w:rsidTr="007A7FA3">
        <w:trPr>
          <w:trHeight w:val="300"/>
        </w:trPr>
        <w:tc>
          <w:tcPr>
            <w:tcW w:w="1158" w:type="dxa"/>
            <w:vMerge/>
            <w:tcBorders>
              <w:top w:val="nil"/>
              <w:left w:val="single" w:sz="8" w:space="0" w:color="auto"/>
              <w:bottom w:val="single" w:sz="8" w:space="0" w:color="000000"/>
              <w:right w:val="single" w:sz="8" w:space="0" w:color="auto"/>
            </w:tcBorders>
            <w:vAlign w:val="center"/>
            <w:hideMark/>
          </w:tcPr>
          <w:p w14:paraId="57F27AD3" w14:textId="77777777" w:rsidR="007A7FA3" w:rsidRDefault="007A7FA3">
            <w:pPr>
              <w:rPr>
                <w:rFonts w:ascii="Calibri" w:hAnsi="Calibri" w:cs="Calibri"/>
                <w:color w:val="000000"/>
                <w:sz w:val="20"/>
                <w:szCs w:val="20"/>
              </w:rPr>
            </w:pPr>
          </w:p>
        </w:tc>
        <w:tc>
          <w:tcPr>
            <w:tcW w:w="11366" w:type="dxa"/>
            <w:tcBorders>
              <w:top w:val="nil"/>
              <w:left w:val="nil"/>
              <w:bottom w:val="single" w:sz="8" w:space="0" w:color="auto"/>
              <w:right w:val="single" w:sz="8" w:space="0" w:color="auto"/>
            </w:tcBorders>
            <w:shd w:val="clear" w:color="auto" w:fill="auto"/>
            <w:vAlign w:val="center"/>
            <w:hideMark/>
          </w:tcPr>
          <w:p w14:paraId="0C5EE89E"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Travel of national consultants to attend national workshops: $5,000</w:t>
            </w:r>
          </w:p>
        </w:tc>
        <w:tc>
          <w:tcPr>
            <w:tcW w:w="36" w:type="dxa"/>
            <w:vAlign w:val="center"/>
            <w:hideMark/>
          </w:tcPr>
          <w:p w14:paraId="300EA175" w14:textId="77777777" w:rsidR="007A7FA3" w:rsidRDefault="007A7FA3">
            <w:pPr>
              <w:rPr>
                <w:sz w:val="20"/>
                <w:szCs w:val="20"/>
              </w:rPr>
            </w:pPr>
          </w:p>
        </w:tc>
      </w:tr>
      <w:tr w:rsidR="007A7FA3" w14:paraId="47A6ECA4"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1DE99193"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4</w:t>
            </w:r>
          </w:p>
        </w:tc>
        <w:tc>
          <w:tcPr>
            <w:tcW w:w="11366" w:type="dxa"/>
            <w:tcBorders>
              <w:top w:val="nil"/>
              <w:left w:val="nil"/>
              <w:bottom w:val="single" w:sz="8" w:space="0" w:color="auto"/>
              <w:right w:val="single" w:sz="8" w:space="0" w:color="auto"/>
            </w:tcBorders>
            <w:shd w:val="clear" w:color="auto" w:fill="auto"/>
            <w:vAlign w:val="center"/>
            <w:hideMark/>
          </w:tcPr>
          <w:p w14:paraId="248283E7"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Contractual services to company to provide logistical support and interpretation: $6,000</w:t>
            </w:r>
          </w:p>
        </w:tc>
        <w:tc>
          <w:tcPr>
            <w:tcW w:w="36" w:type="dxa"/>
            <w:vAlign w:val="center"/>
            <w:hideMark/>
          </w:tcPr>
          <w:p w14:paraId="3E0B040B" w14:textId="77777777" w:rsidR="007A7FA3" w:rsidRDefault="007A7FA3">
            <w:pPr>
              <w:rPr>
                <w:sz w:val="20"/>
                <w:szCs w:val="20"/>
              </w:rPr>
            </w:pPr>
          </w:p>
        </w:tc>
      </w:tr>
      <w:tr w:rsidR="007A7FA3" w14:paraId="452BB6FC"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69D136D4"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5</w:t>
            </w:r>
          </w:p>
        </w:tc>
        <w:tc>
          <w:tcPr>
            <w:tcW w:w="11366" w:type="dxa"/>
            <w:tcBorders>
              <w:top w:val="nil"/>
              <w:left w:val="nil"/>
              <w:bottom w:val="single" w:sz="8" w:space="0" w:color="auto"/>
              <w:right w:val="single" w:sz="8" w:space="0" w:color="auto"/>
            </w:tcBorders>
            <w:shd w:val="clear" w:color="auto" w:fill="auto"/>
            <w:vAlign w:val="center"/>
            <w:hideMark/>
          </w:tcPr>
          <w:p w14:paraId="1A314865"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Hiring of audio-visual equipment for workshops: $4,000</w:t>
            </w:r>
          </w:p>
        </w:tc>
        <w:tc>
          <w:tcPr>
            <w:tcW w:w="36" w:type="dxa"/>
            <w:vAlign w:val="center"/>
            <w:hideMark/>
          </w:tcPr>
          <w:p w14:paraId="6FB31B50" w14:textId="77777777" w:rsidR="007A7FA3" w:rsidRDefault="007A7FA3">
            <w:pPr>
              <w:rPr>
                <w:sz w:val="20"/>
                <w:szCs w:val="20"/>
              </w:rPr>
            </w:pPr>
          </w:p>
        </w:tc>
      </w:tr>
      <w:tr w:rsidR="007A7FA3" w14:paraId="6BA2D19E" w14:textId="77777777" w:rsidTr="007A7FA3">
        <w:trPr>
          <w:trHeight w:val="79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3917C32E"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6</w:t>
            </w:r>
          </w:p>
        </w:tc>
        <w:tc>
          <w:tcPr>
            <w:tcW w:w="11366" w:type="dxa"/>
            <w:tcBorders>
              <w:top w:val="nil"/>
              <w:left w:val="nil"/>
              <w:bottom w:val="single" w:sz="8" w:space="0" w:color="auto"/>
              <w:right w:val="single" w:sz="8" w:space="0" w:color="auto"/>
            </w:tcBorders>
            <w:shd w:val="clear" w:color="auto" w:fill="auto"/>
            <w:vAlign w:val="center"/>
            <w:hideMark/>
          </w:tcPr>
          <w:p w14:paraId="5FA7892F"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International Consultant: (1) Prepare report on management needs in MPAs and selected coastal ecosystem ($10,000);  (2) Propose best suitable option for management plan in MPAs ($20,000); (3) Guide preparation of MPA management plans ($50,000). Project Manager (MP) will participate in the activities of this output, and the amount of $40,000 will be paid as his/her salary.</w:t>
            </w:r>
          </w:p>
        </w:tc>
        <w:tc>
          <w:tcPr>
            <w:tcW w:w="36" w:type="dxa"/>
            <w:vAlign w:val="center"/>
            <w:hideMark/>
          </w:tcPr>
          <w:p w14:paraId="3946C93C" w14:textId="77777777" w:rsidR="007A7FA3" w:rsidRDefault="007A7FA3">
            <w:pPr>
              <w:rPr>
                <w:sz w:val="20"/>
                <w:szCs w:val="20"/>
              </w:rPr>
            </w:pPr>
          </w:p>
        </w:tc>
      </w:tr>
      <w:tr w:rsidR="007A7FA3" w14:paraId="54DAC36B" w14:textId="77777777" w:rsidTr="007A7FA3">
        <w:trPr>
          <w:trHeight w:val="53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60509DE5"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7</w:t>
            </w:r>
          </w:p>
        </w:tc>
        <w:tc>
          <w:tcPr>
            <w:tcW w:w="11366" w:type="dxa"/>
            <w:tcBorders>
              <w:top w:val="nil"/>
              <w:left w:val="nil"/>
              <w:bottom w:val="single" w:sz="8" w:space="0" w:color="auto"/>
              <w:right w:val="single" w:sz="8" w:space="0" w:color="auto"/>
            </w:tcBorders>
            <w:shd w:val="clear" w:color="auto" w:fill="auto"/>
            <w:vAlign w:val="center"/>
            <w:hideMark/>
          </w:tcPr>
          <w:p w14:paraId="0FC65201"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Contractual Services-Individuals: National consultants will be hired to participate in development of MPAs management plans ($63,000). National Coordinators will participate in the activities of this output and $30,000 will be paid as their salary.</w:t>
            </w:r>
          </w:p>
        </w:tc>
        <w:tc>
          <w:tcPr>
            <w:tcW w:w="36" w:type="dxa"/>
            <w:vAlign w:val="center"/>
            <w:hideMark/>
          </w:tcPr>
          <w:p w14:paraId="4644B4D9" w14:textId="77777777" w:rsidR="007A7FA3" w:rsidRDefault="007A7FA3">
            <w:pPr>
              <w:rPr>
                <w:sz w:val="20"/>
                <w:szCs w:val="20"/>
              </w:rPr>
            </w:pPr>
          </w:p>
        </w:tc>
      </w:tr>
      <w:tr w:rsidR="007A7FA3" w14:paraId="7908DACE"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6787D0DC"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8</w:t>
            </w:r>
          </w:p>
        </w:tc>
        <w:tc>
          <w:tcPr>
            <w:tcW w:w="11366" w:type="dxa"/>
            <w:tcBorders>
              <w:top w:val="nil"/>
              <w:left w:val="nil"/>
              <w:bottom w:val="single" w:sz="8" w:space="0" w:color="auto"/>
              <w:right w:val="single" w:sz="8" w:space="0" w:color="auto"/>
            </w:tcBorders>
            <w:shd w:val="clear" w:color="auto" w:fill="auto"/>
            <w:vAlign w:val="center"/>
            <w:hideMark/>
          </w:tcPr>
          <w:p w14:paraId="606484D3"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Travel to MPAs for development and consultations on management plans ($48,300)</w:t>
            </w:r>
          </w:p>
        </w:tc>
        <w:tc>
          <w:tcPr>
            <w:tcW w:w="36" w:type="dxa"/>
            <w:vAlign w:val="center"/>
            <w:hideMark/>
          </w:tcPr>
          <w:p w14:paraId="0B488AFE" w14:textId="77777777" w:rsidR="007A7FA3" w:rsidRDefault="007A7FA3">
            <w:pPr>
              <w:rPr>
                <w:sz w:val="20"/>
                <w:szCs w:val="20"/>
              </w:rPr>
            </w:pPr>
          </w:p>
        </w:tc>
      </w:tr>
      <w:tr w:rsidR="007A7FA3" w14:paraId="554D4C93" w14:textId="77777777" w:rsidTr="007A7FA3">
        <w:trPr>
          <w:trHeight w:val="53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63BF1B4D"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9</w:t>
            </w:r>
          </w:p>
        </w:tc>
        <w:tc>
          <w:tcPr>
            <w:tcW w:w="11366" w:type="dxa"/>
            <w:tcBorders>
              <w:top w:val="nil"/>
              <w:left w:val="nil"/>
              <w:bottom w:val="single" w:sz="8" w:space="0" w:color="auto"/>
              <w:right w:val="single" w:sz="8" w:space="0" w:color="auto"/>
            </w:tcBorders>
            <w:shd w:val="clear" w:color="auto" w:fill="auto"/>
            <w:vAlign w:val="center"/>
            <w:hideMark/>
          </w:tcPr>
          <w:p w14:paraId="35874C97"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Contractual services-Companies: Local companies will be contracted to provide technical and logistical support to MPA management teams ($65,000)</w:t>
            </w:r>
          </w:p>
        </w:tc>
        <w:tc>
          <w:tcPr>
            <w:tcW w:w="36" w:type="dxa"/>
            <w:vAlign w:val="center"/>
            <w:hideMark/>
          </w:tcPr>
          <w:p w14:paraId="2291FAC0" w14:textId="77777777" w:rsidR="007A7FA3" w:rsidRDefault="007A7FA3">
            <w:pPr>
              <w:rPr>
                <w:sz w:val="20"/>
                <w:szCs w:val="20"/>
              </w:rPr>
            </w:pPr>
          </w:p>
        </w:tc>
      </w:tr>
      <w:tr w:rsidR="007A7FA3" w14:paraId="494233B1"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117F7F6B"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10</w:t>
            </w:r>
          </w:p>
        </w:tc>
        <w:tc>
          <w:tcPr>
            <w:tcW w:w="11366" w:type="dxa"/>
            <w:tcBorders>
              <w:top w:val="nil"/>
              <w:left w:val="nil"/>
              <w:bottom w:val="single" w:sz="8" w:space="0" w:color="auto"/>
              <w:right w:val="single" w:sz="8" w:space="0" w:color="auto"/>
            </w:tcBorders>
            <w:shd w:val="clear" w:color="auto" w:fill="auto"/>
            <w:vAlign w:val="center"/>
            <w:hideMark/>
          </w:tcPr>
          <w:p w14:paraId="6347E171"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Audio visual equipment, premises and interpretation services for presentations and consultations at MPA sites ($41,000)</w:t>
            </w:r>
          </w:p>
        </w:tc>
        <w:tc>
          <w:tcPr>
            <w:tcW w:w="36" w:type="dxa"/>
            <w:vAlign w:val="center"/>
            <w:hideMark/>
          </w:tcPr>
          <w:p w14:paraId="57A0A762" w14:textId="77777777" w:rsidR="007A7FA3" w:rsidRDefault="007A7FA3">
            <w:pPr>
              <w:rPr>
                <w:sz w:val="20"/>
                <w:szCs w:val="20"/>
              </w:rPr>
            </w:pPr>
          </w:p>
        </w:tc>
      </w:tr>
      <w:tr w:rsidR="007A7FA3" w14:paraId="2ED22C43" w14:textId="77777777" w:rsidTr="007A7FA3">
        <w:trPr>
          <w:trHeight w:val="79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0BC5E605"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11</w:t>
            </w:r>
          </w:p>
        </w:tc>
        <w:tc>
          <w:tcPr>
            <w:tcW w:w="11366" w:type="dxa"/>
            <w:tcBorders>
              <w:top w:val="nil"/>
              <w:left w:val="nil"/>
              <w:bottom w:val="single" w:sz="8" w:space="0" w:color="auto"/>
              <w:right w:val="single" w:sz="8" w:space="0" w:color="auto"/>
            </w:tcBorders>
            <w:shd w:val="clear" w:color="auto" w:fill="auto"/>
            <w:vAlign w:val="center"/>
            <w:hideMark/>
          </w:tcPr>
          <w:p w14:paraId="421603B1"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International Consultants: (1) To prepare framework for integration of MSP into national planning and development frameworks ($15,300); (2) Delivery of MSP capacity building programme ($15,000). This activity will be carried out by the Project Manager and the proposed amount will be paid as his/her regular salary.</w:t>
            </w:r>
          </w:p>
        </w:tc>
        <w:tc>
          <w:tcPr>
            <w:tcW w:w="36" w:type="dxa"/>
            <w:vAlign w:val="center"/>
            <w:hideMark/>
          </w:tcPr>
          <w:p w14:paraId="619867C7" w14:textId="77777777" w:rsidR="007A7FA3" w:rsidRDefault="007A7FA3">
            <w:pPr>
              <w:rPr>
                <w:sz w:val="20"/>
                <w:szCs w:val="20"/>
              </w:rPr>
            </w:pPr>
          </w:p>
        </w:tc>
      </w:tr>
      <w:tr w:rsidR="007A7FA3" w14:paraId="53951D83" w14:textId="77777777" w:rsidTr="007A7FA3">
        <w:trPr>
          <w:trHeight w:val="53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4FF8E08E"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12</w:t>
            </w:r>
          </w:p>
        </w:tc>
        <w:tc>
          <w:tcPr>
            <w:tcW w:w="11366" w:type="dxa"/>
            <w:tcBorders>
              <w:top w:val="nil"/>
              <w:left w:val="nil"/>
              <w:bottom w:val="single" w:sz="8" w:space="0" w:color="auto"/>
              <w:right w:val="single" w:sz="8" w:space="0" w:color="auto"/>
            </w:tcBorders>
            <w:shd w:val="clear" w:color="auto" w:fill="auto"/>
            <w:vAlign w:val="center"/>
            <w:hideMark/>
          </w:tcPr>
          <w:p w14:paraId="19CB75BD"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Local Consultants: Assistance to International Consultant and preparation of national legal frameworks for MSP in three countries ($35,800). National Coordinators will participate in the activities of this output and this amount will be paid as their salary.</w:t>
            </w:r>
          </w:p>
        </w:tc>
        <w:tc>
          <w:tcPr>
            <w:tcW w:w="36" w:type="dxa"/>
            <w:vAlign w:val="center"/>
            <w:hideMark/>
          </w:tcPr>
          <w:p w14:paraId="2D709872" w14:textId="77777777" w:rsidR="007A7FA3" w:rsidRDefault="007A7FA3">
            <w:pPr>
              <w:rPr>
                <w:sz w:val="20"/>
                <w:szCs w:val="20"/>
              </w:rPr>
            </w:pPr>
          </w:p>
        </w:tc>
      </w:tr>
      <w:tr w:rsidR="007A7FA3" w14:paraId="22D723CC"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1A9A0B1A"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13</w:t>
            </w:r>
          </w:p>
        </w:tc>
        <w:tc>
          <w:tcPr>
            <w:tcW w:w="11366" w:type="dxa"/>
            <w:tcBorders>
              <w:top w:val="nil"/>
              <w:left w:val="nil"/>
              <w:bottom w:val="single" w:sz="8" w:space="0" w:color="auto"/>
              <w:right w:val="single" w:sz="8" w:space="0" w:color="auto"/>
            </w:tcBorders>
            <w:shd w:val="clear" w:color="auto" w:fill="auto"/>
            <w:vAlign w:val="center"/>
            <w:hideMark/>
          </w:tcPr>
          <w:p w14:paraId="22A89620"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Travel: International travel and local travel to countries ($37,000)</w:t>
            </w:r>
          </w:p>
        </w:tc>
        <w:tc>
          <w:tcPr>
            <w:tcW w:w="36" w:type="dxa"/>
            <w:vAlign w:val="center"/>
            <w:hideMark/>
          </w:tcPr>
          <w:p w14:paraId="38940D83" w14:textId="77777777" w:rsidR="007A7FA3" w:rsidRDefault="007A7FA3">
            <w:pPr>
              <w:rPr>
                <w:sz w:val="20"/>
                <w:szCs w:val="20"/>
              </w:rPr>
            </w:pPr>
          </w:p>
        </w:tc>
      </w:tr>
      <w:tr w:rsidR="007A7FA3" w14:paraId="7D639A95" w14:textId="77777777" w:rsidTr="007A7FA3">
        <w:trPr>
          <w:trHeight w:val="53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32850E58"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14</w:t>
            </w:r>
          </w:p>
        </w:tc>
        <w:tc>
          <w:tcPr>
            <w:tcW w:w="11366" w:type="dxa"/>
            <w:tcBorders>
              <w:top w:val="nil"/>
              <w:left w:val="nil"/>
              <w:bottom w:val="single" w:sz="8" w:space="0" w:color="auto"/>
              <w:right w:val="single" w:sz="8" w:space="0" w:color="auto"/>
            </w:tcBorders>
            <w:shd w:val="clear" w:color="auto" w:fill="auto"/>
            <w:vAlign w:val="center"/>
            <w:hideMark/>
          </w:tcPr>
          <w:p w14:paraId="35841984"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Contractual Services-Companies: Local companies will be hired to assist in consultation on MSP frameworks, offer technical and logistical support for consultation events ($28,000)</w:t>
            </w:r>
          </w:p>
        </w:tc>
        <w:tc>
          <w:tcPr>
            <w:tcW w:w="36" w:type="dxa"/>
            <w:vAlign w:val="center"/>
            <w:hideMark/>
          </w:tcPr>
          <w:p w14:paraId="27D3A4BC" w14:textId="77777777" w:rsidR="007A7FA3" w:rsidRDefault="007A7FA3">
            <w:pPr>
              <w:rPr>
                <w:sz w:val="20"/>
                <w:szCs w:val="20"/>
              </w:rPr>
            </w:pPr>
          </w:p>
        </w:tc>
      </w:tr>
      <w:tr w:rsidR="007A7FA3" w14:paraId="5751265B"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712E419C"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15</w:t>
            </w:r>
          </w:p>
        </w:tc>
        <w:tc>
          <w:tcPr>
            <w:tcW w:w="11366" w:type="dxa"/>
            <w:tcBorders>
              <w:top w:val="nil"/>
              <w:left w:val="nil"/>
              <w:bottom w:val="single" w:sz="8" w:space="0" w:color="auto"/>
              <w:right w:val="single" w:sz="8" w:space="0" w:color="auto"/>
            </w:tcBorders>
            <w:shd w:val="clear" w:color="auto" w:fill="auto"/>
            <w:vAlign w:val="center"/>
            <w:hideMark/>
          </w:tcPr>
          <w:p w14:paraId="1697E4B3"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Communication and Audio-visual: Renting of premises and interpretation services and equipment ($18,100)</w:t>
            </w:r>
          </w:p>
        </w:tc>
        <w:tc>
          <w:tcPr>
            <w:tcW w:w="36" w:type="dxa"/>
            <w:vAlign w:val="center"/>
            <w:hideMark/>
          </w:tcPr>
          <w:p w14:paraId="5C2D7793" w14:textId="77777777" w:rsidR="007A7FA3" w:rsidRDefault="007A7FA3">
            <w:pPr>
              <w:rPr>
                <w:sz w:val="20"/>
                <w:szCs w:val="20"/>
              </w:rPr>
            </w:pPr>
          </w:p>
        </w:tc>
      </w:tr>
      <w:tr w:rsidR="007A7FA3" w14:paraId="017AE222" w14:textId="77777777" w:rsidTr="007A7FA3">
        <w:trPr>
          <w:trHeight w:val="105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5F3956BC"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lastRenderedPageBreak/>
              <w:t>16</w:t>
            </w:r>
          </w:p>
        </w:tc>
        <w:tc>
          <w:tcPr>
            <w:tcW w:w="11366" w:type="dxa"/>
            <w:tcBorders>
              <w:top w:val="nil"/>
              <w:left w:val="nil"/>
              <w:bottom w:val="single" w:sz="8" w:space="0" w:color="auto"/>
              <w:right w:val="single" w:sz="8" w:space="0" w:color="auto"/>
            </w:tcBorders>
            <w:shd w:val="clear" w:color="auto" w:fill="auto"/>
            <w:vAlign w:val="center"/>
            <w:hideMark/>
          </w:tcPr>
          <w:p w14:paraId="35C156CB"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International Consultant: (1) Consultant to prepare MSP implementation guidelines ($20,000); (2) Guide the development of MSP transboundary plans ($50,500). This activity will be carried out by the Project Manager and the proposed amount will be paid as his/her regular salary: (3) Technical assistance to MSP process ($50,000). This activity will be carried out by the Chief Technical Advisor (CTA) and the proposed amount will be paid as his/her regular salary</w:t>
            </w:r>
          </w:p>
        </w:tc>
        <w:tc>
          <w:tcPr>
            <w:tcW w:w="36" w:type="dxa"/>
            <w:vAlign w:val="center"/>
            <w:hideMark/>
          </w:tcPr>
          <w:p w14:paraId="552B842F" w14:textId="77777777" w:rsidR="007A7FA3" w:rsidRDefault="007A7FA3">
            <w:pPr>
              <w:rPr>
                <w:sz w:val="20"/>
                <w:szCs w:val="20"/>
              </w:rPr>
            </w:pPr>
          </w:p>
        </w:tc>
      </w:tr>
      <w:tr w:rsidR="007A7FA3" w14:paraId="7624D255" w14:textId="77777777" w:rsidTr="007A7FA3">
        <w:trPr>
          <w:trHeight w:val="53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6241EAC5"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17</w:t>
            </w:r>
          </w:p>
        </w:tc>
        <w:tc>
          <w:tcPr>
            <w:tcW w:w="11366" w:type="dxa"/>
            <w:tcBorders>
              <w:top w:val="nil"/>
              <w:left w:val="nil"/>
              <w:bottom w:val="single" w:sz="8" w:space="0" w:color="auto"/>
              <w:right w:val="single" w:sz="8" w:space="0" w:color="auto"/>
            </w:tcBorders>
            <w:shd w:val="clear" w:color="auto" w:fill="auto"/>
            <w:vAlign w:val="center"/>
            <w:hideMark/>
          </w:tcPr>
          <w:p w14:paraId="15D87F28"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Local Consultants: (1) National Coordinators will participate in development of MSP plans ($64,000). This amount will be paid as part of their regular salary. (2) Assist in preparation of MSP plans ($40,000).</w:t>
            </w:r>
          </w:p>
        </w:tc>
        <w:tc>
          <w:tcPr>
            <w:tcW w:w="36" w:type="dxa"/>
            <w:vAlign w:val="center"/>
            <w:hideMark/>
          </w:tcPr>
          <w:p w14:paraId="2D92DC94" w14:textId="77777777" w:rsidR="007A7FA3" w:rsidRDefault="007A7FA3">
            <w:pPr>
              <w:rPr>
                <w:sz w:val="20"/>
                <w:szCs w:val="20"/>
              </w:rPr>
            </w:pPr>
          </w:p>
        </w:tc>
      </w:tr>
      <w:tr w:rsidR="007A7FA3" w14:paraId="18FCB910"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7DA60C66"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18</w:t>
            </w:r>
          </w:p>
        </w:tc>
        <w:tc>
          <w:tcPr>
            <w:tcW w:w="11366" w:type="dxa"/>
            <w:tcBorders>
              <w:top w:val="nil"/>
              <w:left w:val="nil"/>
              <w:bottom w:val="single" w:sz="8" w:space="0" w:color="auto"/>
              <w:right w:val="single" w:sz="8" w:space="0" w:color="auto"/>
            </w:tcBorders>
            <w:shd w:val="clear" w:color="auto" w:fill="auto"/>
            <w:vAlign w:val="center"/>
            <w:hideMark/>
          </w:tcPr>
          <w:p w14:paraId="66369944"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Travel: International travel and travel to MSP plans’ sites ($65,000)</w:t>
            </w:r>
          </w:p>
        </w:tc>
        <w:tc>
          <w:tcPr>
            <w:tcW w:w="36" w:type="dxa"/>
            <w:vAlign w:val="center"/>
            <w:hideMark/>
          </w:tcPr>
          <w:p w14:paraId="57A2BB6A" w14:textId="77777777" w:rsidR="007A7FA3" w:rsidRDefault="007A7FA3">
            <w:pPr>
              <w:rPr>
                <w:sz w:val="20"/>
                <w:szCs w:val="20"/>
              </w:rPr>
            </w:pPr>
          </w:p>
        </w:tc>
      </w:tr>
      <w:tr w:rsidR="007A7FA3" w14:paraId="5C26F5E2" w14:textId="77777777" w:rsidTr="007A7FA3">
        <w:trPr>
          <w:trHeight w:val="53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32544F57"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19</w:t>
            </w:r>
          </w:p>
        </w:tc>
        <w:tc>
          <w:tcPr>
            <w:tcW w:w="11366" w:type="dxa"/>
            <w:tcBorders>
              <w:top w:val="nil"/>
              <w:left w:val="nil"/>
              <w:bottom w:val="single" w:sz="8" w:space="0" w:color="auto"/>
              <w:right w:val="single" w:sz="8" w:space="0" w:color="auto"/>
            </w:tcBorders>
            <w:shd w:val="clear" w:color="auto" w:fill="auto"/>
            <w:vAlign w:val="center"/>
            <w:hideMark/>
          </w:tcPr>
          <w:p w14:paraId="67747CBE"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Contractual Services-Companies: Local companies to be contracted to assist preparation of plans as well as to offer technical and logistical support for consultation meetings ($64,000)</w:t>
            </w:r>
          </w:p>
        </w:tc>
        <w:tc>
          <w:tcPr>
            <w:tcW w:w="36" w:type="dxa"/>
            <w:vAlign w:val="center"/>
            <w:hideMark/>
          </w:tcPr>
          <w:p w14:paraId="7AE27171" w14:textId="77777777" w:rsidR="007A7FA3" w:rsidRDefault="007A7FA3">
            <w:pPr>
              <w:rPr>
                <w:sz w:val="20"/>
                <w:szCs w:val="20"/>
              </w:rPr>
            </w:pPr>
          </w:p>
        </w:tc>
      </w:tr>
      <w:tr w:rsidR="007A7FA3" w14:paraId="1F7784CF"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5DB3C66D"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20</w:t>
            </w:r>
          </w:p>
        </w:tc>
        <w:tc>
          <w:tcPr>
            <w:tcW w:w="11366" w:type="dxa"/>
            <w:tcBorders>
              <w:top w:val="nil"/>
              <w:left w:val="nil"/>
              <w:bottom w:val="single" w:sz="8" w:space="0" w:color="auto"/>
              <w:right w:val="single" w:sz="8" w:space="0" w:color="auto"/>
            </w:tcBorders>
            <w:shd w:val="clear" w:color="auto" w:fill="auto"/>
            <w:vAlign w:val="center"/>
            <w:hideMark/>
          </w:tcPr>
          <w:p w14:paraId="54D02FF1"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Audio-visual equipment: Equipment and interpretation services for consultation events ($26,500)</w:t>
            </w:r>
          </w:p>
        </w:tc>
        <w:tc>
          <w:tcPr>
            <w:tcW w:w="36" w:type="dxa"/>
            <w:vAlign w:val="center"/>
            <w:hideMark/>
          </w:tcPr>
          <w:p w14:paraId="51CC236A" w14:textId="77777777" w:rsidR="007A7FA3" w:rsidRDefault="007A7FA3">
            <w:pPr>
              <w:rPr>
                <w:sz w:val="20"/>
                <w:szCs w:val="20"/>
              </w:rPr>
            </w:pPr>
          </w:p>
        </w:tc>
      </w:tr>
      <w:tr w:rsidR="007A7FA3" w14:paraId="58464E55" w14:textId="77777777" w:rsidTr="007A7FA3">
        <w:trPr>
          <w:trHeight w:val="105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472EB0DF"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21</w:t>
            </w:r>
          </w:p>
        </w:tc>
        <w:tc>
          <w:tcPr>
            <w:tcW w:w="11366" w:type="dxa"/>
            <w:tcBorders>
              <w:top w:val="nil"/>
              <w:left w:val="nil"/>
              <w:bottom w:val="single" w:sz="8" w:space="0" w:color="auto"/>
              <w:right w:val="single" w:sz="8" w:space="0" w:color="auto"/>
            </w:tcBorders>
            <w:shd w:val="clear" w:color="auto" w:fill="auto"/>
            <w:vAlign w:val="center"/>
            <w:hideMark/>
          </w:tcPr>
          <w:p w14:paraId="65443346"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 xml:space="preserve">International Consultants: (1) Prepare analysis of the tourism status and development plans/solutions in BCLME and specifically for NIMPA demo project ($45,000). (2) Methodological guidance of the  NIMPA demo project ($45,000). This activity will be carried by CTA and the proposed amount will be paid as his/her regular salary (3) Support to identify and access available financial resources ($30,000). This activity will be carried out by the Project Manager and the proposed amount will be paid as his/her regular salary. </w:t>
            </w:r>
          </w:p>
        </w:tc>
        <w:tc>
          <w:tcPr>
            <w:tcW w:w="36" w:type="dxa"/>
            <w:vAlign w:val="center"/>
            <w:hideMark/>
          </w:tcPr>
          <w:p w14:paraId="04700396" w14:textId="77777777" w:rsidR="007A7FA3" w:rsidRDefault="007A7FA3">
            <w:pPr>
              <w:rPr>
                <w:sz w:val="20"/>
                <w:szCs w:val="20"/>
              </w:rPr>
            </w:pPr>
          </w:p>
        </w:tc>
      </w:tr>
      <w:tr w:rsidR="007A7FA3" w14:paraId="0EFB8E4B" w14:textId="77777777" w:rsidTr="007A7FA3">
        <w:trPr>
          <w:trHeight w:val="157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1C37FF9A"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22</w:t>
            </w:r>
          </w:p>
        </w:tc>
        <w:tc>
          <w:tcPr>
            <w:tcW w:w="11366" w:type="dxa"/>
            <w:tcBorders>
              <w:top w:val="nil"/>
              <w:left w:val="nil"/>
              <w:bottom w:val="single" w:sz="8" w:space="0" w:color="auto"/>
              <w:right w:val="single" w:sz="8" w:space="0" w:color="auto"/>
            </w:tcBorders>
            <w:shd w:val="clear" w:color="auto" w:fill="auto"/>
            <w:vAlign w:val="center"/>
            <w:hideMark/>
          </w:tcPr>
          <w:p w14:paraId="2B557FED"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Local Consultants: (1) Namibia National Coordinators assistance to NIMPA project ($30,000). This task will be performed by National Coordinators and will be part of his/her regular salary. (2) Local consultants to assist international consultants and in particular for the NIMPA demo project ($122,000). (3) Awareness raising and consultation activities on the need for sustainable community-based tourism ($10,000). This activity will be carried out by the M&amp;E and Stakeholder Officer and the proposed amount will be paid as his/her regular salary. (4) SES monitoring of the NIMPA demo project implementation ($50,000). This activity will be carried out by the Safeguards and Gender Officer and the proposed amount will be paid as his/her regular salary.</w:t>
            </w:r>
          </w:p>
        </w:tc>
        <w:tc>
          <w:tcPr>
            <w:tcW w:w="36" w:type="dxa"/>
            <w:vAlign w:val="center"/>
            <w:hideMark/>
          </w:tcPr>
          <w:p w14:paraId="0A197DCB" w14:textId="77777777" w:rsidR="007A7FA3" w:rsidRDefault="007A7FA3">
            <w:pPr>
              <w:rPr>
                <w:sz w:val="20"/>
                <w:szCs w:val="20"/>
              </w:rPr>
            </w:pPr>
          </w:p>
        </w:tc>
      </w:tr>
      <w:tr w:rsidR="007A7FA3" w14:paraId="24019933" w14:textId="77777777" w:rsidTr="007A7FA3">
        <w:trPr>
          <w:trHeight w:val="53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638E99E7"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23</w:t>
            </w:r>
          </w:p>
        </w:tc>
        <w:tc>
          <w:tcPr>
            <w:tcW w:w="11366" w:type="dxa"/>
            <w:tcBorders>
              <w:top w:val="nil"/>
              <w:left w:val="nil"/>
              <w:bottom w:val="single" w:sz="8" w:space="0" w:color="auto"/>
              <w:right w:val="single" w:sz="8" w:space="0" w:color="auto"/>
            </w:tcBorders>
            <w:shd w:val="clear" w:color="auto" w:fill="auto"/>
            <w:vAlign w:val="center"/>
            <w:hideMark/>
          </w:tcPr>
          <w:p w14:paraId="70B317C5"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Travel: (1) Implementation of the NIMPA project ($140,000). (2) Consultation in other MPAs on sustainable community-based tourism plans ($35,000)</w:t>
            </w:r>
          </w:p>
        </w:tc>
        <w:tc>
          <w:tcPr>
            <w:tcW w:w="36" w:type="dxa"/>
            <w:vAlign w:val="center"/>
            <w:hideMark/>
          </w:tcPr>
          <w:p w14:paraId="21A3CD24" w14:textId="77777777" w:rsidR="007A7FA3" w:rsidRDefault="007A7FA3">
            <w:pPr>
              <w:rPr>
                <w:sz w:val="20"/>
                <w:szCs w:val="20"/>
              </w:rPr>
            </w:pPr>
          </w:p>
        </w:tc>
      </w:tr>
      <w:tr w:rsidR="007A7FA3" w14:paraId="1404F524"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6C5EF910"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24</w:t>
            </w:r>
          </w:p>
        </w:tc>
        <w:tc>
          <w:tcPr>
            <w:tcW w:w="11366" w:type="dxa"/>
            <w:tcBorders>
              <w:top w:val="nil"/>
              <w:left w:val="nil"/>
              <w:bottom w:val="single" w:sz="8" w:space="0" w:color="auto"/>
              <w:right w:val="single" w:sz="8" w:space="0" w:color="auto"/>
            </w:tcBorders>
            <w:shd w:val="clear" w:color="auto" w:fill="auto"/>
            <w:vAlign w:val="center"/>
            <w:hideMark/>
          </w:tcPr>
          <w:p w14:paraId="1285DC37"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Contractual services – Companies: Local consultancies to be hired to perform tasks within NIMPA demo project ($145,000).</w:t>
            </w:r>
          </w:p>
        </w:tc>
        <w:tc>
          <w:tcPr>
            <w:tcW w:w="36" w:type="dxa"/>
            <w:vAlign w:val="center"/>
            <w:hideMark/>
          </w:tcPr>
          <w:p w14:paraId="345DF822" w14:textId="77777777" w:rsidR="007A7FA3" w:rsidRDefault="007A7FA3">
            <w:pPr>
              <w:rPr>
                <w:sz w:val="20"/>
                <w:szCs w:val="20"/>
              </w:rPr>
            </w:pPr>
          </w:p>
        </w:tc>
      </w:tr>
      <w:tr w:rsidR="007A7FA3" w14:paraId="2F9EF104"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1D3D0FD1"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25</w:t>
            </w:r>
          </w:p>
        </w:tc>
        <w:tc>
          <w:tcPr>
            <w:tcW w:w="11366" w:type="dxa"/>
            <w:tcBorders>
              <w:top w:val="nil"/>
              <w:left w:val="nil"/>
              <w:bottom w:val="single" w:sz="8" w:space="0" w:color="auto"/>
              <w:right w:val="single" w:sz="8" w:space="0" w:color="auto"/>
            </w:tcBorders>
            <w:shd w:val="clear" w:color="auto" w:fill="auto"/>
            <w:vAlign w:val="center"/>
            <w:hideMark/>
          </w:tcPr>
          <w:p w14:paraId="4A947F12"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Communications and Audio-visual Equipment: Equipment and premises for consultation events ($48,000)</w:t>
            </w:r>
          </w:p>
        </w:tc>
        <w:tc>
          <w:tcPr>
            <w:tcW w:w="36" w:type="dxa"/>
            <w:vAlign w:val="center"/>
            <w:hideMark/>
          </w:tcPr>
          <w:p w14:paraId="3DDBAD95" w14:textId="77777777" w:rsidR="007A7FA3" w:rsidRDefault="007A7FA3">
            <w:pPr>
              <w:rPr>
                <w:sz w:val="20"/>
                <w:szCs w:val="20"/>
              </w:rPr>
            </w:pPr>
          </w:p>
        </w:tc>
      </w:tr>
      <w:tr w:rsidR="007A7FA3" w14:paraId="01E04821" w14:textId="77777777" w:rsidTr="007A7FA3">
        <w:trPr>
          <w:trHeight w:val="131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7F90EFA8"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26</w:t>
            </w:r>
          </w:p>
        </w:tc>
        <w:tc>
          <w:tcPr>
            <w:tcW w:w="11366" w:type="dxa"/>
            <w:tcBorders>
              <w:top w:val="nil"/>
              <w:left w:val="nil"/>
              <w:bottom w:val="single" w:sz="8" w:space="0" w:color="auto"/>
              <w:right w:val="single" w:sz="8" w:space="0" w:color="auto"/>
            </w:tcBorders>
            <w:shd w:val="clear" w:color="auto" w:fill="auto"/>
            <w:vAlign w:val="center"/>
            <w:hideMark/>
          </w:tcPr>
          <w:p w14:paraId="7646EBA0"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 xml:space="preserve">International Consultants: (1) Prepare analysis of the community-based climate resilient ecosystem interventions and development plans/solutions in BCLME and specifically for Orange Cone demo project ($60,000). (2) Methodological guidance of the  Orange Cone demo project ($68,000). This activity will be carried by CTA and the proposed amount will be paid as his/her regular salary. (3) Support to identify and access available financial resources ($40,000). This activity will be carried out by the Project Manager and the proposed amount will be paid as his/her regular salary.  </w:t>
            </w:r>
          </w:p>
        </w:tc>
        <w:tc>
          <w:tcPr>
            <w:tcW w:w="36" w:type="dxa"/>
            <w:vAlign w:val="center"/>
            <w:hideMark/>
          </w:tcPr>
          <w:p w14:paraId="19CA5309" w14:textId="77777777" w:rsidR="007A7FA3" w:rsidRDefault="007A7FA3">
            <w:pPr>
              <w:rPr>
                <w:sz w:val="20"/>
                <w:szCs w:val="20"/>
              </w:rPr>
            </w:pPr>
          </w:p>
        </w:tc>
      </w:tr>
      <w:tr w:rsidR="007A7FA3" w14:paraId="2AE7B34C" w14:textId="77777777" w:rsidTr="007A7FA3">
        <w:trPr>
          <w:trHeight w:val="183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143BD4E3"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lastRenderedPageBreak/>
              <w:t>27</w:t>
            </w:r>
          </w:p>
        </w:tc>
        <w:tc>
          <w:tcPr>
            <w:tcW w:w="11366" w:type="dxa"/>
            <w:tcBorders>
              <w:top w:val="nil"/>
              <w:left w:val="nil"/>
              <w:bottom w:val="single" w:sz="8" w:space="0" w:color="auto"/>
              <w:right w:val="single" w:sz="8" w:space="0" w:color="auto"/>
            </w:tcBorders>
            <w:shd w:val="clear" w:color="auto" w:fill="auto"/>
            <w:vAlign w:val="center"/>
            <w:hideMark/>
          </w:tcPr>
          <w:p w14:paraId="5662B31A"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Local Consultants: (1) Namibia National Coordinators assistance to Orange Cone demo project ($38,000). This task will be performed by National Coordinators and will be part of his/her regular salary. (2) Local consultants to assist international consultants and in particular for the NIMPA demo project ($122,000). (3) Awareness raising and consultation activities on the need for community-based climate resilient ecosystem intervention ($10,000). This activity will be carried out by the M&amp;E and Stakeholder Officer and the proposed amount will be paid as his/her regular salary. (4) SES monitoring of the Orange Cone demo project implementation ($50,000). This activity will be carried out by the Safeguards and Gender Officer and the proposed amount will be paid as his/her regular salary.</w:t>
            </w:r>
          </w:p>
        </w:tc>
        <w:tc>
          <w:tcPr>
            <w:tcW w:w="36" w:type="dxa"/>
            <w:vAlign w:val="center"/>
            <w:hideMark/>
          </w:tcPr>
          <w:p w14:paraId="237DC47D" w14:textId="77777777" w:rsidR="007A7FA3" w:rsidRDefault="007A7FA3">
            <w:pPr>
              <w:rPr>
                <w:sz w:val="20"/>
                <w:szCs w:val="20"/>
              </w:rPr>
            </w:pPr>
          </w:p>
        </w:tc>
      </w:tr>
      <w:tr w:rsidR="007A7FA3" w14:paraId="1B71DCD6" w14:textId="77777777" w:rsidTr="007A7FA3">
        <w:trPr>
          <w:trHeight w:val="53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15D633D1"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28</w:t>
            </w:r>
          </w:p>
        </w:tc>
        <w:tc>
          <w:tcPr>
            <w:tcW w:w="11366" w:type="dxa"/>
            <w:tcBorders>
              <w:top w:val="nil"/>
              <w:left w:val="nil"/>
              <w:bottom w:val="single" w:sz="8" w:space="0" w:color="auto"/>
              <w:right w:val="single" w:sz="8" w:space="0" w:color="auto"/>
            </w:tcBorders>
            <w:shd w:val="clear" w:color="auto" w:fill="auto"/>
            <w:vAlign w:val="center"/>
            <w:hideMark/>
          </w:tcPr>
          <w:p w14:paraId="558E9E29"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Travel: (1) Implementation of the Orange Cone demo project ($100,000). (2) Consultation in other MPAs on sustainable community-based tourism plans ($32,000)</w:t>
            </w:r>
          </w:p>
        </w:tc>
        <w:tc>
          <w:tcPr>
            <w:tcW w:w="36" w:type="dxa"/>
            <w:vAlign w:val="center"/>
            <w:hideMark/>
          </w:tcPr>
          <w:p w14:paraId="5B565E70" w14:textId="77777777" w:rsidR="007A7FA3" w:rsidRDefault="007A7FA3">
            <w:pPr>
              <w:rPr>
                <w:sz w:val="20"/>
                <w:szCs w:val="20"/>
              </w:rPr>
            </w:pPr>
          </w:p>
        </w:tc>
      </w:tr>
      <w:tr w:rsidR="007A7FA3" w14:paraId="508B52E9"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7A31B1AA"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29</w:t>
            </w:r>
          </w:p>
        </w:tc>
        <w:tc>
          <w:tcPr>
            <w:tcW w:w="11366" w:type="dxa"/>
            <w:tcBorders>
              <w:top w:val="nil"/>
              <w:left w:val="nil"/>
              <w:bottom w:val="single" w:sz="8" w:space="0" w:color="auto"/>
              <w:right w:val="single" w:sz="8" w:space="0" w:color="auto"/>
            </w:tcBorders>
            <w:shd w:val="clear" w:color="auto" w:fill="auto"/>
            <w:vAlign w:val="center"/>
            <w:hideMark/>
          </w:tcPr>
          <w:p w14:paraId="5F79C23D"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Contractual services – Companies: Local consultancies to be hired to perform tasks within Orange Cone demo project ($160,000).</w:t>
            </w:r>
          </w:p>
        </w:tc>
        <w:tc>
          <w:tcPr>
            <w:tcW w:w="36" w:type="dxa"/>
            <w:vAlign w:val="center"/>
            <w:hideMark/>
          </w:tcPr>
          <w:p w14:paraId="5D1D852F" w14:textId="77777777" w:rsidR="007A7FA3" w:rsidRDefault="007A7FA3">
            <w:pPr>
              <w:rPr>
                <w:sz w:val="20"/>
                <w:szCs w:val="20"/>
              </w:rPr>
            </w:pPr>
          </w:p>
        </w:tc>
      </w:tr>
      <w:tr w:rsidR="007A7FA3" w14:paraId="0C120C8B"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0BF891A2"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30</w:t>
            </w:r>
          </w:p>
        </w:tc>
        <w:tc>
          <w:tcPr>
            <w:tcW w:w="11366" w:type="dxa"/>
            <w:tcBorders>
              <w:top w:val="nil"/>
              <w:left w:val="nil"/>
              <w:bottom w:val="single" w:sz="8" w:space="0" w:color="auto"/>
              <w:right w:val="single" w:sz="8" w:space="0" w:color="auto"/>
            </w:tcBorders>
            <w:shd w:val="clear" w:color="auto" w:fill="auto"/>
            <w:vAlign w:val="center"/>
            <w:hideMark/>
          </w:tcPr>
          <w:p w14:paraId="59F7B749"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Communications and Audio-visual Equipment: Equipment and premises for consultation events ($57,000)</w:t>
            </w:r>
          </w:p>
        </w:tc>
        <w:tc>
          <w:tcPr>
            <w:tcW w:w="36" w:type="dxa"/>
            <w:vAlign w:val="center"/>
            <w:hideMark/>
          </w:tcPr>
          <w:p w14:paraId="0F3F57A5" w14:textId="77777777" w:rsidR="007A7FA3" w:rsidRDefault="007A7FA3">
            <w:pPr>
              <w:rPr>
                <w:sz w:val="20"/>
                <w:szCs w:val="20"/>
              </w:rPr>
            </w:pPr>
          </w:p>
        </w:tc>
      </w:tr>
      <w:tr w:rsidR="007A7FA3" w14:paraId="73DE8058" w14:textId="77777777" w:rsidTr="007A7FA3">
        <w:trPr>
          <w:trHeight w:val="53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2B77DB6E"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31</w:t>
            </w:r>
          </w:p>
        </w:tc>
        <w:tc>
          <w:tcPr>
            <w:tcW w:w="11366" w:type="dxa"/>
            <w:tcBorders>
              <w:top w:val="nil"/>
              <w:left w:val="nil"/>
              <w:bottom w:val="single" w:sz="8" w:space="0" w:color="auto"/>
              <w:right w:val="single" w:sz="8" w:space="0" w:color="auto"/>
            </w:tcBorders>
            <w:shd w:val="clear" w:color="auto" w:fill="auto"/>
            <w:vAlign w:val="center"/>
            <w:hideMark/>
          </w:tcPr>
          <w:p w14:paraId="3029E7E0"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International Consultants: Perform analysis of biodiversity monitoring status ($23,000). (2) Design the improved biodiversity monitoring mechanism ($29,490)</w:t>
            </w:r>
          </w:p>
        </w:tc>
        <w:tc>
          <w:tcPr>
            <w:tcW w:w="36" w:type="dxa"/>
            <w:vAlign w:val="center"/>
            <w:hideMark/>
          </w:tcPr>
          <w:p w14:paraId="52B138D7" w14:textId="77777777" w:rsidR="007A7FA3" w:rsidRDefault="007A7FA3">
            <w:pPr>
              <w:rPr>
                <w:sz w:val="20"/>
                <w:szCs w:val="20"/>
              </w:rPr>
            </w:pPr>
          </w:p>
        </w:tc>
      </w:tr>
      <w:tr w:rsidR="007A7FA3" w14:paraId="48EB207D"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39EEB3EB"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32</w:t>
            </w:r>
          </w:p>
        </w:tc>
        <w:tc>
          <w:tcPr>
            <w:tcW w:w="11366" w:type="dxa"/>
            <w:tcBorders>
              <w:top w:val="nil"/>
              <w:left w:val="nil"/>
              <w:bottom w:val="single" w:sz="8" w:space="0" w:color="auto"/>
              <w:right w:val="single" w:sz="8" w:space="0" w:color="auto"/>
            </w:tcBorders>
            <w:shd w:val="clear" w:color="auto" w:fill="auto"/>
            <w:vAlign w:val="center"/>
            <w:hideMark/>
          </w:tcPr>
          <w:p w14:paraId="15791345"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Contractual Services – Individuals: National consultants to be hired to assist International Consultant in three countries ($52,500)</w:t>
            </w:r>
          </w:p>
        </w:tc>
        <w:tc>
          <w:tcPr>
            <w:tcW w:w="36" w:type="dxa"/>
            <w:vAlign w:val="center"/>
            <w:hideMark/>
          </w:tcPr>
          <w:p w14:paraId="60E4E9D3" w14:textId="77777777" w:rsidR="007A7FA3" w:rsidRDefault="007A7FA3">
            <w:pPr>
              <w:rPr>
                <w:sz w:val="20"/>
                <w:szCs w:val="20"/>
              </w:rPr>
            </w:pPr>
          </w:p>
        </w:tc>
      </w:tr>
      <w:tr w:rsidR="007A7FA3" w14:paraId="09099B33"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7F4A3745"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33</w:t>
            </w:r>
          </w:p>
        </w:tc>
        <w:tc>
          <w:tcPr>
            <w:tcW w:w="11366" w:type="dxa"/>
            <w:tcBorders>
              <w:top w:val="nil"/>
              <w:left w:val="nil"/>
              <w:bottom w:val="single" w:sz="8" w:space="0" w:color="auto"/>
              <w:right w:val="single" w:sz="8" w:space="0" w:color="auto"/>
            </w:tcBorders>
            <w:shd w:val="clear" w:color="auto" w:fill="auto"/>
            <w:vAlign w:val="center"/>
            <w:hideMark/>
          </w:tcPr>
          <w:p w14:paraId="5D37466E"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Travel: International travel and visits to monitoring sites on a regular basis ($54,000)</w:t>
            </w:r>
          </w:p>
        </w:tc>
        <w:tc>
          <w:tcPr>
            <w:tcW w:w="36" w:type="dxa"/>
            <w:vAlign w:val="center"/>
            <w:hideMark/>
          </w:tcPr>
          <w:p w14:paraId="2C95C740" w14:textId="77777777" w:rsidR="007A7FA3" w:rsidRDefault="007A7FA3">
            <w:pPr>
              <w:rPr>
                <w:sz w:val="20"/>
                <w:szCs w:val="20"/>
              </w:rPr>
            </w:pPr>
          </w:p>
        </w:tc>
      </w:tr>
      <w:tr w:rsidR="007A7FA3" w14:paraId="4482CB7C" w14:textId="77777777" w:rsidTr="007A7FA3">
        <w:trPr>
          <w:trHeight w:val="53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5093A8CD"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34</w:t>
            </w:r>
          </w:p>
        </w:tc>
        <w:tc>
          <w:tcPr>
            <w:tcW w:w="11366" w:type="dxa"/>
            <w:tcBorders>
              <w:top w:val="nil"/>
              <w:left w:val="nil"/>
              <w:bottom w:val="single" w:sz="8" w:space="0" w:color="auto"/>
              <w:right w:val="single" w:sz="8" w:space="0" w:color="auto"/>
            </w:tcBorders>
            <w:shd w:val="clear" w:color="auto" w:fill="auto"/>
            <w:vAlign w:val="center"/>
            <w:hideMark/>
          </w:tcPr>
          <w:p w14:paraId="4BBF9FEE"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Contractual Services- Companies: Assist in carrying out monitoring programme, technical and logistical support, interpretation services ($64,000)</w:t>
            </w:r>
          </w:p>
        </w:tc>
        <w:tc>
          <w:tcPr>
            <w:tcW w:w="36" w:type="dxa"/>
            <w:vAlign w:val="center"/>
            <w:hideMark/>
          </w:tcPr>
          <w:p w14:paraId="1167570A" w14:textId="77777777" w:rsidR="007A7FA3" w:rsidRDefault="007A7FA3">
            <w:pPr>
              <w:rPr>
                <w:sz w:val="20"/>
                <w:szCs w:val="20"/>
              </w:rPr>
            </w:pPr>
          </w:p>
        </w:tc>
      </w:tr>
      <w:tr w:rsidR="007A7FA3" w14:paraId="398E65B8" w14:textId="77777777" w:rsidTr="007A7FA3">
        <w:trPr>
          <w:trHeight w:val="53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68C53E5E"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35</w:t>
            </w:r>
          </w:p>
        </w:tc>
        <w:tc>
          <w:tcPr>
            <w:tcW w:w="11366" w:type="dxa"/>
            <w:tcBorders>
              <w:top w:val="nil"/>
              <w:left w:val="nil"/>
              <w:bottom w:val="single" w:sz="8" w:space="0" w:color="auto"/>
              <w:right w:val="single" w:sz="8" w:space="0" w:color="auto"/>
            </w:tcBorders>
            <w:shd w:val="clear" w:color="auto" w:fill="auto"/>
            <w:vAlign w:val="center"/>
            <w:hideMark/>
          </w:tcPr>
          <w:p w14:paraId="71F692AF"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Communication and Audio-visual Equipment: Hiring of equipment and premises for consultation meetings in three countries ($33,000)</w:t>
            </w:r>
          </w:p>
        </w:tc>
        <w:tc>
          <w:tcPr>
            <w:tcW w:w="36" w:type="dxa"/>
            <w:vAlign w:val="center"/>
            <w:hideMark/>
          </w:tcPr>
          <w:p w14:paraId="1B662B0E" w14:textId="77777777" w:rsidR="007A7FA3" w:rsidRDefault="007A7FA3">
            <w:pPr>
              <w:rPr>
                <w:sz w:val="20"/>
                <w:szCs w:val="20"/>
              </w:rPr>
            </w:pPr>
          </w:p>
        </w:tc>
      </w:tr>
      <w:tr w:rsidR="007A7FA3" w14:paraId="1FDF707B" w14:textId="77777777" w:rsidTr="007A7FA3">
        <w:trPr>
          <w:trHeight w:val="53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26E10F13"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36</w:t>
            </w:r>
          </w:p>
        </w:tc>
        <w:tc>
          <w:tcPr>
            <w:tcW w:w="11366" w:type="dxa"/>
            <w:tcBorders>
              <w:top w:val="nil"/>
              <w:left w:val="nil"/>
              <w:bottom w:val="single" w:sz="8" w:space="0" w:color="auto"/>
              <w:right w:val="single" w:sz="8" w:space="0" w:color="auto"/>
            </w:tcBorders>
            <w:shd w:val="clear" w:color="auto" w:fill="auto"/>
            <w:vAlign w:val="center"/>
            <w:hideMark/>
          </w:tcPr>
          <w:p w14:paraId="230C0D77"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International Consultants: Develop harmonised policy, legislation and institutional arrangement models supporting the management of extractive industries and relevant legislation($23,600)</w:t>
            </w:r>
          </w:p>
        </w:tc>
        <w:tc>
          <w:tcPr>
            <w:tcW w:w="36" w:type="dxa"/>
            <w:vAlign w:val="center"/>
            <w:hideMark/>
          </w:tcPr>
          <w:p w14:paraId="206D6599" w14:textId="77777777" w:rsidR="007A7FA3" w:rsidRDefault="007A7FA3">
            <w:pPr>
              <w:rPr>
                <w:sz w:val="20"/>
                <w:szCs w:val="20"/>
              </w:rPr>
            </w:pPr>
          </w:p>
        </w:tc>
      </w:tr>
      <w:tr w:rsidR="007A7FA3" w14:paraId="341FE5C2"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59EAE69D"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37</w:t>
            </w:r>
          </w:p>
        </w:tc>
        <w:tc>
          <w:tcPr>
            <w:tcW w:w="11366" w:type="dxa"/>
            <w:tcBorders>
              <w:top w:val="nil"/>
              <w:left w:val="nil"/>
              <w:bottom w:val="single" w:sz="8" w:space="0" w:color="auto"/>
              <w:right w:val="single" w:sz="8" w:space="0" w:color="auto"/>
            </w:tcBorders>
            <w:shd w:val="clear" w:color="auto" w:fill="auto"/>
            <w:vAlign w:val="center"/>
            <w:hideMark/>
          </w:tcPr>
          <w:p w14:paraId="239DFD43"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Contractual Services – Consultants: National consultants in three countries to assist international consultant ($16,800)</w:t>
            </w:r>
          </w:p>
        </w:tc>
        <w:tc>
          <w:tcPr>
            <w:tcW w:w="36" w:type="dxa"/>
            <w:vAlign w:val="center"/>
            <w:hideMark/>
          </w:tcPr>
          <w:p w14:paraId="7F09C036" w14:textId="77777777" w:rsidR="007A7FA3" w:rsidRDefault="007A7FA3">
            <w:pPr>
              <w:rPr>
                <w:sz w:val="20"/>
                <w:szCs w:val="20"/>
              </w:rPr>
            </w:pPr>
          </w:p>
        </w:tc>
      </w:tr>
      <w:tr w:rsidR="007A7FA3" w14:paraId="6591C9FA"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46BE0CFB"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30</w:t>
            </w:r>
          </w:p>
        </w:tc>
        <w:tc>
          <w:tcPr>
            <w:tcW w:w="11366" w:type="dxa"/>
            <w:tcBorders>
              <w:top w:val="nil"/>
              <w:left w:val="nil"/>
              <w:bottom w:val="single" w:sz="8" w:space="0" w:color="auto"/>
              <w:right w:val="single" w:sz="8" w:space="0" w:color="auto"/>
            </w:tcBorders>
            <w:shd w:val="clear" w:color="auto" w:fill="auto"/>
            <w:vAlign w:val="center"/>
            <w:hideMark/>
          </w:tcPr>
          <w:p w14:paraId="0404DA4B"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Travel: International travel – 2 trips ($14,000)</w:t>
            </w:r>
          </w:p>
        </w:tc>
        <w:tc>
          <w:tcPr>
            <w:tcW w:w="36" w:type="dxa"/>
            <w:vAlign w:val="center"/>
            <w:hideMark/>
          </w:tcPr>
          <w:p w14:paraId="4937324F" w14:textId="77777777" w:rsidR="007A7FA3" w:rsidRDefault="007A7FA3">
            <w:pPr>
              <w:rPr>
                <w:sz w:val="20"/>
                <w:szCs w:val="20"/>
              </w:rPr>
            </w:pPr>
          </w:p>
        </w:tc>
      </w:tr>
      <w:tr w:rsidR="007A7FA3" w14:paraId="08BB52D1"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24FE6E63"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39</w:t>
            </w:r>
          </w:p>
        </w:tc>
        <w:tc>
          <w:tcPr>
            <w:tcW w:w="11366" w:type="dxa"/>
            <w:tcBorders>
              <w:top w:val="nil"/>
              <w:left w:val="nil"/>
              <w:bottom w:val="single" w:sz="8" w:space="0" w:color="auto"/>
              <w:right w:val="single" w:sz="8" w:space="0" w:color="auto"/>
            </w:tcBorders>
            <w:shd w:val="clear" w:color="auto" w:fill="auto"/>
            <w:vAlign w:val="center"/>
            <w:hideMark/>
          </w:tcPr>
          <w:p w14:paraId="4FDD9B63"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Contractual Services-Companies: Technical and logistical support and interpretation services ($14,000)</w:t>
            </w:r>
          </w:p>
        </w:tc>
        <w:tc>
          <w:tcPr>
            <w:tcW w:w="36" w:type="dxa"/>
            <w:vAlign w:val="center"/>
            <w:hideMark/>
          </w:tcPr>
          <w:p w14:paraId="039F137D" w14:textId="77777777" w:rsidR="007A7FA3" w:rsidRDefault="007A7FA3">
            <w:pPr>
              <w:rPr>
                <w:sz w:val="20"/>
                <w:szCs w:val="20"/>
              </w:rPr>
            </w:pPr>
          </w:p>
        </w:tc>
      </w:tr>
      <w:tr w:rsidR="007A7FA3" w14:paraId="06F143E6"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1564DC71"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40</w:t>
            </w:r>
          </w:p>
        </w:tc>
        <w:tc>
          <w:tcPr>
            <w:tcW w:w="11366" w:type="dxa"/>
            <w:tcBorders>
              <w:top w:val="nil"/>
              <w:left w:val="nil"/>
              <w:bottom w:val="single" w:sz="8" w:space="0" w:color="auto"/>
              <w:right w:val="single" w:sz="8" w:space="0" w:color="auto"/>
            </w:tcBorders>
            <w:shd w:val="clear" w:color="auto" w:fill="auto"/>
            <w:vAlign w:val="center"/>
            <w:hideMark/>
          </w:tcPr>
          <w:p w14:paraId="59699D96"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Equipment: Interpretation equipment and premises ($1,600)</w:t>
            </w:r>
          </w:p>
        </w:tc>
        <w:tc>
          <w:tcPr>
            <w:tcW w:w="36" w:type="dxa"/>
            <w:vAlign w:val="center"/>
            <w:hideMark/>
          </w:tcPr>
          <w:p w14:paraId="43CF68B8" w14:textId="77777777" w:rsidR="007A7FA3" w:rsidRDefault="007A7FA3">
            <w:pPr>
              <w:rPr>
                <w:sz w:val="20"/>
                <w:szCs w:val="20"/>
              </w:rPr>
            </w:pPr>
          </w:p>
        </w:tc>
      </w:tr>
      <w:tr w:rsidR="007A7FA3" w14:paraId="6E5D8279" w14:textId="77777777" w:rsidTr="007A7FA3">
        <w:trPr>
          <w:trHeight w:val="79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70C674FE"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41</w:t>
            </w:r>
          </w:p>
        </w:tc>
        <w:tc>
          <w:tcPr>
            <w:tcW w:w="11366" w:type="dxa"/>
            <w:tcBorders>
              <w:top w:val="nil"/>
              <w:left w:val="nil"/>
              <w:bottom w:val="single" w:sz="8" w:space="0" w:color="auto"/>
              <w:right w:val="single" w:sz="8" w:space="0" w:color="auto"/>
            </w:tcBorders>
            <w:shd w:val="clear" w:color="auto" w:fill="auto"/>
            <w:vAlign w:val="center"/>
            <w:hideMark/>
          </w:tcPr>
          <w:p w14:paraId="08831516"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International Consultants: Establish multi-stakeholder partnerships [forums] between BCC, participating governments and key industry stakeholders ($20,400). This activity will be carried out by the Project Manager Officer and this amount will be paid through his/her regular salary.</w:t>
            </w:r>
          </w:p>
        </w:tc>
        <w:tc>
          <w:tcPr>
            <w:tcW w:w="36" w:type="dxa"/>
            <w:vAlign w:val="center"/>
            <w:hideMark/>
          </w:tcPr>
          <w:p w14:paraId="27CC942E" w14:textId="77777777" w:rsidR="007A7FA3" w:rsidRDefault="007A7FA3">
            <w:pPr>
              <w:rPr>
                <w:sz w:val="20"/>
                <w:szCs w:val="20"/>
              </w:rPr>
            </w:pPr>
          </w:p>
        </w:tc>
      </w:tr>
      <w:tr w:rsidR="007A7FA3" w14:paraId="11F83156" w14:textId="77777777" w:rsidTr="007A7FA3">
        <w:trPr>
          <w:trHeight w:val="105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14634D07"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42</w:t>
            </w:r>
          </w:p>
        </w:tc>
        <w:tc>
          <w:tcPr>
            <w:tcW w:w="11366" w:type="dxa"/>
            <w:tcBorders>
              <w:top w:val="nil"/>
              <w:left w:val="nil"/>
              <w:bottom w:val="single" w:sz="8" w:space="0" w:color="auto"/>
              <w:right w:val="single" w:sz="8" w:space="0" w:color="auto"/>
            </w:tcBorders>
            <w:shd w:val="clear" w:color="auto" w:fill="auto"/>
            <w:vAlign w:val="center"/>
            <w:hideMark/>
          </w:tcPr>
          <w:p w14:paraId="408EBCC4"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Contractual Services – Individuals: (1) National consultants will undertake critical capacity needs assessment in three countries ($47,800). (2) Establish multi-stakeholder partnerships [forums] between BCC, participating governments and key industry stakeholders – Link to activity under Budget Note 41. This activity will be carried out by the M&amp;E and Stakeholder Officer ($20,000) and the proposed amount will be paid as his/her regular salary.</w:t>
            </w:r>
          </w:p>
        </w:tc>
        <w:tc>
          <w:tcPr>
            <w:tcW w:w="36" w:type="dxa"/>
            <w:vAlign w:val="center"/>
            <w:hideMark/>
          </w:tcPr>
          <w:p w14:paraId="3EEC8006" w14:textId="77777777" w:rsidR="007A7FA3" w:rsidRDefault="007A7FA3">
            <w:pPr>
              <w:rPr>
                <w:sz w:val="20"/>
                <w:szCs w:val="20"/>
              </w:rPr>
            </w:pPr>
          </w:p>
        </w:tc>
      </w:tr>
      <w:tr w:rsidR="007A7FA3" w14:paraId="15C09155"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79896AD5"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43</w:t>
            </w:r>
          </w:p>
        </w:tc>
        <w:tc>
          <w:tcPr>
            <w:tcW w:w="11366" w:type="dxa"/>
            <w:tcBorders>
              <w:top w:val="nil"/>
              <w:left w:val="nil"/>
              <w:bottom w:val="single" w:sz="8" w:space="0" w:color="auto"/>
              <w:right w:val="single" w:sz="8" w:space="0" w:color="auto"/>
            </w:tcBorders>
            <w:shd w:val="clear" w:color="auto" w:fill="auto"/>
            <w:vAlign w:val="center"/>
            <w:hideMark/>
          </w:tcPr>
          <w:p w14:paraId="27D46F3B"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Travel: Regional travel of international and national consultants ($36,000)</w:t>
            </w:r>
          </w:p>
        </w:tc>
        <w:tc>
          <w:tcPr>
            <w:tcW w:w="36" w:type="dxa"/>
            <w:vAlign w:val="center"/>
            <w:hideMark/>
          </w:tcPr>
          <w:p w14:paraId="1BBBFC08" w14:textId="77777777" w:rsidR="007A7FA3" w:rsidRDefault="007A7FA3">
            <w:pPr>
              <w:rPr>
                <w:sz w:val="20"/>
                <w:szCs w:val="20"/>
              </w:rPr>
            </w:pPr>
          </w:p>
        </w:tc>
      </w:tr>
      <w:tr w:rsidR="007A7FA3" w14:paraId="2F32921A"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179415DD"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lastRenderedPageBreak/>
              <w:t>44</w:t>
            </w:r>
          </w:p>
        </w:tc>
        <w:tc>
          <w:tcPr>
            <w:tcW w:w="11366" w:type="dxa"/>
            <w:tcBorders>
              <w:top w:val="nil"/>
              <w:left w:val="nil"/>
              <w:bottom w:val="single" w:sz="8" w:space="0" w:color="auto"/>
              <w:right w:val="single" w:sz="8" w:space="0" w:color="auto"/>
            </w:tcBorders>
            <w:shd w:val="clear" w:color="auto" w:fill="auto"/>
            <w:vAlign w:val="center"/>
            <w:hideMark/>
          </w:tcPr>
          <w:p w14:paraId="27178AAA"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Contractual Services – Companies: Design capacity building programme ($37,500)</w:t>
            </w:r>
          </w:p>
        </w:tc>
        <w:tc>
          <w:tcPr>
            <w:tcW w:w="36" w:type="dxa"/>
            <w:vAlign w:val="center"/>
            <w:hideMark/>
          </w:tcPr>
          <w:p w14:paraId="4D2F6B42" w14:textId="77777777" w:rsidR="007A7FA3" w:rsidRDefault="007A7FA3">
            <w:pPr>
              <w:rPr>
                <w:sz w:val="20"/>
                <w:szCs w:val="20"/>
              </w:rPr>
            </w:pPr>
          </w:p>
        </w:tc>
      </w:tr>
      <w:tr w:rsidR="007A7FA3" w14:paraId="6C861E8F"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421BC217"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45</w:t>
            </w:r>
          </w:p>
        </w:tc>
        <w:tc>
          <w:tcPr>
            <w:tcW w:w="11366" w:type="dxa"/>
            <w:tcBorders>
              <w:top w:val="nil"/>
              <w:left w:val="nil"/>
              <w:bottom w:val="single" w:sz="8" w:space="0" w:color="auto"/>
              <w:right w:val="single" w:sz="8" w:space="0" w:color="auto"/>
            </w:tcBorders>
            <w:shd w:val="clear" w:color="auto" w:fill="auto"/>
            <w:vAlign w:val="center"/>
            <w:hideMark/>
          </w:tcPr>
          <w:p w14:paraId="3DF1D39B"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Equipment: Interpretation equipment and services, and premises for consultation meetings  ($16,300)</w:t>
            </w:r>
          </w:p>
        </w:tc>
        <w:tc>
          <w:tcPr>
            <w:tcW w:w="36" w:type="dxa"/>
            <w:vAlign w:val="center"/>
            <w:hideMark/>
          </w:tcPr>
          <w:p w14:paraId="014FC6B1" w14:textId="77777777" w:rsidR="007A7FA3" w:rsidRDefault="007A7FA3">
            <w:pPr>
              <w:rPr>
                <w:sz w:val="20"/>
                <w:szCs w:val="20"/>
              </w:rPr>
            </w:pPr>
          </w:p>
        </w:tc>
      </w:tr>
      <w:tr w:rsidR="007A7FA3" w14:paraId="4D995BB3" w14:textId="77777777" w:rsidTr="007A7FA3">
        <w:trPr>
          <w:trHeight w:val="53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704F3EDF"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46</w:t>
            </w:r>
          </w:p>
        </w:tc>
        <w:tc>
          <w:tcPr>
            <w:tcW w:w="11366" w:type="dxa"/>
            <w:tcBorders>
              <w:top w:val="nil"/>
              <w:left w:val="nil"/>
              <w:bottom w:val="single" w:sz="8" w:space="0" w:color="auto"/>
              <w:right w:val="single" w:sz="8" w:space="0" w:color="auto"/>
            </w:tcBorders>
            <w:shd w:val="clear" w:color="auto" w:fill="auto"/>
            <w:vAlign w:val="center"/>
            <w:hideMark/>
          </w:tcPr>
          <w:p w14:paraId="2B2BDE2F"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International Consultants: (1)  Identification and needs analysis for joint sustainable climate resilient management of transboundary fish stock ($40,000). (2) Assistance to design multinational committee ($10,000).</w:t>
            </w:r>
          </w:p>
        </w:tc>
        <w:tc>
          <w:tcPr>
            <w:tcW w:w="36" w:type="dxa"/>
            <w:vAlign w:val="center"/>
            <w:hideMark/>
          </w:tcPr>
          <w:p w14:paraId="4CF77D93" w14:textId="77777777" w:rsidR="007A7FA3" w:rsidRDefault="007A7FA3">
            <w:pPr>
              <w:rPr>
                <w:sz w:val="20"/>
                <w:szCs w:val="20"/>
              </w:rPr>
            </w:pPr>
          </w:p>
        </w:tc>
      </w:tr>
      <w:tr w:rsidR="007A7FA3" w14:paraId="667CE24A" w14:textId="77777777" w:rsidTr="007A7FA3">
        <w:trPr>
          <w:trHeight w:val="53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0F5FC011"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47</w:t>
            </w:r>
          </w:p>
        </w:tc>
        <w:tc>
          <w:tcPr>
            <w:tcW w:w="11366" w:type="dxa"/>
            <w:tcBorders>
              <w:top w:val="nil"/>
              <w:left w:val="nil"/>
              <w:bottom w:val="single" w:sz="8" w:space="0" w:color="auto"/>
              <w:right w:val="single" w:sz="8" w:space="0" w:color="auto"/>
            </w:tcBorders>
            <w:shd w:val="clear" w:color="auto" w:fill="auto"/>
            <w:vAlign w:val="center"/>
            <w:hideMark/>
          </w:tcPr>
          <w:p w14:paraId="6757FE13"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Contractual Services – Individuals: Implementation of bilateral agreements: National experts support ($63,000). (2) M&amp;E and Stakeholder Officer will assist consultations ($13,000) and the proposed amount will be paid as his/her regular salary.</w:t>
            </w:r>
          </w:p>
        </w:tc>
        <w:tc>
          <w:tcPr>
            <w:tcW w:w="36" w:type="dxa"/>
            <w:vAlign w:val="center"/>
            <w:hideMark/>
          </w:tcPr>
          <w:p w14:paraId="35BB1E0E" w14:textId="77777777" w:rsidR="007A7FA3" w:rsidRDefault="007A7FA3">
            <w:pPr>
              <w:rPr>
                <w:sz w:val="20"/>
                <w:szCs w:val="20"/>
              </w:rPr>
            </w:pPr>
          </w:p>
        </w:tc>
      </w:tr>
      <w:tr w:rsidR="007A7FA3" w14:paraId="1031EC50" w14:textId="77777777" w:rsidTr="007A7FA3">
        <w:trPr>
          <w:trHeight w:val="53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60021D9A"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48</w:t>
            </w:r>
          </w:p>
        </w:tc>
        <w:tc>
          <w:tcPr>
            <w:tcW w:w="11366" w:type="dxa"/>
            <w:tcBorders>
              <w:top w:val="nil"/>
              <w:left w:val="nil"/>
              <w:bottom w:val="single" w:sz="8" w:space="0" w:color="auto"/>
              <w:right w:val="single" w:sz="8" w:space="0" w:color="auto"/>
            </w:tcBorders>
            <w:shd w:val="clear" w:color="auto" w:fill="auto"/>
            <w:vAlign w:val="center"/>
            <w:hideMark/>
          </w:tcPr>
          <w:p w14:paraId="4C368C4A"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Travel: (1) International travel for International Consultants and Implementation Partner ($40,000). (2) Travel within region ($21,000)</w:t>
            </w:r>
          </w:p>
        </w:tc>
        <w:tc>
          <w:tcPr>
            <w:tcW w:w="36" w:type="dxa"/>
            <w:vAlign w:val="center"/>
            <w:hideMark/>
          </w:tcPr>
          <w:p w14:paraId="63B0C993" w14:textId="77777777" w:rsidR="007A7FA3" w:rsidRDefault="007A7FA3">
            <w:pPr>
              <w:rPr>
                <w:sz w:val="20"/>
                <w:szCs w:val="20"/>
              </w:rPr>
            </w:pPr>
          </w:p>
        </w:tc>
      </w:tr>
      <w:tr w:rsidR="007A7FA3" w14:paraId="3C585E34" w14:textId="77777777" w:rsidTr="007A7FA3">
        <w:trPr>
          <w:trHeight w:val="53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66437FB8"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49</w:t>
            </w:r>
          </w:p>
        </w:tc>
        <w:tc>
          <w:tcPr>
            <w:tcW w:w="11366" w:type="dxa"/>
            <w:tcBorders>
              <w:top w:val="nil"/>
              <w:left w:val="nil"/>
              <w:bottom w:val="single" w:sz="8" w:space="0" w:color="auto"/>
              <w:right w:val="single" w:sz="8" w:space="0" w:color="auto"/>
            </w:tcBorders>
            <w:shd w:val="clear" w:color="auto" w:fill="auto"/>
            <w:vAlign w:val="center"/>
            <w:hideMark/>
          </w:tcPr>
          <w:p w14:paraId="46879AB2"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Contractual Services-Impl Partner: Assistance to draft bilateral agreements and assistance to consultation and implementation of bilateral agreements ($72,000)</w:t>
            </w:r>
          </w:p>
        </w:tc>
        <w:tc>
          <w:tcPr>
            <w:tcW w:w="36" w:type="dxa"/>
            <w:vAlign w:val="center"/>
            <w:hideMark/>
          </w:tcPr>
          <w:p w14:paraId="5B468B3C" w14:textId="77777777" w:rsidR="007A7FA3" w:rsidRDefault="007A7FA3">
            <w:pPr>
              <w:rPr>
                <w:sz w:val="20"/>
                <w:szCs w:val="20"/>
              </w:rPr>
            </w:pPr>
          </w:p>
        </w:tc>
      </w:tr>
      <w:tr w:rsidR="007A7FA3" w14:paraId="7AA3970A"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2522CFD4"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50</w:t>
            </w:r>
          </w:p>
        </w:tc>
        <w:tc>
          <w:tcPr>
            <w:tcW w:w="11366" w:type="dxa"/>
            <w:tcBorders>
              <w:top w:val="nil"/>
              <w:left w:val="nil"/>
              <w:bottom w:val="single" w:sz="8" w:space="0" w:color="auto"/>
              <w:right w:val="single" w:sz="8" w:space="0" w:color="auto"/>
            </w:tcBorders>
            <w:shd w:val="clear" w:color="auto" w:fill="auto"/>
            <w:vAlign w:val="center"/>
            <w:hideMark/>
          </w:tcPr>
          <w:p w14:paraId="438BB0D0"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Equipment: Audio visual and interpretation equipment, premises, interpretation services ($41,000)</w:t>
            </w:r>
          </w:p>
        </w:tc>
        <w:tc>
          <w:tcPr>
            <w:tcW w:w="36" w:type="dxa"/>
            <w:vAlign w:val="center"/>
            <w:hideMark/>
          </w:tcPr>
          <w:p w14:paraId="610AE943" w14:textId="77777777" w:rsidR="007A7FA3" w:rsidRDefault="007A7FA3">
            <w:pPr>
              <w:rPr>
                <w:sz w:val="20"/>
                <w:szCs w:val="20"/>
              </w:rPr>
            </w:pPr>
          </w:p>
        </w:tc>
      </w:tr>
      <w:tr w:rsidR="007A7FA3" w14:paraId="514DBC47" w14:textId="77777777" w:rsidTr="007A7FA3">
        <w:trPr>
          <w:trHeight w:val="131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70E64374"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51</w:t>
            </w:r>
          </w:p>
        </w:tc>
        <w:tc>
          <w:tcPr>
            <w:tcW w:w="11366" w:type="dxa"/>
            <w:tcBorders>
              <w:top w:val="nil"/>
              <w:left w:val="nil"/>
              <w:bottom w:val="single" w:sz="8" w:space="0" w:color="auto"/>
              <w:right w:val="single" w:sz="8" w:space="0" w:color="auto"/>
            </w:tcBorders>
            <w:shd w:val="clear" w:color="auto" w:fill="auto"/>
            <w:vAlign w:val="center"/>
            <w:hideMark/>
          </w:tcPr>
          <w:p w14:paraId="4CB6BDD7"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International Consultants: (1) Identification and needs analysis of selected MPAs and coastal ecosystems for sustainable and climate resilient mariculture opportunities and other living marine resources ($40,000). (2) Methodological guidance to the development of draft plan ($40,000). (3) Support to implementation of incorporation of opportunities ($30,000). (4) Guiding the plan development ($26,000). This activity will be carried out by the Project Manager and the proposed amount will be paid as his/her regular salary.</w:t>
            </w:r>
          </w:p>
        </w:tc>
        <w:tc>
          <w:tcPr>
            <w:tcW w:w="36" w:type="dxa"/>
            <w:vAlign w:val="center"/>
            <w:hideMark/>
          </w:tcPr>
          <w:p w14:paraId="199DAEF5" w14:textId="77777777" w:rsidR="007A7FA3" w:rsidRDefault="007A7FA3">
            <w:pPr>
              <w:rPr>
                <w:sz w:val="20"/>
                <w:szCs w:val="20"/>
              </w:rPr>
            </w:pPr>
          </w:p>
        </w:tc>
      </w:tr>
      <w:tr w:rsidR="007A7FA3" w14:paraId="2C3DEE17" w14:textId="77777777" w:rsidTr="007A7FA3">
        <w:trPr>
          <w:trHeight w:val="105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2E3CD060"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52</w:t>
            </w:r>
          </w:p>
        </w:tc>
        <w:tc>
          <w:tcPr>
            <w:tcW w:w="11366" w:type="dxa"/>
            <w:tcBorders>
              <w:top w:val="nil"/>
              <w:left w:val="nil"/>
              <w:bottom w:val="single" w:sz="8" w:space="0" w:color="auto"/>
              <w:right w:val="single" w:sz="8" w:space="0" w:color="auto"/>
            </w:tcBorders>
            <w:shd w:val="clear" w:color="auto" w:fill="auto"/>
            <w:vAlign w:val="center"/>
            <w:hideMark/>
          </w:tcPr>
          <w:p w14:paraId="6E12D1E2"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Contractual Services – Individuals: (1) Participation in implementation in Mussolo-Barra Do Dande demo project covering specific technical subjects related to fisheries and mariculture ($172,000) (2) Guiding stakeholder process ($20,000). This activity will be carried out by the M&amp;E and Stakeholder Officer and the proposed amount will be paid as his/her regular salary. (3) SES monitoring of the Mussolo-Barra Do Dande demo project implementation ($20,000).</w:t>
            </w:r>
          </w:p>
        </w:tc>
        <w:tc>
          <w:tcPr>
            <w:tcW w:w="36" w:type="dxa"/>
            <w:vAlign w:val="center"/>
            <w:hideMark/>
          </w:tcPr>
          <w:p w14:paraId="630AB13A" w14:textId="77777777" w:rsidR="007A7FA3" w:rsidRDefault="007A7FA3">
            <w:pPr>
              <w:rPr>
                <w:sz w:val="20"/>
                <w:szCs w:val="20"/>
              </w:rPr>
            </w:pPr>
          </w:p>
        </w:tc>
      </w:tr>
      <w:tr w:rsidR="007A7FA3" w14:paraId="14495825" w14:textId="77777777" w:rsidTr="007A7FA3">
        <w:trPr>
          <w:trHeight w:val="53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5EE3B109"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53</w:t>
            </w:r>
          </w:p>
        </w:tc>
        <w:tc>
          <w:tcPr>
            <w:tcW w:w="11366" w:type="dxa"/>
            <w:tcBorders>
              <w:top w:val="nil"/>
              <w:left w:val="nil"/>
              <w:bottom w:val="single" w:sz="8" w:space="0" w:color="auto"/>
              <w:right w:val="single" w:sz="8" w:space="0" w:color="auto"/>
            </w:tcBorders>
            <w:shd w:val="clear" w:color="auto" w:fill="auto"/>
            <w:vAlign w:val="center"/>
            <w:hideMark/>
          </w:tcPr>
          <w:p w14:paraId="600B8773"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Travel: (1) International travel for International Consultants and Implementation Partner ($40,000). (2) Travel within region ($75,000)</w:t>
            </w:r>
          </w:p>
        </w:tc>
        <w:tc>
          <w:tcPr>
            <w:tcW w:w="36" w:type="dxa"/>
            <w:vAlign w:val="center"/>
            <w:hideMark/>
          </w:tcPr>
          <w:p w14:paraId="3558372C" w14:textId="77777777" w:rsidR="007A7FA3" w:rsidRDefault="007A7FA3">
            <w:pPr>
              <w:rPr>
                <w:sz w:val="20"/>
                <w:szCs w:val="20"/>
              </w:rPr>
            </w:pPr>
          </w:p>
        </w:tc>
      </w:tr>
      <w:tr w:rsidR="007A7FA3" w14:paraId="6186DA1D" w14:textId="77777777" w:rsidTr="007A7FA3">
        <w:trPr>
          <w:trHeight w:val="53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5CC75004"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54</w:t>
            </w:r>
          </w:p>
        </w:tc>
        <w:tc>
          <w:tcPr>
            <w:tcW w:w="11366" w:type="dxa"/>
            <w:tcBorders>
              <w:top w:val="nil"/>
              <w:left w:val="nil"/>
              <w:bottom w:val="single" w:sz="8" w:space="0" w:color="auto"/>
              <w:right w:val="single" w:sz="8" w:space="0" w:color="auto"/>
            </w:tcBorders>
            <w:shd w:val="clear" w:color="auto" w:fill="auto"/>
            <w:vAlign w:val="center"/>
            <w:hideMark/>
          </w:tcPr>
          <w:p w14:paraId="65559BB8"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Contractual Services-Impl Partner: Support to develop sustainable fisheries and mariculture plan at Mussolo-Barra Do Dande demo project and guidance for replication of similar practices in other countries of the region, including validation workshop ($175,000)</w:t>
            </w:r>
          </w:p>
        </w:tc>
        <w:tc>
          <w:tcPr>
            <w:tcW w:w="36" w:type="dxa"/>
            <w:vAlign w:val="center"/>
            <w:hideMark/>
          </w:tcPr>
          <w:p w14:paraId="2043BBC3" w14:textId="77777777" w:rsidR="007A7FA3" w:rsidRDefault="007A7FA3">
            <w:pPr>
              <w:rPr>
                <w:sz w:val="20"/>
                <w:szCs w:val="20"/>
              </w:rPr>
            </w:pPr>
          </w:p>
        </w:tc>
      </w:tr>
      <w:tr w:rsidR="007A7FA3" w14:paraId="423D7CEC"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0D6A862C"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55</w:t>
            </w:r>
          </w:p>
        </w:tc>
        <w:tc>
          <w:tcPr>
            <w:tcW w:w="11366" w:type="dxa"/>
            <w:tcBorders>
              <w:top w:val="nil"/>
              <w:left w:val="nil"/>
              <w:bottom w:val="single" w:sz="8" w:space="0" w:color="auto"/>
              <w:right w:val="single" w:sz="8" w:space="0" w:color="auto"/>
            </w:tcBorders>
            <w:shd w:val="clear" w:color="auto" w:fill="auto"/>
            <w:vAlign w:val="center"/>
            <w:hideMark/>
          </w:tcPr>
          <w:p w14:paraId="4AA9EE38"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Equipment: Audio visual and interpretation equipment, premises, interpretation services ($58,000)</w:t>
            </w:r>
          </w:p>
        </w:tc>
        <w:tc>
          <w:tcPr>
            <w:tcW w:w="36" w:type="dxa"/>
            <w:vAlign w:val="center"/>
            <w:hideMark/>
          </w:tcPr>
          <w:p w14:paraId="7424C8EF" w14:textId="77777777" w:rsidR="007A7FA3" w:rsidRDefault="007A7FA3">
            <w:pPr>
              <w:rPr>
                <w:sz w:val="20"/>
                <w:szCs w:val="20"/>
              </w:rPr>
            </w:pPr>
          </w:p>
        </w:tc>
      </w:tr>
      <w:tr w:rsidR="007A7FA3" w14:paraId="188DFDCE" w14:textId="77777777" w:rsidTr="007A7FA3">
        <w:trPr>
          <w:trHeight w:val="53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4BEE4C90"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56</w:t>
            </w:r>
          </w:p>
        </w:tc>
        <w:tc>
          <w:tcPr>
            <w:tcW w:w="11366" w:type="dxa"/>
            <w:tcBorders>
              <w:top w:val="nil"/>
              <w:left w:val="nil"/>
              <w:bottom w:val="single" w:sz="8" w:space="0" w:color="auto"/>
              <w:right w:val="single" w:sz="8" w:space="0" w:color="auto"/>
            </w:tcBorders>
            <w:shd w:val="clear" w:color="auto" w:fill="auto"/>
            <w:vAlign w:val="center"/>
            <w:hideMark/>
          </w:tcPr>
          <w:p w14:paraId="0FFC208F"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International Consultants:</w:t>
            </w:r>
            <w:r>
              <w:rPr>
                <w:rFonts w:ascii="Calibri" w:hAnsi="Calibri" w:cs="Calibri"/>
                <w:i/>
                <w:iCs/>
                <w:color w:val="000000"/>
                <w:sz w:val="20"/>
                <w:szCs w:val="20"/>
              </w:rPr>
              <w:t xml:space="preserve"> </w:t>
            </w:r>
            <w:r>
              <w:rPr>
                <w:rFonts w:ascii="Calibri" w:hAnsi="Calibri" w:cs="Calibri"/>
                <w:color w:val="000000"/>
                <w:sz w:val="20"/>
                <w:szCs w:val="20"/>
              </w:rPr>
              <w:t xml:space="preserve">Needs analysis and identification of existing third-party certifications on sustainability and climate resilience for fish and seafood products in each participating country ($65,000). </w:t>
            </w:r>
          </w:p>
        </w:tc>
        <w:tc>
          <w:tcPr>
            <w:tcW w:w="36" w:type="dxa"/>
            <w:vAlign w:val="center"/>
            <w:hideMark/>
          </w:tcPr>
          <w:p w14:paraId="5679C52C" w14:textId="77777777" w:rsidR="007A7FA3" w:rsidRDefault="007A7FA3">
            <w:pPr>
              <w:rPr>
                <w:sz w:val="20"/>
                <w:szCs w:val="20"/>
              </w:rPr>
            </w:pPr>
          </w:p>
        </w:tc>
      </w:tr>
      <w:tr w:rsidR="007A7FA3" w14:paraId="1F2F243D" w14:textId="77777777" w:rsidTr="007A7FA3">
        <w:trPr>
          <w:trHeight w:val="79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1A4E92FE"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57</w:t>
            </w:r>
          </w:p>
        </w:tc>
        <w:tc>
          <w:tcPr>
            <w:tcW w:w="11366" w:type="dxa"/>
            <w:tcBorders>
              <w:top w:val="nil"/>
              <w:left w:val="nil"/>
              <w:bottom w:val="single" w:sz="8" w:space="0" w:color="auto"/>
              <w:right w:val="single" w:sz="8" w:space="0" w:color="auto"/>
            </w:tcBorders>
            <w:shd w:val="clear" w:color="auto" w:fill="auto"/>
            <w:vAlign w:val="center"/>
            <w:hideMark/>
          </w:tcPr>
          <w:p w14:paraId="5369D4DE"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Contractual Services – Individuals: Assistance to develop partnerships and assistance to international consultants to prepare needs analysis ($70,000). Part of the activity will be led by M&amp;E and Stakeholder Officer ($17,000) and the proposed amount will be paid as his/her regular salary.</w:t>
            </w:r>
          </w:p>
        </w:tc>
        <w:tc>
          <w:tcPr>
            <w:tcW w:w="36" w:type="dxa"/>
            <w:vAlign w:val="center"/>
            <w:hideMark/>
          </w:tcPr>
          <w:p w14:paraId="1E182423" w14:textId="77777777" w:rsidR="007A7FA3" w:rsidRDefault="007A7FA3">
            <w:pPr>
              <w:rPr>
                <w:sz w:val="20"/>
                <w:szCs w:val="20"/>
              </w:rPr>
            </w:pPr>
          </w:p>
        </w:tc>
      </w:tr>
      <w:tr w:rsidR="007A7FA3" w14:paraId="59CD2E69"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6E8E039C"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58</w:t>
            </w:r>
          </w:p>
        </w:tc>
        <w:tc>
          <w:tcPr>
            <w:tcW w:w="11366" w:type="dxa"/>
            <w:tcBorders>
              <w:top w:val="nil"/>
              <w:left w:val="nil"/>
              <w:bottom w:val="single" w:sz="8" w:space="0" w:color="auto"/>
              <w:right w:val="single" w:sz="8" w:space="0" w:color="auto"/>
            </w:tcBorders>
            <w:shd w:val="clear" w:color="auto" w:fill="auto"/>
            <w:vAlign w:val="center"/>
            <w:hideMark/>
          </w:tcPr>
          <w:p w14:paraId="592D7480"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Travel: Visit to three countries ($50,000)</w:t>
            </w:r>
          </w:p>
        </w:tc>
        <w:tc>
          <w:tcPr>
            <w:tcW w:w="36" w:type="dxa"/>
            <w:vAlign w:val="center"/>
            <w:hideMark/>
          </w:tcPr>
          <w:p w14:paraId="3FDB4404" w14:textId="77777777" w:rsidR="007A7FA3" w:rsidRDefault="007A7FA3">
            <w:pPr>
              <w:rPr>
                <w:sz w:val="20"/>
                <w:szCs w:val="20"/>
              </w:rPr>
            </w:pPr>
          </w:p>
        </w:tc>
      </w:tr>
      <w:tr w:rsidR="007A7FA3" w14:paraId="08307BFD"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2F7A4DA2"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59</w:t>
            </w:r>
          </w:p>
        </w:tc>
        <w:tc>
          <w:tcPr>
            <w:tcW w:w="11366" w:type="dxa"/>
            <w:tcBorders>
              <w:top w:val="nil"/>
              <w:left w:val="nil"/>
              <w:bottom w:val="single" w:sz="8" w:space="0" w:color="auto"/>
              <w:right w:val="single" w:sz="8" w:space="0" w:color="auto"/>
            </w:tcBorders>
            <w:shd w:val="clear" w:color="auto" w:fill="auto"/>
            <w:vAlign w:val="center"/>
            <w:hideMark/>
          </w:tcPr>
          <w:p w14:paraId="02011161"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Contractual Services – Companies: Companies candidates for certification support the activity   ($24,000)</w:t>
            </w:r>
          </w:p>
        </w:tc>
        <w:tc>
          <w:tcPr>
            <w:tcW w:w="36" w:type="dxa"/>
            <w:vAlign w:val="center"/>
            <w:hideMark/>
          </w:tcPr>
          <w:p w14:paraId="7E045B53" w14:textId="77777777" w:rsidR="007A7FA3" w:rsidRDefault="007A7FA3">
            <w:pPr>
              <w:rPr>
                <w:sz w:val="20"/>
                <w:szCs w:val="20"/>
              </w:rPr>
            </w:pPr>
          </w:p>
        </w:tc>
      </w:tr>
      <w:tr w:rsidR="007A7FA3" w14:paraId="419487EA"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471154A1"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60</w:t>
            </w:r>
          </w:p>
        </w:tc>
        <w:tc>
          <w:tcPr>
            <w:tcW w:w="11366" w:type="dxa"/>
            <w:tcBorders>
              <w:top w:val="nil"/>
              <w:left w:val="nil"/>
              <w:bottom w:val="single" w:sz="8" w:space="0" w:color="auto"/>
              <w:right w:val="single" w:sz="8" w:space="0" w:color="auto"/>
            </w:tcBorders>
            <w:shd w:val="clear" w:color="auto" w:fill="auto"/>
            <w:vAlign w:val="center"/>
            <w:hideMark/>
          </w:tcPr>
          <w:p w14:paraId="7EE87568"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Communications and Audio-visual Equipment: Technical and logistical support, interpretation and equipment ($24,000)</w:t>
            </w:r>
          </w:p>
        </w:tc>
        <w:tc>
          <w:tcPr>
            <w:tcW w:w="36" w:type="dxa"/>
            <w:vAlign w:val="center"/>
            <w:hideMark/>
          </w:tcPr>
          <w:p w14:paraId="36ED1D94" w14:textId="77777777" w:rsidR="007A7FA3" w:rsidRDefault="007A7FA3">
            <w:pPr>
              <w:rPr>
                <w:sz w:val="20"/>
                <w:szCs w:val="20"/>
              </w:rPr>
            </w:pPr>
          </w:p>
        </w:tc>
      </w:tr>
      <w:tr w:rsidR="007A7FA3" w14:paraId="58CE0362" w14:textId="77777777" w:rsidTr="007A7FA3">
        <w:trPr>
          <w:trHeight w:val="53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7A2EEAFB"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lastRenderedPageBreak/>
              <w:t>61</w:t>
            </w:r>
          </w:p>
        </w:tc>
        <w:tc>
          <w:tcPr>
            <w:tcW w:w="11366" w:type="dxa"/>
            <w:tcBorders>
              <w:top w:val="nil"/>
              <w:left w:val="nil"/>
              <w:bottom w:val="single" w:sz="8" w:space="0" w:color="auto"/>
              <w:right w:val="single" w:sz="8" w:space="0" w:color="auto"/>
            </w:tcBorders>
            <w:shd w:val="clear" w:color="auto" w:fill="auto"/>
            <w:vAlign w:val="center"/>
            <w:hideMark/>
          </w:tcPr>
          <w:p w14:paraId="74F98A41"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International Consultant: (1) Market research for fish, seafood and mariculture products ($30,000); (2) Development of market growth strategy ($22,000)</w:t>
            </w:r>
          </w:p>
        </w:tc>
        <w:tc>
          <w:tcPr>
            <w:tcW w:w="36" w:type="dxa"/>
            <w:vAlign w:val="center"/>
            <w:hideMark/>
          </w:tcPr>
          <w:p w14:paraId="2439CF2F" w14:textId="77777777" w:rsidR="007A7FA3" w:rsidRDefault="007A7FA3">
            <w:pPr>
              <w:rPr>
                <w:sz w:val="20"/>
                <w:szCs w:val="20"/>
              </w:rPr>
            </w:pPr>
          </w:p>
        </w:tc>
      </w:tr>
      <w:tr w:rsidR="007A7FA3" w14:paraId="56515780" w14:textId="77777777" w:rsidTr="007A7FA3">
        <w:trPr>
          <w:trHeight w:val="53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7264A11D"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62</w:t>
            </w:r>
          </w:p>
        </w:tc>
        <w:tc>
          <w:tcPr>
            <w:tcW w:w="11366" w:type="dxa"/>
            <w:tcBorders>
              <w:top w:val="nil"/>
              <w:left w:val="nil"/>
              <w:bottom w:val="single" w:sz="8" w:space="0" w:color="auto"/>
              <w:right w:val="single" w:sz="8" w:space="0" w:color="auto"/>
            </w:tcBorders>
            <w:shd w:val="clear" w:color="auto" w:fill="auto"/>
            <w:vAlign w:val="center"/>
            <w:hideMark/>
          </w:tcPr>
          <w:p w14:paraId="1985BF90"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Contractual Services – Individuals: Assistance to international consultant by providing relevant information and organisation of stakeholder consultations ($49,000)</w:t>
            </w:r>
          </w:p>
        </w:tc>
        <w:tc>
          <w:tcPr>
            <w:tcW w:w="36" w:type="dxa"/>
            <w:vAlign w:val="center"/>
            <w:hideMark/>
          </w:tcPr>
          <w:p w14:paraId="3B12ABB0" w14:textId="77777777" w:rsidR="007A7FA3" w:rsidRDefault="007A7FA3">
            <w:pPr>
              <w:rPr>
                <w:sz w:val="20"/>
                <w:szCs w:val="20"/>
              </w:rPr>
            </w:pPr>
          </w:p>
        </w:tc>
      </w:tr>
      <w:tr w:rsidR="007A7FA3" w14:paraId="07278CF8"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0996BE2B"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63</w:t>
            </w:r>
          </w:p>
        </w:tc>
        <w:tc>
          <w:tcPr>
            <w:tcW w:w="11366" w:type="dxa"/>
            <w:tcBorders>
              <w:top w:val="nil"/>
              <w:left w:val="nil"/>
              <w:bottom w:val="single" w:sz="8" w:space="0" w:color="auto"/>
              <w:right w:val="single" w:sz="8" w:space="0" w:color="auto"/>
            </w:tcBorders>
            <w:shd w:val="clear" w:color="auto" w:fill="auto"/>
            <w:vAlign w:val="center"/>
            <w:hideMark/>
          </w:tcPr>
          <w:p w14:paraId="770A23FA"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Travel: International travel to region and travel of national consultants within the region to attend consultations ($54,000)</w:t>
            </w:r>
          </w:p>
        </w:tc>
        <w:tc>
          <w:tcPr>
            <w:tcW w:w="36" w:type="dxa"/>
            <w:vAlign w:val="center"/>
            <w:hideMark/>
          </w:tcPr>
          <w:p w14:paraId="5B131C0A" w14:textId="77777777" w:rsidR="007A7FA3" w:rsidRDefault="007A7FA3">
            <w:pPr>
              <w:rPr>
                <w:sz w:val="20"/>
                <w:szCs w:val="20"/>
              </w:rPr>
            </w:pPr>
          </w:p>
        </w:tc>
      </w:tr>
      <w:tr w:rsidR="007A7FA3" w14:paraId="38C01662" w14:textId="77777777" w:rsidTr="007A7FA3">
        <w:trPr>
          <w:trHeight w:val="53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1357B7B3"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64</w:t>
            </w:r>
          </w:p>
        </w:tc>
        <w:tc>
          <w:tcPr>
            <w:tcW w:w="11366" w:type="dxa"/>
            <w:tcBorders>
              <w:top w:val="nil"/>
              <w:left w:val="nil"/>
              <w:bottom w:val="single" w:sz="8" w:space="0" w:color="auto"/>
              <w:right w:val="single" w:sz="8" w:space="0" w:color="auto"/>
            </w:tcBorders>
            <w:shd w:val="clear" w:color="auto" w:fill="auto"/>
            <w:vAlign w:val="center"/>
            <w:hideMark/>
          </w:tcPr>
          <w:p w14:paraId="272F0AF2"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Contractual Services-Impl Partner: Provision on information on seafood products and and proposal for priority actions, including support to add value to capture fisheries and mariculture, training and capacity building to meet international standards ($75,000)</w:t>
            </w:r>
          </w:p>
        </w:tc>
        <w:tc>
          <w:tcPr>
            <w:tcW w:w="36" w:type="dxa"/>
            <w:vAlign w:val="center"/>
            <w:hideMark/>
          </w:tcPr>
          <w:p w14:paraId="52C3B33D" w14:textId="77777777" w:rsidR="007A7FA3" w:rsidRDefault="007A7FA3">
            <w:pPr>
              <w:rPr>
                <w:sz w:val="20"/>
                <w:szCs w:val="20"/>
              </w:rPr>
            </w:pPr>
          </w:p>
        </w:tc>
      </w:tr>
      <w:tr w:rsidR="007A7FA3" w14:paraId="58DE914E"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3C2784AB"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65</w:t>
            </w:r>
          </w:p>
        </w:tc>
        <w:tc>
          <w:tcPr>
            <w:tcW w:w="11366" w:type="dxa"/>
            <w:tcBorders>
              <w:top w:val="nil"/>
              <w:left w:val="nil"/>
              <w:bottom w:val="single" w:sz="8" w:space="0" w:color="auto"/>
              <w:right w:val="single" w:sz="8" w:space="0" w:color="auto"/>
            </w:tcBorders>
            <w:shd w:val="clear" w:color="auto" w:fill="auto"/>
            <w:vAlign w:val="center"/>
            <w:hideMark/>
          </w:tcPr>
          <w:p w14:paraId="53197082"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Communications and Audio-visual Equipment: Technical and logistical support, interpretation and equipment ($20,000)</w:t>
            </w:r>
          </w:p>
        </w:tc>
        <w:tc>
          <w:tcPr>
            <w:tcW w:w="36" w:type="dxa"/>
            <w:vAlign w:val="center"/>
            <w:hideMark/>
          </w:tcPr>
          <w:p w14:paraId="11FE03A5" w14:textId="77777777" w:rsidR="007A7FA3" w:rsidRDefault="007A7FA3">
            <w:pPr>
              <w:rPr>
                <w:sz w:val="20"/>
                <w:szCs w:val="20"/>
              </w:rPr>
            </w:pPr>
          </w:p>
        </w:tc>
      </w:tr>
      <w:tr w:rsidR="007A7FA3" w14:paraId="74390A63"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6D79384C"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66</w:t>
            </w:r>
          </w:p>
        </w:tc>
        <w:tc>
          <w:tcPr>
            <w:tcW w:w="11366" w:type="dxa"/>
            <w:tcBorders>
              <w:top w:val="nil"/>
              <w:left w:val="nil"/>
              <w:bottom w:val="single" w:sz="8" w:space="0" w:color="auto"/>
              <w:right w:val="single" w:sz="8" w:space="0" w:color="auto"/>
            </w:tcBorders>
            <w:shd w:val="clear" w:color="auto" w:fill="auto"/>
            <w:vAlign w:val="center"/>
            <w:hideMark/>
          </w:tcPr>
          <w:p w14:paraId="5E71A914"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International Consultant: (1) Identification and  needs analysis ($35,000)</w:t>
            </w:r>
          </w:p>
        </w:tc>
        <w:tc>
          <w:tcPr>
            <w:tcW w:w="36" w:type="dxa"/>
            <w:vAlign w:val="center"/>
            <w:hideMark/>
          </w:tcPr>
          <w:p w14:paraId="49704CA4" w14:textId="77777777" w:rsidR="007A7FA3" w:rsidRDefault="007A7FA3">
            <w:pPr>
              <w:rPr>
                <w:sz w:val="20"/>
                <w:szCs w:val="20"/>
              </w:rPr>
            </w:pPr>
          </w:p>
        </w:tc>
      </w:tr>
      <w:tr w:rsidR="007A7FA3" w14:paraId="250065BE" w14:textId="77777777" w:rsidTr="007A7FA3">
        <w:trPr>
          <w:trHeight w:val="53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4B507DDD"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67</w:t>
            </w:r>
          </w:p>
        </w:tc>
        <w:tc>
          <w:tcPr>
            <w:tcW w:w="11366" w:type="dxa"/>
            <w:tcBorders>
              <w:top w:val="nil"/>
              <w:left w:val="nil"/>
              <w:bottom w:val="single" w:sz="8" w:space="0" w:color="auto"/>
              <w:right w:val="single" w:sz="8" w:space="0" w:color="auto"/>
            </w:tcBorders>
            <w:shd w:val="clear" w:color="auto" w:fill="auto"/>
            <w:vAlign w:val="center"/>
            <w:hideMark/>
          </w:tcPr>
          <w:p w14:paraId="69F95189"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Contractual Services – Individuals: (1) Assistance to International Consultant and training programme in three countries ($43,000). (2) Capacity building ($15,000). This activity will be carried out by the KM Expert.</w:t>
            </w:r>
          </w:p>
        </w:tc>
        <w:tc>
          <w:tcPr>
            <w:tcW w:w="36" w:type="dxa"/>
            <w:vAlign w:val="center"/>
            <w:hideMark/>
          </w:tcPr>
          <w:p w14:paraId="1CB9F533" w14:textId="77777777" w:rsidR="007A7FA3" w:rsidRDefault="007A7FA3">
            <w:pPr>
              <w:rPr>
                <w:sz w:val="20"/>
                <w:szCs w:val="20"/>
              </w:rPr>
            </w:pPr>
          </w:p>
        </w:tc>
      </w:tr>
      <w:tr w:rsidR="007A7FA3" w14:paraId="18DB643F"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1B4BF70D"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68</w:t>
            </w:r>
          </w:p>
        </w:tc>
        <w:tc>
          <w:tcPr>
            <w:tcW w:w="11366" w:type="dxa"/>
            <w:tcBorders>
              <w:top w:val="nil"/>
              <w:left w:val="nil"/>
              <w:bottom w:val="single" w:sz="8" w:space="0" w:color="auto"/>
              <w:right w:val="single" w:sz="8" w:space="0" w:color="auto"/>
            </w:tcBorders>
            <w:shd w:val="clear" w:color="auto" w:fill="auto"/>
            <w:vAlign w:val="center"/>
            <w:hideMark/>
          </w:tcPr>
          <w:p w14:paraId="4C517D12"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Travel: International travel and travel of participants and national consultants for training purposes ($46,000)</w:t>
            </w:r>
          </w:p>
        </w:tc>
        <w:tc>
          <w:tcPr>
            <w:tcW w:w="36" w:type="dxa"/>
            <w:vAlign w:val="center"/>
            <w:hideMark/>
          </w:tcPr>
          <w:p w14:paraId="6D380316" w14:textId="77777777" w:rsidR="007A7FA3" w:rsidRDefault="007A7FA3">
            <w:pPr>
              <w:rPr>
                <w:sz w:val="20"/>
                <w:szCs w:val="20"/>
              </w:rPr>
            </w:pPr>
          </w:p>
        </w:tc>
      </w:tr>
      <w:tr w:rsidR="007A7FA3" w14:paraId="3FB17FE3"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33A1851A"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69</w:t>
            </w:r>
          </w:p>
        </w:tc>
        <w:tc>
          <w:tcPr>
            <w:tcW w:w="11366" w:type="dxa"/>
            <w:tcBorders>
              <w:top w:val="nil"/>
              <w:left w:val="nil"/>
              <w:bottom w:val="single" w:sz="8" w:space="0" w:color="auto"/>
              <w:right w:val="single" w:sz="8" w:space="0" w:color="auto"/>
            </w:tcBorders>
            <w:shd w:val="clear" w:color="auto" w:fill="auto"/>
            <w:vAlign w:val="center"/>
            <w:hideMark/>
          </w:tcPr>
          <w:p w14:paraId="567C0378"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Contractual Services – Companies: support to capacity building and training ($42,000)</w:t>
            </w:r>
          </w:p>
        </w:tc>
        <w:tc>
          <w:tcPr>
            <w:tcW w:w="36" w:type="dxa"/>
            <w:vAlign w:val="center"/>
            <w:hideMark/>
          </w:tcPr>
          <w:p w14:paraId="6E9E084E" w14:textId="77777777" w:rsidR="007A7FA3" w:rsidRDefault="007A7FA3">
            <w:pPr>
              <w:rPr>
                <w:sz w:val="20"/>
                <w:szCs w:val="20"/>
              </w:rPr>
            </w:pPr>
          </w:p>
        </w:tc>
      </w:tr>
      <w:tr w:rsidR="007A7FA3" w14:paraId="5CD5355E"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17840281"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70</w:t>
            </w:r>
          </w:p>
        </w:tc>
        <w:tc>
          <w:tcPr>
            <w:tcW w:w="11366" w:type="dxa"/>
            <w:tcBorders>
              <w:top w:val="nil"/>
              <w:left w:val="nil"/>
              <w:bottom w:val="single" w:sz="8" w:space="0" w:color="auto"/>
              <w:right w:val="single" w:sz="8" w:space="0" w:color="auto"/>
            </w:tcBorders>
            <w:shd w:val="clear" w:color="auto" w:fill="auto"/>
            <w:vAlign w:val="center"/>
            <w:hideMark/>
          </w:tcPr>
          <w:p w14:paraId="3E60DCF0"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Communications and Audio-visual Equipment: Technical and logistical support equipment, interpretation ($20,000)</w:t>
            </w:r>
          </w:p>
        </w:tc>
        <w:tc>
          <w:tcPr>
            <w:tcW w:w="36" w:type="dxa"/>
            <w:vAlign w:val="center"/>
            <w:hideMark/>
          </w:tcPr>
          <w:p w14:paraId="2508C75E" w14:textId="77777777" w:rsidR="007A7FA3" w:rsidRDefault="007A7FA3">
            <w:pPr>
              <w:rPr>
                <w:sz w:val="20"/>
                <w:szCs w:val="20"/>
              </w:rPr>
            </w:pPr>
          </w:p>
        </w:tc>
      </w:tr>
      <w:tr w:rsidR="007A7FA3" w14:paraId="5A2BE950" w14:textId="77777777" w:rsidTr="007A7FA3">
        <w:trPr>
          <w:trHeight w:val="53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7A6D3747"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71</w:t>
            </w:r>
          </w:p>
        </w:tc>
        <w:tc>
          <w:tcPr>
            <w:tcW w:w="11366" w:type="dxa"/>
            <w:tcBorders>
              <w:top w:val="nil"/>
              <w:left w:val="nil"/>
              <w:bottom w:val="single" w:sz="8" w:space="0" w:color="auto"/>
              <w:right w:val="single" w:sz="8" w:space="0" w:color="auto"/>
            </w:tcBorders>
            <w:shd w:val="clear" w:color="000000" w:fill="FFFFFF"/>
            <w:vAlign w:val="center"/>
            <w:hideMark/>
          </w:tcPr>
          <w:p w14:paraId="4AEEA0B8"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International Consultant: (1) Research and Assessment methodology and data collection and Identification of new climate resilient markets($40,000); (2) Exploratory strategy ($33,000)</w:t>
            </w:r>
          </w:p>
        </w:tc>
        <w:tc>
          <w:tcPr>
            <w:tcW w:w="36" w:type="dxa"/>
            <w:vAlign w:val="center"/>
            <w:hideMark/>
          </w:tcPr>
          <w:p w14:paraId="3F988B7C" w14:textId="77777777" w:rsidR="007A7FA3" w:rsidRDefault="007A7FA3">
            <w:pPr>
              <w:rPr>
                <w:sz w:val="20"/>
                <w:szCs w:val="20"/>
              </w:rPr>
            </w:pPr>
          </w:p>
        </w:tc>
      </w:tr>
      <w:tr w:rsidR="007A7FA3" w14:paraId="4C748883"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61A29706"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72</w:t>
            </w:r>
          </w:p>
        </w:tc>
        <w:tc>
          <w:tcPr>
            <w:tcW w:w="11366" w:type="dxa"/>
            <w:tcBorders>
              <w:top w:val="nil"/>
              <w:left w:val="nil"/>
              <w:bottom w:val="single" w:sz="8" w:space="0" w:color="auto"/>
              <w:right w:val="single" w:sz="8" w:space="0" w:color="auto"/>
            </w:tcBorders>
            <w:shd w:val="clear" w:color="auto" w:fill="auto"/>
            <w:vAlign w:val="center"/>
            <w:hideMark/>
          </w:tcPr>
          <w:p w14:paraId="3588AFC6"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Contractual Services – Individuals: National assistance on data provision and development of exploratory strategy ($83,000)</w:t>
            </w:r>
          </w:p>
        </w:tc>
        <w:tc>
          <w:tcPr>
            <w:tcW w:w="36" w:type="dxa"/>
            <w:vAlign w:val="center"/>
            <w:hideMark/>
          </w:tcPr>
          <w:p w14:paraId="57CC1CAA" w14:textId="77777777" w:rsidR="007A7FA3" w:rsidRDefault="007A7FA3">
            <w:pPr>
              <w:rPr>
                <w:sz w:val="20"/>
                <w:szCs w:val="20"/>
              </w:rPr>
            </w:pPr>
          </w:p>
        </w:tc>
      </w:tr>
      <w:tr w:rsidR="007A7FA3" w14:paraId="172B2685"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2DA5F2DE"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73</w:t>
            </w:r>
          </w:p>
        </w:tc>
        <w:tc>
          <w:tcPr>
            <w:tcW w:w="11366" w:type="dxa"/>
            <w:tcBorders>
              <w:top w:val="nil"/>
              <w:left w:val="nil"/>
              <w:bottom w:val="single" w:sz="8" w:space="0" w:color="auto"/>
              <w:right w:val="single" w:sz="8" w:space="0" w:color="auto"/>
            </w:tcBorders>
            <w:shd w:val="clear" w:color="auto" w:fill="auto"/>
            <w:vAlign w:val="center"/>
            <w:hideMark/>
          </w:tcPr>
          <w:p w14:paraId="5262E9FE"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Travel: Travel to the region of international and national consultants ($32,000)</w:t>
            </w:r>
          </w:p>
        </w:tc>
        <w:tc>
          <w:tcPr>
            <w:tcW w:w="36" w:type="dxa"/>
            <w:vAlign w:val="center"/>
            <w:hideMark/>
          </w:tcPr>
          <w:p w14:paraId="37B789B8" w14:textId="77777777" w:rsidR="007A7FA3" w:rsidRDefault="007A7FA3">
            <w:pPr>
              <w:rPr>
                <w:sz w:val="20"/>
                <w:szCs w:val="20"/>
              </w:rPr>
            </w:pPr>
          </w:p>
        </w:tc>
      </w:tr>
      <w:tr w:rsidR="007A7FA3" w14:paraId="0557ED98"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6D718B83"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74</w:t>
            </w:r>
          </w:p>
        </w:tc>
        <w:tc>
          <w:tcPr>
            <w:tcW w:w="11366" w:type="dxa"/>
            <w:tcBorders>
              <w:top w:val="nil"/>
              <w:left w:val="nil"/>
              <w:bottom w:val="single" w:sz="8" w:space="0" w:color="auto"/>
              <w:right w:val="single" w:sz="8" w:space="0" w:color="auto"/>
            </w:tcBorders>
            <w:shd w:val="clear" w:color="auto" w:fill="auto"/>
            <w:vAlign w:val="center"/>
            <w:hideMark/>
          </w:tcPr>
          <w:p w14:paraId="38022091"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Contractual Services – Companies: Assistance to implementation of exploratory strategy ($78,000)</w:t>
            </w:r>
          </w:p>
        </w:tc>
        <w:tc>
          <w:tcPr>
            <w:tcW w:w="36" w:type="dxa"/>
            <w:vAlign w:val="center"/>
            <w:hideMark/>
          </w:tcPr>
          <w:p w14:paraId="44A83DCE" w14:textId="77777777" w:rsidR="007A7FA3" w:rsidRDefault="007A7FA3">
            <w:pPr>
              <w:rPr>
                <w:sz w:val="20"/>
                <w:szCs w:val="20"/>
              </w:rPr>
            </w:pPr>
          </w:p>
        </w:tc>
      </w:tr>
      <w:tr w:rsidR="007A7FA3" w14:paraId="3AE5EB9B"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194286F6"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75</w:t>
            </w:r>
          </w:p>
        </w:tc>
        <w:tc>
          <w:tcPr>
            <w:tcW w:w="11366" w:type="dxa"/>
            <w:tcBorders>
              <w:top w:val="nil"/>
              <w:left w:val="nil"/>
              <w:bottom w:val="single" w:sz="8" w:space="0" w:color="auto"/>
              <w:right w:val="single" w:sz="8" w:space="0" w:color="auto"/>
            </w:tcBorders>
            <w:shd w:val="clear" w:color="auto" w:fill="auto"/>
            <w:vAlign w:val="center"/>
            <w:hideMark/>
          </w:tcPr>
          <w:p w14:paraId="28403B53"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interpretation and Communications and Audio-visual Equipment: Technical and logistical support equipment ($30,000)</w:t>
            </w:r>
          </w:p>
        </w:tc>
        <w:tc>
          <w:tcPr>
            <w:tcW w:w="36" w:type="dxa"/>
            <w:vAlign w:val="center"/>
            <w:hideMark/>
          </w:tcPr>
          <w:p w14:paraId="43309C38" w14:textId="77777777" w:rsidR="007A7FA3" w:rsidRDefault="007A7FA3">
            <w:pPr>
              <w:rPr>
                <w:sz w:val="20"/>
                <w:szCs w:val="20"/>
              </w:rPr>
            </w:pPr>
          </w:p>
        </w:tc>
      </w:tr>
      <w:tr w:rsidR="007A7FA3" w14:paraId="7A916414" w14:textId="77777777" w:rsidTr="007A7FA3">
        <w:trPr>
          <w:trHeight w:val="79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218C7C4B"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76</w:t>
            </w:r>
          </w:p>
        </w:tc>
        <w:tc>
          <w:tcPr>
            <w:tcW w:w="11366" w:type="dxa"/>
            <w:tcBorders>
              <w:top w:val="nil"/>
              <w:left w:val="nil"/>
              <w:bottom w:val="single" w:sz="8" w:space="0" w:color="auto"/>
              <w:right w:val="single" w:sz="8" w:space="0" w:color="auto"/>
            </w:tcBorders>
            <w:shd w:val="clear" w:color="auto" w:fill="auto"/>
            <w:vAlign w:val="center"/>
            <w:hideMark/>
          </w:tcPr>
          <w:p w14:paraId="2588FAB3"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International Consultant: (1) Conducting baseline study for pollution  and developing harmonised policy ($40,000). (2) Supporting baseline study and policy development ($10,000). This activity will be carried out by the Project Manager and the proposed amount will be paid as his/her regular salary.</w:t>
            </w:r>
          </w:p>
        </w:tc>
        <w:tc>
          <w:tcPr>
            <w:tcW w:w="36" w:type="dxa"/>
            <w:vAlign w:val="center"/>
            <w:hideMark/>
          </w:tcPr>
          <w:p w14:paraId="13067A60" w14:textId="77777777" w:rsidR="007A7FA3" w:rsidRDefault="007A7FA3">
            <w:pPr>
              <w:rPr>
                <w:sz w:val="20"/>
                <w:szCs w:val="20"/>
              </w:rPr>
            </w:pPr>
          </w:p>
        </w:tc>
      </w:tr>
      <w:tr w:rsidR="007A7FA3" w14:paraId="4EBD2C08" w14:textId="77777777" w:rsidTr="007A7FA3">
        <w:trPr>
          <w:trHeight w:val="53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36B93DBD"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77</w:t>
            </w:r>
          </w:p>
        </w:tc>
        <w:tc>
          <w:tcPr>
            <w:tcW w:w="11366" w:type="dxa"/>
            <w:tcBorders>
              <w:top w:val="nil"/>
              <w:left w:val="nil"/>
              <w:bottom w:val="single" w:sz="8" w:space="0" w:color="auto"/>
              <w:right w:val="single" w:sz="8" w:space="0" w:color="auto"/>
            </w:tcBorders>
            <w:shd w:val="clear" w:color="auto" w:fill="auto"/>
            <w:vAlign w:val="center"/>
            <w:hideMark/>
          </w:tcPr>
          <w:p w14:paraId="7B8259D7"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Local Consultants: Support to baseline analysis and policy development ($25,000). This task will be performed by National Coordinators and will be part of his/her regular salary.</w:t>
            </w:r>
          </w:p>
        </w:tc>
        <w:tc>
          <w:tcPr>
            <w:tcW w:w="36" w:type="dxa"/>
            <w:vAlign w:val="center"/>
            <w:hideMark/>
          </w:tcPr>
          <w:p w14:paraId="52BD99AC" w14:textId="77777777" w:rsidR="007A7FA3" w:rsidRDefault="007A7FA3">
            <w:pPr>
              <w:rPr>
                <w:sz w:val="20"/>
                <w:szCs w:val="20"/>
              </w:rPr>
            </w:pPr>
          </w:p>
        </w:tc>
      </w:tr>
      <w:tr w:rsidR="007A7FA3" w14:paraId="6F38EAB4"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4A4F12DC"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78</w:t>
            </w:r>
          </w:p>
        </w:tc>
        <w:tc>
          <w:tcPr>
            <w:tcW w:w="11366" w:type="dxa"/>
            <w:tcBorders>
              <w:top w:val="nil"/>
              <w:left w:val="nil"/>
              <w:bottom w:val="single" w:sz="8" w:space="0" w:color="auto"/>
              <w:right w:val="single" w:sz="8" w:space="0" w:color="auto"/>
            </w:tcBorders>
            <w:shd w:val="clear" w:color="auto" w:fill="auto"/>
            <w:vAlign w:val="center"/>
            <w:hideMark/>
          </w:tcPr>
          <w:p w14:paraId="56936799"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Travel: Travel to the region of international and national consultants ($18,000)</w:t>
            </w:r>
          </w:p>
        </w:tc>
        <w:tc>
          <w:tcPr>
            <w:tcW w:w="36" w:type="dxa"/>
            <w:vAlign w:val="center"/>
            <w:hideMark/>
          </w:tcPr>
          <w:p w14:paraId="6FFA4513" w14:textId="77777777" w:rsidR="007A7FA3" w:rsidRDefault="007A7FA3">
            <w:pPr>
              <w:rPr>
                <w:sz w:val="20"/>
                <w:szCs w:val="20"/>
              </w:rPr>
            </w:pPr>
          </w:p>
        </w:tc>
      </w:tr>
      <w:tr w:rsidR="007A7FA3" w14:paraId="5378A0A8"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7590DE85"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79</w:t>
            </w:r>
          </w:p>
        </w:tc>
        <w:tc>
          <w:tcPr>
            <w:tcW w:w="11366" w:type="dxa"/>
            <w:tcBorders>
              <w:top w:val="nil"/>
              <w:left w:val="nil"/>
              <w:bottom w:val="single" w:sz="8" w:space="0" w:color="auto"/>
              <w:right w:val="single" w:sz="8" w:space="0" w:color="auto"/>
            </w:tcBorders>
            <w:shd w:val="clear" w:color="auto" w:fill="auto"/>
            <w:vAlign w:val="center"/>
            <w:hideMark/>
          </w:tcPr>
          <w:p w14:paraId="51B57A25"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Communications and Audio-visual Equipment: Technical and logistical support, interpretation and equipment ($7,000)</w:t>
            </w:r>
          </w:p>
        </w:tc>
        <w:tc>
          <w:tcPr>
            <w:tcW w:w="36" w:type="dxa"/>
            <w:vAlign w:val="center"/>
            <w:hideMark/>
          </w:tcPr>
          <w:p w14:paraId="3A1BB196" w14:textId="77777777" w:rsidR="007A7FA3" w:rsidRDefault="007A7FA3">
            <w:pPr>
              <w:rPr>
                <w:sz w:val="20"/>
                <w:szCs w:val="20"/>
              </w:rPr>
            </w:pPr>
          </w:p>
        </w:tc>
      </w:tr>
      <w:tr w:rsidR="007A7FA3" w14:paraId="6031A5C5" w14:textId="77777777" w:rsidTr="007A7FA3">
        <w:trPr>
          <w:trHeight w:val="53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55B82CB7"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80</w:t>
            </w:r>
          </w:p>
        </w:tc>
        <w:tc>
          <w:tcPr>
            <w:tcW w:w="11366" w:type="dxa"/>
            <w:tcBorders>
              <w:top w:val="nil"/>
              <w:left w:val="nil"/>
              <w:bottom w:val="single" w:sz="8" w:space="0" w:color="auto"/>
              <w:right w:val="single" w:sz="8" w:space="0" w:color="auto"/>
            </w:tcBorders>
            <w:shd w:val="clear" w:color="auto" w:fill="auto"/>
            <w:vAlign w:val="center"/>
            <w:hideMark/>
          </w:tcPr>
          <w:p w14:paraId="15984099"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 xml:space="preserve">International Consultant: (1) Guide the preparation of Screening Study for Saldanha Bay ($40,000). (2) CTA to prepare intervention strategy ($20,000) and the proposed amount will be paid as his/her regular salary. </w:t>
            </w:r>
          </w:p>
        </w:tc>
        <w:tc>
          <w:tcPr>
            <w:tcW w:w="36" w:type="dxa"/>
            <w:vAlign w:val="center"/>
            <w:hideMark/>
          </w:tcPr>
          <w:p w14:paraId="0CF2F870" w14:textId="77777777" w:rsidR="007A7FA3" w:rsidRDefault="007A7FA3">
            <w:pPr>
              <w:rPr>
                <w:sz w:val="20"/>
                <w:szCs w:val="20"/>
              </w:rPr>
            </w:pPr>
          </w:p>
        </w:tc>
      </w:tr>
      <w:tr w:rsidR="007A7FA3" w14:paraId="3B50DEB4" w14:textId="77777777" w:rsidTr="007A7FA3">
        <w:trPr>
          <w:trHeight w:val="131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6BB16289"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lastRenderedPageBreak/>
              <w:t>81</w:t>
            </w:r>
          </w:p>
        </w:tc>
        <w:tc>
          <w:tcPr>
            <w:tcW w:w="11366" w:type="dxa"/>
            <w:tcBorders>
              <w:top w:val="nil"/>
              <w:left w:val="nil"/>
              <w:bottom w:val="single" w:sz="8" w:space="0" w:color="auto"/>
              <w:right w:val="single" w:sz="8" w:space="0" w:color="auto"/>
            </w:tcBorders>
            <w:shd w:val="clear" w:color="auto" w:fill="auto"/>
            <w:vAlign w:val="center"/>
            <w:hideMark/>
          </w:tcPr>
          <w:p w14:paraId="0F1E1829"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Local Consultants: (1) National Coordinator for South Africa to support Saldanha Bay demo project ($20,000). This task will be performed by National Coordinators and will be part of his/her regular salary. (2) Local consultants to support technical activities ($38,000) (3) Guide the stakeholders process ($19,000). This activity will be carried out by the M&amp;E and Stakeholder Officer and the proposed amount will be paid as his/her regular salary. (4) SES monitoring of the Saldanha Bay demo project implementation ($20,000).</w:t>
            </w:r>
          </w:p>
        </w:tc>
        <w:tc>
          <w:tcPr>
            <w:tcW w:w="36" w:type="dxa"/>
            <w:vAlign w:val="center"/>
            <w:hideMark/>
          </w:tcPr>
          <w:p w14:paraId="10919013" w14:textId="77777777" w:rsidR="007A7FA3" w:rsidRDefault="007A7FA3">
            <w:pPr>
              <w:rPr>
                <w:sz w:val="20"/>
                <w:szCs w:val="20"/>
              </w:rPr>
            </w:pPr>
          </w:p>
        </w:tc>
      </w:tr>
      <w:tr w:rsidR="007A7FA3" w14:paraId="381D5554"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287C62E7"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82</w:t>
            </w:r>
          </w:p>
        </w:tc>
        <w:tc>
          <w:tcPr>
            <w:tcW w:w="11366" w:type="dxa"/>
            <w:tcBorders>
              <w:top w:val="nil"/>
              <w:left w:val="nil"/>
              <w:bottom w:val="single" w:sz="8" w:space="0" w:color="auto"/>
              <w:right w:val="single" w:sz="8" w:space="0" w:color="auto"/>
            </w:tcBorders>
            <w:shd w:val="clear" w:color="auto" w:fill="auto"/>
            <w:vAlign w:val="center"/>
            <w:hideMark/>
          </w:tcPr>
          <w:p w14:paraId="46EB04A5"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Travel: Travel to the region of international and national coordinator and local consultants ($82,000)</w:t>
            </w:r>
          </w:p>
        </w:tc>
        <w:tc>
          <w:tcPr>
            <w:tcW w:w="36" w:type="dxa"/>
            <w:vAlign w:val="center"/>
            <w:hideMark/>
          </w:tcPr>
          <w:p w14:paraId="411E07C8" w14:textId="77777777" w:rsidR="007A7FA3" w:rsidRDefault="007A7FA3">
            <w:pPr>
              <w:rPr>
                <w:sz w:val="20"/>
                <w:szCs w:val="20"/>
              </w:rPr>
            </w:pPr>
          </w:p>
        </w:tc>
      </w:tr>
      <w:tr w:rsidR="007A7FA3" w14:paraId="45D00929"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585F50E7"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83</w:t>
            </w:r>
          </w:p>
        </w:tc>
        <w:tc>
          <w:tcPr>
            <w:tcW w:w="11366" w:type="dxa"/>
            <w:tcBorders>
              <w:top w:val="nil"/>
              <w:left w:val="nil"/>
              <w:bottom w:val="single" w:sz="8" w:space="0" w:color="auto"/>
              <w:right w:val="single" w:sz="8" w:space="0" w:color="auto"/>
            </w:tcBorders>
            <w:shd w:val="clear" w:color="auto" w:fill="auto"/>
            <w:vAlign w:val="center"/>
            <w:hideMark/>
          </w:tcPr>
          <w:p w14:paraId="5BAFA281"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Contractual Services – Companies: Assistance to implementation of Saldanha Bay demo project ($107,000)</w:t>
            </w:r>
          </w:p>
        </w:tc>
        <w:tc>
          <w:tcPr>
            <w:tcW w:w="36" w:type="dxa"/>
            <w:vAlign w:val="center"/>
            <w:hideMark/>
          </w:tcPr>
          <w:p w14:paraId="7BFA20FA" w14:textId="77777777" w:rsidR="007A7FA3" w:rsidRDefault="007A7FA3">
            <w:pPr>
              <w:rPr>
                <w:sz w:val="20"/>
                <w:szCs w:val="20"/>
              </w:rPr>
            </w:pPr>
          </w:p>
        </w:tc>
      </w:tr>
      <w:tr w:rsidR="007A7FA3" w14:paraId="089781BE"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58FC4AED"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84</w:t>
            </w:r>
          </w:p>
        </w:tc>
        <w:tc>
          <w:tcPr>
            <w:tcW w:w="11366" w:type="dxa"/>
            <w:tcBorders>
              <w:top w:val="nil"/>
              <w:left w:val="nil"/>
              <w:bottom w:val="single" w:sz="8" w:space="0" w:color="auto"/>
              <w:right w:val="single" w:sz="8" w:space="0" w:color="auto"/>
            </w:tcBorders>
            <w:shd w:val="clear" w:color="auto" w:fill="auto"/>
            <w:vAlign w:val="center"/>
            <w:hideMark/>
          </w:tcPr>
          <w:p w14:paraId="61D3488D"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Communications and Audio-visual Equipment: Technical and logistical support and equipment for stakeholders’ meetings ($54,000)</w:t>
            </w:r>
          </w:p>
        </w:tc>
        <w:tc>
          <w:tcPr>
            <w:tcW w:w="36" w:type="dxa"/>
            <w:vAlign w:val="center"/>
            <w:hideMark/>
          </w:tcPr>
          <w:p w14:paraId="01933CFE" w14:textId="77777777" w:rsidR="007A7FA3" w:rsidRDefault="007A7FA3">
            <w:pPr>
              <w:rPr>
                <w:sz w:val="20"/>
                <w:szCs w:val="20"/>
              </w:rPr>
            </w:pPr>
          </w:p>
        </w:tc>
      </w:tr>
      <w:tr w:rsidR="007A7FA3" w14:paraId="3EA0A6BA"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3759029C"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85</w:t>
            </w:r>
          </w:p>
        </w:tc>
        <w:tc>
          <w:tcPr>
            <w:tcW w:w="11366" w:type="dxa"/>
            <w:tcBorders>
              <w:top w:val="nil"/>
              <w:left w:val="nil"/>
              <w:bottom w:val="single" w:sz="8" w:space="0" w:color="auto"/>
              <w:right w:val="single" w:sz="8" w:space="0" w:color="auto"/>
            </w:tcBorders>
            <w:shd w:val="clear" w:color="auto" w:fill="auto"/>
            <w:vAlign w:val="center"/>
            <w:hideMark/>
          </w:tcPr>
          <w:p w14:paraId="6CC5DC92"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 xml:space="preserve">International Consultant: Conduct training needs assessment ($25,000). </w:t>
            </w:r>
          </w:p>
        </w:tc>
        <w:tc>
          <w:tcPr>
            <w:tcW w:w="36" w:type="dxa"/>
            <w:vAlign w:val="center"/>
            <w:hideMark/>
          </w:tcPr>
          <w:p w14:paraId="7DABB08A" w14:textId="77777777" w:rsidR="007A7FA3" w:rsidRDefault="007A7FA3">
            <w:pPr>
              <w:rPr>
                <w:sz w:val="20"/>
                <w:szCs w:val="20"/>
              </w:rPr>
            </w:pPr>
          </w:p>
        </w:tc>
      </w:tr>
      <w:tr w:rsidR="007A7FA3" w14:paraId="5094B670" w14:textId="77777777" w:rsidTr="007A7FA3">
        <w:trPr>
          <w:trHeight w:val="53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34290C81"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86</w:t>
            </w:r>
          </w:p>
        </w:tc>
        <w:tc>
          <w:tcPr>
            <w:tcW w:w="11366" w:type="dxa"/>
            <w:tcBorders>
              <w:top w:val="nil"/>
              <w:left w:val="nil"/>
              <w:bottom w:val="single" w:sz="8" w:space="0" w:color="auto"/>
              <w:right w:val="single" w:sz="8" w:space="0" w:color="auto"/>
            </w:tcBorders>
            <w:shd w:val="clear" w:color="auto" w:fill="auto"/>
            <w:vAlign w:val="center"/>
            <w:hideMark/>
          </w:tcPr>
          <w:p w14:paraId="25D19006"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Contractual Services – Individuals: Knowledge Management (KM) Expert will assist prepare training needs assessment and conduct training ($19,300)</w:t>
            </w:r>
          </w:p>
        </w:tc>
        <w:tc>
          <w:tcPr>
            <w:tcW w:w="36" w:type="dxa"/>
            <w:vAlign w:val="center"/>
            <w:hideMark/>
          </w:tcPr>
          <w:p w14:paraId="738F03E1" w14:textId="77777777" w:rsidR="007A7FA3" w:rsidRDefault="007A7FA3">
            <w:pPr>
              <w:rPr>
                <w:sz w:val="20"/>
                <w:szCs w:val="20"/>
              </w:rPr>
            </w:pPr>
          </w:p>
        </w:tc>
      </w:tr>
      <w:tr w:rsidR="007A7FA3" w14:paraId="4046DE88"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7427CF82"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87</w:t>
            </w:r>
          </w:p>
        </w:tc>
        <w:tc>
          <w:tcPr>
            <w:tcW w:w="11366" w:type="dxa"/>
            <w:tcBorders>
              <w:top w:val="nil"/>
              <w:left w:val="nil"/>
              <w:bottom w:val="single" w:sz="8" w:space="0" w:color="auto"/>
              <w:right w:val="single" w:sz="8" w:space="0" w:color="auto"/>
            </w:tcBorders>
            <w:shd w:val="clear" w:color="auto" w:fill="auto"/>
            <w:vAlign w:val="center"/>
            <w:hideMark/>
          </w:tcPr>
          <w:p w14:paraId="3650B2DA"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Travel: Trainees travel to courses ($31,600)</w:t>
            </w:r>
          </w:p>
        </w:tc>
        <w:tc>
          <w:tcPr>
            <w:tcW w:w="36" w:type="dxa"/>
            <w:vAlign w:val="center"/>
            <w:hideMark/>
          </w:tcPr>
          <w:p w14:paraId="50EA1C27" w14:textId="77777777" w:rsidR="007A7FA3" w:rsidRDefault="007A7FA3">
            <w:pPr>
              <w:rPr>
                <w:sz w:val="20"/>
                <w:szCs w:val="20"/>
              </w:rPr>
            </w:pPr>
          </w:p>
        </w:tc>
      </w:tr>
      <w:tr w:rsidR="007A7FA3" w14:paraId="3D283FEA"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79D3E37D"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88</w:t>
            </w:r>
          </w:p>
        </w:tc>
        <w:tc>
          <w:tcPr>
            <w:tcW w:w="11366" w:type="dxa"/>
            <w:tcBorders>
              <w:top w:val="nil"/>
              <w:left w:val="nil"/>
              <w:bottom w:val="single" w:sz="8" w:space="0" w:color="auto"/>
              <w:right w:val="single" w:sz="8" w:space="0" w:color="auto"/>
            </w:tcBorders>
            <w:shd w:val="clear" w:color="auto" w:fill="auto"/>
            <w:vAlign w:val="center"/>
            <w:hideMark/>
          </w:tcPr>
          <w:p w14:paraId="50CB3BAE"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Contractual Services – Companies: Logistical and technical support to training, premises ($16,000)</w:t>
            </w:r>
          </w:p>
        </w:tc>
        <w:tc>
          <w:tcPr>
            <w:tcW w:w="36" w:type="dxa"/>
            <w:vAlign w:val="center"/>
            <w:hideMark/>
          </w:tcPr>
          <w:p w14:paraId="1FBD5310" w14:textId="77777777" w:rsidR="007A7FA3" w:rsidRDefault="007A7FA3">
            <w:pPr>
              <w:rPr>
                <w:sz w:val="20"/>
                <w:szCs w:val="20"/>
              </w:rPr>
            </w:pPr>
          </w:p>
        </w:tc>
      </w:tr>
      <w:tr w:rsidR="007A7FA3" w14:paraId="3D2A5C44"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4C28C933"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89</w:t>
            </w:r>
          </w:p>
        </w:tc>
        <w:tc>
          <w:tcPr>
            <w:tcW w:w="11366" w:type="dxa"/>
            <w:tcBorders>
              <w:top w:val="nil"/>
              <w:left w:val="nil"/>
              <w:bottom w:val="single" w:sz="8" w:space="0" w:color="auto"/>
              <w:right w:val="single" w:sz="8" w:space="0" w:color="auto"/>
            </w:tcBorders>
            <w:shd w:val="clear" w:color="auto" w:fill="auto"/>
            <w:vAlign w:val="center"/>
            <w:hideMark/>
          </w:tcPr>
          <w:p w14:paraId="53BB9785"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Communications and Audio-visual Equipment: Technical and logistical support equipment, interpretation ($4,800)</w:t>
            </w:r>
          </w:p>
        </w:tc>
        <w:tc>
          <w:tcPr>
            <w:tcW w:w="36" w:type="dxa"/>
            <w:vAlign w:val="center"/>
            <w:hideMark/>
          </w:tcPr>
          <w:p w14:paraId="5EB0BC08" w14:textId="77777777" w:rsidR="007A7FA3" w:rsidRDefault="007A7FA3">
            <w:pPr>
              <w:rPr>
                <w:sz w:val="20"/>
                <w:szCs w:val="20"/>
              </w:rPr>
            </w:pPr>
          </w:p>
        </w:tc>
      </w:tr>
      <w:tr w:rsidR="007A7FA3" w14:paraId="308325FA" w14:textId="77777777" w:rsidTr="007A7FA3">
        <w:trPr>
          <w:trHeight w:val="53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1D2282FC"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90</w:t>
            </w:r>
          </w:p>
        </w:tc>
        <w:tc>
          <w:tcPr>
            <w:tcW w:w="11366" w:type="dxa"/>
            <w:tcBorders>
              <w:top w:val="nil"/>
              <w:left w:val="nil"/>
              <w:bottom w:val="single" w:sz="8" w:space="0" w:color="auto"/>
              <w:right w:val="single" w:sz="8" w:space="0" w:color="auto"/>
            </w:tcBorders>
            <w:shd w:val="clear" w:color="auto" w:fill="auto"/>
            <w:vAlign w:val="center"/>
            <w:hideMark/>
          </w:tcPr>
          <w:p w14:paraId="5007AEB3"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International Consultant: (1) Define standardised set of regional Phase 1 Monitoring indicators ($30,000). (2) Strengthen existing monitoring and surveillance capacity ($20,000)</w:t>
            </w:r>
          </w:p>
        </w:tc>
        <w:tc>
          <w:tcPr>
            <w:tcW w:w="36" w:type="dxa"/>
            <w:vAlign w:val="center"/>
            <w:hideMark/>
          </w:tcPr>
          <w:p w14:paraId="51C5E8DC" w14:textId="77777777" w:rsidR="007A7FA3" w:rsidRDefault="007A7FA3">
            <w:pPr>
              <w:rPr>
                <w:sz w:val="20"/>
                <w:szCs w:val="20"/>
              </w:rPr>
            </w:pPr>
          </w:p>
        </w:tc>
      </w:tr>
      <w:tr w:rsidR="007A7FA3" w14:paraId="1502ED1F"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3254AA6F"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91</w:t>
            </w:r>
          </w:p>
        </w:tc>
        <w:tc>
          <w:tcPr>
            <w:tcW w:w="11366" w:type="dxa"/>
            <w:tcBorders>
              <w:top w:val="nil"/>
              <w:left w:val="nil"/>
              <w:bottom w:val="single" w:sz="8" w:space="0" w:color="auto"/>
              <w:right w:val="single" w:sz="8" w:space="0" w:color="auto"/>
            </w:tcBorders>
            <w:shd w:val="clear" w:color="auto" w:fill="auto"/>
            <w:vAlign w:val="center"/>
            <w:hideMark/>
          </w:tcPr>
          <w:p w14:paraId="751B2A28"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Contractual Services – Individuals: Assistance to implement monitoring programme ($43,000)</w:t>
            </w:r>
          </w:p>
        </w:tc>
        <w:tc>
          <w:tcPr>
            <w:tcW w:w="36" w:type="dxa"/>
            <w:vAlign w:val="center"/>
            <w:hideMark/>
          </w:tcPr>
          <w:p w14:paraId="2E2D2576" w14:textId="77777777" w:rsidR="007A7FA3" w:rsidRDefault="007A7FA3">
            <w:pPr>
              <w:rPr>
                <w:sz w:val="20"/>
                <w:szCs w:val="20"/>
              </w:rPr>
            </w:pPr>
          </w:p>
        </w:tc>
      </w:tr>
      <w:tr w:rsidR="007A7FA3" w14:paraId="29CCA87B"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2C4F7C27"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92</w:t>
            </w:r>
          </w:p>
        </w:tc>
        <w:tc>
          <w:tcPr>
            <w:tcW w:w="11366" w:type="dxa"/>
            <w:tcBorders>
              <w:top w:val="nil"/>
              <w:left w:val="nil"/>
              <w:bottom w:val="single" w:sz="8" w:space="0" w:color="auto"/>
              <w:right w:val="single" w:sz="8" w:space="0" w:color="auto"/>
            </w:tcBorders>
            <w:shd w:val="clear" w:color="auto" w:fill="auto"/>
            <w:vAlign w:val="center"/>
            <w:hideMark/>
          </w:tcPr>
          <w:p w14:paraId="005ABF5C"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Travel: Travel to monitoring sites ($46,000)</w:t>
            </w:r>
          </w:p>
        </w:tc>
        <w:tc>
          <w:tcPr>
            <w:tcW w:w="36" w:type="dxa"/>
            <w:vAlign w:val="center"/>
            <w:hideMark/>
          </w:tcPr>
          <w:p w14:paraId="346BE212" w14:textId="77777777" w:rsidR="007A7FA3" w:rsidRDefault="007A7FA3">
            <w:pPr>
              <w:rPr>
                <w:sz w:val="20"/>
                <w:szCs w:val="20"/>
              </w:rPr>
            </w:pPr>
          </w:p>
        </w:tc>
      </w:tr>
      <w:tr w:rsidR="007A7FA3" w14:paraId="5ECCE027"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2B6833AD"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93</w:t>
            </w:r>
          </w:p>
        </w:tc>
        <w:tc>
          <w:tcPr>
            <w:tcW w:w="11366" w:type="dxa"/>
            <w:tcBorders>
              <w:top w:val="nil"/>
              <w:left w:val="nil"/>
              <w:bottom w:val="single" w:sz="8" w:space="0" w:color="auto"/>
              <w:right w:val="single" w:sz="8" w:space="0" w:color="auto"/>
            </w:tcBorders>
            <w:shd w:val="clear" w:color="auto" w:fill="auto"/>
            <w:vAlign w:val="center"/>
            <w:hideMark/>
          </w:tcPr>
          <w:p w14:paraId="57934824"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Contractual Services – Companies: Assistance to implement monitoring programme ($42,000)</w:t>
            </w:r>
          </w:p>
        </w:tc>
        <w:tc>
          <w:tcPr>
            <w:tcW w:w="36" w:type="dxa"/>
            <w:vAlign w:val="center"/>
            <w:hideMark/>
          </w:tcPr>
          <w:p w14:paraId="4843742E" w14:textId="77777777" w:rsidR="007A7FA3" w:rsidRDefault="007A7FA3">
            <w:pPr>
              <w:rPr>
                <w:sz w:val="20"/>
                <w:szCs w:val="20"/>
              </w:rPr>
            </w:pPr>
          </w:p>
        </w:tc>
      </w:tr>
      <w:tr w:rsidR="007A7FA3" w14:paraId="70C7F2DF"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74C01108"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94</w:t>
            </w:r>
          </w:p>
        </w:tc>
        <w:tc>
          <w:tcPr>
            <w:tcW w:w="11366" w:type="dxa"/>
            <w:tcBorders>
              <w:top w:val="nil"/>
              <w:left w:val="nil"/>
              <w:bottom w:val="single" w:sz="8" w:space="0" w:color="auto"/>
              <w:right w:val="single" w:sz="8" w:space="0" w:color="auto"/>
            </w:tcBorders>
            <w:shd w:val="clear" w:color="auto" w:fill="auto"/>
            <w:vAlign w:val="center"/>
            <w:hideMark/>
          </w:tcPr>
          <w:p w14:paraId="075A4A15"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Communications and Audio-visual Equipment: Technical and logistical support equipment, interpretation ($19,000)</w:t>
            </w:r>
          </w:p>
        </w:tc>
        <w:tc>
          <w:tcPr>
            <w:tcW w:w="36" w:type="dxa"/>
            <w:vAlign w:val="center"/>
            <w:hideMark/>
          </w:tcPr>
          <w:p w14:paraId="2DD8C9F1" w14:textId="77777777" w:rsidR="007A7FA3" w:rsidRDefault="007A7FA3">
            <w:pPr>
              <w:rPr>
                <w:sz w:val="20"/>
                <w:szCs w:val="20"/>
              </w:rPr>
            </w:pPr>
          </w:p>
        </w:tc>
      </w:tr>
      <w:tr w:rsidR="007A7FA3" w14:paraId="6D212A5D"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41BD4A6D"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95</w:t>
            </w:r>
          </w:p>
        </w:tc>
        <w:tc>
          <w:tcPr>
            <w:tcW w:w="11366" w:type="dxa"/>
            <w:tcBorders>
              <w:top w:val="nil"/>
              <w:left w:val="nil"/>
              <w:bottom w:val="single" w:sz="8" w:space="0" w:color="auto"/>
              <w:right w:val="single" w:sz="8" w:space="0" w:color="auto"/>
            </w:tcBorders>
            <w:shd w:val="clear" w:color="auto" w:fill="auto"/>
            <w:vAlign w:val="center"/>
            <w:hideMark/>
          </w:tcPr>
          <w:p w14:paraId="15DD035A"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International Consultants: (1) Identification and analysis of existing policies ($30,000). (2) Drafting of proposals ($20,000).</w:t>
            </w:r>
          </w:p>
        </w:tc>
        <w:tc>
          <w:tcPr>
            <w:tcW w:w="36" w:type="dxa"/>
            <w:vAlign w:val="center"/>
            <w:hideMark/>
          </w:tcPr>
          <w:p w14:paraId="5AD65FAC" w14:textId="77777777" w:rsidR="007A7FA3" w:rsidRDefault="007A7FA3">
            <w:pPr>
              <w:rPr>
                <w:sz w:val="20"/>
                <w:szCs w:val="20"/>
              </w:rPr>
            </w:pPr>
          </w:p>
        </w:tc>
      </w:tr>
      <w:tr w:rsidR="007A7FA3" w14:paraId="58879F4B" w14:textId="77777777" w:rsidTr="007A7FA3">
        <w:trPr>
          <w:trHeight w:val="53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2C632CAB"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96</w:t>
            </w:r>
          </w:p>
        </w:tc>
        <w:tc>
          <w:tcPr>
            <w:tcW w:w="11366" w:type="dxa"/>
            <w:tcBorders>
              <w:top w:val="nil"/>
              <w:left w:val="nil"/>
              <w:bottom w:val="single" w:sz="8" w:space="0" w:color="auto"/>
              <w:right w:val="single" w:sz="8" w:space="0" w:color="auto"/>
            </w:tcBorders>
            <w:shd w:val="clear" w:color="auto" w:fill="auto"/>
            <w:vAlign w:val="center"/>
            <w:hideMark/>
          </w:tcPr>
          <w:p w14:paraId="73B571C3"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Contractual Services – Individuals: Support to identification and analysis of existing policies and drafting of proposals in three countries ($60,000)</w:t>
            </w:r>
          </w:p>
        </w:tc>
        <w:tc>
          <w:tcPr>
            <w:tcW w:w="36" w:type="dxa"/>
            <w:vAlign w:val="center"/>
            <w:hideMark/>
          </w:tcPr>
          <w:p w14:paraId="12DA3749" w14:textId="77777777" w:rsidR="007A7FA3" w:rsidRDefault="007A7FA3">
            <w:pPr>
              <w:rPr>
                <w:sz w:val="20"/>
                <w:szCs w:val="20"/>
              </w:rPr>
            </w:pPr>
          </w:p>
        </w:tc>
      </w:tr>
      <w:tr w:rsidR="007A7FA3" w14:paraId="59E9135B"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65F6EDCA"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97</w:t>
            </w:r>
          </w:p>
        </w:tc>
        <w:tc>
          <w:tcPr>
            <w:tcW w:w="11366" w:type="dxa"/>
            <w:tcBorders>
              <w:top w:val="nil"/>
              <w:left w:val="nil"/>
              <w:bottom w:val="single" w:sz="8" w:space="0" w:color="auto"/>
              <w:right w:val="single" w:sz="8" w:space="0" w:color="auto"/>
            </w:tcBorders>
            <w:shd w:val="clear" w:color="auto" w:fill="auto"/>
            <w:vAlign w:val="center"/>
            <w:hideMark/>
          </w:tcPr>
          <w:p w14:paraId="4D0D4DA7"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Travel: Travel to the region to attend stakeholders’ meetings ($30,000)</w:t>
            </w:r>
          </w:p>
        </w:tc>
        <w:tc>
          <w:tcPr>
            <w:tcW w:w="36" w:type="dxa"/>
            <w:vAlign w:val="center"/>
            <w:hideMark/>
          </w:tcPr>
          <w:p w14:paraId="1268CF65" w14:textId="77777777" w:rsidR="007A7FA3" w:rsidRDefault="007A7FA3">
            <w:pPr>
              <w:rPr>
                <w:sz w:val="20"/>
                <w:szCs w:val="20"/>
              </w:rPr>
            </w:pPr>
          </w:p>
        </w:tc>
      </w:tr>
      <w:tr w:rsidR="007A7FA3" w14:paraId="129781FD"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5D9876B4"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98</w:t>
            </w:r>
          </w:p>
        </w:tc>
        <w:tc>
          <w:tcPr>
            <w:tcW w:w="11366" w:type="dxa"/>
            <w:tcBorders>
              <w:top w:val="nil"/>
              <w:left w:val="nil"/>
              <w:bottom w:val="single" w:sz="8" w:space="0" w:color="auto"/>
              <w:right w:val="single" w:sz="8" w:space="0" w:color="auto"/>
            </w:tcBorders>
            <w:shd w:val="clear" w:color="auto" w:fill="auto"/>
            <w:vAlign w:val="center"/>
            <w:hideMark/>
          </w:tcPr>
          <w:p w14:paraId="3D0EBFC4"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Communications and Audio-visual Equipment: : Technical and logistical support equipment, interpretation ($10,000)</w:t>
            </w:r>
          </w:p>
        </w:tc>
        <w:tc>
          <w:tcPr>
            <w:tcW w:w="36" w:type="dxa"/>
            <w:vAlign w:val="center"/>
            <w:hideMark/>
          </w:tcPr>
          <w:p w14:paraId="79DF9D03" w14:textId="77777777" w:rsidR="007A7FA3" w:rsidRDefault="007A7FA3">
            <w:pPr>
              <w:rPr>
                <w:sz w:val="20"/>
                <w:szCs w:val="20"/>
              </w:rPr>
            </w:pPr>
          </w:p>
        </w:tc>
      </w:tr>
      <w:tr w:rsidR="007A7FA3" w14:paraId="72EF352C" w14:textId="77777777" w:rsidTr="007A7FA3">
        <w:trPr>
          <w:trHeight w:val="53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5962912A"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99</w:t>
            </w:r>
          </w:p>
        </w:tc>
        <w:tc>
          <w:tcPr>
            <w:tcW w:w="11366" w:type="dxa"/>
            <w:tcBorders>
              <w:top w:val="nil"/>
              <w:left w:val="nil"/>
              <w:bottom w:val="single" w:sz="8" w:space="0" w:color="auto"/>
              <w:right w:val="single" w:sz="8" w:space="0" w:color="auto"/>
            </w:tcBorders>
            <w:shd w:val="clear" w:color="auto" w:fill="auto"/>
            <w:vAlign w:val="center"/>
            <w:hideMark/>
          </w:tcPr>
          <w:p w14:paraId="3567D253"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International Consultants: Project Manager to support Investment Policy Reviews ($38,000). This activity will be carried out by the Project Manager and the proposed amount will be paid as his/her regular salary.</w:t>
            </w:r>
          </w:p>
        </w:tc>
        <w:tc>
          <w:tcPr>
            <w:tcW w:w="36" w:type="dxa"/>
            <w:vAlign w:val="center"/>
            <w:hideMark/>
          </w:tcPr>
          <w:p w14:paraId="6AFC7A5D" w14:textId="77777777" w:rsidR="007A7FA3" w:rsidRDefault="007A7FA3">
            <w:pPr>
              <w:rPr>
                <w:sz w:val="20"/>
                <w:szCs w:val="20"/>
              </w:rPr>
            </w:pPr>
          </w:p>
        </w:tc>
      </w:tr>
      <w:tr w:rsidR="007A7FA3" w14:paraId="302C870B" w14:textId="77777777" w:rsidTr="007A7FA3">
        <w:trPr>
          <w:trHeight w:val="53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5DD7CEB2"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100</w:t>
            </w:r>
          </w:p>
        </w:tc>
        <w:tc>
          <w:tcPr>
            <w:tcW w:w="11366" w:type="dxa"/>
            <w:tcBorders>
              <w:top w:val="nil"/>
              <w:left w:val="nil"/>
              <w:bottom w:val="single" w:sz="8" w:space="0" w:color="auto"/>
              <w:right w:val="single" w:sz="8" w:space="0" w:color="auto"/>
            </w:tcBorders>
            <w:shd w:val="clear" w:color="auto" w:fill="auto"/>
            <w:vAlign w:val="center"/>
            <w:hideMark/>
          </w:tcPr>
          <w:p w14:paraId="3B216A4A"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Local Consultants: National Coordinators will assist in preparation of Investment Policy Reviews and assist preparation of proposals for bankable projects ($50,000). National Coordinators will be paid this amount through his/her regular salary.</w:t>
            </w:r>
          </w:p>
        </w:tc>
        <w:tc>
          <w:tcPr>
            <w:tcW w:w="36" w:type="dxa"/>
            <w:vAlign w:val="center"/>
            <w:hideMark/>
          </w:tcPr>
          <w:p w14:paraId="0BF77ABE" w14:textId="77777777" w:rsidR="007A7FA3" w:rsidRDefault="007A7FA3">
            <w:pPr>
              <w:rPr>
                <w:sz w:val="20"/>
                <w:szCs w:val="20"/>
              </w:rPr>
            </w:pPr>
          </w:p>
        </w:tc>
      </w:tr>
      <w:tr w:rsidR="007A7FA3" w14:paraId="5F2CFD69"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3745776E"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101</w:t>
            </w:r>
          </w:p>
        </w:tc>
        <w:tc>
          <w:tcPr>
            <w:tcW w:w="11366" w:type="dxa"/>
            <w:tcBorders>
              <w:top w:val="nil"/>
              <w:left w:val="nil"/>
              <w:bottom w:val="single" w:sz="8" w:space="0" w:color="auto"/>
              <w:right w:val="single" w:sz="8" w:space="0" w:color="auto"/>
            </w:tcBorders>
            <w:shd w:val="clear" w:color="auto" w:fill="auto"/>
            <w:vAlign w:val="center"/>
            <w:hideMark/>
          </w:tcPr>
          <w:p w14:paraId="7F0386E8"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Travel: Travel to capacity building trainings and travel to the region ($68,524)</w:t>
            </w:r>
          </w:p>
        </w:tc>
        <w:tc>
          <w:tcPr>
            <w:tcW w:w="36" w:type="dxa"/>
            <w:vAlign w:val="center"/>
            <w:hideMark/>
          </w:tcPr>
          <w:p w14:paraId="455B6B37" w14:textId="77777777" w:rsidR="007A7FA3" w:rsidRDefault="007A7FA3">
            <w:pPr>
              <w:rPr>
                <w:sz w:val="20"/>
                <w:szCs w:val="20"/>
              </w:rPr>
            </w:pPr>
          </w:p>
        </w:tc>
      </w:tr>
      <w:tr w:rsidR="007A7FA3" w14:paraId="25E2569E"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5C029C94"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102</w:t>
            </w:r>
          </w:p>
        </w:tc>
        <w:tc>
          <w:tcPr>
            <w:tcW w:w="11366" w:type="dxa"/>
            <w:tcBorders>
              <w:top w:val="nil"/>
              <w:left w:val="nil"/>
              <w:bottom w:val="single" w:sz="8" w:space="0" w:color="auto"/>
              <w:right w:val="single" w:sz="8" w:space="0" w:color="auto"/>
            </w:tcBorders>
            <w:shd w:val="clear" w:color="auto" w:fill="auto"/>
            <w:vAlign w:val="center"/>
            <w:hideMark/>
          </w:tcPr>
          <w:p w14:paraId="6B3DC822"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Contractual Services-Impl Partner: Delivery of Investment Policy Reviews and relevant training ($261,000)</w:t>
            </w:r>
          </w:p>
        </w:tc>
        <w:tc>
          <w:tcPr>
            <w:tcW w:w="36" w:type="dxa"/>
            <w:vAlign w:val="center"/>
            <w:hideMark/>
          </w:tcPr>
          <w:p w14:paraId="3C33AF8C" w14:textId="77777777" w:rsidR="007A7FA3" w:rsidRDefault="007A7FA3">
            <w:pPr>
              <w:rPr>
                <w:sz w:val="20"/>
                <w:szCs w:val="20"/>
              </w:rPr>
            </w:pPr>
          </w:p>
        </w:tc>
      </w:tr>
      <w:tr w:rsidR="007A7FA3" w14:paraId="56870C93"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7721AD2F"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103</w:t>
            </w:r>
          </w:p>
        </w:tc>
        <w:tc>
          <w:tcPr>
            <w:tcW w:w="11366" w:type="dxa"/>
            <w:tcBorders>
              <w:top w:val="nil"/>
              <w:left w:val="nil"/>
              <w:bottom w:val="single" w:sz="8" w:space="0" w:color="auto"/>
              <w:right w:val="single" w:sz="8" w:space="0" w:color="auto"/>
            </w:tcBorders>
            <w:shd w:val="clear" w:color="auto" w:fill="auto"/>
            <w:vAlign w:val="center"/>
            <w:hideMark/>
          </w:tcPr>
          <w:p w14:paraId="61FDD058"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Communications and Audio-visual Equipment: Technical and logistical support equipment, interpretation ($64,000)</w:t>
            </w:r>
          </w:p>
        </w:tc>
        <w:tc>
          <w:tcPr>
            <w:tcW w:w="36" w:type="dxa"/>
            <w:vAlign w:val="center"/>
            <w:hideMark/>
          </w:tcPr>
          <w:p w14:paraId="612EABF0" w14:textId="77777777" w:rsidR="007A7FA3" w:rsidRDefault="007A7FA3">
            <w:pPr>
              <w:rPr>
                <w:sz w:val="20"/>
                <w:szCs w:val="20"/>
              </w:rPr>
            </w:pPr>
          </w:p>
        </w:tc>
      </w:tr>
      <w:tr w:rsidR="007A7FA3" w14:paraId="18D19D01" w14:textId="77777777" w:rsidTr="007A7FA3">
        <w:trPr>
          <w:trHeight w:val="131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15FA3CF2"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lastRenderedPageBreak/>
              <w:t>104</w:t>
            </w:r>
          </w:p>
        </w:tc>
        <w:tc>
          <w:tcPr>
            <w:tcW w:w="11366" w:type="dxa"/>
            <w:tcBorders>
              <w:top w:val="nil"/>
              <w:left w:val="nil"/>
              <w:bottom w:val="single" w:sz="8" w:space="0" w:color="auto"/>
              <w:right w:val="single" w:sz="8" w:space="0" w:color="auto"/>
            </w:tcBorders>
            <w:shd w:val="clear" w:color="auto" w:fill="auto"/>
            <w:vAlign w:val="center"/>
            <w:hideMark/>
          </w:tcPr>
          <w:p w14:paraId="3C00C5B7"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International Consultants: (1) Study on identification of innovative SBE financial mechanisms and tools ($60,000). (2) Countries needs assessment ($79,900). (3) Support Namibe demo project to implement financial mechanisms ($48,100). This activity will be carried out by the Project Manager and the proposed amount will be paid as his/her regular salary. (4) Preparation of assessment report, presentation and dissemination of results ($57,000). This activity will be carried out by CTA and the proposed amount will be paid as his/her regular salary.</w:t>
            </w:r>
          </w:p>
        </w:tc>
        <w:tc>
          <w:tcPr>
            <w:tcW w:w="36" w:type="dxa"/>
            <w:vAlign w:val="center"/>
            <w:hideMark/>
          </w:tcPr>
          <w:p w14:paraId="04ADC0FF" w14:textId="77777777" w:rsidR="007A7FA3" w:rsidRDefault="007A7FA3">
            <w:pPr>
              <w:rPr>
                <w:sz w:val="20"/>
                <w:szCs w:val="20"/>
              </w:rPr>
            </w:pPr>
          </w:p>
        </w:tc>
      </w:tr>
      <w:tr w:rsidR="007A7FA3" w14:paraId="411EA1CD" w14:textId="77777777" w:rsidTr="007A7FA3">
        <w:trPr>
          <w:trHeight w:val="131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3C80E2D7"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105</w:t>
            </w:r>
          </w:p>
        </w:tc>
        <w:tc>
          <w:tcPr>
            <w:tcW w:w="11366" w:type="dxa"/>
            <w:tcBorders>
              <w:top w:val="nil"/>
              <w:left w:val="nil"/>
              <w:bottom w:val="single" w:sz="8" w:space="0" w:color="auto"/>
              <w:right w:val="single" w:sz="8" w:space="0" w:color="auto"/>
            </w:tcBorders>
            <w:shd w:val="clear" w:color="auto" w:fill="auto"/>
            <w:vAlign w:val="center"/>
            <w:hideMark/>
          </w:tcPr>
          <w:p w14:paraId="378B23C7"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Local Consultants: (1) Participation in Namibe demo project on various technical subjects ($195,000). National Coordinators for Angola and Namibia will be carrying tasks in the value of $127,200. National Coordinators will be paid this amount through his/her regular salary. (2) SES monitoring of the Namibe demo project implementation ($15,000). (3) Monitoring &amp; evaluation of project results. ($20,000). This activity will be carried out by M&amp;E and Stakeholders Officer and the proposed amount will be paid as his/her regular salary.</w:t>
            </w:r>
          </w:p>
        </w:tc>
        <w:tc>
          <w:tcPr>
            <w:tcW w:w="36" w:type="dxa"/>
            <w:vAlign w:val="center"/>
            <w:hideMark/>
          </w:tcPr>
          <w:p w14:paraId="6FE862AE" w14:textId="77777777" w:rsidR="007A7FA3" w:rsidRDefault="007A7FA3">
            <w:pPr>
              <w:rPr>
                <w:sz w:val="20"/>
                <w:szCs w:val="20"/>
              </w:rPr>
            </w:pPr>
          </w:p>
        </w:tc>
      </w:tr>
      <w:tr w:rsidR="007A7FA3" w14:paraId="7103220A"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4F320139"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106</w:t>
            </w:r>
          </w:p>
        </w:tc>
        <w:tc>
          <w:tcPr>
            <w:tcW w:w="11366" w:type="dxa"/>
            <w:tcBorders>
              <w:top w:val="nil"/>
              <w:left w:val="nil"/>
              <w:bottom w:val="single" w:sz="8" w:space="0" w:color="auto"/>
              <w:right w:val="single" w:sz="8" w:space="0" w:color="auto"/>
            </w:tcBorders>
            <w:shd w:val="clear" w:color="auto" w:fill="auto"/>
            <w:vAlign w:val="center"/>
            <w:hideMark/>
          </w:tcPr>
          <w:p w14:paraId="4C65DA0C"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Travel: Travel of consultants to the region ($100,000)</w:t>
            </w:r>
          </w:p>
        </w:tc>
        <w:tc>
          <w:tcPr>
            <w:tcW w:w="36" w:type="dxa"/>
            <w:vAlign w:val="center"/>
            <w:hideMark/>
          </w:tcPr>
          <w:p w14:paraId="7A6ADF3D" w14:textId="77777777" w:rsidR="007A7FA3" w:rsidRDefault="007A7FA3">
            <w:pPr>
              <w:rPr>
                <w:sz w:val="20"/>
                <w:szCs w:val="20"/>
              </w:rPr>
            </w:pPr>
          </w:p>
        </w:tc>
      </w:tr>
      <w:tr w:rsidR="007A7FA3" w14:paraId="12888B78" w14:textId="77777777" w:rsidTr="007A7FA3">
        <w:trPr>
          <w:trHeight w:val="53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203DD5A4"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107</w:t>
            </w:r>
          </w:p>
        </w:tc>
        <w:tc>
          <w:tcPr>
            <w:tcW w:w="11366" w:type="dxa"/>
            <w:tcBorders>
              <w:top w:val="nil"/>
              <w:left w:val="nil"/>
              <w:bottom w:val="single" w:sz="8" w:space="0" w:color="auto"/>
              <w:right w:val="single" w:sz="8" w:space="0" w:color="auto"/>
            </w:tcBorders>
            <w:shd w:val="clear" w:color="auto" w:fill="auto"/>
            <w:vAlign w:val="center"/>
            <w:hideMark/>
          </w:tcPr>
          <w:p w14:paraId="7F39BFBA"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Contractual Services – Companies: Companies will participate in development and implementation of financial mechanisms ($361,000)</w:t>
            </w:r>
          </w:p>
        </w:tc>
        <w:tc>
          <w:tcPr>
            <w:tcW w:w="36" w:type="dxa"/>
            <w:vAlign w:val="center"/>
            <w:hideMark/>
          </w:tcPr>
          <w:p w14:paraId="657D49E4" w14:textId="77777777" w:rsidR="007A7FA3" w:rsidRDefault="007A7FA3">
            <w:pPr>
              <w:rPr>
                <w:sz w:val="20"/>
                <w:szCs w:val="20"/>
              </w:rPr>
            </w:pPr>
          </w:p>
        </w:tc>
      </w:tr>
      <w:tr w:rsidR="007A7FA3" w14:paraId="6324B128"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1B5B33B1"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108</w:t>
            </w:r>
          </w:p>
        </w:tc>
        <w:tc>
          <w:tcPr>
            <w:tcW w:w="11366" w:type="dxa"/>
            <w:tcBorders>
              <w:top w:val="nil"/>
              <w:left w:val="nil"/>
              <w:bottom w:val="single" w:sz="8" w:space="0" w:color="auto"/>
              <w:right w:val="single" w:sz="8" w:space="0" w:color="auto"/>
            </w:tcBorders>
            <w:shd w:val="clear" w:color="auto" w:fill="auto"/>
            <w:vAlign w:val="center"/>
            <w:hideMark/>
          </w:tcPr>
          <w:p w14:paraId="14DAD084"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Communications and Audio-visual Equipment: Technical and logistical support equipment, interpretation ($64,000)</w:t>
            </w:r>
          </w:p>
        </w:tc>
        <w:tc>
          <w:tcPr>
            <w:tcW w:w="36" w:type="dxa"/>
            <w:vAlign w:val="center"/>
            <w:hideMark/>
          </w:tcPr>
          <w:p w14:paraId="297E08CF" w14:textId="77777777" w:rsidR="007A7FA3" w:rsidRDefault="007A7FA3">
            <w:pPr>
              <w:rPr>
                <w:sz w:val="20"/>
                <w:szCs w:val="20"/>
              </w:rPr>
            </w:pPr>
          </w:p>
        </w:tc>
      </w:tr>
      <w:tr w:rsidR="007A7FA3" w14:paraId="243A2C1E"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11AD4212"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109</w:t>
            </w:r>
          </w:p>
        </w:tc>
        <w:tc>
          <w:tcPr>
            <w:tcW w:w="11366" w:type="dxa"/>
            <w:tcBorders>
              <w:top w:val="nil"/>
              <w:left w:val="nil"/>
              <w:bottom w:val="single" w:sz="8" w:space="0" w:color="auto"/>
              <w:right w:val="single" w:sz="8" w:space="0" w:color="auto"/>
            </w:tcBorders>
            <w:shd w:val="clear" w:color="auto" w:fill="auto"/>
            <w:vAlign w:val="center"/>
            <w:hideMark/>
          </w:tcPr>
          <w:p w14:paraId="3ECC6DA7"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International Consultants: Analysis of existing projects, development of viable options ($79,000)</w:t>
            </w:r>
          </w:p>
        </w:tc>
        <w:tc>
          <w:tcPr>
            <w:tcW w:w="36" w:type="dxa"/>
            <w:vAlign w:val="center"/>
            <w:hideMark/>
          </w:tcPr>
          <w:p w14:paraId="43977396" w14:textId="77777777" w:rsidR="007A7FA3" w:rsidRDefault="007A7FA3">
            <w:pPr>
              <w:rPr>
                <w:sz w:val="20"/>
                <w:szCs w:val="20"/>
              </w:rPr>
            </w:pPr>
          </w:p>
        </w:tc>
      </w:tr>
      <w:tr w:rsidR="007A7FA3" w14:paraId="6EA044BF"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66BB4094"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110</w:t>
            </w:r>
          </w:p>
        </w:tc>
        <w:tc>
          <w:tcPr>
            <w:tcW w:w="11366" w:type="dxa"/>
            <w:tcBorders>
              <w:top w:val="nil"/>
              <w:left w:val="nil"/>
              <w:bottom w:val="single" w:sz="8" w:space="0" w:color="auto"/>
              <w:right w:val="single" w:sz="8" w:space="0" w:color="auto"/>
            </w:tcBorders>
            <w:shd w:val="clear" w:color="auto" w:fill="auto"/>
            <w:vAlign w:val="center"/>
            <w:hideMark/>
          </w:tcPr>
          <w:p w14:paraId="38A96B1F"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Contractual Services – Individuals: Assistance to analysis of existing projects and to monitoring ($78,000)</w:t>
            </w:r>
          </w:p>
        </w:tc>
        <w:tc>
          <w:tcPr>
            <w:tcW w:w="36" w:type="dxa"/>
            <w:vAlign w:val="center"/>
            <w:hideMark/>
          </w:tcPr>
          <w:p w14:paraId="567F59AE" w14:textId="77777777" w:rsidR="007A7FA3" w:rsidRDefault="007A7FA3">
            <w:pPr>
              <w:rPr>
                <w:sz w:val="20"/>
                <w:szCs w:val="20"/>
              </w:rPr>
            </w:pPr>
          </w:p>
        </w:tc>
      </w:tr>
      <w:tr w:rsidR="007A7FA3" w14:paraId="37089361"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157A39BE"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111</w:t>
            </w:r>
          </w:p>
        </w:tc>
        <w:tc>
          <w:tcPr>
            <w:tcW w:w="11366" w:type="dxa"/>
            <w:tcBorders>
              <w:top w:val="nil"/>
              <w:left w:val="nil"/>
              <w:bottom w:val="single" w:sz="8" w:space="0" w:color="auto"/>
              <w:right w:val="single" w:sz="8" w:space="0" w:color="auto"/>
            </w:tcBorders>
            <w:shd w:val="clear" w:color="auto" w:fill="auto"/>
            <w:vAlign w:val="center"/>
            <w:hideMark/>
          </w:tcPr>
          <w:p w14:paraId="0D05E64C"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Travel: International travel to three countries and travel within countries ($82,000)</w:t>
            </w:r>
          </w:p>
        </w:tc>
        <w:tc>
          <w:tcPr>
            <w:tcW w:w="36" w:type="dxa"/>
            <w:vAlign w:val="center"/>
            <w:hideMark/>
          </w:tcPr>
          <w:p w14:paraId="3660B4E5" w14:textId="77777777" w:rsidR="007A7FA3" w:rsidRDefault="007A7FA3">
            <w:pPr>
              <w:rPr>
                <w:sz w:val="20"/>
                <w:szCs w:val="20"/>
              </w:rPr>
            </w:pPr>
          </w:p>
        </w:tc>
      </w:tr>
      <w:tr w:rsidR="007A7FA3" w14:paraId="254E17A2"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5F0AB013"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112</w:t>
            </w:r>
          </w:p>
        </w:tc>
        <w:tc>
          <w:tcPr>
            <w:tcW w:w="11366" w:type="dxa"/>
            <w:tcBorders>
              <w:top w:val="nil"/>
              <w:left w:val="nil"/>
              <w:bottom w:val="single" w:sz="8" w:space="0" w:color="auto"/>
              <w:right w:val="single" w:sz="8" w:space="0" w:color="auto"/>
            </w:tcBorders>
            <w:shd w:val="clear" w:color="auto" w:fill="auto"/>
            <w:vAlign w:val="center"/>
            <w:hideMark/>
          </w:tcPr>
          <w:p w14:paraId="3811BFD0"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Contractual Services – Companies: Assistance to analysis of existing projects and to monitoring ($107,000)</w:t>
            </w:r>
          </w:p>
        </w:tc>
        <w:tc>
          <w:tcPr>
            <w:tcW w:w="36" w:type="dxa"/>
            <w:vAlign w:val="center"/>
            <w:hideMark/>
          </w:tcPr>
          <w:p w14:paraId="1BF87285" w14:textId="77777777" w:rsidR="007A7FA3" w:rsidRDefault="007A7FA3">
            <w:pPr>
              <w:rPr>
                <w:sz w:val="20"/>
                <w:szCs w:val="20"/>
              </w:rPr>
            </w:pPr>
          </w:p>
        </w:tc>
      </w:tr>
      <w:tr w:rsidR="007A7FA3" w14:paraId="79EF88BA"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3FED67FC"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113</w:t>
            </w:r>
          </w:p>
        </w:tc>
        <w:tc>
          <w:tcPr>
            <w:tcW w:w="11366" w:type="dxa"/>
            <w:tcBorders>
              <w:top w:val="nil"/>
              <w:left w:val="nil"/>
              <w:bottom w:val="single" w:sz="8" w:space="0" w:color="auto"/>
              <w:right w:val="single" w:sz="8" w:space="0" w:color="auto"/>
            </w:tcBorders>
            <w:shd w:val="clear" w:color="auto" w:fill="auto"/>
            <w:vAlign w:val="center"/>
            <w:hideMark/>
          </w:tcPr>
          <w:p w14:paraId="11BB08FD"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Communications and Audio-visual Equipment: Technical and logistical support equipment, interpretation ($54,000)</w:t>
            </w:r>
          </w:p>
        </w:tc>
        <w:tc>
          <w:tcPr>
            <w:tcW w:w="36" w:type="dxa"/>
            <w:vAlign w:val="center"/>
            <w:hideMark/>
          </w:tcPr>
          <w:p w14:paraId="4F548E9A" w14:textId="77777777" w:rsidR="007A7FA3" w:rsidRDefault="007A7FA3">
            <w:pPr>
              <w:rPr>
                <w:sz w:val="20"/>
                <w:szCs w:val="20"/>
              </w:rPr>
            </w:pPr>
          </w:p>
        </w:tc>
      </w:tr>
      <w:tr w:rsidR="007A7FA3" w14:paraId="75FF2B04" w14:textId="77777777" w:rsidTr="007A7FA3">
        <w:trPr>
          <w:trHeight w:val="53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755D3F27"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114</w:t>
            </w:r>
          </w:p>
        </w:tc>
        <w:tc>
          <w:tcPr>
            <w:tcW w:w="11366" w:type="dxa"/>
            <w:tcBorders>
              <w:top w:val="nil"/>
              <w:left w:val="nil"/>
              <w:bottom w:val="single" w:sz="8" w:space="0" w:color="auto"/>
              <w:right w:val="single" w:sz="8" w:space="0" w:color="auto"/>
            </w:tcBorders>
            <w:shd w:val="clear" w:color="auto" w:fill="auto"/>
            <w:vAlign w:val="center"/>
            <w:hideMark/>
          </w:tcPr>
          <w:p w14:paraId="154CB77A"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International Consultants: (1) Identification of potential blue carbon finance mechanisms ($170,000). (2) Develop country specific blue carbon finance mechanisms ($185,000)</w:t>
            </w:r>
          </w:p>
        </w:tc>
        <w:tc>
          <w:tcPr>
            <w:tcW w:w="36" w:type="dxa"/>
            <w:vAlign w:val="center"/>
            <w:hideMark/>
          </w:tcPr>
          <w:p w14:paraId="3B2783FC" w14:textId="77777777" w:rsidR="007A7FA3" w:rsidRDefault="007A7FA3">
            <w:pPr>
              <w:rPr>
                <w:sz w:val="20"/>
                <w:szCs w:val="20"/>
              </w:rPr>
            </w:pPr>
          </w:p>
        </w:tc>
      </w:tr>
      <w:tr w:rsidR="007A7FA3" w14:paraId="5B5F2949" w14:textId="77777777" w:rsidTr="007A7FA3">
        <w:trPr>
          <w:trHeight w:val="131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59223BCD"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115</w:t>
            </w:r>
          </w:p>
        </w:tc>
        <w:tc>
          <w:tcPr>
            <w:tcW w:w="11366" w:type="dxa"/>
            <w:tcBorders>
              <w:top w:val="nil"/>
              <w:left w:val="nil"/>
              <w:bottom w:val="single" w:sz="8" w:space="0" w:color="auto"/>
              <w:right w:val="single" w:sz="8" w:space="0" w:color="auto"/>
            </w:tcBorders>
            <w:shd w:val="clear" w:color="auto" w:fill="auto"/>
            <w:vAlign w:val="center"/>
            <w:hideMark/>
          </w:tcPr>
          <w:p w14:paraId="115D1159"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Contractual Services – Individuals: (1) National consultants in three countries assist in research and analysis, evaluation, alignment and engage with stakeholders ($327,400). (2) Monitoring aspects of blue carbon finance ($10,000). This activity will be carried by M&amp;E and Stakeholders Officer and the proposed amount will be paid as his/her regular salary.  (3) Gender issues analysis for blue carbon finance solutions ($62,600). This activity will be carried out by Safeguards and Gender Officer and the proposed amount will be paid as his/her regular salary.</w:t>
            </w:r>
          </w:p>
        </w:tc>
        <w:tc>
          <w:tcPr>
            <w:tcW w:w="36" w:type="dxa"/>
            <w:vAlign w:val="center"/>
            <w:hideMark/>
          </w:tcPr>
          <w:p w14:paraId="3A6F500F" w14:textId="77777777" w:rsidR="007A7FA3" w:rsidRDefault="007A7FA3">
            <w:pPr>
              <w:rPr>
                <w:sz w:val="20"/>
                <w:szCs w:val="20"/>
              </w:rPr>
            </w:pPr>
          </w:p>
        </w:tc>
      </w:tr>
      <w:tr w:rsidR="007A7FA3" w14:paraId="40E4A9FC" w14:textId="77777777" w:rsidTr="007A7FA3">
        <w:trPr>
          <w:trHeight w:val="53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6CBFCD8D"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116</w:t>
            </w:r>
          </w:p>
        </w:tc>
        <w:tc>
          <w:tcPr>
            <w:tcW w:w="11366" w:type="dxa"/>
            <w:tcBorders>
              <w:top w:val="nil"/>
              <w:left w:val="nil"/>
              <w:bottom w:val="single" w:sz="8" w:space="0" w:color="auto"/>
              <w:right w:val="single" w:sz="8" w:space="0" w:color="auto"/>
            </w:tcBorders>
            <w:shd w:val="clear" w:color="auto" w:fill="auto"/>
            <w:vAlign w:val="center"/>
            <w:hideMark/>
          </w:tcPr>
          <w:p w14:paraId="153D99FA"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Travel: Travel of international consultants to the three countries, travel of national consultants to visit sites, and travel cost for stakeholders’ consultation meetings ($260,000)</w:t>
            </w:r>
          </w:p>
        </w:tc>
        <w:tc>
          <w:tcPr>
            <w:tcW w:w="36" w:type="dxa"/>
            <w:vAlign w:val="center"/>
            <w:hideMark/>
          </w:tcPr>
          <w:p w14:paraId="7748DA1E" w14:textId="77777777" w:rsidR="007A7FA3" w:rsidRDefault="007A7FA3">
            <w:pPr>
              <w:rPr>
                <w:sz w:val="20"/>
                <w:szCs w:val="20"/>
              </w:rPr>
            </w:pPr>
          </w:p>
        </w:tc>
      </w:tr>
      <w:tr w:rsidR="007A7FA3" w14:paraId="48DA6EDF" w14:textId="77777777" w:rsidTr="007A7FA3">
        <w:trPr>
          <w:trHeight w:val="53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1F59F068"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117</w:t>
            </w:r>
          </w:p>
        </w:tc>
        <w:tc>
          <w:tcPr>
            <w:tcW w:w="11366" w:type="dxa"/>
            <w:tcBorders>
              <w:top w:val="nil"/>
              <w:left w:val="nil"/>
              <w:bottom w:val="single" w:sz="8" w:space="0" w:color="auto"/>
              <w:right w:val="single" w:sz="8" w:space="0" w:color="auto"/>
            </w:tcBorders>
            <w:shd w:val="clear" w:color="auto" w:fill="auto"/>
            <w:vAlign w:val="center"/>
            <w:hideMark/>
          </w:tcPr>
          <w:p w14:paraId="586880AC"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Contractual Services – Companies: Companies in three countries participate in implementation of specific blue carbon finance mechanisms and monitor the results ($380,000)</w:t>
            </w:r>
          </w:p>
        </w:tc>
        <w:tc>
          <w:tcPr>
            <w:tcW w:w="36" w:type="dxa"/>
            <w:vAlign w:val="center"/>
            <w:hideMark/>
          </w:tcPr>
          <w:p w14:paraId="3C1D3DD9" w14:textId="77777777" w:rsidR="007A7FA3" w:rsidRDefault="007A7FA3">
            <w:pPr>
              <w:rPr>
                <w:sz w:val="20"/>
                <w:szCs w:val="20"/>
              </w:rPr>
            </w:pPr>
          </w:p>
        </w:tc>
      </w:tr>
      <w:tr w:rsidR="007A7FA3" w14:paraId="60E28EB9"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7EDC2DF6"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118</w:t>
            </w:r>
          </w:p>
        </w:tc>
        <w:tc>
          <w:tcPr>
            <w:tcW w:w="11366" w:type="dxa"/>
            <w:tcBorders>
              <w:top w:val="nil"/>
              <w:left w:val="nil"/>
              <w:bottom w:val="single" w:sz="8" w:space="0" w:color="auto"/>
              <w:right w:val="single" w:sz="8" w:space="0" w:color="auto"/>
            </w:tcBorders>
            <w:shd w:val="clear" w:color="auto" w:fill="auto"/>
            <w:vAlign w:val="center"/>
            <w:hideMark/>
          </w:tcPr>
          <w:p w14:paraId="5FDC251C"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Communications and Audio-visual Equipment: Technical and logistical support equipment, interpretation ($65.650)</w:t>
            </w:r>
          </w:p>
        </w:tc>
        <w:tc>
          <w:tcPr>
            <w:tcW w:w="36" w:type="dxa"/>
            <w:vAlign w:val="center"/>
            <w:hideMark/>
          </w:tcPr>
          <w:p w14:paraId="1B888EFF" w14:textId="77777777" w:rsidR="007A7FA3" w:rsidRDefault="007A7FA3">
            <w:pPr>
              <w:rPr>
                <w:sz w:val="20"/>
                <w:szCs w:val="20"/>
              </w:rPr>
            </w:pPr>
          </w:p>
        </w:tc>
      </w:tr>
      <w:tr w:rsidR="007A7FA3" w14:paraId="316E9E54" w14:textId="77777777" w:rsidTr="007A7FA3">
        <w:trPr>
          <w:trHeight w:val="53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6E8A30FC"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119</w:t>
            </w:r>
          </w:p>
        </w:tc>
        <w:tc>
          <w:tcPr>
            <w:tcW w:w="11366" w:type="dxa"/>
            <w:tcBorders>
              <w:top w:val="nil"/>
              <w:left w:val="nil"/>
              <w:bottom w:val="single" w:sz="8" w:space="0" w:color="auto"/>
              <w:right w:val="single" w:sz="8" w:space="0" w:color="auto"/>
            </w:tcBorders>
            <w:shd w:val="clear" w:color="auto" w:fill="auto"/>
            <w:vAlign w:val="center"/>
            <w:hideMark/>
          </w:tcPr>
          <w:p w14:paraId="46863553"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 xml:space="preserve">International Consultants: (1) To develop the structure of the SBE Observatory bringing international experience and provide technical assistance to build specific SBE sectoral elements of the Observatory ($23,800). </w:t>
            </w:r>
          </w:p>
        </w:tc>
        <w:tc>
          <w:tcPr>
            <w:tcW w:w="36" w:type="dxa"/>
            <w:vAlign w:val="center"/>
            <w:hideMark/>
          </w:tcPr>
          <w:p w14:paraId="25B87BB5" w14:textId="77777777" w:rsidR="007A7FA3" w:rsidRDefault="007A7FA3">
            <w:pPr>
              <w:rPr>
                <w:sz w:val="20"/>
                <w:szCs w:val="20"/>
              </w:rPr>
            </w:pPr>
          </w:p>
        </w:tc>
      </w:tr>
      <w:tr w:rsidR="007A7FA3" w14:paraId="146DD93E" w14:textId="77777777" w:rsidTr="007A7FA3">
        <w:trPr>
          <w:trHeight w:val="131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7BBCD29B"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lastRenderedPageBreak/>
              <w:t>120</w:t>
            </w:r>
          </w:p>
        </w:tc>
        <w:tc>
          <w:tcPr>
            <w:tcW w:w="11366" w:type="dxa"/>
            <w:tcBorders>
              <w:top w:val="nil"/>
              <w:left w:val="nil"/>
              <w:bottom w:val="single" w:sz="8" w:space="0" w:color="auto"/>
              <w:right w:val="single" w:sz="8" w:space="0" w:color="auto"/>
            </w:tcBorders>
            <w:shd w:val="clear" w:color="auto" w:fill="auto"/>
            <w:vAlign w:val="center"/>
            <w:hideMark/>
          </w:tcPr>
          <w:p w14:paraId="15E87933"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Local Consultants: (1) To assist with development of SBE Observatory providing national input ($27,000). This task will be performed by National Coordinators and will be part of their regular salary. (2) To provide technical support to build SBE Knowledge Management Platform ($15,000). This task will be performed by the Knowledge Management Expert. (3)  Develop training strategy and adapt training materials ($12,000). This task will be performed by the Knowledge Management Expert. (4). Assistance o training courses ($8,000). This task will be carried out by National Coordinators and will be part of their salaries.</w:t>
            </w:r>
          </w:p>
        </w:tc>
        <w:tc>
          <w:tcPr>
            <w:tcW w:w="36" w:type="dxa"/>
            <w:vAlign w:val="center"/>
            <w:hideMark/>
          </w:tcPr>
          <w:p w14:paraId="127E5ACB" w14:textId="77777777" w:rsidR="007A7FA3" w:rsidRDefault="007A7FA3">
            <w:pPr>
              <w:rPr>
                <w:sz w:val="20"/>
                <w:szCs w:val="20"/>
              </w:rPr>
            </w:pPr>
          </w:p>
        </w:tc>
      </w:tr>
      <w:tr w:rsidR="007A7FA3" w14:paraId="5E0411B7" w14:textId="77777777" w:rsidTr="007A7FA3">
        <w:trPr>
          <w:trHeight w:val="53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5533DB8A"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121</w:t>
            </w:r>
          </w:p>
        </w:tc>
        <w:tc>
          <w:tcPr>
            <w:tcW w:w="11366" w:type="dxa"/>
            <w:tcBorders>
              <w:top w:val="nil"/>
              <w:left w:val="nil"/>
              <w:bottom w:val="single" w:sz="8" w:space="0" w:color="auto"/>
              <w:right w:val="single" w:sz="8" w:space="0" w:color="auto"/>
            </w:tcBorders>
            <w:shd w:val="clear" w:color="auto" w:fill="auto"/>
            <w:vAlign w:val="center"/>
            <w:hideMark/>
          </w:tcPr>
          <w:p w14:paraId="417A29EE"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Travel to and within the region by international consultant and national coordinators to carry out activities on SBE Observatory and SBE KM Platform</w:t>
            </w:r>
          </w:p>
        </w:tc>
        <w:tc>
          <w:tcPr>
            <w:tcW w:w="36" w:type="dxa"/>
            <w:vAlign w:val="center"/>
            <w:hideMark/>
          </w:tcPr>
          <w:p w14:paraId="06A75F6A" w14:textId="77777777" w:rsidR="007A7FA3" w:rsidRDefault="007A7FA3">
            <w:pPr>
              <w:rPr>
                <w:sz w:val="20"/>
                <w:szCs w:val="20"/>
              </w:rPr>
            </w:pPr>
          </w:p>
        </w:tc>
      </w:tr>
      <w:tr w:rsidR="007A7FA3" w14:paraId="42487DB7" w14:textId="77777777" w:rsidTr="007A7FA3">
        <w:trPr>
          <w:trHeight w:val="53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5D2879C3"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122</w:t>
            </w:r>
          </w:p>
        </w:tc>
        <w:tc>
          <w:tcPr>
            <w:tcW w:w="11366" w:type="dxa"/>
            <w:tcBorders>
              <w:top w:val="nil"/>
              <w:left w:val="nil"/>
              <w:bottom w:val="single" w:sz="8" w:space="0" w:color="auto"/>
              <w:right w:val="single" w:sz="8" w:space="0" w:color="auto"/>
            </w:tcBorders>
            <w:shd w:val="clear" w:color="auto" w:fill="auto"/>
            <w:vAlign w:val="center"/>
            <w:hideMark/>
          </w:tcPr>
          <w:p w14:paraId="74D41756"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 xml:space="preserve">Company to be contracted to provide technical solutions for SBE Observatory and SBE KM Platform and offer maintenance during the project execution ($30,622) </w:t>
            </w:r>
          </w:p>
        </w:tc>
        <w:tc>
          <w:tcPr>
            <w:tcW w:w="36" w:type="dxa"/>
            <w:vAlign w:val="center"/>
            <w:hideMark/>
          </w:tcPr>
          <w:p w14:paraId="079034DC" w14:textId="77777777" w:rsidR="007A7FA3" w:rsidRDefault="007A7FA3">
            <w:pPr>
              <w:rPr>
                <w:sz w:val="20"/>
                <w:szCs w:val="20"/>
              </w:rPr>
            </w:pPr>
          </w:p>
        </w:tc>
      </w:tr>
      <w:tr w:rsidR="007A7FA3" w14:paraId="02BFBFC3"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720BAC3F"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123</w:t>
            </w:r>
          </w:p>
        </w:tc>
        <w:tc>
          <w:tcPr>
            <w:tcW w:w="11366" w:type="dxa"/>
            <w:tcBorders>
              <w:top w:val="nil"/>
              <w:left w:val="nil"/>
              <w:bottom w:val="single" w:sz="8" w:space="0" w:color="auto"/>
              <w:right w:val="single" w:sz="8" w:space="0" w:color="auto"/>
            </w:tcBorders>
            <w:shd w:val="clear" w:color="auto" w:fill="auto"/>
            <w:vAlign w:val="center"/>
            <w:hideMark/>
          </w:tcPr>
          <w:p w14:paraId="44DBD3C3"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Equipment to be acquired for the SBE Observatory and KM platform ($13,600)</w:t>
            </w:r>
          </w:p>
        </w:tc>
        <w:tc>
          <w:tcPr>
            <w:tcW w:w="36" w:type="dxa"/>
            <w:vAlign w:val="center"/>
            <w:hideMark/>
          </w:tcPr>
          <w:p w14:paraId="4057C8D1" w14:textId="77777777" w:rsidR="007A7FA3" w:rsidRDefault="007A7FA3">
            <w:pPr>
              <w:rPr>
                <w:sz w:val="20"/>
                <w:szCs w:val="20"/>
              </w:rPr>
            </w:pPr>
          </w:p>
        </w:tc>
      </w:tr>
      <w:tr w:rsidR="007A7FA3" w14:paraId="6155E67D" w14:textId="77777777" w:rsidTr="007A7FA3">
        <w:trPr>
          <w:trHeight w:val="53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112C5A68"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124</w:t>
            </w:r>
          </w:p>
        </w:tc>
        <w:tc>
          <w:tcPr>
            <w:tcW w:w="11366" w:type="dxa"/>
            <w:tcBorders>
              <w:top w:val="nil"/>
              <w:left w:val="nil"/>
              <w:bottom w:val="single" w:sz="8" w:space="0" w:color="auto"/>
              <w:right w:val="single" w:sz="8" w:space="0" w:color="auto"/>
            </w:tcBorders>
            <w:shd w:val="clear" w:color="auto" w:fill="auto"/>
            <w:vAlign w:val="center"/>
            <w:hideMark/>
          </w:tcPr>
          <w:p w14:paraId="6D9514F5"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International Consultants: Develop training strategy and adapt training materials ($12,000). This task will be performed by the Stakeholder and Knowledge Management Officer in the PIU and will be part of his/her salary.</w:t>
            </w:r>
          </w:p>
        </w:tc>
        <w:tc>
          <w:tcPr>
            <w:tcW w:w="36" w:type="dxa"/>
            <w:vAlign w:val="center"/>
            <w:hideMark/>
          </w:tcPr>
          <w:p w14:paraId="0B51EF4C" w14:textId="77777777" w:rsidR="007A7FA3" w:rsidRDefault="007A7FA3">
            <w:pPr>
              <w:rPr>
                <w:sz w:val="20"/>
                <w:szCs w:val="20"/>
              </w:rPr>
            </w:pPr>
          </w:p>
        </w:tc>
      </w:tr>
      <w:tr w:rsidR="007A7FA3" w14:paraId="483EE2F2" w14:textId="77777777" w:rsidTr="007A7FA3">
        <w:trPr>
          <w:trHeight w:val="53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377825DF"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125</w:t>
            </w:r>
          </w:p>
        </w:tc>
        <w:tc>
          <w:tcPr>
            <w:tcW w:w="11366" w:type="dxa"/>
            <w:tcBorders>
              <w:top w:val="nil"/>
              <w:left w:val="nil"/>
              <w:bottom w:val="single" w:sz="8" w:space="0" w:color="auto"/>
              <w:right w:val="single" w:sz="8" w:space="0" w:color="auto"/>
            </w:tcBorders>
            <w:shd w:val="clear" w:color="auto" w:fill="auto"/>
            <w:vAlign w:val="center"/>
            <w:hideMark/>
          </w:tcPr>
          <w:p w14:paraId="1751BB66"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Local Consultants: Assistance to training courses ($8,000). This task will be performed by National Coordinators and will be part of their salaries.</w:t>
            </w:r>
          </w:p>
        </w:tc>
        <w:tc>
          <w:tcPr>
            <w:tcW w:w="36" w:type="dxa"/>
            <w:vAlign w:val="center"/>
            <w:hideMark/>
          </w:tcPr>
          <w:p w14:paraId="358EF44C" w14:textId="77777777" w:rsidR="007A7FA3" w:rsidRDefault="007A7FA3">
            <w:pPr>
              <w:rPr>
                <w:sz w:val="20"/>
                <w:szCs w:val="20"/>
              </w:rPr>
            </w:pPr>
          </w:p>
        </w:tc>
      </w:tr>
      <w:tr w:rsidR="007A7FA3" w14:paraId="1CD075F8"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2F9547DD"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126</w:t>
            </w:r>
          </w:p>
        </w:tc>
        <w:tc>
          <w:tcPr>
            <w:tcW w:w="11366" w:type="dxa"/>
            <w:tcBorders>
              <w:top w:val="nil"/>
              <w:left w:val="nil"/>
              <w:bottom w:val="single" w:sz="8" w:space="0" w:color="auto"/>
              <w:right w:val="single" w:sz="8" w:space="0" w:color="auto"/>
            </w:tcBorders>
            <w:shd w:val="clear" w:color="auto" w:fill="auto"/>
            <w:vAlign w:val="center"/>
            <w:hideMark/>
          </w:tcPr>
          <w:p w14:paraId="0CF2BCFC"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Travel of national and international consultants to attend training ($24,000)</w:t>
            </w:r>
          </w:p>
        </w:tc>
        <w:tc>
          <w:tcPr>
            <w:tcW w:w="36" w:type="dxa"/>
            <w:vAlign w:val="center"/>
            <w:hideMark/>
          </w:tcPr>
          <w:p w14:paraId="5748BEE7" w14:textId="77777777" w:rsidR="007A7FA3" w:rsidRDefault="007A7FA3">
            <w:pPr>
              <w:rPr>
                <w:sz w:val="20"/>
                <w:szCs w:val="20"/>
              </w:rPr>
            </w:pPr>
          </w:p>
        </w:tc>
      </w:tr>
      <w:tr w:rsidR="007A7FA3" w14:paraId="210C89B5" w14:textId="77777777" w:rsidTr="007A7FA3">
        <w:trPr>
          <w:trHeight w:val="53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044A5A9A"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127</w:t>
            </w:r>
          </w:p>
        </w:tc>
        <w:tc>
          <w:tcPr>
            <w:tcW w:w="11366" w:type="dxa"/>
            <w:tcBorders>
              <w:top w:val="nil"/>
              <w:left w:val="nil"/>
              <w:bottom w:val="single" w:sz="8" w:space="0" w:color="auto"/>
              <w:right w:val="single" w:sz="8" w:space="0" w:color="auto"/>
            </w:tcBorders>
            <w:shd w:val="clear" w:color="auto" w:fill="auto"/>
            <w:vAlign w:val="center"/>
            <w:hideMark/>
          </w:tcPr>
          <w:p w14:paraId="33827F91"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Contractual Services-Companies: Company will be contracted to offer technical and logistical support as well as interpretation services in Angola ($11,000)</w:t>
            </w:r>
          </w:p>
        </w:tc>
        <w:tc>
          <w:tcPr>
            <w:tcW w:w="36" w:type="dxa"/>
            <w:vAlign w:val="center"/>
            <w:hideMark/>
          </w:tcPr>
          <w:p w14:paraId="3064AB4E" w14:textId="77777777" w:rsidR="007A7FA3" w:rsidRDefault="007A7FA3">
            <w:pPr>
              <w:rPr>
                <w:sz w:val="20"/>
                <w:szCs w:val="20"/>
              </w:rPr>
            </w:pPr>
          </w:p>
        </w:tc>
      </w:tr>
      <w:tr w:rsidR="007A7FA3" w14:paraId="47FD1054"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790BAB55"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128</w:t>
            </w:r>
          </w:p>
        </w:tc>
        <w:tc>
          <w:tcPr>
            <w:tcW w:w="11366" w:type="dxa"/>
            <w:tcBorders>
              <w:top w:val="nil"/>
              <w:left w:val="nil"/>
              <w:bottom w:val="single" w:sz="8" w:space="0" w:color="auto"/>
              <w:right w:val="single" w:sz="8" w:space="0" w:color="auto"/>
            </w:tcBorders>
            <w:shd w:val="clear" w:color="auto" w:fill="auto"/>
            <w:vAlign w:val="center"/>
            <w:hideMark/>
          </w:tcPr>
          <w:p w14:paraId="4FB8E020"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Communication and Audio-visual Equipment: Hiring equipment for training courses ($5,000)</w:t>
            </w:r>
          </w:p>
        </w:tc>
        <w:tc>
          <w:tcPr>
            <w:tcW w:w="36" w:type="dxa"/>
            <w:vAlign w:val="center"/>
            <w:hideMark/>
          </w:tcPr>
          <w:p w14:paraId="027B1C65" w14:textId="77777777" w:rsidR="007A7FA3" w:rsidRDefault="007A7FA3">
            <w:pPr>
              <w:rPr>
                <w:sz w:val="20"/>
                <w:szCs w:val="20"/>
              </w:rPr>
            </w:pPr>
          </w:p>
        </w:tc>
      </w:tr>
      <w:tr w:rsidR="007A7FA3" w14:paraId="37D25DFA"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526844DA"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129</w:t>
            </w:r>
          </w:p>
        </w:tc>
        <w:tc>
          <w:tcPr>
            <w:tcW w:w="11366" w:type="dxa"/>
            <w:tcBorders>
              <w:top w:val="nil"/>
              <w:left w:val="nil"/>
              <w:bottom w:val="single" w:sz="8" w:space="0" w:color="auto"/>
              <w:right w:val="single" w:sz="8" w:space="0" w:color="auto"/>
            </w:tcBorders>
            <w:shd w:val="clear" w:color="auto" w:fill="auto"/>
            <w:vAlign w:val="center"/>
            <w:hideMark/>
          </w:tcPr>
          <w:p w14:paraId="052643FA"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 xml:space="preserve">International Consultants: (1) Consultants to carry out SES activities ($86,000). </w:t>
            </w:r>
          </w:p>
        </w:tc>
        <w:tc>
          <w:tcPr>
            <w:tcW w:w="36" w:type="dxa"/>
            <w:vAlign w:val="center"/>
            <w:hideMark/>
          </w:tcPr>
          <w:p w14:paraId="280A8D10" w14:textId="77777777" w:rsidR="007A7FA3" w:rsidRDefault="007A7FA3">
            <w:pPr>
              <w:rPr>
                <w:sz w:val="20"/>
                <w:szCs w:val="20"/>
              </w:rPr>
            </w:pPr>
          </w:p>
        </w:tc>
      </w:tr>
      <w:tr w:rsidR="007A7FA3" w14:paraId="3A6880AD" w14:textId="77777777" w:rsidTr="007A7FA3">
        <w:trPr>
          <w:trHeight w:val="79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1C6C1E62"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130</w:t>
            </w:r>
          </w:p>
        </w:tc>
        <w:tc>
          <w:tcPr>
            <w:tcW w:w="11366" w:type="dxa"/>
            <w:tcBorders>
              <w:top w:val="nil"/>
              <w:left w:val="nil"/>
              <w:bottom w:val="single" w:sz="8" w:space="0" w:color="auto"/>
              <w:right w:val="single" w:sz="8" w:space="0" w:color="auto"/>
            </w:tcBorders>
            <w:shd w:val="clear" w:color="auto" w:fill="auto"/>
            <w:vAlign w:val="center"/>
            <w:hideMark/>
          </w:tcPr>
          <w:p w14:paraId="7AD651EA"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Local Consultants: (1) Assistance to implement SES ($54,000). To be paid as part of National Coordinators salary; (2) Analysis of Gender within ESMF ($39,000). This task will be conducted by Safeguards and Gender Officer and the proposed amount will be paid as his/her regular salary.</w:t>
            </w:r>
          </w:p>
        </w:tc>
        <w:tc>
          <w:tcPr>
            <w:tcW w:w="36" w:type="dxa"/>
            <w:vAlign w:val="center"/>
            <w:hideMark/>
          </w:tcPr>
          <w:p w14:paraId="0B1186AE" w14:textId="77777777" w:rsidR="007A7FA3" w:rsidRDefault="007A7FA3">
            <w:pPr>
              <w:rPr>
                <w:sz w:val="20"/>
                <w:szCs w:val="20"/>
              </w:rPr>
            </w:pPr>
          </w:p>
        </w:tc>
      </w:tr>
      <w:tr w:rsidR="007A7FA3" w14:paraId="6914FD6C"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561D40EB"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131</w:t>
            </w:r>
          </w:p>
        </w:tc>
        <w:tc>
          <w:tcPr>
            <w:tcW w:w="11366" w:type="dxa"/>
            <w:tcBorders>
              <w:top w:val="nil"/>
              <w:left w:val="nil"/>
              <w:bottom w:val="single" w:sz="8" w:space="0" w:color="auto"/>
              <w:right w:val="single" w:sz="8" w:space="0" w:color="auto"/>
            </w:tcBorders>
            <w:shd w:val="clear" w:color="auto" w:fill="auto"/>
            <w:vAlign w:val="center"/>
            <w:hideMark/>
          </w:tcPr>
          <w:p w14:paraId="3B504991"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Travel: $50,000</w:t>
            </w:r>
          </w:p>
        </w:tc>
        <w:tc>
          <w:tcPr>
            <w:tcW w:w="36" w:type="dxa"/>
            <w:vAlign w:val="center"/>
            <w:hideMark/>
          </w:tcPr>
          <w:p w14:paraId="1223237C" w14:textId="77777777" w:rsidR="007A7FA3" w:rsidRDefault="007A7FA3">
            <w:pPr>
              <w:rPr>
                <w:sz w:val="20"/>
                <w:szCs w:val="20"/>
              </w:rPr>
            </w:pPr>
          </w:p>
        </w:tc>
      </w:tr>
      <w:tr w:rsidR="007A7FA3" w14:paraId="677046C3" w14:textId="77777777" w:rsidTr="007A7FA3">
        <w:trPr>
          <w:trHeight w:val="53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654B0CF8"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132</w:t>
            </w:r>
          </w:p>
        </w:tc>
        <w:tc>
          <w:tcPr>
            <w:tcW w:w="11366" w:type="dxa"/>
            <w:tcBorders>
              <w:top w:val="nil"/>
              <w:left w:val="nil"/>
              <w:bottom w:val="single" w:sz="8" w:space="0" w:color="auto"/>
              <w:right w:val="single" w:sz="8" w:space="0" w:color="auto"/>
            </w:tcBorders>
            <w:shd w:val="clear" w:color="auto" w:fill="auto"/>
            <w:vAlign w:val="center"/>
            <w:hideMark/>
          </w:tcPr>
          <w:p w14:paraId="0B3D8626"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Contractual Services-Companies: Company to be contracted to provide logistical support including interpretation for, develop web site, and support implementation of GAP and SEP ($17,000) SESA/ESMP public consultations</w:t>
            </w:r>
          </w:p>
        </w:tc>
        <w:tc>
          <w:tcPr>
            <w:tcW w:w="36" w:type="dxa"/>
            <w:vAlign w:val="center"/>
            <w:hideMark/>
          </w:tcPr>
          <w:p w14:paraId="5250238A" w14:textId="77777777" w:rsidR="007A7FA3" w:rsidRDefault="007A7FA3">
            <w:pPr>
              <w:rPr>
                <w:sz w:val="20"/>
                <w:szCs w:val="20"/>
              </w:rPr>
            </w:pPr>
          </w:p>
        </w:tc>
      </w:tr>
      <w:tr w:rsidR="007A7FA3" w14:paraId="2145655C"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59579AAE"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133</w:t>
            </w:r>
          </w:p>
        </w:tc>
        <w:tc>
          <w:tcPr>
            <w:tcW w:w="11366" w:type="dxa"/>
            <w:tcBorders>
              <w:top w:val="nil"/>
              <w:left w:val="nil"/>
              <w:bottom w:val="single" w:sz="8" w:space="0" w:color="auto"/>
              <w:right w:val="single" w:sz="8" w:space="0" w:color="auto"/>
            </w:tcBorders>
            <w:shd w:val="clear" w:color="auto" w:fill="auto"/>
            <w:vAlign w:val="center"/>
            <w:hideMark/>
          </w:tcPr>
          <w:p w14:paraId="10D5D803"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Audio-visual Equipment for public SESA consultations ($8,000)</w:t>
            </w:r>
          </w:p>
        </w:tc>
        <w:tc>
          <w:tcPr>
            <w:tcW w:w="36" w:type="dxa"/>
            <w:vAlign w:val="center"/>
            <w:hideMark/>
          </w:tcPr>
          <w:p w14:paraId="76CC938C" w14:textId="77777777" w:rsidR="007A7FA3" w:rsidRDefault="007A7FA3">
            <w:pPr>
              <w:rPr>
                <w:sz w:val="20"/>
                <w:szCs w:val="20"/>
              </w:rPr>
            </w:pPr>
          </w:p>
        </w:tc>
      </w:tr>
      <w:tr w:rsidR="007A7FA3" w14:paraId="2564E1F1"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7E4E4BDE"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134</w:t>
            </w:r>
          </w:p>
        </w:tc>
        <w:tc>
          <w:tcPr>
            <w:tcW w:w="11366" w:type="dxa"/>
            <w:tcBorders>
              <w:top w:val="nil"/>
              <w:left w:val="nil"/>
              <w:bottom w:val="single" w:sz="8" w:space="0" w:color="auto"/>
              <w:right w:val="single" w:sz="8" w:space="0" w:color="auto"/>
            </w:tcBorders>
            <w:shd w:val="clear" w:color="auto" w:fill="auto"/>
            <w:vAlign w:val="center"/>
            <w:hideMark/>
          </w:tcPr>
          <w:p w14:paraId="1CC16E80"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Local Consultants: Compilation of products and dissemination ($15,000). To be paid as part of National Coordinators salary</w:t>
            </w:r>
          </w:p>
        </w:tc>
        <w:tc>
          <w:tcPr>
            <w:tcW w:w="36" w:type="dxa"/>
            <w:vAlign w:val="center"/>
            <w:hideMark/>
          </w:tcPr>
          <w:p w14:paraId="43B8D8E0" w14:textId="77777777" w:rsidR="007A7FA3" w:rsidRDefault="007A7FA3">
            <w:pPr>
              <w:rPr>
                <w:sz w:val="20"/>
                <w:szCs w:val="20"/>
              </w:rPr>
            </w:pPr>
          </w:p>
        </w:tc>
      </w:tr>
      <w:tr w:rsidR="007A7FA3" w14:paraId="78CEA266"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2A3CA8DA"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135</w:t>
            </w:r>
          </w:p>
        </w:tc>
        <w:tc>
          <w:tcPr>
            <w:tcW w:w="11366" w:type="dxa"/>
            <w:tcBorders>
              <w:top w:val="nil"/>
              <w:left w:val="nil"/>
              <w:bottom w:val="single" w:sz="8" w:space="0" w:color="auto"/>
              <w:right w:val="single" w:sz="8" w:space="0" w:color="auto"/>
            </w:tcBorders>
            <w:shd w:val="clear" w:color="auto" w:fill="auto"/>
            <w:vAlign w:val="center"/>
            <w:hideMark/>
          </w:tcPr>
          <w:p w14:paraId="742685EA"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Travel to Annual Science to Governance Forum ($27,000)</w:t>
            </w:r>
          </w:p>
        </w:tc>
        <w:tc>
          <w:tcPr>
            <w:tcW w:w="36" w:type="dxa"/>
            <w:vAlign w:val="center"/>
            <w:hideMark/>
          </w:tcPr>
          <w:p w14:paraId="04EC503B" w14:textId="77777777" w:rsidR="007A7FA3" w:rsidRDefault="007A7FA3">
            <w:pPr>
              <w:rPr>
                <w:sz w:val="20"/>
                <w:szCs w:val="20"/>
              </w:rPr>
            </w:pPr>
          </w:p>
        </w:tc>
      </w:tr>
      <w:tr w:rsidR="007A7FA3" w14:paraId="7E557ABF"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2A392163"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136</w:t>
            </w:r>
          </w:p>
        </w:tc>
        <w:tc>
          <w:tcPr>
            <w:tcW w:w="11366" w:type="dxa"/>
            <w:tcBorders>
              <w:top w:val="nil"/>
              <w:left w:val="nil"/>
              <w:bottom w:val="single" w:sz="8" w:space="0" w:color="auto"/>
              <w:right w:val="single" w:sz="8" w:space="0" w:color="auto"/>
            </w:tcBorders>
            <w:shd w:val="clear" w:color="auto" w:fill="auto"/>
            <w:vAlign w:val="center"/>
            <w:hideMark/>
          </w:tcPr>
          <w:p w14:paraId="6CC29007"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Contractual Services – Companies: Logistical support and interpretation for BCC Science to Governance Forums ($12,000)</w:t>
            </w:r>
          </w:p>
        </w:tc>
        <w:tc>
          <w:tcPr>
            <w:tcW w:w="36" w:type="dxa"/>
            <w:vAlign w:val="center"/>
            <w:hideMark/>
          </w:tcPr>
          <w:p w14:paraId="7F1C5E2A" w14:textId="77777777" w:rsidR="007A7FA3" w:rsidRDefault="007A7FA3">
            <w:pPr>
              <w:rPr>
                <w:sz w:val="20"/>
                <w:szCs w:val="20"/>
              </w:rPr>
            </w:pPr>
          </w:p>
        </w:tc>
      </w:tr>
      <w:tr w:rsidR="007A7FA3" w14:paraId="45F77608"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3052FD94"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137</w:t>
            </w:r>
          </w:p>
        </w:tc>
        <w:tc>
          <w:tcPr>
            <w:tcW w:w="11366" w:type="dxa"/>
            <w:tcBorders>
              <w:top w:val="nil"/>
              <w:left w:val="nil"/>
              <w:bottom w:val="single" w:sz="8" w:space="0" w:color="auto"/>
              <w:right w:val="single" w:sz="8" w:space="0" w:color="auto"/>
            </w:tcBorders>
            <w:shd w:val="clear" w:color="auto" w:fill="auto"/>
            <w:vAlign w:val="center"/>
            <w:hideMark/>
          </w:tcPr>
          <w:p w14:paraId="7AD6EAE8"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Equipment for BCC Science to Governance Forums (6,000)</w:t>
            </w:r>
          </w:p>
        </w:tc>
        <w:tc>
          <w:tcPr>
            <w:tcW w:w="36" w:type="dxa"/>
            <w:vAlign w:val="center"/>
            <w:hideMark/>
          </w:tcPr>
          <w:p w14:paraId="21FEC5D0" w14:textId="77777777" w:rsidR="007A7FA3" w:rsidRDefault="007A7FA3">
            <w:pPr>
              <w:rPr>
                <w:sz w:val="20"/>
                <w:szCs w:val="20"/>
              </w:rPr>
            </w:pPr>
          </w:p>
        </w:tc>
      </w:tr>
      <w:tr w:rsidR="007A7FA3" w14:paraId="55EE1A61" w14:textId="77777777" w:rsidTr="007A7FA3">
        <w:trPr>
          <w:trHeight w:val="53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4177F6F5"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138</w:t>
            </w:r>
          </w:p>
        </w:tc>
        <w:tc>
          <w:tcPr>
            <w:tcW w:w="11366" w:type="dxa"/>
            <w:tcBorders>
              <w:top w:val="nil"/>
              <w:left w:val="nil"/>
              <w:bottom w:val="single" w:sz="8" w:space="0" w:color="auto"/>
              <w:right w:val="single" w:sz="8" w:space="0" w:color="auto"/>
            </w:tcBorders>
            <w:shd w:val="clear" w:color="auto" w:fill="auto"/>
            <w:vAlign w:val="center"/>
            <w:hideMark/>
          </w:tcPr>
          <w:p w14:paraId="3249FDFB"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Local Consultants: Preparation of Experience Notes to be shared through IW:LEARN ($45,000). This task will be performed by National Coordinators and will be part of their salaries.</w:t>
            </w:r>
          </w:p>
        </w:tc>
        <w:tc>
          <w:tcPr>
            <w:tcW w:w="36" w:type="dxa"/>
            <w:vAlign w:val="center"/>
            <w:hideMark/>
          </w:tcPr>
          <w:p w14:paraId="5BA14C04" w14:textId="77777777" w:rsidR="007A7FA3" w:rsidRDefault="007A7FA3">
            <w:pPr>
              <w:rPr>
                <w:sz w:val="20"/>
                <w:szCs w:val="20"/>
              </w:rPr>
            </w:pPr>
          </w:p>
        </w:tc>
      </w:tr>
      <w:tr w:rsidR="007A7FA3" w14:paraId="7BB27A89"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2A76EEC8"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139</w:t>
            </w:r>
          </w:p>
        </w:tc>
        <w:tc>
          <w:tcPr>
            <w:tcW w:w="11366" w:type="dxa"/>
            <w:tcBorders>
              <w:top w:val="nil"/>
              <w:left w:val="nil"/>
              <w:bottom w:val="single" w:sz="8" w:space="0" w:color="auto"/>
              <w:right w:val="single" w:sz="8" w:space="0" w:color="auto"/>
            </w:tcBorders>
            <w:shd w:val="clear" w:color="auto" w:fill="auto"/>
            <w:vAlign w:val="center"/>
            <w:hideMark/>
          </w:tcPr>
          <w:p w14:paraId="2FB32594"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Travel to biannual GEF IWC and other IW:LEARN events ($60,000)</w:t>
            </w:r>
          </w:p>
        </w:tc>
        <w:tc>
          <w:tcPr>
            <w:tcW w:w="36" w:type="dxa"/>
            <w:vAlign w:val="center"/>
            <w:hideMark/>
          </w:tcPr>
          <w:p w14:paraId="06B57E14" w14:textId="77777777" w:rsidR="007A7FA3" w:rsidRDefault="007A7FA3">
            <w:pPr>
              <w:rPr>
                <w:sz w:val="20"/>
                <w:szCs w:val="20"/>
              </w:rPr>
            </w:pPr>
          </w:p>
        </w:tc>
      </w:tr>
      <w:tr w:rsidR="007A7FA3" w14:paraId="2DFE5874" w14:textId="77777777" w:rsidTr="007A7FA3">
        <w:trPr>
          <w:trHeight w:val="53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0913DF98"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lastRenderedPageBreak/>
              <w:t>140</w:t>
            </w:r>
          </w:p>
        </w:tc>
        <w:tc>
          <w:tcPr>
            <w:tcW w:w="11366" w:type="dxa"/>
            <w:tcBorders>
              <w:top w:val="nil"/>
              <w:left w:val="nil"/>
              <w:bottom w:val="single" w:sz="8" w:space="0" w:color="auto"/>
              <w:right w:val="single" w:sz="8" w:space="0" w:color="auto"/>
            </w:tcBorders>
            <w:shd w:val="clear" w:color="auto" w:fill="auto"/>
            <w:vAlign w:val="center"/>
            <w:hideMark/>
          </w:tcPr>
          <w:p w14:paraId="5A758D94"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International Consultants: (1) independent consultant to conduct Mid-Term Review ($40,000); (2) Independent consultant to conduct Terminal Evaluation ($40,000).</w:t>
            </w:r>
          </w:p>
        </w:tc>
        <w:tc>
          <w:tcPr>
            <w:tcW w:w="36" w:type="dxa"/>
            <w:vAlign w:val="center"/>
            <w:hideMark/>
          </w:tcPr>
          <w:p w14:paraId="6AC54BEB" w14:textId="77777777" w:rsidR="007A7FA3" w:rsidRDefault="007A7FA3">
            <w:pPr>
              <w:rPr>
                <w:sz w:val="20"/>
                <w:szCs w:val="20"/>
              </w:rPr>
            </w:pPr>
          </w:p>
        </w:tc>
      </w:tr>
      <w:tr w:rsidR="007A7FA3" w14:paraId="0D625FA8" w14:textId="77777777" w:rsidTr="007A7FA3">
        <w:trPr>
          <w:trHeight w:val="53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11942B24"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141</w:t>
            </w:r>
          </w:p>
        </w:tc>
        <w:tc>
          <w:tcPr>
            <w:tcW w:w="11366" w:type="dxa"/>
            <w:tcBorders>
              <w:top w:val="nil"/>
              <w:left w:val="nil"/>
              <w:bottom w:val="single" w:sz="8" w:space="0" w:color="auto"/>
              <w:right w:val="single" w:sz="8" w:space="0" w:color="auto"/>
            </w:tcBorders>
            <w:shd w:val="clear" w:color="auto" w:fill="auto"/>
            <w:vAlign w:val="center"/>
            <w:hideMark/>
          </w:tcPr>
          <w:p w14:paraId="7C47C51D"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Local Consultants: M&amp;E and Stakeholder Officer to conduct regular M&amp;E of Gender Action Plan and of Environmental and Social Management Framework and the proposed amount will be paid as his/her regular salary ($50,000).</w:t>
            </w:r>
          </w:p>
        </w:tc>
        <w:tc>
          <w:tcPr>
            <w:tcW w:w="36" w:type="dxa"/>
            <w:vAlign w:val="center"/>
            <w:hideMark/>
          </w:tcPr>
          <w:p w14:paraId="6861DCD9" w14:textId="77777777" w:rsidR="007A7FA3" w:rsidRDefault="007A7FA3">
            <w:pPr>
              <w:rPr>
                <w:sz w:val="20"/>
                <w:szCs w:val="20"/>
              </w:rPr>
            </w:pPr>
          </w:p>
        </w:tc>
      </w:tr>
      <w:tr w:rsidR="007A7FA3" w14:paraId="250A0871"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11FC55F3"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142</w:t>
            </w:r>
          </w:p>
        </w:tc>
        <w:tc>
          <w:tcPr>
            <w:tcW w:w="11366" w:type="dxa"/>
            <w:tcBorders>
              <w:top w:val="nil"/>
              <w:left w:val="nil"/>
              <w:bottom w:val="single" w:sz="8" w:space="0" w:color="auto"/>
              <w:right w:val="single" w:sz="8" w:space="0" w:color="auto"/>
            </w:tcBorders>
            <w:shd w:val="clear" w:color="auto" w:fill="auto"/>
            <w:vAlign w:val="center"/>
            <w:hideMark/>
          </w:tcPr>
          <w:p w14:paraId="1879FB4F"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Travel of national representatives to Inception/First PSC and 5 PSC Workshops: $52,698</w:t>
            </w:r>
          </w:p>
        </w:tc>
        <w:tc>
          <w:tcPr>
            <w:tcW w:w="36" w:type="dxa"/>
            <w:vAlign w:val="center"/>
            <w:hideMark/>
          </w:tcPr>
          <w:p w14:paraId="1AAAC9BD" w14:textId="77777777" w:rsidR="007A7FA3" w:rsidRDefault="007A7FA3">
            <w:pPr>
              <w:rPr>
                <w:sz w:val="20"/>
                <w:szCs w:val="20"/>
              </w:rPr>
            </w:pPr>
          </w:p>
        </w:tc>
      </w:tr>
      <w:tr w:rsidR="007A7FA3" w14:paraId="374431FD"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0CF2940C"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143</w:t>
            </w:r>
          </w:p>
        </w:tc>
        <w:tc>
          <w:tcPr>
            <w:tcW w:w="11366" w:type="dxa"/>
            <w:tcBorders>
              <w:top w:val="nil"/>
              <w:left w:val="nil"/>
              <w:bottom w:val="single" w:sz="8" w:space="0" w:color="auto"/>
              <w:right w:val="single" w:sz="8" w:space="0" w:color="auto"/>
            </w:tcBorders>
            <w:shd w:val="clear" w:color="auto" w:fill="auto"/>
            <w:vAlign w:val="center"/>
            <w:hideMark/>
          </w:tcPr>
          <w:p w14:paraId="51263E4A"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Local companies to offer technical, interpretation and logistical support to Inception/First PSC and 5 PSC Workshops: $15,000</w:t>
            </w:r>
          </w:p>
        </w:tc>
        <w:tc>
          <w:tcPr>
            <w:tcW w:w="36" w:type="dxa"/>
            <w:vAlign w:val="center"/>
            <w:hideMark/>
          </w:tcPr>
          <w:p w14:paraId="433083FC" w14:textId="77777777" w:rsidR="007A7FA3" w:rsidRDefault="007A7FA3">
            <w:pPr>
              <w:rPr>
                <w:sz w:val="20"/>
                <w:szCs w:val="20"/>
              </w:rPr>
            </w:pPr>
          </w:p>
        </w:tc>
      </w:tr>
      <w:tr w:rsidR="007A7FA3" w14:paraId="61DBFCB6"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4E3E8FC6"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144</w:t>
            </w:r>
          </w:p>
        </w:tc>
        <w:tc>
          <w:tcPr>
            <w:tcW w:w="11366" w:type="dxa"/>
            <w:tcBorders>
              <w:top w:val="nil"/>
              <w:left w:val="nil"/>
              <w:bottom w:val="single" w:sz="8" w:space="0" w:color="auto"/>
              <w:right w:val="single" w:sz="8" w:space="0" w:color="auto"/>
            </w:tcBorders>
            <w:shd w:val="clear" w:color="auto" w:fill="auto"/>
            <w:vAlign w:val="center"/>
            <w:hideMark/>
          </w:tcPr>
          <w:p w14:paraId="511E891A"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Interpretation and audio-visual equipment for Inception/First PSC and 5 PSC Workshops: $12,000</w:t>
            </w:r>
          </w:p>
        </w:tc>
        <w:tc>
          <w:tcPr>
            <w:tcW w:w="36" w:type="dxa"/>
            <w:vAlign w:val="center"/>
            <w:hideMark/>
          </w:tcPr>
          <w:p w14:paraId="1B7E930C" w14:textId="77777777" w:rsidR="007A7FA3" w:rsidRDefault="007A7FA3">
            <w:pPr>
              <w:rPr>
                <w:sz w:val="20"/>
                <w:szCs w:val="20"/>
              </w:rPr>
            </w:pPr>
          </w:p>
        </w:tc>
      </w:tr>
      <w:tr w:rsidR="007A7FA3" w14:paraId="63F18527" w14:textId="77777777" w:rsidTr="007A7FA3">
        <w:trPr>
          <w:trHeight w:val="157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4F7ACBA6"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145</w:t>
            </w:r>
          </w:p>
        </w:tc>
        <w:tc>
          <w:tcPr>
            <w:tcW w:w="11366" w:type="dxa"/>
            <w:tcBorders>
              <w:top w:val="nil"/>
              <w:left w:val="nil"/>
              <w:bottom w:val="single" w:sz="8" w:space="0" w:color="auto"/>
              <w:right w:val="single" w:sz="8" w:space="0" w:color="auto"/>
            </w:tcBorders>
            <w:shd w:val="clear" w:color="auto" w:fill="auto"/>
            <w:vAlign w:val="center"/>
            <w:hideMark/>
          </w:tcPr>
          <w:p w14:paraId="34E390F9"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International consultants: (1) Project Manager will provide strong technical advice and guidance to the implementation of all project components. Part of the total salary for 6 years ($400,000) will be budgeted to this budget line ($68,000) while the rest of his/her salary ($332,000) will be budgeted to the project components’ budget; (2) Chief Technical Advisor will be full staff member. He/she will also be responsible for technical inputs in project’s activities. Part of the total salary for 6 years ($300,000) will be budgeted to this budget line ($60,000), while the rest of his/her salary ($240,000) will be budgeted to the project components’ budget.</w:t>
            </w:r>
          </w:p>
        </w:tc>
        <w:tc>
          <w:tcPr>
            <w:tcW w:w="36" w:type="dxa"/>
            <w:vAlign w:val="center"/>
            <w:hideMark/>
          </w:tcPr>
          <w:p w14:paraId="193D68FE" w14:textId="77777777" w:rsidR="007A7FA3" w:rsidRDefault="007A7FA3">
            <w:pPr>
              <w:rPr>
                <w:sz w:val="20"/>
                <w:szCs w:val="20"/>
              </w:rPr>
            </w:pPr>
          </w:p>
        </w:tc>
      </w:tr>
      <w:tr w:rsidR="007A7FA3" w14:paraId="78779DF9" w14:textId="77777777" w:rsidTr="007A7FA3">
        <w:trPr>
          <w:trHeight w:val="183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438E21CD"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146</w:t>
            </w:r>
          </w:p>
        </w:tc>
        <w:tc>
          <w:tcPr>
            <w:tcW w:w="11366" w:type="dxa"/>
            <w:tcBorders>
              <w:top w:val="nil"/>
              <w:left w:val="nil"/>
              <w:bottom w:val="single" w:sz="8" w:space="0" w:color="auto"/>
              <w:right w:val="single" w:sz="8" w:space="0" w:color="auto"/>
            </w:tcBorders>
            <w:shd w:val="clear" w:color="auto" w:fill="auto"/>
            <w:vAlign w:val="center"/>
            <w:hideMark/>
          </w:tcPr>
          <w:p w14:paraId="3EB3A03F"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 xml:space="preserve">Local consultants: (1) National coordinators for three countries will be stationed in Angola, Namibia and South Africa. National Coordinators will be involved in direct implementation of specific project activities in their respective countries. National coordinators will also be responsible for Social and Environmental Safeguards Procedure in their country. Part of their total salary for 6 years ($720,000 for three posts) </w:t>
            </w:r>
            <w:r>
              <w:rPr>
                <w:rFonts w:ascii="Calibri" w:hAnsi="Calibri" w:cs="Calibri"/>
                <w:b/>
                <w:bCs/>
                <w:color w:val="000000"/>
                <w:sz w:val="20"/>
                <w:szCs w:val="20"/>
              </w:rPr>
              <w:t>will be budgeted to this budget line ($132,000)</w:t>
            </w:r>
            <w:r>
              <w:rPr>
                <w:rFonts w:ascii="Calibri" w:hAnsi="Calibri" w:cs="Calibri"/>
                <w:color w:val="000000"/>
                <w:sz w:val="20"/>
                <w:szCs w:val="20"/>
              </w:rPr>
              <w:t xml:space="preserve">, while for the rest of their salaries ($588,000) will be budgeted to the project components’ budget lines. and that part of the salary will be budgeted from those activities. (2) Financial Administrator will be stationed in the Project Coordination Unit at BCC. His/her full salary </w:t>
            </w:r>
            <w:r>
              <w:rPr>
                <w:rFonts w:ascii="Calibri" w:hAnsi="Calibri" w:cs="Calibri"/>
                <w:b/>
                <w:bCs/>
                <w:color w:val="000000"/>
                <w:sz w:val="20"/>
                <w:szCs w:val="20"/>
              </w:rPr>
              <w:t>will be budgeted to this budget line ($120,000)</w:t>
            </w:r>
            <w:r>
              <w:rPr>
                <w:rFonts w:ascii="Calibri" w:hAnsi="Calibri" w:cs="Calibri"/>
                <w:color w:val="000000"/>
                <w:sz w:val="20"/>
                <w:szCs w:val="20"/>
              </w:rPr>
              <w:t>.</w:t>
            </w:r>
          </w:p>
        </w:tc>
        <w:tc>
          <w:tcPr>
            <w:tcW w:w="36" w:type="dxa"/>
            <w:vAlign w:val="center"/>
            <w:hideMark/>
          </w:tcPr>
          <w:p w14:paraId="0C176483" w14:textId="77777777" w:rsidR="007A7FA3" w:rsidRDefault="007A7FA3">
            <w:pPr>
              <w:rPr>
                <w:sz w:val="20"/>
                <w:szCs w:val="20"/>
              </w:rPr>
            </w:pPr>
          </w:p>
        </w:tc>
      </w:tr>
      <w:tr w:rsidR="007A7FA3" w14:paraId="693B7DE5"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1FF455FD"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147</w:t>
            </w:r>
          </w:p>
        </w:tc>
        <w:tc>
          <w:tcPr>
            <w:tcW w:w="11366" w:type="dxa"/>
            <w:tcBorders>
              <w:top w:val="nil"/>
              <w:left w:val="nil"/>
              <w:bottom w:val="single" w:sz="8" w:space="0" w:color="auto"/>
              <w:right w:val="single" w:sz="8" w:space="0" w:color="auto"/>
            </w:tcBorders>
            <w:shd w:val="clear" w:color="auto" w:fill="auto"/>
            <w:vAlign w:val="center"/>
            <w:hideMark/>
          </w:tcPr>
          <w:p w14:paraId="7B93A08D"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Travel for the PCU staff in the region as well to international events to represent the project: $90,247</w:t>
            </w:r>
          </w:p>
        </w:tc>
        <w:tc>
          <w:tcPr>
            <w:tcW w:w="36" w:type="dxa"/>
            <w:vAlign w:val="center"/>
            <w:hideMark/>
          </w:tcPr>
          <w:p w14:paraId="698332A9" w14:textId="77777777" w:rsidR="007A7FA3" w:rsidRDefault="007A7FA3">
            <w:pPr>
              <w:rPr>
                <w:sz w:val="20"/>
                <w:szCs w:val="20"/>
              </w:rPr>
            </w:pPr>
          </w:p>
        </w:tc>
      </w:tr>
      <w:tr w:rsidR="007A7FA3" w14:paraId="6B91C515"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2A59A7BD"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148</w:t>
            </w:r>
          </w:p>
        </w:tc>
        <w:tc>
          <w:tcPr>
            <w:tcW w:w="11366" w:type="dxa"/>
            <w:tcBorders>
              <w:top w:val="nil"/>
              <w:left w:val="nil"/>
              <w:bottom w:val="single" w:sz="8" w:space="0" w:color="auto"/>
              <w:right w:val="single" w:sz="8" w:space="0" w:color="auto"/>
            </w:tcBorders>
            <w:shd w:val="clear" w:color="auto" w:fill="auto"/>
            <w:vAlign w:val="center"/>
            <w:hideMark/>
          </w:tcPr>
          <w:p w14:paraId="4C84C691"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Supplies: office equipment, office supplies, etc.:$24,000</w:t>
            </w:r>
          </w:p>
        </w:tc>
        <w:tc>
          <w:tcPr>
            <w:tcW w:w="36" w:type="dxa"/>
            <w:vAlign w:val="center"/>
            <w:hideMark/>
          </w:tcPr>
          <w:p w14:paraId="1CC27867" w14:textId="77777777" w:rsidR="007A7FA3" w:rsidRDefault="007A7FA3">
            <w:pPr>
              <w:rPr>
                <w:sz w:val="20"/>
                <w:szCs w:val="20"/>
              </w:rPr>
            </w:pPr>
          </w:p>
        </w:tc>
      </w:tr>
      <w:tr w:rsidR="007A7FA3" w14:paraId="3D9F449F" w14:textId="77777777" w:rsidTr="007A7FA3">
        <w:trPr>
          <w:trHeight w:val="300"/>
        </w:trPr>
        <w:tc>
          <w:tcPr>
            <w:tcW w:w="1158" w:type="dxa"/>
            <w:tcBorders>
              <w:top w:val="nil"/>
              <w:left w:val="single" w:sz="8" w:space="0" w:color="auto"/>
              <w:bottom w:val="single" w:sz="8" w:space="0" w:color="auto"/>
              <w:right w:val="single" w:sz="8" w:space="0" w:color="auto"/>
            </w:tcBorders>
            <w:shd w:val="clear" w:color="auto" w:fill="auto"/>
            <w:vAlign w:val="center"/>
            <w:hideMark/>
          </w:tcPr>
          <w:p w14:paraId="5242A346" w14:textId="77777777" w:rsidR="007A7FA3" w:rsidRDefault="007A7FA3">
            <w:pPr>
              <w:jc w:val="center"/>
              <w:rPr>
                <w:rFonts w:ascii="Calibri" w:hAnsi="Calibri" w:cs="Calibri"/>
                <w:color w:val="000000"/>
                <w:sz w:val="20"/>
                <w:szCs w:val="20"/>
              </w:rPr>
            </w:pPr>
            <w:r>
              <w:rPr>
                <w:rFonts w:ascii="Calibri" w:hAnsi="Calibri" w:cs="Calibri"/>
                <w:color w:val="000000"/>
                <w:sz w:val="20"/>
                <w:szCs w:val="20"/>
              </w:rPr>
              <w:t>149</w:t>
            </w:r>
          </w:p>
        </w:tc>
        <w:tc>
          <w:tcPr>
            <w:tcW w:w="11366" w:type="dxa"/>
            <w:tcBorders>
              <w:top w:val="nil"/>
              <w:left w:val="nil"/>
              <w:bottom w:val="single" w:sz="8" w:space="0" w:color="auto"/>
              <w:right w:val="single" w:sz="8" w:space="0" w:color="auto"/>
            </w:tcBorders>
            <w:shd w:val="clear" w:color="auto" w:fill="auto"/>
            <w:vAlign w:val="center"/>
            <w:hideMark/>
          </w:tcPr>
          <w:p w14:paraId="617E9CF4" w14:textId="77777777" w:rsidR="007A7FA3" w:rsidRDefault="007A7FA3">
            <w:pPr>
              <w:jc w:val="both"/>
              <w:rPr>
                <w:rFonts w:ascii="Calibri" w:hAnsi="Calibri" w:cs="Calibri"/>
                <w:color w:val="000000"/>
                <w:sz w:val="20"/>
                <w:szCs w:val="20"/>
              </w:rPr>
            </w:pPr>
            <w:r>
              <w:rPr>
                <w:rFonts w:ascii="Calibri" w:hAnsi="Calibri" w:cs="Calibri"/>
                <w:color w:val="000000"/>
                <w:sz w:val="20"/>
                <w:szCs w:val="20"/>
              </w:rPr>
              <w:t>Professional services – audit. Six audits are envisaged at a $5,000 per year:$30,000</w:t>
            </w:r>
          </w:p>
        </w:tc>
        <w:tc>
          <w:tcPr>
            <w:tcW w:w="36" w:type="dxa"/>
            <w:vAlign w:val="center"/>
            <w:hideMark/>
          </w:tcPr>
          <w:p w14:paraId="51582564" w14:textId="77777777" w:rsidR="007A7FA3" w:rsidRDefault="007A7FA3">
            <w:pPr>
              <w:rPr>
                <w:sz w:val="20"/>
                <w:szCs w:val="20"/>
              </w:rPr>
            </w:pPr>
          </w:p>
        </w:tc>
      </w:tr>
    </w:tbl>
    <w:p w14:paraId="68090EA3" w14:textId="77777777" w:rsidR="00CF33D9" w:rsidRDefault="00CF33D9">
      <w:pPr>
        <w:spacing w:after="60"/>
        <w:jc w:val="both"/>
        <w:rPr>
          <w:rFonts w:ascii="Calibri" w:eastAsia="Calibri" w:hAnsi="Calibri" w:cs="Calibri"/>
          <w:b/>
          <w:sz w:val="20"/>
          <w:szCs w:val="20"/>
        </w:rPr>
      </w:pPr>
    </w:p>
    <w:p w14:paraId="68090EA4" w14:textId="77777777" w:rsidR="00CF33D9" w:rsidRDefault="00CF33D9">
      <w:pPr>
        <w:jc w:val="both"/>
        <w:rPr>
          <w:rFonts w:ascii="Calibri" w:eastAsia="Calibri" w:hAnsi="Calibri" w:cs="Calibri"/>
          <w:sz w:val="20"/>
          <w:szCs w:val="20"/>
        </w:rPr>
      </w:pPr>
    </w:p>
    <w:p w14:paraId="68090EA5" w14:textId="77777777" w:rsidR="00CF33D9" w:rsidRDefault="00CF33D9">
      <w:pPr>
        <w:jc w:val="both"/>
        <w:rPr>
          <w:rFonts w:ascii="Calibri" w:eastAsia="Calibri" w:hAnsi="Calibri" w:cs="Calibri"/>
          <w:sz w:val="20"/>
          <w:szCs w:val="20"/>
        </w:rPr>
        <w:sectPr w:rsidR="00CF33D9">
          <w:pgSz w:w="15840" w:h="12240" w:orient="landscape"/>
          <w:pgMar w:top="720" w:right="720" w:bottom="720" w:left="720" w:header="720" w:footer="432" w:gutter="0"/>
          <w:cols w:space="720"/>
          <w:titlePg/>
        </w:sectPr>
      </w:pPr>
    </w:p>
    <w:p w14:paraId="68090EA6" w14:textId="77777777" w:rsidR="00CF33D9" w:rsidRDefault="00E3332A">
      <w:pPr>
        <w:pStyle w:val="Heading1"/>
        <w:rPr>
          <w:rFonts w:ascii="Calibri" w:hAnsi="Calibri" w:cs="Calibri"/>
          <w:sz w:val="20"/>
          <w:szCs w:val="20"/>
        </w:rPr>
      </w:pPr>
      <w:bookmarkStart w:id="28" w:name="_Toc169739167"/>
      <w:r>
        <w:rPr>
          <w:rFonts w:ascii="Calibri" w:hAnsi="Calibri" w:cs="Calibri"/>
          <w:sz w:val="20"/>
          <w:szCs w:val="20"/>
        </w:rPr>
        <w:lastRenderedPageBreak/>
        <w:t>X</w:t>
      </w:r>
      <w:r>
        <w:rPr>
          <w:rFonts w:ascii="Calibri" w:hAnsi="Calibri" w:cs="Calibri"/>
          <w:sz w:val="20"/>
          <w:szCs w:val="20"/>
        </w:rPr>
        <w:tab/>
        <w:t>Legal Context</w:t>
      </w:r>
      <w:bookmarkEnd w:id="28"/>
    </w:p>
    <w:p w14:paraId="68090EA7" w14:textId="77777777" w:rsidR="00CF33D9" w:rsidRDefault="00CF33D9">
      <w:pPr>
        <w:spacing w:after="60"/>
        <w:jc w:val="both"/>
        <w:rPr>
          <w:rFonts w:ascii="Calibri" w:eastAsia="Calibri" w:hAnsi="Calibri" w:cs="Calibri"/>
          <w:b/>
          <w:sz w:val="20"/>
          <w:szCs w:val="20"/>
        </w:rPr>
      </w:pPr>
      <w:bookmarkStart w:id="29" w:name="_heading=h.3j2qqm3" w:colFirst="0" w:colLast="0"/>
      <w:bookmarkEnd w:id="29"/>
    </w:p>
    <w:p w14:paraId="68090EA8"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 xml:space="preserve">This project forms part of an overall programmatic framework under which several separate associated country level activities will be implemented. When assistance and support services are provided from this Project to the associated country level activities, this document shall be the “Project Document” instrument referred to in: (i) the respective signed SBAAs for the specific countries; or (ii) in the </w:t>
      </w:r>
      <w:hyperlink r:id="rId39">
        <w:r>
          <w:rPr>
            <w:rFonts w:ascii="Calibri" w:eastAsia="Calibri" w:hAnsi="Calibri" w:cs="Calibri"/>
            <w:color w:val="0000FF"/>
            <w:sz w:val="20"/>
            <w:szCs w:val="20"/>
            <w:u w:val="single"/>
          </w:rPr>
          <w:t>Supplemental Provisions</w:t>
        </w:r>
      </w:hyperlink>
      <w:r>
        <w:rPr>
          <w:rFonts w:ascii="Calibri" w:eastAsia="Calibri" w:hAnsi="Calibri" w:cs="Calibri"/>
          <w:color w:val="0000FF"/>
          <w:sz w:val="20"/>
          <w:szCs w:val="20"/>
          <w:u w:val="single"/>
        </w:rPr>
        <w:t xml:space="preserve"> to the Project Document</w:t>
      </w:r>
      <w:r>
        <w:rPr>
          <w:rFonts w:ascii="Calibri" w:eastAsia="Calibri" w:hAnsi="Calibri" w:cs="Calibri"/>
          <w:sz w:val="20"/>
          <w:szCs w:val="20"/>
        </w:rPr>
        <w:t xml:space="preserve"> attached to the Project Document in cases where the recipient country has not signed an SBAA with UNDP, attached hereto and forming an integral part hereof. All references in the SBAA to “Executing Agency” shall be deemed to refer to “Implementing Partner.”</w:t>
      </w:r>
    </w:p>
    <w:p w14:paraId="68090EA9" w14:textId="77777777" w:rsidR="00CF33D9" w:rsidRDefault="00CF33D9">
      <w:pPr>
        <w:ind w:left="450" w:hanging="450"/>
        <w:jc w:val="both"/>
        <w:rPr>
          <w:rFonts w:ascii="Calibri" w:eastAsia="Calibri" w:hAnsi="Calibri" w:cs="Calibri"/>
          <w:sz w:val="20"/>
          <w:szCs w:val="20"/>
        </w:rPr>
      </w:pPr>
    </w:p>
    <w:p w14:paraId="68090EAA" w14:textId="77777777" w:rsidR="00CF33D9" w:rsidRDefault="00E3332A">
      <w:pPr>
        <w:jc w:val="both"/>
        <w:rPr>
          <w:rFonts w:ascii="Calibri" w:eastAsia="Calibri" w:hAnsi="Calibri" w:cs="Calibri"/>
          <w:b/>
          <w:sz w:val="20"/>
          <w:szCs w:val="20"/>
        </w:rPr>
      </w:pPr>
      <w:r>
        <w:rPr>
          <w:rFonts w:ascii="Calibri" w:eastAsia="Calibri" w:hAnsi="Calibri" w:cs="Calibri"/>
          <w:sz w:val="20"/>
          <w:szCs w:val="20"/>
        </w:rPr>
        <w:t>This project will be implemented by BCC (“Implementing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r>
        <w:rPr>
          <w:rFonts w:ascii="Calibri" w:eastAsia="Calibri" w:hAnsi="Calibri" w:cs="Calibri"/>
          <w:b/>
          <w:sz w:val="20"/>
          <w:szCs w:val="20"/>
        </w:rPr>
        <w:t xml:space="preserve">. </w:t>
      </w:r>
    </w:p>
    <w:p w14:paraId="68090EAB" w14:textId="77777777" w:rsidR="00CF33D9" w:rsidRDefault="00CF33D9">
      <w:pPr>
        <w:jc w:val="both"/>
        <w:rPr>
          <w:rFonts w:ascii="Calibri" w:eastAsia="Calibri" w:hAnsi="Calibri" w:cs="Calibri"/>
          <w:sz w:val="20"/>
          <w:szCs w:val="20"/>
        </w:rPr>
      </w:pPr>
    </w:p>
    <w:p w14:paraId="68090EAC" w14:textId="77777777" w:rsidR="00CF33D9" w:rsidRDefault="00E3332A">
      <w:pPr>
        <w:pStyle w:val="Heading1"/>
        <w:rPr>
          <w:rFonts w:ascii="Calibri" w:hAnsi="Calibri" w:cs="Calibri"/>
          <w:sz w:val="20"/>
          <w:szCs w:val="20"/>
        </w:rPr>
      </w:pPr>
      <w:bookmarkStart w:id="30" w:name="_Toc169739168"/>
      <w:r>
        <w:rPr>
          <w:rFonts w:ascii="Calibri" w:hAnsi="Calibri" w:cs="Calibri"/>
          <w:sz w:val="20"/>
          <w:szCs w:val="20"/>
        </w:rPr>
        <w:t>XI</w:t>
      </w:r>
      <w:r>
        <w:rPr>
          <w:rFonts w:ascii="Calibri" w:hAnsi="Calibri" w:cs="Calibri"/>
          <w:sz w:val="20"/>
          <w:szCs w:val="20"/>
        </w:rPr>
        <w:tab/>
        <w:t>Risk Management</w:t>
      </w:r>
      <w:bookmarkEnd w:id="30"/>
    </w:p>
    <w:p w14:paraId="68090EAD" w14:textId="77777777" w:rsidR="00CF33D9" w:rsidRDefault="00CF33D9">
      <w:pPr>
        <w:spacing w:after="60"/>
        <w:jc w:val="both"/>
        <w:rPr>
          <w:rFonts w:ascii="Calibri" w:eastAsia="Calibri" w:hAnsi="Calibri" w:cs="Calibri"/>
          <w:sz w:val="20"/>
          <w:szCs w:val="20"/>
        </w:rPr>
      </w:pPr>
    </w:p>
    <w:p w14:paraId="68090EAE" w14:textId="77777777" w:rsidR="00CF33D9" w:rsidRDefault="00E3332A">
      <w:pPr>
        <w:numPr>
          <w:ilvl w:val="0"/>
          <w:numId w:val="68"/>
        </w:numPr>
        <w:ind w:left="360"/>
        <w:jc w:val="both"/>
        <w:rPr>
          <w:rFonts w:ascii="Calibri" w:eastAsia="Calibri" w:hAnsi="Calibri" w:cs="Calibri"/>
          <w:sz w:val="20"/>
          <w:szCs w:val="20"/>
        </w:rPr>
      </w:pPr>
      <w:r>
        <w:rPr>
          <w:rFonts w:ascii="Calibri" w:eastAsia="Calibri" w:hAnsi="Calibri" w:cs="Calibri"/>
          <w:sz w:val="20"/>
          <w:szCs w:val="20"/>
        </w:rPr>
        <w:t xml:space="preserve">Consistent with the Article III of the SBAA </w:t>
      </w:r>
      <w:r>
        <w:rPr>
          <w:rFonts w:ascii="Calibri" w:eastAsia="Calibri" w:hAnsi="Calibri" w:cs="Calibri"/>
          <w:i/>
          <w:sz w:val="20"/>
          <w:szCs w:val="20"/>
        </w:rPr>
        <w:t>[or the Supplemental Provisions to the Project Document]</w:t>
      </w:r>
      <w:r>
        <w:rPr>
          <w:rFonts w:ascii="Calibri" w:eastAsia="Calibri" w:hAnsi="Calibri" w:cs="Calibri"/>
          <w:sz w:val="20"/>
          <w:szCs w:val="20"/>
        </w:rPr>
        <w:t>, the responsibility for the safety and security of the Implementing Partner and its personnel and property, and of UNDP’s property in the Implementing Partner’s custody, rests with the Implementing Partner. To this end, the Implementing Partner shall:</w:t>
      </w:r>
    </w:p>
    <w:p w14:paraId="68090EAF" w14:textId="77777777" w:rsidR="00CF33D9" w:rsidRDefault="00E3332A">
      <w:pPr>
        <w:numPr>
          <w:ilvl w:val="0"/>
          <w:numId w:val="69"/>
        </w:numPr>
        <w:jc w:val="both"/>
        <w:rPr>
          <w:rFonts w:ascii="Calibri" w:eastAsia="Calibri" w:hAnsi="Calibri" w:cs="Calibri"/>
          <w:sz w:val="20"/>
          <w:szCs w:val="20"/>
        </w:rPr>
      </w:pPr>
      <w:r>
        <w:rPr>
          <w:rFonts w:ascii="Calibri" w:eastAsia="Calibri" w:hAnsi="Calibri" w:cs="Calibri"/>
          <w:sz w:val="20"/>
          <w:szCs w:val="20"/>
        </w:rPr>
        <w:t>put in place an appropriate security plan and maintain the security plan, taking into account the security situation in the country where the project is being carried;</w:t>
      </w:r>
    </w:p>
    <w:p w14:paraId="68090EB0" w14:textId="77777777" w:rsidR="00CF33D9" w:rsidRDefault="00E3332A">
      <w:pPr>
        <w:numPr>
          <w:ilvl w:val="0"/>
          <w:numId w:val="69"/>
        </w:numPr>
        <w:jc w:val="both"/>
        <w:rPr>
          <w:rFonts w:ascii="Calibri" w:eastAsia="Calibri" w:hAnsi="Calibri" w:cs="Calibri"/>
          <w:sz w:val="20"/>
          <w:szCs w:val="20"/>
        </w:rPr>
      </w:pPr>
      <w:r>
        <w:rPr>
          <w:rFonts w:ascii="Calibri" w:eastAsia="Calibri" w:hAnsi="Calibri" w:cs="Calibri"/>
          <w:sz w:val="20"/>
          <w:szCs w:val="20"/>
        </w:rPr>
        <w:t>assume all risks and liabilities related to the Implementing Partner’s security, and the full implementation of the security plan.</w:t>
      </w:r>
    </w:p>
    <w:p w14:paraId="68090EB1" w14:textId="77777777" w:rsidR="00CF33D9" w:rsidRDefault="00CF33D9">
      <w:pPr>
        <w:ind w:left="720"/>
        <w:jc w:val="both"/>
        <w:rPr>
          <w:rFonts w:ascii="Calibri" w:eastAsia="Calibri" w:hAnsi="Calibri" w:cs="Calibri"/>
          <w:sz w:val="20"/>
          <w:szCs w:val="20"/>
        </w:rPr>
      </w:pPr>
    </w:p>
    <w:p w14:paraId="68090EB2" w14:textId="77777777" w:rsidR="00CF33D9" w:rsidRDefault="00E3332A">
      <w:pPr>
        <w:numPr>
          <w:ilvl w:val="0"/>
          <w:numId w:val="68"/>
        </w:numPr>
        <w:spacing w:after="240"/>
        <w:ind w:left="360"/>
        <w:jc w:val="both"/>
        <w:rPr>
          <w:rFonts w:ascii="Calibri" w:eastAsia="Calibri" w:hAnsi="Calibri" w:cs="Calibri"/>
          <w:sz w:val="20"/>
          <w:szCs w:val="20"/>
        </w:rPr>
      </w:pPr>
      <w:r>
        <w:rPr>
          <w:rFonts w:ascii="Calibri" w:eastAsia="Calibri" w:hAnsi="Calibri" w:cs="Calibri"/>
          <w:sz w:val="20"/>
          <w:szCs w:val="20"/>
        </w:rPr>
        <w:t>UNDP reserves the right to verify whether such a plan is in place, and to suggest modifications to the plan when necessary. Failure to maintain and implement an appropriate security plan as required hereunder shall be deemed a breach of the Implementing Partner’s obligations under this Project Document and the Project Cooperation Agreement between UNDP and the Implementing Partner.</w:t>
      </w:r>
    </w:p>
    <w:p w14:paraId="68090EB3" w14:textId="77777777" w:rsidR="00CF33D9" w:rsidRDefault="00E3332A">
      <w:pPr>
        <w:numPr>
          <w:ilvl w:val="0"/>
          <w:numId w:val="68"/>
        </w:numPr>
        <w:spacing w:after="240"/>
        <w:ind w:left="360"/>
        <w:jc w:val="both"/>
        <w:rPr>
          <w:rFonts w:ascii="Calibri" w:eastAsia="Calibri" w:hAnsi="Calibri" w:cs="Calibri"/>
          <w:sz w:val="20"/>
          <w:szCs w:val="20"/>
        </w:rPr>
      </w:pPr>
      <w:r>
        <w:rPr>
          <w:rFonts w:ascii="Calibri" w:eastAsia="Calibri" w:hAnsi="Calibri" w:cs="Calibri"/>
          <w:sz w:val="20"/>
          <w:szCs w:val="20"/>
        </w:rPr>
        <w:t xml:space="preserve">The Implementing Partner agrees to undertake all reasonable efforts to ensure that no UNDP funds received pursuant to the Project Document are used to provide support to individuals or entities associated with terrorism and that the recipients of any amounts provided by UNDP hereunder do not appear on the United Nations Security Council Sanctions Consolidated Sanctions List, and that no UNDP funds received pursuant to the Project Document are used for money laundering activities. The United Nations Security Council Sanctions Consolidated Sanctions List can be accessed via </w:t>
      </w:r>
      <w:hyperlink r:id="rId40">
        <w:r>
          <w:rPr>
            <w:rFonts w:ascii="Calibri" w:eastAsia="Calibri" w:hAnsi="Calibri" w:cs="Calibri"/>
            <w:color w:val="0000FF"/>
            <w:sz w:val="20"/>
            <w:szCs w:val="20"/>
            <w:u w:val="single"/>
          </w:rPr>
          <w:t>https://www.un.org/securitycouncil/content/un-sc-consolidated-list</w:t>
        </w:r>
      </w:hyperlink>
      <w:r>
        <w:rPr>
          <w:rFonts w:ascii="Calibri" w:eastAsia="Calibri" w:hAnsi="Calibri" w:cs="Calibri"/>
          <w:sz w:val="20"/>
          <w:szCs w:val="20"/>
        </w:rPr>
        <w:t xml:space="preserve">. </w:t>
      </w:r>
    </w:p>
    <w:p w14:paraId="68090EB4" w14:textId="77777777" w:rsidR="00CF33D9" w:rsidRDefault="00E3332A">
      <w:pPr>
        <w:numPr>
          <w:ilvl w:val="0"/>
          <w:numId w:val="68"/>
        </w:numPr>
        <w:spacing w:after="240"/>
        <w:ind w:left="360"/>
        <w:jc w:val="both"/>
        <w:rPr>
          <w:rFonts w:ascii="Calibri" w:eastAsia="Calibri" w:hAnsi="Calibri" w:cs="Calibri"/>
          <w:sz w:val="20"/>
          <w:szCs w:val="20"/>
        </w:rPr>
      </w:pPr>
      <w:r>
        <w:rPr>
          <w:rFonts w:ascii="Calibri" w:eastAsia="Calibri" w:hAnsi="Calibri" w:cs="Calibri"/>
          <w:sz w:val="20"/>
          <w:szCs w:val="20"/>
        </w:rPr>
        <w:t xml:space="preserve">The Implementing Partner acknowledges and agrees that UNDP will not tolerate sexual harassment and sexual exploitation and abuse of anyone by the Implementing Partner, and each of its responsible parties, their respective sub-recipients and other entities involved in Project implementation, either as contractors or subcontractors and their personnel, and any individuals performing services for them under the Project Document. </w:t>
      </w:r>
    </w:p>
    <w:p w14:paraId="68090EB5" w14:textId="77777777" w:rsidR="00CF33D9" w:rsidRDefault="00E3332A">
      <w:pPr>
        <w:spacing w:before="280" w:after="240"/>
        <w:ind w:left="360"/>
        <w:jc w:val="both"/>
        <w:rPr>
          <w:rFonts w:ascii="Calibri" w:eastAsia="Calibri" w:hAnsi="Calibri" w:cs="Calibri"/>
          <w:sz w:val="20"/>
          <w:szCs w:val="20"/>
        </w:rPr>
      </w:pPr>
      <w:r>
        <w:rPr>
          <w:rFonts w:ascii="Calibri" w:eastAsia="Calibri" w:hAnsi="Calibri" w:cs="Calibri"/>
          <w:sz w:val="20"/>
          <w:szCs w:val="20"/>
        </w:rPr>
        <w:t xml:space="preserve">(a) In the implementation of the activities under this Project Document, the Implementing Partner, and each of its sub-parties referred to above, shall comply with the standards of conduct set forth in the Secretary General’s Bulletin ST/SGB/2003/13 of 9 October 2003, concerning “Special measures for protection from sexual exploitation and sexual abuse” (“SEA”). </w:t>
      </w:r>
    </w:p>
    <w:p w14:paraId="68090EB6" w14:textId="77777777" w:rsidR="00CF33D9" w:rsidRDefault="00E3332A">
      <w:pPr>
        <w:spacing w:before="280" w:after="240"/>
        <w:ind w:left="360" w:hanging="90"/>
        <w:jc w:val="both"/>
        <w:rPr>
          <w:rFonts w:ascii="Calibri" w:eastAsia="Calibri" w:hAnsi="Calibri" w:cs="Calibri"/>
          <w:sz w:val="20"/>
          <w:szCs w:val="20"/>
        </w:rPr>
      </w:pPr>
      <w:r>
        <w:rPr>
          <w:rFonts w:ascii="Calibri" w:eastAsia="Calibri" w:hAnsi="Calibri" w:cs="Calibri"/>
          <w:sz w:val="20"/>
          <w:szCs w:val="20"/>
        </w:rPr>
        <w:t xml:space="preserve">(b) Moreover, and without limitation to the application of other regulations, rules, policies and procedures bearing upon the performance of the activities under this Project Document, in the implementation of activities, the Implementing Partner, and each of its sub-parties referred to above, shall not engage in any form of sexual harassment (“SH”). SH is defined as any unwelcome conduct of a sexual nature that might reasonably be expected or be perceived to cause offense or humiliation, when such conduct interferes with work, is made a condition of employment or creates an intimidating, hostile or offensive work environment. SH </w:t>
      </w:r>
      <w:r>
        <w:rPr>
          <w:rFonts w:ascii="Calibri" w:eastAsia="Calibri" w:hAnsi="Calibri" w:cs="Calibri"/>
          <w:sz w:val="20"/>
          <w:szCs w:val="20"/>
        </w:rPr>
        <w:lastRenderedPageBreak/>
        <w:t xml:space="preserve">may occur in the workplace or in connection with work. While typically involving a pattern of conduct, SH may take the form of a single incident. In assessing the reasonableness of expectations or perceptions, the perspective of the person who is the target of the conduct shall be considered. </w:t>
      </w:r>
    </w:p>
    <w:p w14:paraId="68090EB7" w14:textId="77777777" w:rsidR="00CF33D9" w:rsidRDefault="00E3332A">
      <w:pPr>
        <w:numPr>
          <w:ilvl w:val="0"/>
          <w:numId w:val="68"/>
        </w:numPr>
        <w:spacing w:before="280" w:after="240"/>
        <w:ind w:left="360"/>
        <w:jc w:val="both"/>
        <w:rPr>
          <w:rFonts w:ascii="Calibri" w:eastAsia="Calibri" w:hAnsi="Calibri" w:cs="Calibri"/>
          <w:sz w:val="20"/>
          <w:szCs w:val="20"/>
        </w:rPr>
      </w:pPr>
      <w:r>
        <w:rPr>
          <w:rFonts w:ascii="Calibri" w:eastAsia="Calibri" w:hAnsi="Calibri" w:cs="Calibri"/>
          <w:sz w:val="20"/>
          <w:szCs w:val="20"/>
        </w:rPr>
        <w:t>a) In the performance of the activities under this Project Document, the Implementing Partner shall (with respect to its own activities) and shall require from its sub-parties referred to in paragraph 4 (with respect to their activities) that they, have minimum standards and procedures in place, or a plan to develop and/or improve such standards and procedures in order to be able to take effective preventive and investigative action. These should include: policies on sexual harassment and sexual exploitation and abuse; policies on whistleblowing/protection against retaliation; and complaints, disciplinary and investigative mechanisms. In line with this, the Implementing Partner will, and will require that such sub-parties will take all appropriate measures to:</w:t>
      </w:r>
    </w:p>
    <w:p w14:paraId="68090EB8" w14:textId="77777777" w:rsidR="00CF33D9" w:rsidRDefault="00E3332A">
      <w:pPr>
        <w:numPr>
          <w:ilvl w:val="1"/>
          <w:numId w:val="70"/>
        </w:numPr>
        <w:spacing w:before="280" w:after="240"/>
        <w:jc w:val="both"/>
        <w:rPr>
          <w:rFonts w:ascii="Calibri" w:eastAsia="Calibri" w:hAnsi="Calibri" w:cs="Calibri"/>
          <w:sz w:val="20"/>
          <w:szCs w:val="20"/>
        </w:rPr>
      </w:pPr>
      <w:r>
        <w:rPr>
          <w:rFonts w:ascii="Calibri" w:eastAsia="Calibri" w:hAnsi="Calibri" w:cs="Calibri"/>
          <w:sz w:val="20"/>
          <w:szCs w:val="20"/>
        </w:rPr>
        <w:t>Prevent its employees, agents or any other persons engaged to perform any services under this Project Document, from engaging in SH or SEA;</w:t>
      </w:r>
    </w:p>
    <w:p w14:paraId="68090EB9" w14:textId="77777777" w:rsidR="00CF33D9" w:rsidRDefault="00E3332A">
      <w:pPr>
        <w:numPr>
          <w:ilvl w:val="1"/>
          <w:numId w:val="70"/>
        </w:numPr>
        <w:spacing w:after="240"/>
        <w:jc w:val="both"/>
        <w:rPr>
          <w:rFonts w:ascii="Calibri" w:eastAsia="Calibri" w:hAnsi="Calibri" w:cs="Calibri"/>
          <w:sz w:val="20"/>
          <w:szCs w:val="20"/>
        </w:rPr>
      </w:pPr>
      <w:r>
        <w:rPr>
          <w:rFonts w:ascii="Calibri" w:eastAsia="Calibri" w:hAnsi="Calibri" w:cs="Calibri"/>
          <w:sz w:val="20"/>
          <w:szCs w:val="20"/>
        </w:rPr>
        <w:t>Offer employees and associated personnel training on prevention and response to SH and SEA, where the Implementing Partner and its sub-parties referred to in paragraph 4, have not put in place its own training regarding the prevention of SH and SEA, the Implementing Partner and such sub-parties may use the training material available at UNDP;</w:t>
      </w:r>
    </w:p>
    <w:p w14:paraId="68090EBA" w14:textId="77777777" w:rsidR="00CF33D9" w:rsidRDefault="00E3332A">
      <w:pPr>
        <w:numPr>
          <w:ilvl w:val="1"/>
          <w:numId w:val="70"/>
        </w:numPr>
        <w:spacing w:after="240"/>
        <w:jc w:val="both"/>
        <w:rPr>
          <w:rFonts w:ascii="Calibri" w:eastAsia="Calibri" w:hAnsi="Calibri" w:cs="Calibri"/>
          <w:sz w:val="20"/>
          <w:szCs w:val="20"/>
        </w:rPr>
      </w:pPr>
      <w:r>
        <w:rPr>
          <w:rFonts w:ascii="Calibri" w:eastAsia="Calibri" w:hAnsi="Calibri" w:cs="Calibri"/>
          <w:sz w:val="20"/>
          <w:szCs w:val="20"/>
        </w:rPr>
        <w:t xml:space="preserve">Report and monitor allegations of SH and SEA of which the Implementing Partner and its sub-parties referred to in paragraph 4 have been informed or have otherwise become aware, and status thereof; </w:t>
      </w:r>
    </w:p>
    <w:p w14:paraId="68090EBB" w14:textId="77777777" w:rsidR="00CF33D9" w:rsidRDefault="00E3332A">
      <w:pPr>
        <w:numPr>
          <w:ilvl w:val="1"/>
          <w:numId w:val="70"/>
        </w:numPr>
        <w:spacing w:after="240"/>
        <w:jc w:val="both"/>
        <w:rPr>
          <w:rFonts w:ascii="Calibri" w:eastAsia="Calibri" w:hAnsi="Calibri" w:cs="Calibri"/>
          <w:sz w:val="20"/>
          <w:szCs w:val="20"/>
        </w:rPr>
      </w:pPr>
      <w:r>
        <w:rPr>
          <w:rFonts w:ascii="Calibri" w:eastAsia="Calibri" w:hAnsi="Calibri" w:cs="Calibri"/>
          <w:sz w:val="20"/>
          <w:szCs w:val="20"/>
        </w:rPr>
        <w:t>Refer victims/survivors of SH and SEA to safe and confidential victim assistance; and</w:t>
      </w:r>
    </w:p>
    <w:p w14:paraId="68090EBC" w14:textId="77777777" w:rsidR="00CF33D9" w:rsidRDefault="00E3332A">
      <w:pPr>
        <w:numPr>
          <w:ilvl w:val="1"/>
          <w:numId w:val="70"/>
        </w:numPr>
        <w:spacing w:after="240"/>
        <w:jc w:val="both"/>
        <w:rPr>
          <w:rFonts w:ascii="Calibri" w:eastAsia="Calibri" w:hAnsi="Calibri" w:cs="Calibri"/>
          <w:sz w:val="20"/>
          <w:szCs w:val="20"/>
        </w:rPr>
      </w:pPr>
      <w:r>
        <w:rPr>
          <w:rFonts w:ascii="Calibri" w:eastAsia="Calibri" w:hAnsi="Calibri" w:cs="Calibri"/>
          <w:sz w:val="20"/>
          <w:szCs w:val="20"/>
        </w:rPr>
        <w:t xml:space="preserve">Promptly and confidentially, record and investigate any allegations credible enough to warrant an investigation of SH or SEA. The Implementing Partner shall advise UNDP of any such allegations received and investigations being conducted by itself or any of its sub-parties referred to in paragraph 4 with respect to their activities under the Project Document, and shall keep UNDP informed during the investigation by it or any of such sub-parties, to the extent that such notification (i) does not jeopardize the conduct of the investigation, including but not limited to the safety or security of persons, and/or (ii) is not in contravention of any laws applicable to it. Following the investigation, the Implementing Partner shall advise UNDP of any actions taken by it or any of the other entities further to the investigation. </w:t>
      </w:r>
    </w:p>
    <w:p w14:paraId="68090EBD" w14:textId="77777777" w:rsidR="00CF33D9" w:rsidRDefault="00E3332A">
      <w:pPr>
        <w:spacing w:before="280" w:after="240"/>
        <w:ind w:left="360"/>
        <w:jc w:val="both"/>
        <w:rPr>
          <w:rFonts w:ascii="Calibri" w:eastAsia="Calibri" w:hAnsi="Calibri" w:cs="Calibri"/>
          <w:sz w:val="20"/>
          <w:szCs w:val="20"/>
        </w:rPr>
      </w:pPr>
      <w:r>
        <w:rPr>
          <w:rFonts w:ascii="Calibri" w:eastAsia="Calibri" w:hAnsi="Calibri" w:cs="Calibri"/>
          <w:sz w:val="20"/>
          <w:szCs w:val="20"/>
        </w:rPr>
        <w:t>b) The Implementing Partner shall establish that it has complied with the foregoing, to the satisfaction of UNDP, when requested by UNDP or any party acting on its behalf to provide such confirmation. Failure of the Implementing Partner, and each of its sub-parties referred to in paragraph 4, to comply of the foregoing, as determined by UNDP, shall be considered grounds for suspension or termination of the Project.</w:t>
      </w:r>
    </w:p>
    <w:p w14:paraId="68090EBE" w14:textId="77777777" w:rsidR="00CF33D9" w:rsidRDefault="00E3332A">
      <w:pPr>
        <w:numPr>
          <w:ilvl w:val="0"/>
          <w:numId w:val="68"/>
        </w:numPr>
        <w:spacing w:before="280" w:after="240"/>
        <w:ind w:left="360"/>
        <w:jc w:val="both"/>
        <w:rPr>
          <w:rFonts w:ascii="Calibri" w:eastAsia="Calibri" w:hAnsi="Calibri" w:cs="Calibri"/>
          <w:sz w:val="20"/>
          <w:szCs w:val="20"/>
          <w:u w:val="single"/>
        </w:rPr>
      </w:pPr>
      <w:r>
        <w:rPr>
          <w:rFonts w:ascii="Calibri" w:eastAsia="Calibri" w:hAnsi="Calibri" w:cs="Calibri"/>
          <w:sz w:val="20"/>
          <w:szCs w:val="20"/>
        </w:rPr>
        <w:t>Social and environmental sustainability will be enhanced through application of the UNDP Social and Environmental Standards (</w:t>
      </w:r>
      <w:hyperlink r:id="rId41">
        <w:r>
          <w:rPr>
            <w:rFonts w:ascii="Calibri" w:eastAsia="Calibri" w:hAnsi="Calibri" w:cs="Calibri"/>
            <w:color w:val="0000FF"/>
            <w:sz w:val="20"/>
            <w:szCs w:val="20"/>
            <w:u w:val="single"/>
          </w:rPr>
          <w:t>http://www.undp.org/ses</w:t>
        </w:r>
      </w:hyperlink>
      <w:r>
        <w:rPr>
          <w:rFonts w:ascii="Calibri" w:eastAsia="Calibri" w:hAnsi="Calibri" w:cs="Calibri"/>
          <w:sz w:val="20"/>
          <w:szCs w:val="20"/>
        </w:rPr>
        <w:t>) and related Accountability Mechanism (</w:t>
      </w:r>
      <w:hyperlink r:id="rId42">
        <w:r>
          <w:rPr>
            <w:rFonts w:ascii="Calibri" w:eastAsia="Calibri" w:hAnsi="Calibri" w:cs="Calibri"/>
            <w:color w:val="0000FF"/>
            <w:sz w:val="20"/>
            <w:szCs w:val="20"/>
            <w:u w:val="single"/>
          </w:rPr>
          <w:t>http://www.undp.org/secu-srm</w:t>
        </w:r>
      </w:hyperlink>
      <w:r>
        <w:rPr>
          <w:rFonts w:ascii="Calibri" w:eastAsia="Calibri" w:hAnsi="Calibri" w:cs="Calibri"/>
          <w:sz w:val="20"/>
          <w:szCs w:val="20"/>
        </w:rPr>
        <w:t xml:space="preserve">). </w:t>
      </w:r>
    </w:p>
    <w:p w14:paraId="68090EBF" w14:textId="77777777" w:rsidR="00CF33D9" w:rsidRDefault="00E3332A">
      <w:pPr>
        <w:numPr>
          <w:ilvl w:val="0"/>
          <w:numId w:val="68"/>
        </w:numPr>
        <w:ind w:left="360"/>
        <w:jc w:val="both"/>
        <w:rPr>
          <w:rFonts w:ascii="Calibri" w:eastAsia="Calibri" w:hAnsi="Calibri" w:cs="Calibri"/>
          <w:sz w:val="20"/>
          <w:szCs w:val="20"/>
        </w:rPr>
      </w:pPr>
      <w:r>
        <w:rPr>
          <w:rFonts w:ascii="Calibri" w:eastAsia="Calibri" w:hAnsi="Calibri" w:cs="Calibri"/>
          <w:sz w:val="20"/>
          <w:szCs w:val="20"/>
        </w:rPr>
        <w:t xml:space="preserve">The Implementing Partner shall: (a) conduct project and programme-related activities in a manner consistent with the UNDP Social and Environmental Standards, (b) implement any management or mitigation plan prepared for the project or programme to comply with such standards, and (c) engage in a constructive and timely manner to address any concerns and complaints raised through the Accountability Mechanism. UNDP will seek to ensure that communities and other project stakeholders are informed of and have access to the Accountability Mechanism. </w:t>
      </w:r>
    </w:p>
    <w:p w14:paraId="68090EC0" w14:textId="77777777" w:rsidR="00CF33D9" w:rsidRDefault="00E3332A">
      <w:pPr>
        <w:numPr>
          <w:ilvl w:val="0"/>
          <w:numId w:val="68"/>
        </w:numPr>
        <w:spacing w:before="240" w:after="240"/>
        <w:ind w:left="360"/>
        <w:jc w:val="both"/>
        <w:rPr>
          <w:rFonts w:ascii="Calibri" w:eastAsia="Calibri" w:hAnsi="Calibri" w:cs="Calibri"/>
          <w:sz w:val="20"/>
          <w:szCs w:val="20"/>
        </w:rPr>
      </w:pPr>
      <w:r>
        <w:rPr>
          <w:rFonts w:ascii="Calibri" w:eastAsia="Calibri" w:hAnsi="Calibri" w:cs="Calibri"/>
          <w:sz w:val="20"/>
          <w:szCs w:val="20"/>
        </w:rPr>
        <w:t>All signatories to the Project Document shall cooperate in good faith with any exercise to evaluate any programme or project-related commitments or compliance with the UNDP Social and Environmental Standards. This includes providing access to project sites, relevant personnel, information, and documentation.</w:t>
      </w:r>
    </w:p>
    <w:p w14:paraId="68090EC1" w14:textId="77777777" w:rsidR="00CF33D9" w:rsidRDefault="00E3332A">
      <w:pPr>
        <w:numPr>
          <w:ilvl w:val="0"/>
          <w:numId w:val="68"/>
        </w:numPr>
        <w:ind w:left="360" w:hanging="357"/>
        <w:jc w:val="both"/>
        <w:rPr>
          <w:rFonts w:ascii="Calibri" w:eastAsia="Calibri" w:hAnsi="Calibri" w:cs="Calibri"/>
          <w:sz w:val="20"/>
          <w:szCs w:val="20"/>
        </w:rPr>
      </w:pPr>
      <w:r>
        <w:rPr>
          <w:rFonts w:ascii="Calibri" w:eastAsia="Calibri" w:hAnsi="Calibri" w:cs="Calibri"/>
          <w:sz w:val="20"/>
          <w:szCs w:val="20"/>
        </w:rPr>
        <w:lastRenderedPageBreak/>
        <w:t xml:space="preserve">UNDP is committed to the highest ethical standards and will not tolerate the diversion of the resources entrusted to it through Money Laundering or Terrorist Financing and will not partner with entities that tolerate the diversion of resources through Money Laundering or Terrorist Financing. To that effect, the Implementing Partner represents and warrants that it has not, and it shall not, at any time in the implementation of the Project engage in Terrorism Financing or Money Laundering. The Implementing Partner shall communicate the restriction of this paragraph to its and each of its responsible parties, their respective sub-recipients and other entities involved in Project implementation, either as contractors or subcontractors and their personnel, and any individuals performing services for them under the Project Documents and shall take all reasonable measures to ensure that such persons do not engage in Terrorism Financing or Money Laundering. </w:t>
      </w:r>
    </w:p>
    <w:p w14:paraId="68090EC2" w14:textId="77777777" w:rsidR="00CF33D9" w:rsidRDefault="00CF33D9">
      <w:pPr>
        <w:ind w:left="3"/>
        <w:jc w:val="both"/>
        <w:rPr>
          <w:rFonts w:ascii="Calibri" w:eastAsia="Calibri" w:hAnsi="Calibri" w:cs="Calibri"/>
          <w:sz w:val="20"/>
          <w:szCs w:val="20"/>
        </w:rPr>
      </w:pPr>
    </w:p>
    <w:p w14:paraId="68090EC3" w14:textId="77777777" w:rsidR="00CF33D9" w:rsidRDefault="00E3332A">
      <w:pPr>
        <w:numPr>
          <w:ilvl w:val="0"/>
          <w:numId w:val="68"/>
        </w:numPr>
        <w:ind w:left="360" w:hanging="357"/>
        <w:jc w:val="both"/>
        <w:rPr>
          <w:rFonts w:ascii="Calibri" w:eastAsia="Calibri" w:hAnsi="Calibri" w:cs="Calibri"/>
          <w:sz w:val="20"/>
          <w:szCs w:val="20"/>
        </w:rPr>
      </w:pPr>
      <w:r>
        <w:rPr>
          <w:rFonts w:ascii="Calibri" w:eastAsia="Calibri" w:hAnsi="Calibri" w:cs="Calibri"/>
          <w:sz w:val="20"/>
          <w:szCs w:val="20"/>
        </w:rPr>
        <w:t xml:space="preserve">The Implementing Partner shall immediately disclose to UNDP any actual, apparent, potential or attempted Terrorism Financing or Money Laundering activity that it becomes aware of. The Implementing Partner shall fully cooperate with any investigation or review of Terrorism Financing or Money Laundering activity by UNDP. </w:t>
      </w:r>
    </w:p>
    <w:p w14:paraId="68090EC4" w14:textId="77777777" w:rsidR="00CF33D9" w:rsidRDefault="00CF33D9">
      <w:pPr>
        <w:ind w:left="3"/>
        <w:jc w:val="both"/>
        <w:rPr>
          <w:rFonts w:ascii="Calibri" w:eastAsia="Calibri" w:hAnsi="Calibri" w:cs="Calibri"/>
          <w:sz w:val="20"/>
          <w:szCs w:val="20"/>
        </w:rPr>
      </w:pPr>
    </w:p>
    <w:p w14:paraId="68090EC5" w14:textId="77777777" w:rsidR="00CF33D9" w:rsidRDefault="00E3332A">
      <w:pPr>
        <w:numPr>
          <w:ilvl w:val="0"/>
          <w:numId w:val="68"/>
        </w:numPr>
        <w:ind w:left="360" w:hanging="357"/>
        <w:jc w:val="both"/>
        <w:rPr>
          <w:rFonts w:ascii="Calibri" w:eastAsia="Calibri" w:hAnsi="Calibri" w:cs="Calibri"/>
          <w:sz w:val="20"/>
          <w:szCs w:val="20"/>
        </w:rPr>
      </w:pPr>
      <w:r>
        <w:rPr>
          <w:rFonts w:ascii="Calibri" w:eastAsia="Calibri" w:hAnsi="Calibri" w:cs="Calibri"/>
          <w:sz w:val="20"/>
          <w:szCs w:val="20"/>
        </w:rPr>
        <w:t xml:space="preserve">The Implementing Partner acknowledges and agrees that Terrorism Financing or Money Laundering constitute financial irregularities and that if the Implementing Partner or any of its responsible parties, their respective sub-recipients and other entities involved in Project implementation, either as contractors or subcontractors and their personnel, and any individuals performing services for them under the Project Document engages in Terrorism Financing or Money Laundering activity that would constitute a material breach of this Project Document, which entitles UNDP to immediately terminate the Project without incurring any liability or penalty. </w:t>
      </w:r>
    </w:p>
    <w:p w14:paraId="68090EC6" w14:textId="77777777" w:rsidR="00CF33D9" w:rsidRDefault="00CF33D9">
      <w:pPr>
        <w:ind w:left="3"/>
        <w:jc w:val="both"/>
        <w:rPr>
          <w:rFonts w:ascii="Calibri" w:eastAsia="Calibri" w:hAnsi="Calibri" w:cs="Calibri"/>
          <w:sz w:val="20"/>
          <w:szCs w:val="20"/>
        </w:rPr>
      </w:pPr>
    </w:p>
    <w:p w14:paraId="68090EC7" w14:textId="77777777" w:rsidR="00CF33D9" w:rsidRDefault="00E3332A">
      <w:pPr>
        <w:numPr>
          <w:ilvl w:val="0"/>
          <w:numId w:val="68"/>
        </w:numPr>
        <w:ind w:left="360" w:hanging="357"/>
        <w:jc w:val="both"/>
        <w:rPr>
          <w:rFonts w:ascii="Calibri" w:eastAsia="Calibri" w:hAnsi="Calibri" w:cs="Calibri"/>
          <w:sz w:val="20"/>
          <w:szCs w:val="20"/>
        </w:rPr>
      </w:pPr>
      <w:r>
        <w:rPr>
          <w:rFonts w:ascii="Calibri" w:eastAsia="Calibri" w:hAnsi="Calibri" w:cs="Calibri"/>
          <w:sz w:val="20"/>
          <w:szCs w:val="20"/>
        </w:rPr>
        <w:t xml:space="preserve">Furthermore, the Implementing Partner expressly acknowledges and agrees that, in the event that UNDP were to determine through an investigation or otherwise that Terrorism Financing or Money Laundering occurred, UNDP shall have, in addition to its right to immediately terminate the Project, the rights to: </w:t>
      </w:r>
    </w:p>
    <w:p w14:paraId="68090EC8" w14:textId="77777777" w:rsidR="00CF33D9" w:rsidRDefault="00E3332A">
      <w:pPr>
        <w:numPr>
          <w:ilvl w:val="0"/>
          <w:numId w:val="71"/>
        </w:numPr>
        <w:ind w:hanging="357"/>
        <w:jc w:val="both"/>
        <w:rPr>
          <w:rFonts w:ascii="Calibri" w:eastAsia="Calibri" w:hAnsi="Calibri" w:cs="Calibri"/>
          <w:sz w:val="20"/>
          <w:szCs w:val="20"/>
        </w:rPr>
      </w:pPr>
      <w:r>
        <w:rPr>
          <w:rFonts w:ascii="Calibri" w:eastAsia="Calibri" w:hAnsi="Calibri" w:cs="Calibri"/>
          <w:sz w:val="20"/>
          <w:szCs w:val="20"/>
        </w:rPr>
        <w:t>apply and enforce the relevant sanctions in accordance with UNDP internal regulations, rules, procedures, practices, policies and guidelines, including referral of the matter to national authorities when appropriate; and</w:t>
      </w:r>
    </w:p>
    <w:p w14:paraId="68090EC9" w14:textId="77777777" w:rsidR="00CF33D9" w:rsidRDefault="00E3332A">
      <w:pPr>
        <w:numPr>
          <w:ilvl w:val="0"/>
          <w:numId w:val="71"/>
        </w:numPr>
        <w:ind w:hanging="357"/>
        <w:jc w:val="both"/>
        <w:rPr>
          <w:rFonts w:ascii="Calibri" w:eastAsia="Calibri" w:hAnsi="Calibri" w:cs="Calibri"/>
          <w:sz w:val="20"/>
          <w:szCs w:val="20"/>
        </w:rPr>
      </w:pPr>
      <w:r>
        <w:rPr>
          <w:rFonts w:ascii="Calibri" w:eastAsia="Calibri" w:hAnsi="Calibri" w:cs="Calibri"/>
          <w:sz w:val="20"/>
          <w:szCs w:val="20"/>
        </w:rPr>
        <w:t xml:space="preserve">recover all losses, financial or otherwise, suffered by UNDP in connection with such Terrorism Financing or Money Laundering activity. </w:t>
      </w:r>
    </w:p>
    <w:p w14:paraId="68090ECA" w14:textId="77777777" w:rsidR="00CF33D9" w:rsidRDefault="00CF33D9">
      <w:pPr>
        <w:ind w:left="723"/>
        <w:jc w:val="both"/>
        <w:rPr>
          <w:rFonts w:ascii="Calibri" w:eastAsia="Calibri" w:hAnsi="Calibri" w:cs="Calibri"/>
          <w:sz w:val="20"/>
          <w:szCs w:val="20"/>
        </w:rPr>
      </w:pPr>
    </w:p>
    <w:p w14:paraId="68090ECB" w14:textId="77777777" w:rsidR="00CF33D9" w:rsidRDefault="00E3332A">
      <w:pPr>
        <w:numPr>
          <w:ilvl w:val="0"/>
          <w:numId w:val="68"/>
        </w:numPr>
        <w:ind w:left="360" w:hanging="357"/>
        <w:jc w:val="both"/>
        <w:rPr>
          <w:rFonts w:ascii="Calibri" w:eastAsia="Calibri" w:hAnsi="Calibri" w:cs="Calibri"/>
          <w:sz w:val="20"/>
          <w:szCs w:val="20"/>
        </w:rPr>
      </w:pPr>
      <w:r>
        <w:rPr>
          <w:rFonts w:ascii="Calibri" w:eastAsia="Calibri" w:hAnsi="Calibri" w:cs="Calibri"/>
          <w:sz w:val="20"/>
          <w:szCs w:val="20"/>
        </w:rPr>
        <w:t xml:space="preserve">For the purpose of this Project Document the following terms shall have the definition ascribed to the below: </w:t>
      </w:r>
    </w:p>
    <w:p w14:paraId="68090ECC" w14:textId="77777777" w:rsidR="00CF33D9" w:rsidRDefault="00E3332A">
      <w:pPr>
        <w:numPr>
          <w:ilvl w:val="0"/>
          <w:numId w:val="72"/>
        </w:numPr>
        <w:ind w:hanging="357"/>
        <w:jc w:val="both"/>
        <w:rPr>
          <w:rFonts w:ascii="Calibri" w:eastAsia="Calibri" w:hAnsi="Calibri" w:cs="Calibri"/>
          <w:sz w:val="20"/>
          <w:szCs w:val="20"/>
        </w:rPr>
      </w:pPr>
      <w:r>
        <w:rPr>
          <w:rFonts w:ascii="Calibri" w:eastAsia="Calibri" w:hAnsi="Calibri" w:cs="Calibri"/>
          <w:sz w:val="20"/>
          <w:szCs w:val="20"/>
        </w:rPr>
        <w:t>“Money Laundering” is generally considered as concealment of the origins of money obtained illegally, typically by passing it through a complex sequence of financial or commercial transactions. ML usually involves three stages: (i) introducing the proceeds of crime into the financial system (placement); (ii) transactions to convert or transfer the funds to other locations or financial institutions (layering); and (iii) reintroducing the funds into the legitimate economy as "clean" money and investing it in various assets or business ventures (reintegration) appearing to have been legally obtained. The FATF recommends that ML be criminalized by every country on the basis of article 3(1)(b) and (c) of the Vienna Convention and article 6(1) of the Palermo Convention.</w:t>
      </w:r>
    </w:p>
    <w:p w14:paraId="68090ECD" w14:textId="77777777" w:rsidR="00CF33D9" w:rsidRDefault="00E3332A">
      <w:pPr>
        <w:numPr>
          <w:ilvl w:val="0"/>
          <w:numId w:val="73"/>
        </w:numPr>
        <w:ind w:hanging="357"/>
        <w:jc w:val="both"/>
        <w:rPr>
          <w:rFonts w:ascii="Calibri" w:eastAsia="Calibri" w:hAnsi="Calibri" w:cs="Calibri"/>
          <w:sz w:val="20"/>
          <w:szCs w:val="20"/>
        </w:rPr>
      </w:pPr>
      <w:r>
        <w:rPr>
          <w:rFonts w:ascii="Calibri" w:eastAsia="Calibri" w:hAnsi="Calibri" w:cs="Calibri"/>
          <w:sz w:val="20"/>
          <w:szCs w:val="20"/>
        </w:rPr>
        <w:t xml:space="preserve"> “Terrorist Financing” means providing support to individuals or entities that appear on the United Nations Security Council Consolidated Sanctions List accessible at </w:t>
      </w:r>
      <w:hyperlink r:id="rId43" w:history="1">
        <w:r>
          <w:rPr>
            <w:rStyle w:val="Hyperlink"/>
            <w:rFonts w:ascii="Calibri" w:eastAsia="Calibri" w:hAnsi="Calibri" w:cs="Calibri"/>
            <w:sz w:val="20"/>
            <w:szCs w:val="20"/>
          </w:rPr>
          <w:t>https://www.un.org/securitycouncil/content/un-sc-consolidated-list</w:t>
        </w:r>
      </w:hyperlink>
      <w:r>
        <w:rPr>
          <w:rFonts w:ascii="Calibri" w:eastAsia="Calibri" w:hAnsi="Calibri" w:cs="Calibri"/>
          <w:sz w:val="20"/>
          <w:szCs w:val="20"/>
        </w:rPr>
        <w:t>.</w:t>
      </w:r>
    </w:p>
    <w:p w14:paraId="68090ECE" w14:textId="77777777" w:rsidR="00CF33D9" w:rsidRDefault="00CF33D9">
      <w:pPr>
        <w:ind w:left="1083"/>
        <w:jc w:val="both"/>
        <w:rPr>
          <w:rFonts w:ascii="Calibri" w:eastAsia="Calibri" w:hAnsi="Calibri" w:cs="Calibri"/>
          <w:sz w:val="20"/>
          <w:szCs w:val="20"/>
        </w:rPr>
      </w:pPr>
    </w:p>
    <w:p w14:paraId="68090ECF" w14:textId="77777777" w:rsidR="00CF33D9" w:rsidRDefault="00E3332A">
      <w:pPr>
        <w:numPr>
          <w:ilvl w:val="0"/>
          <w:numId w:val="68"/>
        </w:numPr>
        <w:ind w:left="360"/>
        <w:jc w:val="both"/>
        <w:rPr>
          <w:rFonts w:ascii="Calibri" w:eastAsia="Calibri" w:hAnsi="Calibri" w:cs="Calibri"/>
          <w:color w:val="000000"/>
          <w:sz w:val="20"/>
          <w:szCs w:val="20"/>
        </w:rPr>
      </w:pPr>
      <w:r>
        <w:rPr>
          <w:rFonts w:ascii="Calibri" w:eastAsia="Calibri" w:hAnsi="Calibri" w:cs="Calibri"/>
          <w:color w:val="000000"/>
          <w:sz w:val="20"/>
          <w:szCs w:val="20"/>
        </w:rPr>
        <w:t>The Implementing Partner will take appropriate steps to prevent misuse of funds, fraud or corruption, by its officials, consultants, responsible parties, subcontractors and sub-recipients in implementing the project or using the UNDP funds. The Implementing Partner will ensure that its financial management, anti-corruption, anti-fraud and anti-money laundering and countering the financing of terrorism policies are in place and enforced for all funding received from or through UNDP.</w:t>
      </w:r>
    </w:p>
    <w:p w14:paraId="68090ED0" w14:textId="77777777" w:rsidR="00CF33D9" w:rsidRDefault="00CF33D9">
      <w:pPr>
        <w:jc w:val="both"/>
        <w:rPr>
          <w:rFonts w:ascii="Calibri" w:eastAsia="Calibri" w:hAnsi="Calibri" w:cs="Calibri"/>
          <w:color w:val="000000"/>
          <w:sz w:val="20"/>
          <w:szCs w:val="20"/>
        </w:rPr>
      </w:pPr>
    </w:p>
    <w:p w14:paraId="68090ED1" w14:textId="77777777" w:rsidR="00CF33D9" w:rsidRDefault="00E3332A">
      <w:pPr>
        <w:numPr>
          <w:ilvl w:val="0"/>
          <w:numId w:val="68"/>
        </w:numPr>
        <w:ind w:left="360"/>
        <w:jc w:val="both"/>
        <w:rPr>
          <w:rFonts w:ascii="Calibri" w:eastAsia="Calibri" w:hAnsi="Calibri" w:cs="Calibri"/>
          <w:color w:val="000000"/>
          <w:sz w:val="20"/>
          <w:szCs w:val="20"/>
        </w:rPr>
      </w:pPr>
      <w:r>
        <w:rPr>
          <w:rFonts w:ascii="Calibri" w:eastAsia="Calibri" w:hAnsi="Calibri" w:cs="Calibri"/>
          <w:color w:val="000000"/>
          <w:sz w:val="20"/>
          <w:szCs w:val="20"/>
        </w:rPr>
        <w:t>The requirements of the following documents, then in force at the time of signature of the Project Document, apply to the Implementing Partner: (a)</w:t>
      </w:r>
      <w:r>
        <w:rPr>
          <w:rFonts w:ascii="Calibri" w:eastAsia="Calibri" w:hAnsi="Calibri" w:cs="Calibri"/>
          <w:b/>
          <w:color w:val="000000"/>
          <w:sz w:val="20"/>
          <w:szCs w:val="20"/>
        </w:rPr>
        <w:t xml:space="preserve"> </w:t>
      </w:r>
      <w:r>
        <w:rPr>
          <w:rFonts w:ascii="Calibri" w:eastAsia="Calibri" w:hAnsi="Calibri" w:cs="Calibri"/>
          <w:color w:val="000000"/>
          <w:sz w:val="20"/>
          <w:szCs w:val="20"/>
        </w:rPr>
        <w:t xml:space="preserve">UNDP Policy on Fraud and other Corrupt Practices (b) UNDP Anti-Money Laundering and Countering the Financing of Terrorism Policy; and (c) UNDP Office of Audit and Investigations Investigation Guidelines. </w:t>
      </w:r>
      <w:r>
        <w:rPr>
          <w:rFonts w:ascii="Calibri" w:eastAsia="Calibri" w:hAnsi="Calibri" w:cs="Calibri"/>
          <w:sz w:val="20"/>
          <w:szCs w:val="20"/>
        </w:rPr>
        <w:t xml:space="preserve">The Implementing Partner agrees to the requirements of the above documents, which are an integral part of this Project Document and are available online at www.undp.org. </w:t>
      </w:r>
    </w:p>
    <w:p w14:paraId="68090ED2" w14:textId="77777777" w:rsidR="00CF33D9" w:rsidRDefault="00CF33D9">
      <w:pPr>
        <w:jc w:val="both"/>
        <w:rPr>
          <w:rFonts w:ascii="Calibri" w:eastAsia="Calibri" w:hAnsi="Calibri" w:cs="Calibri"/>
          <w:color w:val="000000"/>
          <w:sz w:val="20"/>
          <w:szCs w:val="20"/>
        </w:rPr>
      </w:pPr>
    </w:p>
    <w:p w14:paraId="68090ED3" w14:textId="77777777" w:rsidR="00CF33D9" w:rsidRDefault="00E3332A">
      <w:pPr>
        <w:numPr>
          <w:ilvl w:val="0"/>
          <w:numId w:val="68"/>
        </w:numPr>
        <w:ind w:left="360"/>
        <w:jc w:val="both"/>
        <w:rPr>
          <w:rFonts w:ascii="Calibri" w:eastAsia="Calibri" w:hAnsi="Calibri" w:cs="Calibri"/>
          <w:color w:val="000000"/>
          <w:sz w:val="20"/>
          <w:szCs w:val="20"/>
        </w:rPr>
      </w:pPr>
      <w:r>
        <w:rPr>
          <w:rFonts w:ascii="Calibri" w:eastAsia="Calibri" w:hAnsi="Calibri" w:cs="Calibri"/>
          <w:color w:val="000000"/>
          <w:sz w:val="20"/>
          <w:szCs w:val="20"/>
        </w:rPr>
        <w:lastRenderedPageBreak/>
        <w:t>In the event that an investigation is required, UNDP has the obligation to conduct investigations relating to any aspect of UNDP programmes and projects in accordance with UNDP regulations, rules, policies and procedures. The Implementing Partner shall provide its full cooperation, including making available personnel, relevant documentation, and granting access to the Implementing Partner’s (and its consultants’, responsible parties’, subcontractors‘ and sub-recipients’) premises, for such purposes at reasonable times and on reasonable conditions as may be required for the purpose of an investigation. Should there be a limitation in meeting this obligation, UNDP shall consult with the Implementing Partner to find a solution.</w:t>
      </w:r>
    </w:p>
    <w:p w14:paraId="68090ED4" w14:textId="77777777" w:rsidR="00CF33D9" w:rsidRDefault="00CF33D9">
      <w:pPr>
        <w:jc w:val="both"/>
        <w:rPr>
          <w:rFonts w:ascii="Calibri" w:eastAsia="Calibri" w:hAnsi="Calibri" w:cs="Calibri"/>
          <w:color w:val="000000"/>
          <w:sz w:val="20"/>
          <w:szCs w:val="20"/>
        </w:rPr>
      </w:pPr>
    </w:p>
    <w:p w14:paraId="68090ED5" w14:textId="77777777" w:rsidR="00CF33D9" w:rsidRDefault="00E3332A">
      <w:pPr>
        <w:numPr>
          <w:ilvl w:val="0"/>
          <w:numId w:val="68"/>
        </w:numPr>
        <w:ind w:left="360"/>
        <w:jc w:val="both"/>
        <w:rPr>
          <w:rFonts w:ascii="Calibri" w:eastAsia="Calibri" w:hAnsi="Calibri" w:cs="Calibri"/>
          <w:sz w:val="20"/>
          <w:szCs w:val="20"/>
        </w:rPr>
      </w:pPr>
      <w:r>
        <w:rPr>
          <w:rFonts w:ascii="Calibri" w:eastAsia="Calibri" w:hAnsi="Calibri" w:cs="Calibri"/>
          <w:sz w:val="20"/>
          <w:szCs w:val="20"/>
        </w:rPr>
        <w:t>The Implementing Partner will promptly inform UNDP in case of any incidence of inappropriate use of funds, or credible allegation of fraud or corruption with due confidentiality.</w:t>
      </w:r>
    </w:p>
    <w:p w14:paraId="68090ED6" w14:textId="77777777" w:rsidR="00CF33D9" w:rsidRDefault="00CF33D9">
      <w:pPr>
        <w:ind w:left="360"/>
        <w:jc w:val="both"/>
        <w:rPr>
          <w:rFonts w:ascii="Calibri" w:eastAsia="Calibri" w:hAnsi="Calibri" w:cs="Calibri"/>
          <w:sz w:val="20"/>
          <w:szCs w:val="20"/>
        </w:rPr>
      </w:pPr>
    </w:p>
    <w:p w14:paraId="68090ED7" w14:textId="77777777" w:rsidR="00CF33D9" w:rsidRDefault="00E3332A">
      <w:pPr>
        <w:ind w:left="360"/>
        <w:jc w:val="both"/>
        <w:rPr>
          <w:rFonts w:ascii="Calibri" w:eastAsia="Calibri" w:hAnsi="Calibri" w:cs="Calibri"/>
          <w:color w:val="000000"/>
          <w:sz w:val="20"/>
          <w:szCs w:val="20"/>
        </w:rPr>
      </w:pPr>
      <w:r>
        <w:rPr>
          <w:rFonts w:ascii="Calibri" w:eastAsia="Calibri" w:hAnsi="Calibri" w:cs="Calibri"/>
          <w:sz w:val="20"/>
          <w:szCs w:val="20"/>
        </w:rPr>
        <w:t>Where the Implementing Partner becomes aware that a UNDP project or activity, in whole or in part, is the focus of investigation for alleged fraud/corruption, the Implementing Partner will inform the UNDP Resident Representative/Head of Office, who will promptly inform UNDP’s Office of Audit and Investigations (OAI). The Implementing Partner shall provide regular updates to the head of UNDP in the country and OAI of the status of, and actions relating to, such investigation.</w:t>
      </w:r>
    </w:p>
    <w:p w14:paraId="68090ED8" w14:textId="77777777" w:rsidR="00CF33D9" w:rsidRDefault="00CF33D9">
      <w:pPr>
        <w:ind w:left="360"/>
        <w:jc w:val="both"/>
        <w:rPr>
          <w:rFonts w:ascii="Calibri" w:eastAsia="Calibri" w:hAnsi="Calibri" w:cs="Calibri"/>
          <w:sz w:val="20"/>
          <w:szCs w:val="20"/>
        </w:rPr>
      </w:pPr>
    </w:p>
    <w:p w14:paraId="68090ED9" w14:textId="77777777" w:rsidR="00CF33D9" w:rsidRDefault="00E3332A">
      <w:pPr>
        <w:numPr>
          <w:ilvl w:val="0"/>
          <w:numId w:val="68"/>
        </w:numPr>
        <w:ind w:left="360"/>
        <w:jc w:val="both"/>
        <w:rPr>
          <w:rFonts w:ascii="Calibri" w:eastAsia="Calibri" w:hAnsi="Calibri" w:cs="Calibri"/>
          <w:color w:val="000000"/>
          <w:sz w:val="20"/>
          <w:szCs w:val="20"/>
        </w:rPr>
      </w:pPr>
      <w:r>
        <w:rPr>
          <w:rFonts w:ascii="Calibri" w:eastAsia="Calibri" w:hAnsi="Calibri" w:cs="Calibri"/>
          <w:sz w:val="20"/>
          <w:szCs w:val="20"/>
        </w:rPr>
        <w:t>UNDP shall be entitled to a refund from the Implementing Partner of any funds provided that have been used inappropriately, including through fraud, corruption or other financial irregularity, or otherwise paid other than in accordance with the terms and conditions of this Project Document. Such amount may be deducted by UNDP from any payment due to the Implementing Partner under this or any other agreement. Recovery of such amount by UNDP shall not diminish or curtail the Implementing Partner’s obligations under this Project Document.</w:t>
      </w:r>
    </w:p>
    <w:p w14:paraId="68090EDA" w14:textId="77777777" w:rsidR="00CF33D9" w:rsidRDefault="00CF33D9">
      <w:pPr>
        <w:ind w:left="360"/>
        <w:jc w:val="both"/>
        <w:rPr>
          <w:rFonts w:ascii="Calibri" w:eastAsia="Calibri" w:hAnsi="Calibri" w:cs="Calibri"/>
          <w:b/>
          <w:sz w:val="20"/>
          <w:szCs w:val="20"/>
        </w:rPr>
      </w:pPr>
    </w:p>
    <w:p w14:paraId="68090EDB" w14:textId="77777777" w:rsidR="00CF33D9" w:rsidRDefault="00E3332A">
      <w:pPr>
        <w:ind w:left="360"/>
        <w:jc w:val="both"/>
        <w:rPr>
          <w:rFonts w:ascii="Calibri" w:eastAsia="Calibri" w:hAnsi="Calibri" w:cs="Calibri"/>
          <w:sz w:val="20"/>
          <w:szCs w:val="20"/>
        </w:rPr>
      </w:pPr>
      <w:r>
        <w:rPr>
          <w:rFonts w:ascii="Calibri" w:eastAsia="Calibri" w:hAnsi="Calibri" w:cs="Calibri"/>
          <w:sz w:val="20"/>
          <w:szCs w:val="20"/>
        </w:rPr>
        <w:t>Where such funds have not been refunded to UNDP, the Implementing Partner agrees that donors to UNDP (including the Government) whose funding is the source, in whole or in part, of the funds for the activities under this Project Document, may seek recourse to the Implementing Partner for the recovery of any funds determined by UNDP to have been used inappropriately, including through fraud, corruption or other financial irregularity, or otherwise paid other than in accordance with the terms and conditions of the Project Document.</w:t>
      </w:r>
    </w:p>
    <w:p w14:paraId="68090EDC" w14:textId="77777777" w:rsidR="00CF33D9" w:rsidRDefault="00CF33D9">
      <w:pPr>
        <w:ind w:left="360"/>
        <w:jc w:val="both"/>
        <w:rPr>
          <w:rFonts w:ascii="Calibri" w:eastAsia="Calibri" w:hAnsi="Calibri" w:cs="Calibri"/>
          <w:sz w:val="20"/>
          <w:szCs w:val="20"/>
        </w:rPr>
      </w:pPr>
    </w:p>
    <w:p w14:paraId="68090EDD" w14:textId="77777777" w:rsidR="00CF33D9" w:rsidRDefault="00E3332A">
      <w:pPr>
        <w:ind w:left="360"/>
        <w:jc w:val="both"/>
        <w:rPr>
          <w:rFonts w:ascii="Calibri" w:eastAsia="Calibri" w:hAnsi="Calibri" w:cs="Calibri"/>
          <w:color w:val="000000"/>
          <w:sz w:val="20"/>
          <w:szCs w:val="20"/>
        </w:rPr>
      </w:pPr>
      <w:r>
        <w:rPr>
          <w:rFonts w:ascii="Calibri" w:eastAsia="Calibri" w:hAnsi="Calibri" w:cs="Calibri"/>
          <w:i/>
          <w:sz w:val="20"/>
          <w:szCs w:val="20"/>
          <w:u w:val="single"/>
        </w:rPr>
        <w:t>Note</w:t>
      </w:r>
      <w:r>
        <w:rPr>
          <w:rFonts w:ascii="Calibri" w:eastAsia="Calibri" w:hAnsi="Calibri" w:cs="Calibri"/>
          <w:i/>
          <w:sz w:val="20"/>
          <w:szCs w:val="20"/>
        </w:rPr>
        <w:t>:</w:t>
      </w:r>
      <w:r>
        <w:rPr>
          <w:rFonts w:ascii="Calibri" w:eastAsia="Calibri" w:hAnsi="Calibri" w:cs="Calibri"/>
          <w:sz w:val="20"/>
          <w:szCs w:val="20"/>
        </w:rPr>
        <w:t xml:space="preserve"> The term “Project Document” as used in this clause shall be deemed to include any relevant subsidiary agreement further to the Project Document, including those with the Implementing Partner, responsible parties, subcontractors and sub-recipients.</w:t>
      </w:r>
    </w:p>
    <w:p w14:paraId="68090EDE" w14:textId="77777777" w:rsidR="00CF33D9" w:rsidRDefault="00CF33D9">
      <w:pPr>
        <w:ind w:left="360"/>
        <w:jc w:val="both"/>
        <w:rPr>
          <w:rFonts w:ascii="Calibri" w:eastAsia="Calibri" w:hAnsi="Calibri" w:cs="Calibri"/>
          <w:sz w:val="20"/>
          <w:szCs w:val="20"/>
        </w:rPr>
      </w:pPr>
    </w:p>
    <w:p w14:paraId="68090EDF" w14:textId="77777777" w:rsidR="00CF33D9" w:rsidRDefault="00E3332A">
      <w:pPr>
        <w:numPr>
          <w:ilvl w:val="0"/>
          <w:numId w:val="68"/>
        </w:numPr>
        <w:ind w:left="360"/>
        <w:jc w:val="both"/>
        <w:rPr>
          <w:rFonts w:ascii="Calibri" w:eastAsia="Calibri" w:hAnsi="Calibri" w:cs="Calibri"/>
          <w:sz w:val="20"/>
          <w:szCs w:val="20"/>
        </w:rPr>
      </w:pPr>
      <w:r>
        <w:rPr>
          <w:rFonts w:ascii="Calibri" w:eastAsia="Calibri" w:hAnsi="Calibri" w:cs="Calibri"/>
          <w:sz w:val="20"/>
          <w:szCs w:val="20"/>
        </w:rPr>
        <w:t>Each contract issued by the Implementing Partner in connection with this Project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the Implementing Partner shall cooperate with any and all investigations and post-payment audits.</w:t>
      </w:r>
    </w:p>
    <w:p w14:paraId="68090EE0" w14:textId="77777777" w:rsidR="00CF33D9" w:rsidRDefault="00CF33D9">
      <w:pPr>
        <w:jc w:val="both"/>
        <w:rPr>
          <w:rFonts w:ascii="Calibri" w:eastAsia="Calibri" w:hAnsi="Calibri" w:cs="Calibri"/>
          <w:sz w:val="20"/>
          <w:szCs w:val="20"/>
        </w:rPr>
      </w:pPr>
    </w:p>
    <w:p w14:paraId="68090EE1" w14:textId="77777777" w:rsidR="00CF33D9" w:rsidRDefault="00E3332A">
      <w:pPr>
        <w:numPr>
          <w:ilvl w:val="0"/>
          <w:numId w:val="68"/>
        </w:numPr>
        <w:ind w:left="360"/>
        <w:jc w:val="both"/>
        <w:rPr>
          <w:rFonts w:ascii="Calibri" w:eastAsia="Calibri" w:hAnsi="Calibri" w:cs="Calibri"/>
          <w:sz w:val="20"/>
          <w:szCs w:val="20"/>
        </w:rPr>
      </w:pPr>
      <w:r>
        <w:rPr>
          <w:rFonts w:ascii="Calibri" w:eastAsia="Calibri" w:hAnsi="Calibri" w:cs="Calibri"/>
          <w:sz w:val="20"/>
          <w:szCs w:val="20"/>
        </w:rPr>
        <w:t>Should UNDP refer to the relevant national authorities for appropriate legal action any alleged wrongdoing relating to the project, the Government will ensure that the relevant national authorities shall actively investigate the same and take appropriate legal action against all individuals found to have participated in the wrongdoing, recover and return any recovered funds to UNDP.</w:t>
      </w:r>
    </w:p>
    <w:p w14:paraId="68090EE2" w14:textId="77777777" w:rsidR="00CF33D9" w:rsidRDefault="00CF33D9">
      <w:pPr>
        <w:jc w:val="both"/>
        <w:rPr>
          <w:rFonts w:ascii="Calibri" w:eastAsia="Calibri" w:hAnsi="Calibri" w:cs="Calibri"/>
          <w:sz w:val="20"/>
          <w:szCs w:val="20"/>
        </w:rPr>
      </w:pPr>
    </w:p>
    <w:p w14:paraId="68090EE3" w14:textId="77777777" w:rsidR="00CF33D9" w:rsidRDefault="00E3332A">
      <w:pPr>
        <w:numPr>
          <w:ilvl w:val="0"/>
          <w:numId w:val="68"/>
        </w:numPr>
        <w:ind w:left="360"/>
        <w:jc w:val="both"/>
        <w:rPr>
          <w:rFonts w:ascii="Calibri" w:eastAsia="Calibri" w:hAnsi="Calibri" w:cs="Calibri"/>
          <w:sz w:val="20"/>
          <w:szCs w:val="20"/>
        </w:rPr>
      </w:pPr>
      <w:r>
        <w:rPr>
          <w:rFonts w:ascii="Calibri" w:eastAsia="Calibri" w:hAnsi="Calibri" w:cs="Calibri"/>
          <w:sz w:val="20"/>
          <w:szCs w:val="20"/>
        </w:rPr>
        <w:t xml:space="preserve">The Implementing Partner shall ensure that all of its obligations set forth under this section entitled “Risk Management Standard Clauses” are passed on to each responsible party, subcontractor and sub-recipient and that all the clauses under this section entitled “Risk Management” are included, </w:t>
      </w:r>
      <w:r>
        <w:rPr>
          <w:rFonts w:ascii="Calibri" w:eastAsia="Calibri" w:hAnsi="Calibri" w:cs="Calibri"/>
          <w:i/>
          <w:sz w:val="20"/>
          <w:szCs w:val="20"/>
        </w:rPr>
        <w:t>mutatis mutandis</w:t>
      </w:r>
      <w:r>
        <w:rPr>
          <w:rFonts w:ascii="Calibri" w:eastAsia="Calibri" w:hAnsi="Calibri" w:cs="Calibri"/>
          <w:sz w:val="20"/>
          <w:szCs w:val="20"/>
        </w:rPr>
        <w:t>, in all sub-contracts or sub-agreements entered into further to this Project Document.</w:t>
      </w:r>
    </w:p>
    <w:p w14:paraId="68090EE4" w14:textId="77777777" w:rsidR="00CF33D9" w:rsidRDefault="00E3332A">
      <w:pPr>
        <w:rPr>
          <w:rFonts w:ascii="Calibri" w:eastAsia="Calibri" w:hAnsi="Calibri" w:cs="Calibri"/>
          <w:b/>
          <w:sz w:val="20"/>
          <w:szCs w:val="20"/>
        </w:rPr>
      </w:pPr>
      <w:r>
        <w:rPr>
          <w:rFonts w:ascii="Calibri" w:eastAsia="Calibri" w:hAnsi="Calibri" w:cs="Calibri"/>
          <w:b/>
          <w:sz w:val="20"/>
          <w:szCs w:val="20"/>
        </w:rPr>
        <w:br w:type="page"/>
      </w:r>
    </w:p>
    <w:p w14:paraId="68090EE5" w14:textId="77777777" w:rsidR="00CF33D9" w:rsidRDefault="00CF33D9">
      <w:pPr>
        <w:spacing w:after="60"/>
        <w:jc w:val="both"/>
        <w:rPr>
          <w:rFonts w:ascii="Calibri" w:eastAsia="Calibri" w:hAnsi="Calibri" w:cs="Calibri"/>
          <w:b/>
          <w:sz w:val="20"/>
          <w:szCs w:val="20"/>
        </w:rPr>
      </w:pPr>
    </w:p>
    <w:p w14:paraId="68090EE6" w14:textId="77777777" w:rsidR="00CF33D9" w:rsidRDefault="00E3332A">
      <w:pPr>
        <w:pStyle w:val="Heading1"/>
        <w:rPr>
          <w:rFonts w:ascii="Calibri" w:hAnsi="Calibri" w:cs="Calibri"/>
          <w:sz w:val="20"/>
          <w:szCs w:val="20"/>
        </w:rPr>
      </w:pPr>
      <w:bookmarkStart w:id="31" w:name="_Toc169739169"/>
      <w:r>
        <w:rPr>
          <w:rFonts w:ascii="Calibri" w:hAnsi="Calibri" w:cs="Calibri"/>
          <w:sz w:val="20"/>
          <w:szCs w:val="20"/>
        </w:rPr>
        <w:t>Annexes</w:t>
      </w:r>
      <w:bookmarkEnd w:id="31"/>
    </w:p>
    <w:p w14:paraId="68090EE7" w14:textId="77777777" w:rsidR="00CF33D9" w:rsidRDefault="00E3332A">
      <w:pPr>
        <w:rPr>
          <w:rFonts w:ascii="Calibri" w:eastAsia="SimSun" w:hAnsi="Calibri" w:cs="Calibri"/>
          <w:b/>
          <w:bCs/>
          <w:sz w:val="20"/>
          <w:szCs w:val="20"/>
        </w:rPr>
      </w:pPr>
      <w:r>
        <w:rPr>
          <w:rFonts w:ascii="Calibri" w:hAnsi="Calibri" w:cs="Calibri"/>
          <w:sz w:val="20"/>
          <w:szCs w:val="20"/>
        </w:rPr>
        <w:br w:type="page"/>
      </w:r>
    </w:p>
    <w:p w14:paraId="68090EE8" w14:textId="77777777" w:rsidR="00CF33D9" w:rsidRDefault="00CF33D9">
      <w:pPr>
        <w:pStyle w:val="Heading2"/>
        <w:ind w:firstLine="720"/>
        <w:rPr>
          <w:rFonts w:ascii="Calibri" w:hAnsi="Calibri" w:cs="Calibri"/>
          <w:szCs w:val="20"/>
        </w:rPr>
      </w:pPr>
    </w:p>
    <w:p w14:paraId="68090EE9" w14:textId="77777777" w:rsidR="00CF33D9" w:rsidRDefault="00E3332A">
      <w:pPr>
        <w:pStyle w:val="Heading2"/>
        <w:ind w:firstLine="720"/>
        <w:rPr>
          <w:rFonts w:ascii="Calibri" w:hAnsi="Calibri" w:cs="Calibri"/>
          <w:szCs w:val="20"/>
        </w:rPr>
      </w:pPr>
      <w:bookmarkStart w:id="32" w:name="_Toc169739170"/>
      <w:r>
        <w:rPr>
          <w:rFonts w:ascii="Calibri" w:hAnsi="Calibri" w:cs="Calibri"/>
          <w:szCs w:val="20"/>
        </w:rPr>
        <w:t>Annex 1: GEF Budget Template (SEPARATE FILE)</w:t>
      </w:r>
      <w:bookmarkEnd w:id="32"/>
    </w:p>
    <w:p w14:paraId="68090EEA" w14:textId="77777777" w:rsidR="00CF33D9" w:rsidRDefault="00E3332A">
      <w:pPr>
        <w:keepNext/>
        <w:spacing w:after="60"/>
        <w:jc w:val="both"/>
        <w:rPr>
          <w:rFonts w:ascii="Calibri" w:eastAsia="Calibri" w:hAnsi="Calibri" w:cs="Calibri"/>
          <w:b/>
          <w:sz w:val="20"/>
          <w:szCs w:val="20"/>
        </w:rPr>
      </w:pPr>
      <w:r>
        <w:rPr>
          <w:rFonts w:ascii="Calibri" w:hAnsi="Calibri" w:cs="Calibri"/>
          <w:sz w:val="20"/>
          <w:szCs w:val="20"/>
        </w:rPr>
        <w:br w:type="page"/>
      </w:r>
    </w:p>
    <w:p w14:paraId="68090EEB" w14:textId="77777777" w:rsidR="00CF33D9" w:rsidRDefault="00E3332A">
      <w:pPr>
        <w:pStyle w:val="Heading2"/>
        <w:ind w:firstLine="720"/>
        <w:rPr>
          <w:rFonts w:ascii="Calibri" w:hAnsi="Calibri" w:cs="Calibri"/>
          <w:szCs w:val="20"/>
        </w:rPr>
      </w:pPr>
      <w:bookmarkStart w:id="33" w:name="_Toc169739171"/>
      <w:r>
        <w:rPr>
          <w:rFonts w:ascii="Calibri" w:hAnsi="Calibri" w:cs="Calibri"/>
          <w:szCs w:val="20"/>
        </w:rPr>
        <w:lastRenderedPageBreak/>
        <w:t>Annex 2: Project map and Geospatial Coordinates of project sites</w:t>
      </w:r>
      <w:bookmarkEnd w:id="33"/>
    </w:p>
    <w:p w14:paraId="68090EEC" w14:textId="77777777" w:rsidR="00CF33D9" w:rsidRDefault="00E3332A">
      <w:pPr>
        <w:spacing w:after="60"/>
        <w:jc w:val="center"/>
        <w:rPr>
          <w:rFonts w:ascii="Calibri" w:eastAsia="Calibri" w:hAnsi="Calibri" w:cs="Calibri"/>
          <w:sz w:val="20"/>
          <w:szCs w:val="20"/>
        </w:rPr>
      </w:pPr>
      <w:r>
        <w:rPr>
          <w:rFonts w:ascii="Calibri" w:eastAsia="Calibri" w:hAnsi="Calibri" w:cs="Calibri"/>
          <w:noProof/>
          <w:sz w:val="20"/>
          <w:szCs w:val="20"/>
        </w:rPr>
        <w:drawing>
          <wp:inline distT="0" distB="0" distL="0" distR="0" wp14:anchorId="680922ED" wp14:editId="680922EE">
            <wp:extent cx="4867910" cy="7355205"/>
            <wp:effectExtent l="0" t="0" r="0" b="0"/>
            <wp:docPr id="1957661965" name="image20.png"/>
            <wp:cNvGraphicFramePr/>
            <a:graphic xmlns:a="http://schemas.openxmlformats.org/drawingml/2006/main">
              <a:graphicData uri="http://schemas.openxmlformats.org/drawingml/2006/picture">
                <pic:pic xmlns:pic="http://schemas.openxmlformats.org/drawingml/2006/picture">
                  <pic:nvPicPr>
                    <pic:cNvPr id="1957661965" name="image20.png"/>
                    <pic:cNvPicPr preferRelativeResize="0"/>
                  </pic:nvPicPr>
                  <pic:blipFill>
                    <a:blip r:embed="rId44"/>
                    <a:srcRect/>
                    <a:stretch>
                      <a:fillRect/>
                    </a:stretch>
                  </pic:blipFill>
                  <pic:spPr>
                    <a:xfrm>
                      <a:off x="0" y="0"/>
                      <a:ext cx="4868214" cy="7355365"/>
                    </a:xfrm>
                    <a:prstGeom prst="rect">
                      <a:avLst/>
                    </a:prstGeom>
                  </pic:spPr>
                </pic:pic>
              </a:graphicData>
            </a:graphic>
          </wp:inline>
        </w:drawing>
      </w:r>
    </w:p>
    <w:p w14:paraId="68090EED" w14:textId="77777777" w:rsidR="00CF33D9" w:rsidRDefault="00CF33D9">
      <w:pPr>
        <w:jc w:val="both"/>
        <w:rPr>
          <w:rFonts w:ascii="Calibri" w:eastAsia="Calibri" w:hAnsi="Calibri" w:cs="Calibri"/>
          <w:sz w:val="20"/>
          <w:szCs w:val="20"/>
        </w:rPr>
      </w:pPr>
    </w:p>
    <w:p w14:paraId="68090EEE" w14:textId="77777777" w:rsidR="00CF33D9" w:rsidRDefault="00E3332A">
      <w:pPr>
        <w:jc w:val="center"/>
        <w:rPr>
          <w:rFonts w:ascii="Calibri" w:eastAsia="Calibri" w:hAnsi="Calibri" w:cs="Calibri"/>
          <w:sz w:val="20"/>
          <w:szCs w:val="20"/>
        </w:rPr>
      </w:pPr>
      <w:r>
        <w:rPr>
          <w:rFonts w:ascii="Calibri" w:eastAsia="Calibri" w:hAnsi="Calibri" w:cs="Calibri"/>
          <w:sz w:val="20"/>
          <w:szCs w:val="20"/>
        </w:rPr>
        <w:t xml:space="preserve">Figure   : Map  of the Benguela Current LME (Source:  BCC. 2014. </w:t>
      </w:r>
      <w:r>
        <w:rPr>
          <w:rFonts w:ascii="Calibri" w:eastAsia="Calibri" w:hAnsi="Calibri" w:cs="Calibri"/>
          <w:i/>
          <w:sz w:val="20"/>
          <w:szCs w:val="20"/>
        </w:rPr>
        <w:t>The Benguela Current Commission Strategic Action Programme, 2015-2019</w:t>
      </w:r>
      <w:r>
        <w:rPr>
          <w:rFonts w:ascii="Calibri" w:eastAsia="Calibri" w:hAnsi="Calibri" w:cs="Calibri"/>
          <w:sz w:val="20"/>
          <w:szCs w:val="20"/>
        </w:rPr>
        <w:t xml:space="preserve">.  Swakopmund, Namibia: Benguela Current Commission) </w:t>
      </w:r>
    </w:p>
    <w:p w14:paraId="68090EEF" w14:textId="77777777" w:rsidR="00CF33D9" w:rsidRDefault="00CF33D9">
      <w:pPr>
        <w:jc w:val="center"/>
        <w:rPr>
          <w:rFonts w:ascii="Calibri" w:eastAsia="Calibri" w:hAnsi="Calibri" w:cs="Calibri"/>
          <w:sz w:val="20"/>
          <w:szCs w:val="20"/>
        </w:rPr>
      </w:pPr>
    </w:p>
    <w:p w14:paraId="68090EF0" w14:textId="77777777" w:rsidR="00CF33D9" w:rsidRDefault="00CF33D9">
      <w:pPr>
        <w:jc w:val="center"/>
        <w:rPr>
          <w:rFonts w:ascii="Calibri" w:eastAsia="Calibri" w:hAnsi="Calibri" w:cs="Calibri"/>
          <w:sz w:val="20"/>
          <w:szCs w:val="20"/>
        </w:rPr>
      </w:pPr>
    </w:p>
    <w:p w14:paraId="68090EF1" w14:textId="77777777" w:rsidR="00CF33D9" w:rsidRDefault="00E3332A">
      <w:pPr>
        <w:rPr>
          <w:rFonts w:ascii="Calibri" w:eastAsia="Calibri" w:hAnsi="Calibri" w:cs="Calibri"/>
          <w:sz w:val="20"/>
          <w:szCs w:val="20"/>
        </w:rPr>
      </w:pPr>
      <w:r>
        <w:rPr>
          <w:rFonts w:ascii="Calibri" w:eastAsia="Calibri" w:hAnsi="Calibri" w:cs="Calibri"/>
          <w:sz w:val="20"/>
          <w:szCs w:val="20"/>
          <w:u w:val="single"/>
        </w:rPr>
        <w:t xml:space="preserve">Geospatial Coordinates of the Benguela Current Large Marine Ecosystem: </w:t>
      </w:r>
      <w:r>
        <w:rPr>
          <w:rStyle w:val="FootnoteReference"/>
          <w:rFonts w:ascii="Calibri" w:eastAsia="Calibri" w:hAnsi="Calibri" w:cs="Calibri"/>
          <w:sz w:val="20"/>
          <w:szCs w:val="20"/>
          <w:u w:val="single"/>
        </w:rPr>
        <w:footnoteReference w:id="9"/>
      </w:r>
    </w:p>
    <w:p w14:paraId="68090EF2" w14:textId="77777777" w:rsidR="00CF33D9" w:rsidRDefault="00CF33D9">
      <w:pPr>
        <w:rPr>
          <w:rFonts w:ascii="Calibri" w:eastAsia="Calibri" w:hAnsi="Calibri" w:cs="Calibri"/>
          <w:sz w:val="20"/>
          <w:szCs w:val="20"/>
        </w:rPr>
      </w:pPr>
    </w:p>
    <w:p w14:paraId="68090EF3" w14:textId="77777777" w:rsidR="00CF33D9" w:rsidRDefault="00CF33D9">
      <w:pPr>
        <w:rPr>
          <w:rFonts w:ascii="Calibri" w:eastAsia="Calibri" w:hAnsi="Calibri" w:cs="Calibri"/>
          <w:sz w:val="20"/>
          <w:szCs w:val="20"/>
        </w:rPr>
      </w:pPr>
    </w:p>
    <w:p w14:paraId="68090EF4" w14:textId="77777777" w:rsidR="00CF33D9" w:rsidRDefault="00E3332A">
      <w:pPr>
        <w:rPr>
          <w:rFonts w:ascii="Calibri" w:eastAsia="Calibri" w:hAnsi="Calibri" w:cs="Calibri"/>
          <w:sz w:val="20"/>
          <w:szCs w:val="20"/>
        </w:rPr>
      </w:pPr>
      <w:r>
        <w:rPr>
          <w:rFonts w:ascii="Calibri" w:eastAsia="Calibri" w:hAnsi="Calibri" w:cs="Calibri"/>
          <w:sz w:val="20"/>
          <w:szCs w:val="20"/>
        </w:rPr>
        <w:t>Latitude:   21</w:t>
      </w:r>
      <w:r>
        <w:rPr>
          <w:rFonts w:ascii="Calibri" w:eastAsia="Calibri" w:hAnsi="Calibri" w:cs="Calibri"/>
          <w:sz w:val="20"/>
          <w:szCs w:val="20"/>
          <w:vertAlign w:val="superscript"/>
        </w:rPr>
        <w:t>0</w:t>
      </w:r>
      <w:r>
        <w:rPr>
          <w:rFonts w:ascii="Calibri" w:eastAsia="Calibri" w:hAnsi="Calibri" w:cs="Calibri"/>
          <w:sz w:val="20"/>
          <w:szCs w:val="20"/>
        </w:rPr>
        <w:t xml:space="preserve"> 15’ 4.6” S (-21.25127</w:t>
      </w:r>
      <w:r>
        <w:rPr>
          <w:rFonts w:ascii="Calibri" w:eastAsia="Calibri" w:hAnsi="Calibri" w:cs="Calibri"/>
          <w:sz w:val="20"/>
          <w:szCs w:val="20"/>
          <w:vertAlign w:val="superscript"/>
        </w:rPr>
        <w:t>0</w:t>
      </w:r>
      <w:r>
        <w:rPr>
          <w:rFonts w:ascii="Calibri" w:eastAsia="Calibri" w:hAnsi="Calibri" w:cs="Calibri"/>
          <w:sz w:val="20"/>
          <w:szCs w:val="20"/>
        </w:rPr>
        <w:t>)</w:t>
      </w:r>
    </w:p>
    <w:p w14:paraId="68090EF5" w14:textId="77777777" w:rsidR="00CF33D9" w:rsidRDefault="00CF33D9">
      <w:pPr>
        <w:rPr>
          <w:rFonts w:ascii="Calibri" w:eastAsia="Calibri" w:hAnsi="Calibri" w:cs="Calibri"/>
          <w:sz w:val="20"/>
          <w:szCs w:val="20"/>
        </w:rPr>
      </w:pPr>
    </w:p>
    <w:p w14:paraId="68090EF6" w14:textId="77777777" w:rsidR="00CF33D9" w:rsidRDefault="00CF33D9">
      <w:pPr>
        <w:rPr>
          <w:rFonts w:ascii="Calibri" w:eastAsia="Calibri" w:hAnsi="Calibri" w:cs="Calibri"/>
          <w:sz w:val="20"/>
          <w:szCs w:val="20"/>
        </w:rPr>
      </w:pPr>
    </w:p>
    <w:p w14:paraId="68090EF7" w14:textId="77777777" w:rsidR="00CF33D9" w:rsidRDefault="00E3332A">
      <w:pPr>
        <w:spacing w:before="40" w:after="40"/>
        <w:jc w:val="both"/>
        <w:rPr>
          <w:rFonts w:ascii="Calibri" w:eastAsia="Calibri" w:hAnsi="Calibri" w:cs="Calibri"/>
          <w:sz w:val="20"/>
          <w:szCs w:val="20"/>
        </w:rPr>
        <w:sectPr w:rsidR="00CF33D9">
          <w:pgSz w:w="12240" w:h="15840"/>
          <w:pgMar w:top="720" w:right="720" w:bottom="720" w:left="720" w:header="720" w:footer="720" w:gutter="0"/>
          <w:cols w:space="720"/>
        </w:sectPr>
      </w:pPr>
      <w:r>
        <w:rPr>
          <w:rFonts w:ascii="Calibri" w:eastAsia="Calibri" w:hAnsi="Calibri" w:cs="Calibri"/>
          <w:sz w:val="20"/>
          <w:szCs w:val="20"/>
        </w:rPr>
        <w:t>Longitude:  12</w:t>
      </w:r>
      <w:r>
        <w:rPr>
          <w:rFonts w:ascii="Calibri" w:eastAsia="Calibri" w:hAnsi="Calibri" w:cs="Calibri"/>
          <w:sz w:val="20"/>
          <w:szCs w:val="20"/>
          <w:vertAlign w:val="superscript"/>
        </w:rPr>
        <w:t>0</w:t>
      </w:r>
      <w:r>
        <w:rPr>
          <w:rFonts w:ascii="Calibri" w:eastAsia="Calibri" w:hAnsi="Calibri" w:cs="Calibri"/>
          <w:sz w:val="20"/>
          <w:szCs w:val="20"/>
        </w:rPr>
        <w:t xml:space="preserve"> 29’ 58” E (12.49944</w:t>
      </w:r>
      <w:r>
        <w:rPr>
          <w:rFonts w:ascii="Calibri" w:eastAsia="Calibri" w:hAnsi="Calibri" w:cs="Calibri"/>
          <w:sz w:val="20"/>
          <w:szCs w:val="20"/>
          <w:vertAlign w:val="superscript"/>
        </w:rPr>
        <w:t>0</w:t>
      </w:r>
      <w:r>
        <w:rPr>
          <w:rFonts w:ascii="Calibri" w:eastAsia="Calibri" w:hAnsi="Calibri" w:cs="Calibri"/>
          <w:sz w:val="20"/>
          <w:szCs w:val="20"/>
        </w:rPr>
        <w:t>)</w:t>
      </w:r>
    </w:p>
    <w:p w14:paraId="68090EF8" w14:textId="77777777" w:rsidR="00CF33D9" w:rsidRDefault="00E3332A">
      <w:pPr>
        <w:pStyle w:val="Heading2"/>
        <w:ind w:firstLine="720"/>
        <w:rPr>
          <w:rFonts w:ascii="Calibri" w:hAnsi="Calibri" w:cs="Calibri"/>
          <w:szCs w:val="20"/>
        </w:rPr>
      </w:pPr>
      <w:bookmarkStart w:id="34" w:name="_Toc169739172"/>
      <w:r>
        <w:rPr>
          <w:rFonts w:ascii="Calibri" w:hAnsi="Calibri" w:cs="Calibri"/>
          <w:szCs w:val="20"/>
        </w:rPr>
        <w:lastRenderedPageBreak/>
        <w:t>Annex 3: Multi Year Work Plan</w:t>
      </w:r>
      <w:bookmarkEnd w:id="34"/>
    </w:p>
    <w:p w14:paraId="68090EF9" w14:textId="77777777" w:rsidR="00CF33D9" w:rsidRDefault="00CF33D9">
      <w:pPr>
        <w:jc w:val="both"/>
        <w:rPr>
          <w:rFonts w:ascii="Calibri" w:eastAsia="Calibri" w:hAnsi="Calibri" w:cs="Calibri"/>
          <w:b/>
          <w:sz w:val="20"/>
          <w:szCs w:val="20"/>
        </w:rPr>
      </w:pPr>
    </w:p>
    <w:tbl>
      <w:tblPr>
        <w:tblStyle w:val="Style269"/>
        <w:tblW w:w="14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2"/>
        <w:gridCol w:w="2130"/>
        <w:gridCol w:w="2588"/>
        <w:gridCol w:w="335"/>
        <w:gridCol w:w="335"/>
        <w:gridCol w:w="335"/>
        <w:gridCol w:w="335"/>
        <w:gridCol w:w="335"/>
        <w:gridCol w:w="335"/>
        <w:gridCol w:w="335"/>
        <w:gridCol w:w="335"/>
        <w:gridCol w:w="336"/>
        <w:gridCol w:w="336"/>
        <w:gridCol w:w="336"/>
        <w:gridCol w:w="336"/>
        <w:gridCol w:w="336"/>
        <w:gridCol w:w="336"/>
        <w:gridCol w:w="336"/>
        <w:gridCol w:w="336"/>
        <w:gridCol w:w="336"/>
        <w:gridCol w:w="336"/>
        <w:gridCol w:w="336"/>
        <w:gridCol w:w="336"/>
        <w:gridCol w:w="336"/>
        <w:gridCol w:w="336"/>
        <w:gridCol w:w="336"/>
        <w:gridCol w:w="336"/>
      </w:tblGrid>
      <w:tr w:rsidR="00CF33D9" w14:paraId="68090F03" w14:textId="77777777">
        <w:trPr>
          <w:tblHeader/>
        </w:trPr>
        <w:tc>
          <w:tcPr>
            <w:tcW w:w="1413" w:type="dxa"/>
            <w:vMerge w:val="restart"/>
            <w:shd w:val="clear" w:color="auto" w:fill="D0CECE"/>
          </w:tcPr>
          <w:p w14:paraId="68090EFA" w14:textId="77777777" w:rsidR="00CF33D9" w:rsidRDefault="00E3332A">
            <w:pPr>
              <w:jc w:val="center"/>
              <w:rPr>
                <w:rFonts w:eastAsia="Calibri"/>
                <w:b/>
                <w:sz w:val="20"/>
                <w:szCs w:val="20"/>
              </w:rPr>
            </w:pPr>
            <w:r>
              <w:rPr>
                <w:rFonts w:eastAsia="Calibri"/>
                <w:b/>
                <w:sz w:val="20"/>
                <w:szCs w:val="20"/>
              </w:rPr>
              <w:t>Component</w:t>
            </w:r>
          </w:p>
        </w:tc>
        <w:tc>
          <w:tcPr>
            <w:tcW w:w="2130" w:type="dxa"/>
            <w:vMerge w:val="restart"/>
            <w:shd w:val="clear" w:color="auto" w:fill="D0CECE"/>
          </w:tcPr>
          <w:p w14:paraId="68090EFB" w14:textId="77777777" w:rsidR="00CF33D9" w:rsidRDefault="00E3332A">
            <w:pPr>
              <w:jc w:val="center"/>
              <w:rPr>
                <w:rFonts w:eastAsia="Calibri"/>
                <w:b/>
                <w:sz w:val="20"/>
                <w:szCs w:val="20"/>
              </w:rPr>
            </w:pPr>
            <w:r>
              <w:rPr>
                <w:rFonts w:eastAsia="Calibri"/>
                <w:b/>
                <w:sz w:val="20"/>
                <w:szCs w:val="20"/>
              </w:rPr>
              <w:t>Outcome</w:t>
            </w:r>
          </w:p>
        </w:tc>
        <w:tc>
          <w:tcPr>
            <w:tcW w:w="2588" w:type="dxa"/>
            <w:vMerge w:val="restart"/>
            <w:shd w:val="clear" w:color="auto" w:fill="D0CECE"/>
          </w:tcPr>
          <w:p w14:paraId="68090EFC" w14:textId="77777777" w:rsidR="00CF33D9" w:rsidRDefault="00E3332A">
            <w:pPr>
              <w:jc w:val="center"/>
              <w:rPr>
                <w:rFonts w:eastAsia="Calibri"/>
                <w:b/>
                <w:sz w:val="20"/>
                <w:szCs w:val="20"/>
              </w:rPr>
            </w:pPr>
            <w:r>
              <w:rPr>
                <w:rFonts w:eastAsia="Calibri"/>
                <w:b/>
                <w:sz w:val="20"/>
                <w:szCs w:val="20"/>
              </w:rPr>
              <w:t>Output</w:t>
            </w:r>
          </w:p>
        </w:tc>
        <w:tc>
          <w:tcPr>
            <w:tcW w:w="1340" w:type="dxa"/>
            <w:gridSpan w:val="4"/>
            <w:shd w:val="clear" w:color="auto" w:fill="D0CECE"/>
          </w:tcPr>
          <w:p w14:paraId="68090EFD" w14:textId="77777777" w:rsidR="00CF33D9" w:rsidRDefault="00E3332A">
            <w:pPr>
              <w:jc w:val="center"/>
              <w:rPr>
                <w:rFonts w:eastAsia="Calibri"/>
                <w:b/>
                <w:sz w:val="20"/>
                <w:szCs w:val="20"/>
              </w:rPr>
            </w:pPr>
            <w:r>
              <w:rPr>
                <w:rFonts w:eastAsia="Calibri"/>
                <w:b/>
                <w:sz w:val="20"/>
                <w:szCs w:val="20"/>
              </w:rPr>
              <w:t>Year 1</w:t>
            </w:r>
          </w:p>
        </w:tc>
        <w:tc>
          <w:tcPr>
            <w:tcW w:w="1340" w:type="dxa"/>
            <w:gridSpan w:val="4"/>
            <w:shd w:val="clear" w:color="auto" w:fill="D0CECE"/>
          </w:tcPr>
          <w:p w14:paraId="68090EFE" w14:textId="77777777" w:rsidR="00CF33D9" w:rsidRDefault="00E3332A">
            <w:pPr>
              <w:jc w:val="center"/>
              <w:rPr>
                <w:rFonts w:eastAsia="Calibri"/>
                <w:b/>
                <w:sz w:val="20"/>
                <w:szCs w:val="20"/>
              </w:rPr>
            </w:pPr>
            <w:r>
              <w:rPr>
                <w:rFonts w:eastAsia="Calibri"/>
                <w:b/>
                <w:sz w:val="20"/>
                <w:szCs w:val="20"/>
              </w:rPr>
              <w:t>Year 2</w:t>
            </w:r>
          </w:p>
        </w:tc>
        <w:tc>
          <w:tcPr>
            <w:tcW w:w="1344" w:type="dxa"/>
            <w:gridSpan w:val="4"/>
            <w:shd w:val="clear" w:color="auto" w:fill="D0CECE"/>
          </w:tcPr>
          <w:p w14:paraId="68090EFF" w14:textId="77777777" w:rsidR="00CF33D9" w:rsidRDefault="00E3332A">
            <w:pPr>
              <w:jc w:val="center"/>
              <w:rPr>
                <w:rFonts w:eastAsia="Calibri"/>
                <w:b/>
                <w:sz w:val="20"/>
                <w:szCs w:val="20"/>
              </w:rPr>
            </w:pPr>
            <w:r>
              <w:rPr>
                <w:rFonts w:eastAsia="Calibri"/>
                <w:b/>
                <w:sz w:val="20"/>
                <w:szCs w:val="20"/>
              </w:rPr>
              <w:t>Year 3</w:t>
            </w:r>
          </w:p>
        </w:tc>
        <w:tc>
          <w:tcPr>
            <w:tcW w:w="1344" w:type="dxa"/>
            <w:gridSpan w:val="4"/>
            <w:shd w:val="clear" w:color="auto" w:fill="D0CECE"/>
          </w:tcPr>
          <w:p w14:paraId="68090F00" w14:textId="77777777" w:rsidR="00CF33D9" w:rsidRDefault="00E3332A">
            <w:pPr>
              <w:jc w:val="center"/>
              <w:rPr>
                <w:rFonts w:eastAsia="Calibri"/>
                <w:b/>
                <w:sz w:val="20"/>
                <w:szCs w:val="20"/>
              </w:rPr>
            </w:pPr>
            <w:r>
              <w:rPr>
                <w:rFonts w:eastAsia="Calibri"/>
                <w:b/>
                <w:sz w:val="20"/>
                <w:szCs w:val="20"/>
              </w:rPr>
              <w:t>Year 4</w:t>
            </w:r>
          </w:p>
        </w:tc>
        <w:tc>
          <w:tcPr>
            <w:tcW w:w="1344" w:type="dxa"/>
            <w:gridSpan w:val="4"/>
            <w:shd w:val="clear" w:color="auto" w:fill="D0CECE"/>
          </w:tcPr>
          <w:p w14:paraId="68090F01" w14:textId="77777777" w:rsidR="00CF33D9" w:rsidRDefault="00E3332A">
            <w:pPr>
              <w:jc w:val="center"/>
              <w:rPr>
                <w:rFonts w:eastAsia="Calibri"/>
                <w:b/>
                <w:sz w:val="20"/>
                <w:szCs w:val="20"/>
              </w:rPr>
            </w:pPr>
            <w:r>
              <w:rPr>
                <w:rFonts w:eastAsia="Calibri"/>
                <w:b/>
                <w:sz w:val="20"/>
                <w:szCs w:val="20"/>
              </w:rPr>
              <w:t>Year 5</w:t>
            </w:r>
          </w:p>
        </w:tc>
        <w:tc>
          <w:tcPr>
            <w:tcW w:w="1344" w:type="dxa"/>
            <w:gridSpan w:val="4"/>
            <w:shd w:val="clear" w:color="auto" w:fill="D0CECE"/>
          </w:tcPr>
          <w:p w14:paraId="68090F02" w14:textId="77777777" w:rsidR="00CF33D9" w:rsidRDefault="00E3332A">
            <w:pPr>
              <w:jc w:val="center"/>
              <w:rPr>
                <w:rFonts w:eastAsia="Calibri"/>
                <w:b/>
                <w:sz w:val="20"/>
                <w:szCs w:val="20"/>
              </w:rPr>
            </w:pPr>
            <w:r>
              <w:rPr>
                <w:rFonts w:eastAsia="Calibri"/>
                <w:b/>
                <w:sz w:val="20"/>
                <w:szCs w:val="20"/>
              </w:rPr>
              <w:t>Year 6</w:t>
            </w:r>
          </w:p>
        </w:tc>
      </w:tr>
      <w:tr w:rsidR="00CF33D9" w14:paraId="68090F1F" w14:textId="77777777">
        <w:trPr>
          <w:tblHeader/>
        </w:trPr>
        <w:tc>
          <w:tcPr>
            <w:tcW w:w="1413" w:type="dxa"/>
            <w:vMerge/>
            <w:shd w:val="clear" w:color="auto" w:fill="D0CECE"/>
          </w:tcPr>
          <w:p w14:paraId="68090F04" w14:textId="77777777" w:rsidR="00CF33D9" w:rsidRDefault="00CF33D9">
            <w:pPr>
              <w:widowControl w:val="0"/>
              <w:spacing w:after="0" w:line="276" w:lineRule="auto"/>
              <w:rPr>
                <w:rFonts w:eastAsia="Calibri"/>
                <w:b/>
                <w:sz w:val="20"/>
                <w:szCs w:val="20"/>
              </w:rPr>
            </w:pPr>
          </w:p>
        </w:tc>
        <w:tc>
          <w:tcPr>
            <w:tcW w:w="2130" w:type="dxa"/>
            <w:vMerge/>
            <w:shd w:val="clear" w:color="auto" w:fill="D0CECE"/>
          </w:tcPr>
          <w:p w14:paraId="68090F05" w14:textId="77777777" w:rsidR="00CF33D9" w:rsidRDefault="00CF33D9">
            <w:pPr>
              <w:widowControl w:val="0"/>
              <w:spacing w:after="0" w:line="276" w:lineRule="auto"/>
              <w:rPr>
                <w:rFonts w:eastAsia="Calibri"/>
                <w:b/>
                <w:sz w:val="20"/>
                <w:szCs w:val="20"/>
              </w:rPr>
            </w:pPr>
          </w:p>
        </w:tc>
        <w:tc>
          <w:tcPr>
            <w:tcW w:w="2588" w:type="dxa"/>
            <w:vMerge/>
            <w:shd w:val="clear" w:color="auto" w:fill="D0CECE"/>
          </w:tcPr>
          <w:p w14:paraId="68090F06" w14:textId="77777777" w:rsidR="00CF33D9" w:rsidRDefault="00CF33D9">
            <w:pPr>
              <w:widowControl w:val="0"/>
              <w:spacing w:after="0" w:line="276" w:lineRule="auto"/>
              <w:rPr>
                <w:rFonts w:eastAsia="Calibri"/>
                <w:b/>
                <w:sz w:val="20"/>
                <w:szCs w:val="20"/>
              </w:rPr>
            </w:pPr>
          </w:p>
        </w:tc>
        <w:tc>
          <w:tcPr>
            <w:tcW w:w="335" w:type="dxa"/>
            <w:tcBorders>
              <w:bottom w:val="single" w:sz="4" w:space="0" w:color="000000"/>
            </w:tcBorders>
            <w:shd w:val="clear" w:color="auto" w:fill="D0CECE"/>
          </w:tcPr>
          <w:p w14:paraId="68090F07" w14:textId="77777777" w:rsidR="00CF33D9" w:rsidRDefault="00E3332A">
            <w:pPr>
              <w:rPr>
                <w:rFonts w:eastAsia="Calibri"/>
                <w:sz w:val="20"/>
                <w:szCs w:val="20"/>
              </w:rPr>
            </w:pPr>
            <w:r>
              <w:rPr>
                <w:rFonts w:eastAsia="Calibri"/>
                <w:sz w:val="20"/>
                <w:szCs w:val="20"/>
              </w:rPr>
              <w:t>Q1</w:t>
            </w:r>
          </w:p>
        </w:tc>
        <w:tc>
          <w:tcPr>
            <w:tcW w:w="335" w:type="dxa"/>
            <w:tcBorders>
              <w:bottom w:val="single" w:sz="4" w:space="0" w:color="000000"/>
            </w:tcBorders>
            <w:shd w:val="clear" w:color="auto" w:fill="D0CECE"/>
          </w:tcPr>
          <w:p w14:paraId="68090F08" w14:textId="77777777" w:rsidR="00CF33D9" w:rsidRDefault="00E3332A">
            <w:pPr>
              <w:rPr>
                <w:rFonts w:eastAsia="Calibri"/>
                <w:sz w:val="20"/>
                <w:szCs w:val="20"/>
              </w:rPr>
            </w:pPr>
            <w:r>
              <w:rPr>
                <w:rFonts w:eastAsia="Calibri"/>
                <w:sz w:val="20"/>
                <w:szCs w:val="20"/>
              </w:rPr>
              <w:t>Q2</w:t>
            </w:r>
          </w:p>
        </w:tc>
        <w:tc>
          <w:tcPr>
            <w:tcW w:w="335" w:type="dxa"/>
            <w:tcBorders>
              <w:bottom w:val="single" w:sz="4" w:space="0" w:color="000000"/>
            </w:tcBorders>
            <w:shd w:val="clear" w:color="auto" w:fill="D0CECE"/>
          </w:tcPr>
          <w:p w14:paraId="68090F09" w14:textId="77777777" w:rsidR="00CF33D9" w:rsidRDefault="00E3332A">
            <w:pPr>
              <w:rPr>
                <w:rFonts w:eastAsia="Calibri"/>
                <w:sz w:val="20"/>
                <w:szCs w:val="20"/>
              </w:rPr>
            </w:pPr>
            <w:r>
              <w:rPr>
                <w:rFonts w:eastAsia="Calibri"/>
                <w:sz w:val="20"/>
                <w:szCs w:val="20"/>
              </w:rPr>
              <w:t>Q3</w:t>
            </w:r>
          </w:p>
        </w:tc>
        <w:tc>
          <w:tcPr>
            <w:tcW w:w="335" w:type="dxa"/>
            <w:tcBorders>
              <w:bottom w:val="single" w:sz="4" w:space="0" w:color="000000"/>
            </w:tcBorders>
            <w:shd w:val="clear" w:color="auto" w:fill="D0CECE"/>
          </w:tcPr>
          <w:p w14:paraId="68090F0A" w14:textId="77777777" w:rsidR="00CF33D9" w:rsidRDefault="00E3332A">
            <w:pPr>
              <w:rPr>
                <w:rFonts w:eastAsia="Calibri"/>
                <w:sz w:val="20"/>
                <w:szCs w:val="20"/>
              </w:rPr>
            </w:pPr>
            <w:r>
              <w:rPr>
                <w:rFonts w:eastAsia="Calibri"/>
                <w:sz w:val="20"/>
                <w:szCs w:val="20"/>
              </w:rPr>
              <w:t>Q4</w:t>
            </w:r>
          </w:p>
        </w:tc>
        <w:tc>
          <w:tcPr>
            <w:tcW w:w="335" w:type="dxa"/>
            <w:tcBorders>
              <w:bottom w:val="single" w:sz="4" w:space="0" w:color="000000"/>
            </w:tcBorders>
            <w:shd w:val="clear" w:color="auto" w:fill="D0CECE"/>
          </w:tcPr>
          <w:p w14:paraId="68090F0B" w14:textId="77777777" w:rsidR="00CF33D9" w:rsidRDefault="00E3332A">
            <w:pPr>
              <w:rPr>
                <w:rFonts w:eastAsia="Calibri"/>
                <w:sz w:val="20"/>
                <w:szCs w:val="20"/>
              </w:rPr>
            </w:pPr>
            <w:r>
              <w:rPr>
                <w:rFonts w:eastAsia="Calibri"/>
                <w:sz w:val="20"/>
                <w:szCs w:val="20"/>
              </w:rPr>
              <w:t>Q1</w:t>
            </w:r>
          </w:p>
        </w:tc>
        <w:tc>
          <w:tcPr>
            <w:tcW w:w="335" w:type="dxa"/>
            <w:tcBorders>
              <w:bottom w:val="single" w:sz="4" w:space="0" w:color="000000"/>
            </w:tcBorders>
            <w:shd w:val="clear" w:color="auto" w:fill="D0CECE"/>
          </w:tcPr>
          <w:p w14:paraId="68090F0C" w14:textId="77777777" w:rsidR="00CF33D9" w:rsidRDefault="00E3332A">
            <w:pPr>
              <w:rPr>
                <w:rFonts w:eastAsia="Calibri"/>
                <w:sz w:val="20"/>
                <w:szCs w:val="20"/>
              </w:rPr>
            </w:pPr>
            <w:r>
              <w:rPr>
                <w:rFonts w:eastAsia="Calibri"/>
                <w:sz w:val="20"/>
                <w:szCs w:val="20"/>
              </w:rPr>
              <w:t>Q2</w:t>
            </w:r>
          </w:p>
        </w:tc>
        <w:tc>
          <w:tcPr>
            <w:tcW w:w="335" w:type="dxa"/>
            <w:tcBorders>
              <w:bottom w:val="single" w:sz="4" w:space="0" w:color="000000"/>
            </w:tcBorders>
            <w:shd w:val="clear" w:color="auto" w:fill="D0CECE"/>
          </w:tcPr>
          <w:p w14:paraId="68090F0D" w14:textId="77777777" w:rsidR="00CF33D9" w:rsidRDefault="00E3332A">
            <w:pPr>
              <w:rPr>
                <w:rFonts w:eastAsia="Calibri"/>
                <w:sz w:val="20"/>
                <w:szCs w:val="20"/>
              </w:rPr>
            </w:pPr>
            <w:r>
              <w:rPr>
                <w:rFonts w:eastAsia="Calibri"/>
                <w:sz w:val="20"/>
                <w:szCs w:val="20"/>
              </w:rPr>
              <w:t>Q3</w:t>
            </w:r>
          </w:p>
        </w:tc>
        <w:tc>
          <w:tcPr>
            <w:tcW w:w="335" w:type="dxa"/>
            <w:tcBorders>
              <w:bottom w:val="single" w:sz="4" w:space="0" w:color="000000"/>
            </w:tcBorders>
            <w:shd w:val="clear" w:color="auto" w:fill="D0CECE"/>
          </w:tcPr>
          <w:p w14:paraId="68090F0E" w14:textId="77777777" w:rsidR="00CF33D9" w:rsidRDefault="00E3332A">
            <w:pPr>
              <w:rPr>
                <w:rFonts w:eastAsia="Calibri"/>
                <w:sz w:val="20"/>
                <w:szCs w:val="20"/>
              </w:rPr>
            </w:pPr>
            <w:r>
              <w:rPr>
                <w:rFonts w:eastAsia="Calibri"/>
                <w:sz w:val="20"/>
                <w:szCs w:val="20"/>
              </w:rPr>
              <w:t>Q4</w:t>
            </w:r>
          </w:p>
        </w:tc>
        <w:tc>
          <w:tcPr>
            <w:tcW w:w="336" w:type="dxa"/>
            <w:shd w:val="clear" w:color="auto" w:fill="D0CECE"/>
          </w:tcPr>
          <w:p w14:paraId="68090F0F" w14:textId="77777777" w:rsidR="00CF33D9" w:rsidRDefault="00E3332A">
            <w:pPr>
              <w:rPr>
                <w:rFonts w:eastAsia="Calibri"/>
                <w:sz w:val="20"/>
                <w:szCs w:val="20"/>
              </w:rPr>
            </w:pPr>
            <w:r>
              <w:rPr>
                <w:rFonts w:eastAsia="Calibri"/>
                <w:sz w:val="20"/>
                <w:szCs w:val="20"/>
              </w:rPr>
              <w:t>Q1</w:t>
            </w:r>
          </w:p>
        </w:tc>
        <w:tc>
          <w:tcPr>
            <w:tcW w:w="336" w:type="dxa"/>
            <w:shd w:val="clear" w:color="auto" w:fill="D0CECE"/>
          </w:tcPr>
          <w:p w14:paraId="68090F10" w14:textId="77777777" w:rsidR="00CF33D9" w:rsidRDefault="00E3332A">
            <w:pPr>
              <w:rPr>
                <w:rFonts w:eastAsia="Calibri"/>
                <w:sz w:val="20"/>
                <w:szCs w:val="20"/>
              </w:rPr>
            </w:pPr>
            <w:r>
              <w:rPr>
                <w:rFonts w:eastAsia="Calibri"/>
                <w:sz w:val="20"/>
                <w:szCs w:val="20"/>
              </w:rPr>
              <w:t>Q2</w:t>
            </w:r>
          </w:p>
        </w:tc>
        <w:tc>
          <w:tcPr>
            <w:tcW w:w="336" w:type="dxa"/>
            <w:shd w:val="clear" w:color="auto" w:fill="D0CECE"/>
          </w:tcPr>
          <w:p w14:paraId="68090F11" w14:textId="77777777" w:rsidR="00CF33D9" w:rsidRDefault="00E3332A">
            <w:pPr>
              <w:rPr>
                <w:rFonts w:eastAsia="Calibri"/>
                <w:sz w:val="20"/>
                <w:szCs w:val="20"/>
              </w:rPr>
            </w:pPr>
            <w:r>
              <w:rPr>
                <w:rFonts w:eastAsia="Calibri"/>
                <w:sz w:val="20"/>
                <w:szCs w:val="20"/>
              </w:rPr>
              <w:t>Q3</w:t>
            </w:r>
          </w:p>
        </w:tc>
        <w:tc>
          <w:tcPr>
            <w:tcW w:w="336" w:type="dxa"/>
            <w:shd w:val="clear" w:color="auto" w:fill="D0CECE"/>
          </w:tcPr>
          <w:p w14:paraId="68090F12" w14:textId="77777777" w:rsidR="00CF33D9" w:rsidRDefault="00E3332A">
            <w:pPr>
              <w:rPr>
                <w:rFonts w:eastAsia="Calibri"/>
                <w:sz w:val="20"/>
                <w:szCs w:val="20"/>
              </w:rPr>
            </w:pPr>
            <w:r>
              <w:rPr>
                <w:rFonts w:eastAsia="Calibri"/>
                <w:sz w:val="20"/>
                <w:szCs w:val="20"/>
              </w:rPr>
              <w:t>Q4</w:t>
            </w:r>
          </w:p>
        </w:tc>
        <w:tc>
          <w:tcPr>
            <w:tcW w:w="336" w:type="dxa"/>
            <w:shd w:val="clear" w:color="auto" w:fill="D0CECE"/>
          </w:tcPr>
          <w:p w14:paraId="68090F13" w14:textId="77777777" w:rsidR="00CF33D9" w:rsidRDefault="00E3332A">
            <w:pPr>
              <w:rPr>
                <w:rFonts w:eastAsia="Calibri"/>
                <w:sz w:val="20"/>
                <w:szCs w:val="20"/>
              </w:rPr>
            </w:pPr>
            <w:r>
              <w:rPr>
                <w:rFonts w:eastAsia="Calibri"/>
                <w:sz w:val="20"/>
                <w:szCs w:val="20"/>
              </w:rPr>
              <w:t>Q1</w:t>
            </w:r>
          </w:p>
        </w:tc>
        <w:tc>
          <w:tcPr>
            <w:tcW w:w="336" w:type="dxa"/>
            <w:shd w:val="clear" w:color="auto" w:fill="D0CECE"/>
          </w:tcPr>
          <w:p w14:paraId="68090F14" w14:textId="77777777" w:rsidR="00CF33D9" w:rsidRDefault="00E3332A">
            <w:pPr>
              <w:rPr>
                <w:rFonts w:eastAsia="Calibri"/>
                <w:sz w:val="20"/>
                <w:szCs w:val="20"/>
              </w:rPr>
            </w:pPr>
            <w:r>
              <w:rPr>
                <w:rFonts w:eastAsia="Calibri"/>
                <w:sz w:val="20"/>
                <w:szCs w:val="20"/>
              </w:rPr>
              <w:t>Q2</w:t>
            </w:r>
          </w:p>
        </w:tc>
        <w:tc>
          <w:tcPr>
            <w:tcW w:w="336" w:type="dxa"/>
            <w:shd w:val="clear" w:color="auto" w:fill="D0CECE"/>
          </w:tcPr>
          <w:p w14:paraId="68090F15" w14:textId="77777777" w:rsidR="00CF33D9" w:rsidRDefault="00E3332A">
            <w:pPr>
              <w:rPr>
                <w:rFonts w:eastAsia="Calibri"/>
                <w:sz w:val="20"/>
                <w:szCs w:val="20"/>
              </w:rPr>
            </w:pPr>
            <w:r>
              <w:rPr>
                <w:rFonts w:eastAsia="Calibri"/>
                <w:sz w:val="20"/>
                <w:szCs w:val="20"/>
              </w:rPr>
              <w:t>Q3</w:t>
            </w:r>
          </w:p>
        </w:tc>
        <w:tc>
          <w:tcPr>
            <w:tcW w:w="336" w:type="dxa"/>
            <w:shd w:val="clear" w:color="auto" w:fill="D0CECE"/>
          </w:tcPr>
          <w:p w14:paraId="68090F16" w14:textId="77777777" w:rsidR="00CF33D9" w:rsidRDefault="00E3332A">
            <w:pPr>
              <w:rPr>
                <w:rFonts w:eastAsia="Calibri"/>
                <w:sz w:val="20"/>
                <w:szCs w:val="20"/>
              </w:rPr>
            </w:pPr>
            <w:r>
              <w:rPr>
                <w:rFonts w:eastAsia="Calibri"/>
                <w:sz w:val="20"/>
                <w:szCs w:val="20"/>
              </w:rPr>
              <w:t>Q4</w:t>
            </w:r>
          </w:p>
        </w:tc>
        <w:tc>
          <w:tcPr>
            <w:tcW w:w="336" w:type="dxa"/>
            <w:shd w:val="clear" w:color="auto" w:fill="D0CECE"/>
          </w:tcPr>
          <w:p w14:paraId="68090F17" w14:textId="77777777" w:rsidR="00CF33D9" w:rsidRDefault="00E3332A">
            <w:pPr>
              <w:rPr>
                <w:rFonts w:eastAsia="Calibri"/>
                <w:sz w:val="20"/>
                <w:szCs w:val="20"/>
              </w:rPr>
            </w:pPr>
            <w:r>
              <w:rPr>
                <w:rFonts w:eastAsia="Calibri"/>
                <w:sz w:val="20"/>
                <w:szCs w:val="20"/>
              </w:rPr>
              <w:t>Q1</w:t>
            </w:r>
          </w:p>
        </w:tc>
        <w:tc>
          <w:tcPr>
            <w:tcW w:w="336" w:type="dxa"/>
            <w:shd w:val="clear" w:color="auto" w:fill="D0CECE"/>
          </w:tcPr>
          <w:p w14:paraId="68090F18" w14:textId="77777777" w:rsidR="00CF33D9" w:rsidRDefault="00E3332A">
            <w:pPr>
              <w:rPr>
                <w:rFonts w:eastAsia="Calibri"/>
                <w:sz w:val="20"/>
                <w:szCs w:val="20"/>
              </w:rPr>
            </w:pPr>
            <w:r>
              <w:rPr>
                <w:rFonts w:eastAsia="Calibri"/>
                <w:sz w:val="20"/>
                <w:szCs w:val="20"/>
              </w:rPr>
              <w:t>Q2</w:t>
            </w:r>
          </w:p>
        </w:tc>
        <w:tc>
          <w:tcPr>
            <w:tcW w:w="336" w:type="dxa"/>
            <w:shd w:val="clear" w:color="auto" w:fill="D0CECE"/>
          </w:tcPr>
          <w:p w14:paraId="68090F19" w14:textId="77777777" w:rsidR="00CF33D9" w:rsidRDefault="00E3332A">
            <w:pPr>
              <w:rPr>
                <w:rFonts w:eastAsia="Calibri"/>
                <w:sz w:val="20"/>
                <w:szCs w:val="20"/>
              </w:rPr>
            </w:pPr>
            <w:r>
              <w:rPr>
                <w:rFonts w:eastAsia="Calibri"/>
                <w:sz w:val="20"/>
                <w:szCs w:val="20"/>
              </w:rPr>
              <w:t>Q3</w:t>
            </w:r>
          </w:p>
        </w:tc>
        <w:tc>
          <w:tcPr>
            <w:tcW w:w="336" w:type="dxa"/>
            <w:shd w:val="clear" w:color="auto" w:fill="D0CECE"/>
          </w:tcPr>
          <w:p w14:paraId="68090F1A" w14:textId="77777777" w:rsidR="00CF33D9" w:rsidRDefault="00E3332A">
            <w:pPr>
              <w:rPr>
                <w:rFonts w:eastAsia="Calibri"/>
                <w:sz w:val="20"/>
                <w:szCs w:val="20"/>
              </w:rPr>
            </w:pPr>
            <w:r>
              <w:rPr>
                <w:rFonts w:eastAsia="Calibri"/>
                <w:sz w:val="20"/>
                <w:szCs w:val="20"/>
              </w:rPr>
              <w:t>Q4</w:t>
            </w:r>
          </w:p>
        </w:tc>
        <w:tc>
          <w:tcPr>
            <w:tcW w:w="336" w:type="dxa"/>
            <w:shd w:val="clear" w:color="auto" w:fill="D0CECE"/>
          </w:tcPr>
          <w:p w14:paraId="68090F1B" w14:textId="77777777" w:rsidR="00CF33D9" w:rsidRDefault="00E3332A">
            <w:pPr>
              <w:rPr>
                <w:rFonts w:eastAsia="Calibri"/>
                <w:sz w:val="20"/>
                <w:szCs w:val="20"/>
              </w:rPr>
            </w:pPr>
            <w:r>
              <w:rPr>
                <w:rFonts w:eastAsia="Calibri"/>
                <w:sz w:val="20"/>
                <w:szCs w:val="20"/>
              </w:rPr>
              <w:t>Q1</w:t>
            </w:r>
          </w:p>
        </w:tc>
        <w:tc>
          <w:tcPr>
            <w:tcW w:w="336" w:type="dxa"/>
            <w:shd w:val="clear" w:color="auto" w:fill="D0CECE"/>
          </w:tcPr>
          <w:p w14:paraId="68090F1C" w14:textId="77777777" w:rsidR="00CF33D9" w:rsidRDefault="00E3332A">
            <w:pPr>
              <w:rPr>
                <w:rFonts w:eastAsia="Calibri"/>
                <w:sz w:val="20"/>
                <w:szCs w:val="20"/>
              </w:rPr>
            </w:pPr>
            <w:r>
              <w:rPr>
                <w:rFonts w:eastAsia="Calibri"/>
                <w:sz w:val="20"/>
                <w:szCs w:val="20"/>
              </w:rPr>
              <w:t>Q2</w:t>
            </w:r>
          </w:p>
        </w:tc>
        <w:tc>
          <w:tcPr>
            <w:tcW w:w="336" w:type="dxa"/>
            <w:shd w:val="clear" w:color="auto" w:fill="D0CECE"/>
          </w:tcPr>
          <w:p w14:paraId="68090F1D" w14:textId="77777777" w:rsidR="00CF33D9" w:rsidRDefault="00E3332A">
            <w:pPr>
              <w:rPr>
                <w:rFonts w:eastAsia="Calibri"/>
                <w:sz w:val="20"/>
                <w:szCs w:val="20"/>
              </w:rPr>
            </w:pPr>
            <w:r>
              <w:rPr>
                <w:rFonts w:eastAsia="Calibri"/>
                <w:sz w:val="20"/>
                <w:szCs w:val="20"/>
              </w:rPr>
              <w:t>Q3</w:t>
            </w:r>
          </w:p>
        </w:tc>
        <w:tc>
          <w:tcPr>
            <w:tcW w:w="336" w:type="dxa"/>
            <w:shd w:val="clear" w:color="auto" w:fill="D0CECE"/>
          </w:tcPr>
          <w:p w14:paraId="68090F1E" w14:textId="77777777" w:rsidR="00CF33D9" w:rsidRDefault="00E3332A">
            <w:pPr>
              <w:rPr>
                <w:rFonts w:eastAsia="Calibri"/>
                <w:sz w:val="20"/>
                <w:szCs w:val="20"/>
              </w:rPr>
            </w:pPr>
            <w:r>
              <w:rPr>
                <w:rFonts w:eastAsia="Calibri"/>
                <w:sz w:val="20"/>
                <w:szCs w:val="20"/>
              </w:rPr>
              <w:t>Q4</w:t>
            </w:r>
          </w:p>
        </w:tc>
      </w:tr>
      <w:tr w:rsidR="00CF33D9" w14:paraId="68090F3C" w14:textId="77777777">
        <w:tc>
          <w:tcPr>
            <w:tcW w:w="1413" w:type="dxa"/>
            <w:vMerge w:val="restart"/>
          </w:tcPr>
          <w:p w14:paraId="68090F20" w14:textId="77777777" w:rsidR="00CF33D9" w:rsidRDefault="00E3332A">
            <w:pPr>
              <w:rPr>
                <w:rFonts w:eastAsia="Calibri"/>
                <w:sz w:val="20"/>
                <w:szCs w:val="20"/>
              </w:rPr>
            </w:pPr>
            <w:r>
              <w:rPr>
                <w:rFonts w:eastAsia="Calibri"/>
                <w:b/>
                <w:color w:val="000000"/>
                <w:sz w:val="20"/>
                <w:szCs w:val="20"/>
              </w:rPr>
              <w:t>Component 1</w:t>
            </w:r>
            <w:r>
              <w:rPr>
                <w:rFonts w:eastAsia="Calibri"/>
                <w:color w:val="000000"/>
                <w:sz w:val="20"/>
                <w:szCs w:val="20"/>
              </w:rPr>
              <w:t>: Improve marine and coastal management efforts in the BCLME through effective spatial planning and the establishment and expansion of MPAs and SMAs taking into consideration climate change and ensuring climate-resilient socio-economic development</w:t>
            </w:r>
          </w:p>
        </w:tc>
        <w:tc>
          <w:tcPr>
            <w:tcW w:w="2130" w:type="dxa"/>
            <w:vMerge w:val="restart"/>
          </w:tcPr>
          <w:p w14:paraId="68090F21" w14:textId="77777777" w:rsidR="00CF33D9" w:rsidRDefault="00E3332A">
            <w:pPr>
              <w:spacing w:after="0"/>
              <w:rPr>
                <w:rFonts w:eastAsia="Calibri"/>
                <w:color w:val="000000"/>
                <w:sz w:val="20"/>
                <w:szCs w:val="20"/>
              </w:rPr>
            </w:pPr>
            <w:r>
              <w:rPr>
                <w:rFonts w:eastAsia="Calibri"/>
                <w:color w:val="000000"/>
                <w:sz w:val="20"/>
                <w:szCs w:val="20"/>
              </w:rPr>
              <w:t xml:space="preserve">1.1: Policy, regulatory and institutional framework for the sustainable management of the BCLME strengthened </w:t>
            </w:r>
          </w:p>
          <w:p w14:paraId="68090F22" w14:textId="77777777" w:rsidR="00CF33D9" w:rsidRDefault="00CF33D9">
            <w:pPr>
              <w:rPr>
                <w:rFonts w:eastAsia="Calibri"/>
                <w:sz w:val="20"/>
                <w:szCs w:val="20"/>
              </w:rPr>
            </w:pPr>
          </w:p>
        </w:tc>
        <w:tc>
          <w:tcPr>
            <w:tcW w:w="2588" w:type="dxa"/>
          </w:tcPr>
          <w:p w14:paraId="68090F23" w14:textId="77777777" w:rsidR="00CF33D9" w:rsidRDefault="00E3332A">
            <w:pPr>
              <w:rPr>
                <w:rFonts w:eastAsia="Calibri"/>
                <w:sz w:val="20"/>
                <w:szCs w:val="20"/>
              </w:rPr>
            </w:pPr>
            <w:r>
              <w:rPr>
                <w:rFonts w:eastAsia="Calibri"/>
                <w:color w:val="000000"/>
                <w:sz w:val="20"/>
                <w:szCs w:val="20"/>
              </w:rPr>
              <w:t>1.1.1: Legal frameworks of selected MPAs and coastal ecosystems of global importance improved to enhance their protection and conservation in a context of coexistence with other marine economic sectors</w:t>
            </w:r>
          </w:p>
        </w:tc>
        <w:tc>
          <w:tcPr>
            <w:tcW w:w="335" w:type="dxa"/>
            <w:shd w:val="clear" w:color="auto" w:fill="00B0F0"/>
          </w:tcPr>
          <w:p w14:paraId="68090F24" w14:textId="77777777" w:rsidR="00CF33D9" w:rsidRDefault="00CF33D9">
            <w:pPr>
              <w:rPr>
                <w:rFonts w:eastAsia="Calibri"/>
                <w:sz w:val="20"/>
                <w:szCs w:val="20"/>
              </w:rPr>
            </w:pPr>
          </w:p>
        </w:tc>
        <w:tc>
          <w:tcPr>
            <w:tcW w:w="335" w:type="dxa"/>
            <w:shd w:val="clear" w:color="auto" w:fill="00B0F0"/>
          </w:tcPr>
          <w:p w14:paraId="68090F25" w14:textId="77777777" w:rsidR="00CF33D9" w:rsidRDefault="00CF33D9">
            <w:pPr>
              <w:rPr>
                <w:rFonts w:eastAsia="Calibri"/>
                <w:sz w:val="20"/>
                <w:szCs w:val="20"/>
              </w:rPr>
            </w:pPr>
          </w:p>
        </w:tc>
        <w:tc>
          <w:tcPr>
            <w:tcW w:w="335" w:type="dxa"/>
            <w:shd w:val="clear" w:color="auto" w:fill="00B0F0"/>
          </w:tcPr>
          <w:p w14:paraId="68090F26" w14:textId="77777777" w:rsidR="00CF33D9" w:rsidRDefault="00CF33D9">
            <w:pPr>
              <w:rPr>
                <w:rFonts w:eastAsia="Calibri"/>
                <w:sz w:val="20"/>
                <w:szCs w:val="20"/>
              </w:rPr>
            </w:pPr>
          </w:p>
        </w:tc>
        <w:tc>
          <w:tcPr>
            <w:tcW w:w="335" w:type="dxa"/>
            <w:shd w:val="clear" w:color="auto" w:fill="00B0F0"/>
          </w:tcPr>
          <w:p w14:paraId="68090F27"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0F28"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0F29"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0F2A"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0F2B" w14:textId="77777777" w:rsidR="00CF33D9" w:rsidRDefault="00CF33D9">
            <w:pPr>
              <w:rPr>
                <w:rFonts w:eastAsia="Calibri"/>
                <w:sz w:val="20"/>
                <w:szCs w:val="20"/>
              </w:rPr>
            </w:pPr>
          </w:p>
        </w:tc>
        <w:tc>
          <w:tcPr>
            <w:tcW w:w="336" w:type="dxa"/>
            <w:tcBorders>
              <w:bottom w:val="single" w:sz="4" w:space="0" w:color="000000"/>
            </w:tcBorders>
          </w:tcPr>
          <w:p w14:paraId="68090F2C" w14:textId="77777777" w:rsidR="00CF33D9" w:rsidRDefault="00CF33D9">
            <w:pPr>
              <w:rPr>
                <w:rFonts w:eastAsia="Calibri"/>
                <w:sz w:val="20"/>
                <w:szCs w:val="20"/>
              </w:rPr>
            </w:pPr>
          </w:p>
        </w:tc>
        <w:tc>
          <w:tcPr>
            <w:tcW w:w="336" w:type="dxa"/>
            <w:tcBorders>
              <w:bottom w:val="single" w:sz="4" w:space="0" w:color="000000"/>
            </w:tcBorders>
          </w:tcPr>
          <w:p w14:paraId="68090F2D" w14:textId="77777777" w:rsidR="00CF33D9" w:rsidRDefault="00CF33D9">
            <w:pPr>
              <w:rPr>
                <w:rFonts w:eastAsia="Calibri"/>
                <w:sz w:val="20"/>
                <w:szCs w:val="20"/>
              </w:rPr>
            </w:pPr>
          </w:p>
        </w:tc>
        <w:tc>
          <w:tcPr>
            <w:tcW w:w="336" w:type="dxa"/>
            <w:tcBorders>
              <w:bottom w:val="single" w:sz="4" w:space="0" w:color="000000"/>
            </w:tcBorders>
          </w:tcPr>
          <w:p w14:paraId="68090F2E" w14:textId="77777777" w:rsidR="00CF33D9" w:rsidRDefault="00CF33D9">
            <w:pPr>
              <w:rPr>
                <w:rFonts w:eastAsia="Calibri"/>
                <w:sz w:val="20"/>
                <w:szCs w:val="20"/>
              </w:rPr>
            </w:pPr>
          </w:p>
        </w:tc>
        <w:tc>
          <w:tcPr>
            <w:tcW w:w="336" w:type="dxa"/>
            <w:tcBorders>
              <w:bottom w:val="single" w:sz="4" w:space="0" w:color="000000"/>
            </w:tcBorders>
          </w:tcPr>
          <w:p w14:paraId="68090F2F" w14:textId="77777777" w:rsidR="00CF33D9" w:rsidRDefault="00CF33D9">
            <w:pPr>
              <w:rPr>
                <w:rFonts w:eastAsia="Calibri"/>
                <w:sz w:val="20"/>
                <w:szCs w:val="20"/>
              </w:rPr>
            </w:pPr>
          </w:p>
        </w:tc>
        <w:tc>
          <w:tcPr>
            <w:tcW w:w="336" w:type="dxa"/>
            <w:tcBorders>
              <w:bottom w:val="single" w:sz="4" w:space="0" w:color="000000"/>
            </w:tcBorders>
          </w:tcPr>
          <w:p w14:paraId="68090F30" w14:textId="77777777" w:rsidR="00CF33D9" w:rsidRDefault="00CF33D9">
            <w:pPr>
              <w:rPr>
                <w:rFonts w:eastAsia="Calibri"/>
                <w:sz w:val="20"/>
                <w:szCs w:val="20"/>
              </w:rPr>
            </w:pPr>
          </w:p>
        </w:tc>
        <w:tc>
          <w:tcPr>
            <w:tcW w:w="336" w:type="dxa"/>
            <w:tcBorders>
              <w:bottom w:val="single" w:sz="4" w:space="0" w:color="000000"/>
            </w:tcBorders>
          </w:tcPr>
          <w:p w14:paraId="68090F31" w14:textId="77777777" w:rsidR="00CF33D9" w:rsidRDefault="00CF33D9">
            <w:pPr>
              <w:rPr>
                <w:rFonts w:eastAsia="Calibri"/>
                <w:sz w:val="20"/>
                <w:szCs w:val="20"/>
              </w:rPr>
            </w:pPr>
          </w:p>
        </w:tc>
        <w:tc>
          <w:tcPr>
            <w:tcW w:w="336" w:type="dxa"/>
            <w:tcBorders>
              <w:bottom w:val="single" w:sz="4" w:space="0" w:color="000000"/>
            </w:tcBorders>
          </w:tcPr>
          <w:p w14:paraId="68090F32" w14:textId="77777777" w:rsidR="00CF33D9" w:rsidRDefault="00CF33D9">
            <w:pPr>
              <w:rPr>
                <w:rFonts w:eastAsia="Calibri"/>
                <w:sz w:val="20"/>
                <w:szCs w:val="20"/>
              </w:rPr>
            </w:pPr>
          </w:p>
        </w:tc>
        <w:tc>
          <w:tcPr>
            <w:tcW w:w="336" w:type="dxa"/>
            <w:tcBorders>
              <w:bottom w:val="single" w:sz="4" w:space="0" w:color="000000"/>
            </w:tcBorders>
          </w:tcPr>
          <w:p w14:paraId="68090F33" w14:textId="77777777" w:rsidR="00CF33D9" w:rsidRDefault="00CF33D9">
            <w:pPr>
              <w:rPr>
                <w:rFonts w:eastAsia="Calibri"/>
                <w:sz w:val="20"/>
                <w:szCs w:val="20"/>
              </w:rPr>
            </w:pPr>
          </w:p>
        </w:tc>
        <w:tc>
          <w:tcPr>
            <w:tcW w:w="336" w:type="dxa"/>
            <w:tcBorders>
              <w:bottom w:val="single" w:sz="4" w:space="0" w:color="000000"/>
            </w:tcBorders>
          </w:tcPr>
          <w:p w14:paraId="68090F34" w14:textId="77777777" w:rsidR="00CF33D9" w:rsidRDefault="00CF33D9">
            <w:pPr>
              <w:rPr>
                <w:rFonts w:eastAsia="Calibri"/>
                <w:sz w:val="20"/>
                <w:szCs w:val="20"/>
              </w:rPr>
            </w:pPr>
          </w:p>
        </w:tc>
        <w:tc>
          <w:tcPr>
            <w:tcW w:w="336" w:type="dxa"/>
            <w:tcBorders>
              <w:bottom w:val="single" w:sz="4" w:space="0" w:color="000000"/>
            </w:tcBorders>
          </w:tcPr>
          <w:p w14:paraId="68090F35" w14:textId="77777777" w:rsidR="00CF33D9" w:rsidRDefault="00CF33D9">
            <w:pPr>
              <w:rPr>
                <w:rFonts w:eastAsia="Calibri"/>
                <w:sz w:val="20"/>
                <w:szCs w:val="20"/>
              </w:rPr>
            </w:pPr>
          </w:p>
        </w:tc>
        <w:tc>
          <w:tcPr>
            <w:tcW w:w="336" w:type="dxa"/>
            <w:tcBorders>
              <w:bottom w:val="single" w:sz="4" w:space="0" w:color="000000"/>
            </w:tcBorders>
          </w:tcPr>
          <w:p w14:paraId="68090F36" w14:textId="77777777" w:rsidR="00CF33D9" w:rsidRDefault="00CF33D9">
            <w:pPr>
              <w:rPr>
                <w:rFonts w:eastAsia="Calibri"/>
                <w:sz w:val="20"/>
                <w:szCs w:val="20"/>
              </w:rPr>
            </w:pPr>
          </w:p>
        </w:tc>
        <w:tc>
          <w:tcPr>
            <w:tcW w:w="336" w:type="dxa"/>
            <w:tcBorders>
              <w:bottom w:val="single" w:sz="4" w:space="0" w:color="000000"/>
            </w:tcBorders>
          </w:tcPr>
          <w:p w14:paraId="68090F37" w14:textId="77777777" w:rsidR="00CF33D9" w:rsidRDefault="00CF33D9">
            <w:pPr>
              <w:rPr>
                <w:rFonts w:eastAsia="Calibri"/>
                <w:sz w:val="20"/>
                <w:szCs w:val="20"/>
              </w:rPr>
            </w:pPr>
          </w:p>
        </w:tc>
        <w:tc>
          <w:tcPr>
            <w:tcW w:w="336" w:type="dxa"/>
          </w:tcPr>
          <w:p w14:paraId="68090F38" w14:textId="77777777" w:rsidR="00CF33D9" w:rsidRDefault="00CF33D9">
            <w:pPr>
              <w:rPr>
                <w:rFonts w:eastAsia="Calibri"/>
                <w:sz w:val="20"/>
                <w:szCs w:val="20"/>
              </w:rPr>
            </w:pPr>
          </w:p>
        </w:tc>
        <w:tc>
          <w:tcPr>
            <w:tcW w:w="336" w:type="dxa"/>
          </w:tcPr>
          <w:p w14:paraId="68090F39" w14:textId="77777777" w:rsidR="00CF33D9" w:rsidRDefault="00CF33D9">
            <w:pPr>
              <w:rPr>
                <w:rFonts w:eastAsia="Calibri"/>
                <w:sz w:val="20"/>
                <w:szCs w:val="20"/>
              </w:rPr>
            </w:pPr>
          </w:p>
        </w:tc>
        <w:tc>
          <w:tcPr>
            <w:tcW w:w="336" w:type="dxa"/>
          </w:tcPr>
          <w:p w14:paraId="68090F3A" w14:textId="77777777" w:rsidR="00CF33D9" w:rsidRDefault="00CF33D9">
            <w:pPr>
              <w:rPr>
                <w:rFonts w:eastAsia="Calibri"/>
                <w:sz w:val="20"/>
                <w:szCs w:val="20"/>
              </w:rPr>
            </w:pPr>
          </w:p>
        </w:tc>
        <w:tc>
          <w:tcPr>
            <w:tcW w:w="336" w:type="dxa"/>
          </w:tcPr>
          <w:p w14:paraId="68090F3B" w14:textId="77777777" w:rsidR="00CF33D9" w:rsidRDefault="00CF33D9">
            <w:pPr>
              <w:rPr>
                <w:rFonts w:eastAsia="Calibri"/>
                <w:sz w:val="20"/>
                <w:szCs w:val="20"/>
              </w:rPr>
            </w:pPr>
          </w:p>
        </w:tc>
      </w:tr>
      <w:tr w:rsidR="00CF33D9" w14:paraId="68090F58" w14:textId="77777777">
        <w:tc>
          <w:tcPr>
            <w:tcW w:w="1413" w:type="dxa"/>
            <w:vMerge/>
          </w:tcPr>
          <w:p w14:paraId="68090F3D" w14:textId="77777777" w:rsidR="00CF33D9" w:rsidRDefault="00CF33D9">
            <w:pPr>
              <w:widowControl w:val="0"/>
              <w:spacing w:after="0" w:line="276" w:lineRule="auto"/>
              <w:rPr>
                <w:rFonts w:eastAsia="Calibri"/>
                <w:sz w:val="20"/>
                <w:szCs w:val="20"/>
              </w:rPr>
            </w:pPr>
          </w:p>
        </w:tc>
        <w:tc>
          <w:tcPr>
            <w:tcW w:w="2130" w:type="dxa"/>
            <w:vMerge/>
          </w:tcPr>
          <w:p w14:paraId="68090F3E" w14:textId="77777777" w:rsidR="00CF33D9" w:rsidRDefault="00CF33D9">
            <w:pPr>
              <w:widowControl w:val="0"/>
              <w:spacing w:after="0" w:line="276" w:lineRule="auto"/>
              <w:rPr>
                <w:rFonts w:eastAsia="Calibri"/>
                <w:sz w:val="20"/>
                <w:szCs w:val="20"/>
              </w:rPr>
            </w:pPr>
          </w:p>
        </w:tc>
        <w:tc>
          <w:tcPr>
            <w:tcW w:w="2588" w:type="dxa"/>
          </w:tcPr>
          <w:p w14:paraId="68090F3F" w14:textId="77777777" w:rsidR="00CF33D9" w:rsidRDefault="00E3332A">
            <w:pPr>
              <w:rPr>
                <w:rFonts w:eastAsia="Calibri"/>
                <w:sz w:val="20"/>
                <w:szCs w:val="20"/>
              </w:rPr>
            </w:pPr>
            <w:r>
              <w:rPr>
                <w:rFonts w:eastAsia="Calibri"/>
                <w:color w:val="000000"/>
                <w:sz w:val="20"/>
                <w:szCs w:val="20"/>
              </w:rPr>
              <w:t>1.1.2 Enhanced management plans  of selected MPAs recognizing the ecological, socioeconomic, and institutional linkages and strategies to address threats that disrupt connectivity and marine ecosystem functionalities prepared with a participatory, climate and gender sensitive approach</w:t>
            </w:r>
          </w:p>
        </w:tc>
        <w:tc>
          <w:tcPr>
            <w:tcW w:w="335" w:type="dxa"/>
            <w:tcBorders>
              <w:bottom w:val="single" w:sz="4" w:space="0" w:color="000000"/>
            </w:tcBorders>
          </w:tcPr>
          <w:p w14:paraId="68090F40" w14:textId="77777777" w:rsidR="00CF33D9" w:rsidRDefault="00CF33D9">
            <w:pPr>
              <w:rPr>
                <w:rFonts w:eastAsia="Calibri"/>
                <w:sz w:val="20"/>
                <w:szCs w:val="20"/>
              </w:rPr>
            </w:pPr>
          </w:p>
        </w:tc>
        <w:tc>
          <w:tcPr>
            <w:tcW w:w="335" w:type="dxa"/>
            <w:tcBorders>
              <w:bottom w:val="single" w:sz="4" w:space="0" w:color="000000"/>
            </w:tcBorders>
          </w:tcPr>
          <w:p w14:paraId="68090F41" w14:textId="77777777" w:rsidR="00CF33D9" w:rsidRDefault="00CF33D9">
            <w:pPr>
              <w:rPr>
                <w:rFonts w:eastAsia="Calibri"/>
                <w:sz w:val="20"/>
                <w:szCs w:val="20"/>
              </w:rPr>
            </w:pPr>
          </w:p>
        </w:tc>
        <w:tc>
          <w:tcPr>
            <w:tcW w:w="335" w:type="dxa"/>
            <w:tcBorders>
              <w:bottom w:val="single" w:sz="4" w:space="0" w:color="000000"/>
            </w:tcBorders>
          </w:tcPr>
          <w:p w14:paraId="68090F42" w14:textId="77777777" w:rsidR="00CF33D9" w:rsidRDefault="00CF33D9">
            <w:pPr>
              <w:rPr>
                <w:rFonts w:eastAsia="Calibri"/>
                <w:sz w:val="20"/>
                <w:szCs w:val="20"/>
              </w:rPr>
            </w:pPr>
          </w:p>
        </w:tc>
        <w:tc>
          <w:tcPr>
            <w:tcW w:w="335" w:type="dxa"/>
            <w:tcBorders>
              <w:bottom w:val="single" w:sz="4" w:space="0" w:color="000000"/>
            </w:tcBorders>
          </w:tcPr>
          <w:p w14:paraId="68090F43"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0F44"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0F45"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0F46"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0F47" w14:textId="77777777" w:rsidR="00CF33D9" w:rsidRDefault="00CF33D9">
            <w:pPr>
              <w:rPr>
                <w:rFonts w:eastAsia="Calibri"/>
                <w:sz w:val="20"/>
                <w:szCs w:val="20"/>
              </w:rPr>
            </w:pPr>
          </w:p>
        </w:tc>
        <w:tc>
          <w:tcPr>
            <w:tcW w:w="336" w:type="dxa"/>
            <w:shd w:val="clear" w:color="auto" w:fill="00B0F0"/>
          </w:tcPr>
          <w:p w14:paraId="68090F48" w14:textId="77777777" w:rsidR="00CF33D9" w:rsidRDefault="00CF33D9">
            <w:pPr>
              <w:rPr>
                <w:rFonts w:eastAsia="Calibri"/>
                <w:sz w:val="20"/>
                <w:szCs w:val="20"/>
              </w:rPr>
            </w:pPr>
          </w:p>
        </w:tc>
        <w:tc>
          <w:tcPr>
            <w:tcW w:w="336" w:type="dxa"/>
            <w:shd w:val="clear" w:color="auto" w:fill="00B0F0"/>
          </w:tcPr>
          <w:p w14:paraId="68090F49" w14:textId="77777777" w:rsidR="00CF33D9" w:rsidRDefault="00CF33D9">
            <w:pPr>
              <w:rPr>
                <w:rFonts w:eastAsia="Calibri"/>
                <w:sz w:val="20"/>
                <w:szCs w:val="20"/>
              </w:rPr>
            </w:pPr>
          </w:p>
        </w:tc>
        <w:tc>
          <w:tcPr>
            <w:tcW w:w="336" w:type="dxa"/>
            <w:shd w:val="clear" w:color="auto" w:fill="00B0F0"/>
          </w:tcPr>
          <w:p w14:paraId="68090F4A" w14:textId="77777777" w:rsidR="00CF33D9" w:rsidRDefault="00CF33D9">
            <w:pPr>
              <w:rPr>
                <w:rFonts w:eastAsia="Calibri"/>
                <w:sz w:val="20"/>
                <w:szCs w:val="20"/>
              </w:rPr>
            </w:pPr>
          </w:p>
        </w:tc>
        <w:tc>
          <w:tcPr>
            <w:tcW w:w="336" w:type="dxa"/>
            <w:shd w:val="clear" w:color="auto" w:fill="00B0F0"/>
          </w:tcPr>
          <w:p w14:paraId="68090F4B" w14:textId="77777777" w:rsidR="00CF33D9" w:rsidRDefault="00CF33D9">
            <w:pPr>
              <w:rPr>
                <w:rFonts w:eastAsia="Calibri"/>
                <w:sz w:val="20"/>
                <w:szCs w:val="20"/>
              </w:rPr>
            </w:pPr>
          </w:p>
        </w:tc>
        <w:tc>
          <w:tcPr>
            <w:tcW w:w="336" w:type="dxa"/>
            <w:shd w:val="clear" w:color="auto" w:fill="00B0F0"/>
          </w:tcPr>
          <w:p w14:paraId="68090F4C" w14:textId="77777777" w:rsidR="00CF33D9" w:rsidRDefault="00CF33D9">
            <w:pPr>
              <w:rPr>
                <w:rFonts w:eastAsia="Calibri"/>
                <w:sz w:val="20"/>
                <w:szCs w:val="20"/>
              </w:rPr>
            </w:pPr>
          </w:p>
        </w:tc>
        <w:tc>
          <w:tcPr>
            <w:tcW w:w="336" w:type="dxa"/>
            <w:shd w:val="clear" w:color="auto" w:fill="00B0F0"/>
          </w:tcPr>
          <w:p w14:paraId="68090F4D" w14:textId="77777777" w:rsidR="00CF33D9" w:rsidRDefault="00CF33D9">
            <w:pPr>
              <w:rPr>
                <w:rFonts w:eastAsia="Calibri"/>
                <w:sz w:val="20"/>
                <w:szCs w:val="20"/>
              </w:rPr>
            </w:pPr>
          </w:p>
        </w:tc>
        <w:tc>
          <w:tcPr>
            <w:tcW w:w="336" w:type="dxa"/>
            <w:shd w:val="clear" w:color="auto" w:fill="00B0F0"/>
          </w:tcPr>
          <w:p w14:paraId="68090F4E" w14:textId="77777777" w:rsidR="00CF33D9" w:rsidRDefault="00CF33D9">
            <w:pPr>
              <w:rPr>
                <w:rFonts w:eastAsia="Calibri"/>
                <w:sz w:val="20"/>
                <w:szCs w:val="20"/>
              </w:rPr>
            </w:pPr>
          </w:p>
        </w:tc>
        <w:tc>
          <w:tcPr>
            <w:tcW w:w="336" w:type="dxa"/>
            <w:shd w:val="clear" w:color="auto" w:fill="00B0F0"/>
          </w:tcPr>
          <w:p w14:paraId="68090F4F" w14:textId="77777777" w:rsidR="00CF33D9" w:rsidRDefault="00CF33D9">
            <w:pPr>
              <w:rPr>
                <w:rFonts w:eastAsia="Calibri"/>
                <w:sz w:val="20"/>
                <w:szCs w:val="20"/>
              </w:rPr>
            </w:pPr>
          </w:p>
        </w:tc>
        <w:tc>
          <w:tcPr>
            <w:tcW w:w="336" w:type="dxa"/>
            <w:shd w:val="clear" w:color="auto" w:fill="00B0F0"/>
          </w:tcPr>
          <w:p w14:paraId="68090F50" w14:textId="77777777" w:rsidR="00CF33D9" w:rsidRDefault="00CF33D9">
            <w:pPr>
              <w:rPr>
                <w:rFonts w:eastAsia="Calibri"/>
                <w:sz w:val="20"/>
                <w:szCs w:val="20"/>
              </w:rPr>
            </w:pPr>
          </w:p>
        </w:tc>
        <w:tc>
          <w:tcPr>
            <w:tcW w:w="336" w:type="dxa"/>
            <w:shd w:val="clear" w:color="auto" w:fill="00B0F0"/>
          </w:tcPr>
          <w:p w14:paraId="68090F51" w14:textId="77777777" w:rsidR="00CF33D9" w:rsidRDefault="00CF33D9">
            <w:pPr>
              <w:rPr>
                <w:rFonts w:eastAsia="Calibri"/>
                <w:sz w:val="20"/>
                <w:szCs w:val="20"/>
              </w:rPr>
            </w:pPr>
          </w:p>
        </w:tc>
        <w:tc>
          <w:tcPr>
            <w:tcW w:w="336" w:type="dxa"/>
            <w:shd w:val="clear" w:color="auto" w:fill="00B0F0"/>
          </w:tcPr>
          <w:p w14:paraId="68090F52" w14:textId="77777777" w:rsidR="00CF33D9" w:rsidRDefault="00CF33D9">
            <w:pPr>
              <w:rPr>
                <w:rFonts w:eastAsia="Calibri"/>
                <w:sz w:val="20"/>
                <w:szCs w:val="20"/>
              </w:rPr>
            </w:pPr>
          </w:p>
        </w:tc>
        <w:tc>
          <w:tcPr>
            <w:tcW w:w="336" w:type="dxa"/>
            <w:shd w:val="clear" w:color="auto" w:fill="00B0F0"/>
          </w:tcPr>
          <w:p w14:paraId="68090F53" w14:textId="77777777" w:rsidR="00CF33D9" w:rsidRDefault="00CF33D9">
            <w:pPr>
              <w:rPr>
                <w:rFonts w:eastAsia="Calibri"/>
                <w:sz w:val="20"/>
                <w:szCs w:val="20"/>
              </w:rPr>
            </w:pPr>
          </w:p>
        </w:tc>
        <w:tc>
          <w:tcPr>
            <w:tcW w:w="336" w:type="dxa"/>
          </w:tcPr>
          <w:p w14:paraId="68090F54" w14:textId="77777777" w:rsidR="00CF33D9" w:rsidRDefault="00CF33D9">
            <w:pPr>
              <w:rPr>
                <w:rFonts w:eastAsia="Calibri"/>
                <w:sz w:val="20"/>
                <w:szCs w:val="20"/>
              </w:rPr>
            </w:pPr>
          </w:p>
        </w:tc>
        <w:tc>
          <w:tcPr>
            <w:tcW w:w="336" w:type="dxa"/>
          </w:tcPr>
          <w:p w14:paraId="68090F55" w14:textId="77777777" w:rsidR="00CF33D9" w:rsidRDefault="00CF33D9">
            <w:pPr>
              <w:rPr>
                <w:rFonts w:eastAsia="Calibri"/>
                <w:sz w:val="20"/>
                <w:szCs w:val="20"/>
              </w:rPr>
            </w:pPr>
          </w:p>
        </w:tc>
        <w:tc>
          <w:tcPr>
            <w:tcW w:w="336" w:type="dxa"/>
          </w:tcPr>
          <w:p w14:paraId="68090F56" w14:textId="77777777" w:rsidR="00CF33D9" w:rsidRDefault="00CF33D9">
            <w:pPr>
              <w:rPr>
                <w:rFonts w:eastAsia="Calibri"/>
                <w:sz w:val="20"/>
                <w:szCs w:val="20"/>
              </w:rPr>
            </w:pPr>
          </w:p>
        </w:tc>
        <w:tc>
          <w:tcPr>
            <w:tcW w:w="336" w:type="dxa"/>
          </w:tcPr>
          <w:p w14:paraId="68090F57" w14:textId="77777777" w:rsidR="00CF33D9" w:rsidRDefault="00CF33D9">
            <w:pPr>
              <w:rPr>
                <w:rFonts w:eastAsia="Calibri"/>
                <w:sz w:val="20"/>
                <w:szCs w:val="20"/>
              </w:rPr>
            </w:pPr>
          </w:p>
        </w:tc>
      </w:tr>
      <w:tr w:rsidR="00CF33D9" w14:paraId="68090F74" w14:textId="77777777">
        <w:trPr>
          <w:trHeight w:val="872"/>
        </w:trPr>
        <w:tc>
          <w:tcPr>
            <w:tcW w:w="1413" w:type="dxa"/>
            <w:vMerge/>
          </w:tcPr>
          <w:p w14:paraId="68090F59" w14:textId="77777777" w:rsidR="00CF33D9" w:rsidRDefault="00CF33D9">
            <w:pPr>
              <w:widowControl w:val="0"/>
              <w:spacing w:after="0" w:line="276" w:lineRule="auto"/>
              <w:rPr>
                <w:rFonts w:eastAsia="Calibri"/>
                <w:sz w:val="20"/>
                <w:szCs w:val="20"/>
              </w:rPr>
            </w:pPr>
          </w:p>
        </w:tc>
        <w:tc>
          <w:tcPr>
            <w:tcW w:w="2130" w:type="dxa"/>
            <w:vMerge/>
          </w:tcPr>
          <w:p w14:paraId="68090F5A" w14:textId="77777777" w:rsidR="00CF33D9" w:rsidRDefault="00CF33D9">
            <w:pPr>
              <w:widowControl w:val="0"/>
              <w:spacing w:after="0" w:line="276" w:lineRule="auto"/>
              <w:rPr>
                <w:rFonts w:eastAsia="Calibri"/>
                <w:sz w:val="20"/>
                <w:szCs w:val="20"/>
              </w:rPr>
            </w:pPr>
          </w:p>
        </w:tc>
        <w:tc>
          <w:tcPr>
            <w:tcW w:w="2588" w:type="dxa"/>
          </w:tcPr>
          <w:p w14:paraId="68090F5B" w14:textId="77777777" w:rsidR="00CF33D9" w:rsidRDefault="00E3332A">
            <w:pPr>
              <w:rPr>
                <w:rFonts w:eastAsia="Calibri"/>
                <w:sz w:val="20"/>
                <w:szCs w:val="20"/>
              </w:rPr>
            </w:pPr>
            <w:r>
              <w:rPr>
                <w:rFonts w:eastAsia="Calibri"/>
                <w:color w:val="000000"/>
                <w:sz w:val="20"/>
                <w:szCs w:val="20"/>
              </w:rPr>
              <w:t xml:space="preserve">1.1.3: </w:t>
            </w:r>
            <w:r>
              <w:rPr>
                <w:rFonts w:eastAsia="Calibri"/>
                <w:sz w:val="20"/>
                <w:szCs w:val="20"/>
              </w:rPr>
              <w:t>Strengthened legal and institutional capacity for the implementation of ecosystem-based marine spatial planning</w:t>
            </w:r>
          </w:p>
        </w:tc>
        <w:tc>
          <w:tcPr>
            <w:tcW w:w="335" w:type="dxa"/>
            <w:shd w:val="clear" w:color="auto" w:fill="00B0F0"/>
          </w:tcPr>
          <w:p w14:paraId="68090F5C" w14:textId="77777777" w:rsidR="00CF33D9" w:rsidRDefault="00CF33D9">
            <w:pPr>
              <w:rPr>
                <w:rFonts w:eastAsia="Calibri"/>
                <w:sz w:val="20"/>
                <w:szCs w:val="20"/>
              </w:rPr>
            </w:pPr>
          </w:p>
        </w:tc>
        <w:tc>
          <w:tcPr>
            <w:tcW w:w="335" w:type="dxa"/>
            <w:shd w:val="clear" w:color="auto" w:fill="00B0F0"/>
          </w:tcPr>
          <w:p w14:paraId="68090F5D" w14:textId="77777777" w:rsidR="00CF33D9" w:rsidRDefault="00CF33D9">
            <w:pPr>
              <w:rPr>
                <w:rFonts w:eastAsia="Calibri"/>
                <w:sz w:val="20"/>
                <w:szCs w:val="20"/>
              </w:rPr>
            </w:pPr>
          </w:p>
        </w:tc>
        <w:tc>
          <w:tcPr>
            <w:tcW w:w="335" w:type="dxa"/>
            <w:shd w:val="clear" w:color="auto" w:fill="00B0F0"/>
          </w:tcPr>
          <w:p w14:paraId="68090F5E" w14:textId="77777777" w:rsidR="00CF33D9" w:rsidRDefault="00CF33D9">
            <w:pPr>
              <w:rPr>
                <w:rFonts w:eastAsia="Calibri"/>
                <w:sz w:val="20"/>
                <w:szCs w:val="20"/>
              </w:rPr>
            </w:pPr>
          </w:p>
        </w:tc>
        <w:tc>
          <w:tcPr>
            <w:tcW w:w="335" w:type="dxa"/>
            <w:shd w:val="clear" w:color="auto" w:fill="00B0F0"/>
          </w:tcPr>
          <w:p w14:paraId="68090F5F" w14:textId="77777777" w:rsidR="00CF33D9" w:rsidRDefault="00CF33D9">
            <w:pPr>
              <w:rPr>
                <w:rFonts w:eastAsia="Calibri"/>
                <w:sz w:val="20"/>
                <w:szCs w:val="20"/>
              </w:rPr>
            </w:pPr>
          </w:p>
        </w:tc>
        <w:tc>
          <w:tcPr>
            <w:tcW w:w="335" w:type="dxa"/>
            <w:shd w:val="clear" w:color="auto" w:fill="00B0F0"/>
          </w:tcPr>
          <w:p w14:paraId="68090F60" w14:textId="77777777" w:rsidR="00CF33D9" w:rsidRDefault="00CF33D9">
            <w:pPr>
              <w:rPr>
                <w:rFonts w:eastAsia="Calibri"/>
                <w:sz w:val="20"/>
                <w:szCs w:val="20"/>
              </w:rPr>
            </w:pPr>
          </w:p>
        </w:tc>
        <w:tc>
          <w:tcPr>
            <w:tcW w:w="335" w:type="dxa"/>
            <w:shd w:val="clear" w:color="auto" w:fill="00B0F0"/>
          </w:tcPr>
          <w:p w14:paraId="68090F61"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0F62"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0F63" w14:textId="77777777" w:rsidR="00CF33D9" w:rsidRDefault="00CF33D9">
            <w:pPr>
              <w:rPr>
                <w:rFonts w:eastAsia="Calibri"/>
                <w:sz w:val="20"/>
                <w:szCs w:val="20"/>
              </w:rPr>
            </w:pPr>
          </w:p>
        </w:tc>
        <w:tc>
          <w:tcPr>
            <w:tcW w:w="336" w:type="dxa"/>
            <w:tcBorders>
              <w:bottom w:val="single" w:sz="4" w:space="0" w:color="000000"/>
            </w:tcBorders>
          </w:tcPr>
          <w:p w14:paraId="68090F64" w14:textId="77777777" w:rsidR="00CF33D9" w:rsidRDefault="00CF33D9">
            <w:pPr>
              <w:rPr>
                <w:rFonts w:eastAsia="Calibri"/>
                <w:sz w:val="20"/>
                <w:szCs w:val="20"/>
              </w:rPr>
            </w:pPr>
          </w:p>
        </w:tc>
        <w:tc>
          <w:tcPr>
            <w:tcW w:w="336" w:type="dxa"/>
            <w:tcBorders>
              <w:bottom w:val="single" w:sz="4" w:space="0" w:color="000000"/>
            </w:tcBorders>
          </w:tcPr>
          <w:p w14:paraId="68090F65" w14:textId="77777777" w:rsidR="00CF33D9" w:rsidRDefault="00CF33D9">
            <w:pPr>
              <w:rPr>
                <w:rFonts w:eastAsia="Calibri"/>
                <w:sz w:val="20"/>
                <w:szCs w:val="20"/>
              </w:rPr>
            </w:pPr>
          </w:p>
        </w:tc>
        <w:tc>
          <w:tcPr>
            <w:tcW w:w="336" w:type="dxa"/>
            <w:tcBorders>
              <w:bottom w:val="single" w:sz="4" w:space="0" w:color="000000"/>
            </w:tcBorders>
          </w:tcPr>
          <w:p w14:paraId="68090F66" w14:textId="77777777" w:rsidR="00CF33D9" w:rsidRDefault="00CF33D9">
            <w:pPr>
              <w:rPr>
                <w:rFonts w:eastAsia="Calibri"/>
                <w:sz w:val="20"/>
                <w:szCs w:val="20"/>
              </w:rPr>
            </w:pPr>
          </w:p>
        </w:tc>
        <w:tc>
          <w:tcPr>
            <w:tcW w:w="336" w:type="dxa"/>
            <w:tcBorders>
              <w:bottom w:val="single" w:sz="4" w:space="0" w:color="000000"/>
            </w:tcBorders>
          </w:tcPr>
          <w:p w14:paraId="68090F67" w14:textId="77777777" w:rsidR="00CF33D9" w:rsidRDefault="00CF33D9">
            <w:pPr>
              <w:rPr>
                <w:rFonts w:eastAsia="Calibri"/>
                <w:sz w:val="20"/>
                <w:szCs w:val="20"/>
              </w:rPr>
            </w:pPr>
          </w:p>
        </w:tc>
        <w:tc>
          <w:tcPr>
            <w:tcW w:w="336" w:type="dxa"/>
            <w:tcBorders>
              <w:bottom w:val="single" w:sz="4" w:space="0" w:color="000000"/>
            </w:tcBorders>
          </w:tcPr>
          <w:p w14:paraId="68090F68" w14:textId="77777777" w:rsidR="00CF33D9" w:rsidRDefault="00CF33D9">
            <w:pPr>
              <w:rPr>
                <w:rFonts w:eastAsia="Calibri"/>
                <w:sz w:val="20"/>
                <w:szCs w:val="20"/>
              </w:rPr>
            </w:pPr>
          </w:p>
        </w:tc>
        <w:tc>
          <w:tcPr>
            <w:tcW w:w="336" w:type="dxa"/>
            <w:tcBorders>
              <w:bottom w:val="single" w:sz="4" w:space="0" w:color="000000"/>
            </w:tcBorders>
          </w:tcPr>
          <w:p w14:paraId="68090F69" w14:textId="77777777" w:rsidR="00CF33D9" w:rsidRDefault="00CF33D9">
            <w:pPr>
              <w:rPr>
                <w:rFonts w:eastAsia="Calibri"/>
                <w:sz w:val="20"/>
                <w:szCs w:val="20"/>
              </w:rPr>
            </w:pPr>
          </w:p>
        </w:tc>
        <w:tc>
          <w:tcPr>
            <w:tcW w:w="336" w:type="dxa"/>
            <w:tcBorders>
              <w:bottom w:val="single" w:sz="4" w:space="0" w:color="000000"/>
            </w:tcBorders>
          </w:tcPr>
          <w:p w14:paraId="68090F6A" w14:textId="77777777" w:rsidR="00CF33D9" w:rsidRDefault="00CF33D9">
            <w:pPr>
              <w:rPr>
                <w:rFonts w:eastAsia="Calibri"/>
                <w:sz w:val="20"/>
                <w:szCs w:val="20"/>
              </w:rPr>
            </w:pPr>
          </w:p>
        </w:tc>
        <w:tc>
          <w:tcPr>
            <w:tcW w:w="336" w:type="dxa"/>
            <w:tcBorders>
              <w:bottom w:val="single" w:sz="4" w:space="0" w:color="000000"/>
            </w:tcBorders>
          </w:tcPr>
          <w:p w14:paraId="68090F6B" w14:textId="77777777" w:rsidR="00CF33D9" w:rsidRDefault="00CF33D9">
            <w:pPr>
              <w:rPr>
                <w:rFonts w:eastAsia="Calibri"/>
                <w:sz w:val="20"/>
                <w:szCs w:val="20"/>
              </w:rPr>
            </w:pPr>
          </w:p>
        </w:tc>
        <w:tc>
          <w:tcPr>
            <w:tcW w:w="336" w:type="dxa"/>
          </w:tcPr>
          <w:p w14:paraId="68090F6C" w14:textId="77777777" w:rsidR="00CF33D9" w:rsidRDefault="00CF33D9">
            <w:pPr>
              <w:rPr>
                <w:rFonts w:eastAsia="Calibri"/>
                <w:sz w:val="20"/>
                <w:szCs w:val="20"/>
              </w:rPr>
            </w:pPr>
          </w:p>
        </w:tc>
        <w:tc>
          <w:tcPr>
            <w:tcW w:w="336" w:type="dxa"/>
          </w:tcPr>
          <w:p w14:paraId="68090F6D" w14:textId="77777777" w:rsidR="00CF33D9" w:rsidRDefault="00CF33D9">
            <w:pPr>
              <w:rPr>
                <w:rFonts w:eastAsia="Calibri"/>
                <w:sz w:val="20"/>
                <w:szCs w:val="20"/>
              </w:rPr>
            </w:pPr>
          </w:p>
        </w:tc>
        <w:tc>
          <w:tcPr>
            <w:tcW w:w="336" w:type="dxa"/>
          </w:tcPr>
          <w:p w14:paraId="68090F6E" w14:textId="77777777" w:rsidR="00CF33D9" w:rsidRDefault="00CF33D9">
            <w:pPr>
              <w:rPr>
                <w:rFonts w:eastAsia="Calibri"/>
                <w:sz w:val="20"/>
                <w:szCs w:val="20"/>
              </w:rPr>
            </w:pPr>
          </w:p>
        </w:tc>
        <w:tc>
          <w:tcPr>
            <w:tcW w:w="336" w:type="dxa"/>
          </w:tcPr>
          <w:p w14:paraId="68090F6F" w14:textId="77777777" w:rsidR="00CF33D9" w:rsidRDefault="00CF33D9">
            <w:pPr>
              <w:rPr>
                <w:rFonts w:eastAsia="Calibri"/>
                <w:sz w:val="20"/>
                <w:szCs w:val="20"/>
              </w:rPr>
            </w:pPr>
          </w:p>
        </w:tc>
        <w:tc>
          <w:tcPr>
            <w:tcW w:w="336" w:type="dxa"/>
          </w:tcPr>
          <w:p w14:paraId="68090F70" w14:textId="77777777" w:rsidR="00CF33D9" w:rsidRDefault="00CF33D9">
            <w:pPr>
              <w:rPr>
                <w:rFonts w:eastAsia="Calibri"/>
                <w:sz w:val="20"/>
                <w:szCs w:val="20"/>
              </w:rPr>
            </w:pPr>
          </w:p>
        </w:tc>
        <w:tc>
          <w:tcPr>
            <w:tcW w:w="336" w:type="dxa"/>
          </w:tcPr>
          <w:p w14:paraId="68090F71" w14:textId="77777777" w:rsidR="00CF33D9" w:rsidRDefault="00CF33D9">
            <w:pPr>
              <w:rPr>
                <w:rFonts w:eastAsia="Calibri"/>
                <w:sz w:val="20"/>
                <w:szCs w:val="20"/>
              </w:rPr>
            </w:pPr>
          </w:p>
        </w:tc>
        <w:tc>
          <w:tcPr>
            <w:tcW w:w="336" w:type="dxa"/>
          </w:tcPr>
          <w:p w14:paraId="68090F72" w14:textId="77777777" w:rsidR="00CF33D9" w:rsidRDefault="00CF33D9">
            <w:pPr>
              <w:rPr>
                <w:rFonts w:eastAsia="Calibri"/>
                <w:sz w:val="20"/>
                <w:szCs w:val="20"/>
              </w:rPr>
            </w:pPr>
          </w:p>
        </w:tc>
        <w:tc>
          <w:tcPr>
            <w:tcW w:w="336" w:type="dxa"/>
          </w:tcPr>
          <w:p w14:paraId="68090F73" w14:textId="77777777" w:rsidR="00CF33D9" w:rsidRDefault="00CF33D9">
            <w:pPr>
              <w:rPr>
                <w:rFonts w:eastAsia="Calibri"/>
                <w:sz w:val="20"/>
                <w:szCs w:val="20"/>
              </w:rPr>
            </w:pPr>
          </w:p>
        </w:tc>
      </w:tr>
      <w:tr w:rsidR="00CF33D9" w14:paraId="68090F90" w14:textId="77777777">
        <w:tc>
          <w:tcPr>
            <w:tcW w:w="1413" w:type="dxa"/>
            <w:vMerge/>
          </w:tcPr>
          <w:p w14:paraId="68090F75" w14:textId="77777777" w:rsidR="00CF33D9" w:rsidRDefault="00CF33D9">
            <w:pPr>
              <w:widowControl w:val="0"/>
              <w:spacing w:after="0" w:line="276" w:lineRule="auto"/>
              <w:rPr>
                <w:rFonts w:eastAsia="Calibri"/>
                <w:sz w:val="20"/>
                <w:szCs w:val="20"/>
              </w:rPr>
            </w:pPr>
          </w:p>
        </w:tc>
        <w:tc>
          <w:tcPr>
            <w:tcW w:w="2130" w:type="dxa"/>
            <w:vMerge/>
          </w:tcPr>
          <w:p w14:paraId="68090F76" w14:textId="77777777" w:rsidR="00CF33D9" w:rsidRDefault="00CF33D9">
            <w:pPr>
              <w:widowControl w:val="0"/>
              <w:spacing w:after="0" w:line="276" w:lineRule="auto"/>
              <w:rPr>
                <w:rFonts w:eastAsia="Calibri"/>
                <w:sz w:val="20"/>
                <w:szCs w:val="20"/>
              </w:rPr>
            </w:pPr>
          </w:p>
        </w:tc>
        <w:tc>
          <w:tcPr>
            <w:tcW w:w="2588" w:type="dxa"/>
          </w:tcPr>
          <w:p w14:paraId="68090F77" w14:textId="77777777" w:rsidR="00CF33D9" w:rsidRDefault="00E3332A">
            <w:pPr>
              <w:rPr>
                <w:rFonts w:eastAsia="Calibri"/>
                <w:sz w:val="20"/>
                <w:szCs w:val="20"/>
              </w:rPr>
            </w:pPr>
            <w:r>
              <w:rPr>
                <w:rFonts w:eastAsia="Calibri"/>
                <w:color w:val="000000"/>
                <w:sz w:val="20"/>
                <w:szCs w:val="20"/>
              </w:rPr>
              <w:t xml:space="preserve">1.1.4: </w:t>
            </w:r>
            <w:r>
              <w:rPr>
                <w:rFonts w:eastAsia="Calibri"/>
                <w:sz w:val="20"/>
                <w:szCs w:val="20"/>
              </w:rPr>
              <w:t xml:space="preserve">Participatory ecosystem-based marine spatial plans prepared for </w:t>
            </w:r>
            <w:r>
              <w:rPr>
                <w:rFonts w:eastAsia="Calibri"/>
                <w:sz w:val="20"/>
                <w:szCs w:val="20"/>
              </w:rPr>
              <w:lastRenderedPageBreak/>
              <w:t>areas not yet covered by MSP</w:t>
            </w:r>
          </w:p>
        </w:tc>
        <w:tc>
          <w:tcPr>
            <w:tcW w:w="335" w:type="dxa"/>
            <w:shd w:val="clear" w:color="auto" w:fill="00B0F0"/>
          </w:tcPr>
          <w:p w14:paraId="68090F78" w14:textId="77777777" w:rsidR="00CF33D9" w:rsidRDefault="00CF33D9">
            <w:pPr>
              <w:rPr>
                <w:rFonts w:eastAsia="Calibri"/>
                <w:sz w:val="20"/>
                <w:szCs w:val="20"/>
              </w:rPr>
            </w:pPr>
          </w:p>
        </w:tc>
        <w:tc>
          <w:tcPr>
            <w:tcW w:w="335" w:type="dxa"/>
            <w:shd w:val="clear" w:color="auto" w:fill="00B0F0"/>
          </w:tcPr>
          <w:p w14:paraId="68090F79"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0F7A"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0F7B"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0F7C"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0F7D"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0F7E"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0F7F"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0F80"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0F81"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0F82"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0F83"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0F84"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0F85"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0F86"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0F87" w14:textId="77777777" w:rsidR="00CF33D9" w:rsidRDefault="00CF33D9">
            <w:pPr>
              <w:rPr>
                <w:rFonts w:eastAsia="Calibri"/>
                <w:sz w:val="20"/>
                <w:szCs w:val="20"/>
              </w:rPr>
            </w:pPr>
          </w:p>
        </w:tc>
        <w:tc>
          <w:tcPr>
            <w:tcW w:w="336" w:type="dxa"/>
            <w:tcBorders>
              <w:bottom w:val="single" w:sz="4" w:space="0" w:color="000000"/>
            </w:tcBorders>
          </w:tcPr>
          <w:p w14:paraId="68090F88" w14:textId="77777777" w:rsidR="00CF33D9" w:rsidRDefault="00CF33D9">
            <w:pPr>
              <w:rPr>
                <w:rFonts w:eastAsia="Calibri"/>
                <w:sz w:val="20"/>
                <w:szCs w:val="20"/>
              </w:rPr>
            </w:pPr>
          </w:p>
        </w:tc>
        <w:tc>
          <w:tcPr>
            <w:tcW w:w="336" w:type="dxa"/>
            <w:tcBorders>
              <w:bottom w:val="single" w:sz="4" w:space="0" w:color="000000"/>
            </w:tcBorders>
          </w:tcPr>
          <w:p w14:paraId="68090F89" w14:textId="77777777" w:rsidR="00CF33D9" w:rsidRDefault="00CF33D9">
            <w:pPr>
              <w:rPr>
                <w:rFonts w:eastAsia="Calibri"/>
                <w:sz w:val="20"/>
                <w:szCs w:val="20"/>
              </w:rPr>
            </w:pPr>
          </w:p>
        </w:tc>
        <w:tc>
          <w:tcPr>
            <w:tcW w:w="336" w:type="dxa"/>
            <w:tcBorders>
              <w:bottom w:val="single" w:sz="4" w:space="0" w:color="000000"/>
            </w:tcBorders>
          </w:tcPr>
          <w:p w14:paraId="68090F8A" w14:textId="77777777" w:rsidR="00CF33D9" w:rsidRDefault="00CF33D9">
            <w:pPr>
              <w:rPr>
                <w:rFonts w:eastAsia="Calibri"/>
                <w:sz w:val="20"/>
                <w:szCs w:val="20"/>
              </w:rPr>
            </w:pPr>
          </w:p>
        </w:tc>
        <w:tc>
          <w:tcPr>
            <w:tcW w:w="336" w:type="dxa"/>
            <w:tcBorders>
              <w:bottom w:val="single" w:sz="4" w:space="0" w:color="000000"/>
            </w:tcBorders>
          </w:tcPr>
          <w:p w14:paraId="68090F8B" w14:textId="77777777" w:rsidR="00CF33D9" w:rsidRDefault="00CF33D9">
            <w:pPr>
              <w:rPr>
                <w:rFonts w:eastAsia="Calibri"/>
                <w:sz w:val="20"/>
                <w:szCs w:val="20"/>
              </w:rPr>
            </w:pPr>
          </w:p>
        </w:tc>
        <w:tc>
          <w:tcPr>
            <w:tcW w:w="336" w:type="dxa"/>
            <w:tcBorders>
              <w:bottom w:val="single" w:sz="4" w:space="0" w:color="000000"/>
            </w:tcBorders>
          </w:tcPr>
          <w:p w14:paraId="68090F8C" w14:textId="77777777" w:rsidR="00CF33D9" w:rsidRDefault="00CF33D9">
            <w:pPr>
              <w:rPr>
                <w:rFonts w:eastAsia="Calibri"/>
                <w:sz w:val="20"/>
                <w:szCs w:val="20"/>
              </w:rPr>
            </w:pPr>
          </w:p>
        </w:tc>
        <w:tc>
          <w:tcPr>
            <w:tcW w:w="336" w:type="dxa"/>
            <w:tcBorders>
              <w:bottom w:val="single" w:sz="4" w:space="0" w:color="000000"/>
            </w:tcBorders>
          </w:tcPr>
          <w:p w14:paraId="68090F8D" w14:textId="77777777" w:rsidR="00CF33D9" w:rsidRDefault="00CF33D9">
            <w:pPr>
              <w:rPr>
                <w:rFonts w:eastAsia="Calibri"/>
                <w:sz w:val="20"/>
                <w:szCs w:val="20"/>
              </w:rPr>
            </w:pPr>
          </w:p>
        </w:tc>
        <w:tc>
          <w:tcPr>
            <w:tcW w:w="336" w:type="dxa"/>
          </w:tcPr>
          <w:p w14:paraId="68090F8E" w14:textId="77777777" w:rsidR="00CF33D9" w:rsidRDefault="00CF33D9">
            <w:pPr>
              <w:rPr>
                <w:rFonts w:eastAsia="Calibri"/>
                <w:sz w:val="20"/>
                <w:szCs w:val="20"/>
              </w:rPr>
            </w:pPr>
          </w:p>
        </w:tc>
        <w:tc>
          <w:tcPr>
            <w:tcW w:w="336" w:type="dxa"/>
          </w:tcPr>
          <w:p w14:paraId="68090F8F" w14:textId="77777777" w:rsidR="00CF33D9" w:rsidRDefault="00CF33D9">
            <w:pPr>
              <w:rPr>
                <w:rFonts w:eastAsia="Calibri"/>
                <w:sz w:val="20"/>
                <w:szCs w:val="20"/>
              </w:rPr>
            </w:pPr>
          </w:p>
        </w:tc>
      </w:tr>
      <w:tr w:rsidR="00CF33D9" w14:paraId="68090FAC" w14:textId="77777777">
        <w:tc>
          <w:tcPr>
            <w:tcW w:w="1413" w:type="dxa"/>
            <w:vMerge/>
          </w:tcPr>
          <w:p w14:paraId="68090F91" w14:textId="77777777" w:rsidR="00CF33D9" w:rsidRDefault="00CF33D9">
            <w:pPr>
              <w:widowControl w:val="0"/>
              <w:spacing w:after="0" w:line="276" w:lineRule="auto"/>
              <w:rPr>
                <w:rFonts w:eastAsia="Calibri"/>
                <w:sz w:val="20"/>
                <w:szCs w:val="20"/>
              </w:rPr>
            </w:pPr>
          </w:p>
        </w:tc>
        <w:tc>
          <w:tcPr>
            <w:tcW w:w="2130" w:type="dxa"/>
            <w:vMerge w:val="restart"/>
          </w:tcPr>
          <w:p w14:paraId="68090F92" w14:textId="77777777" w:rsidR="00CF33D9" w:rsidRDefault="00E3332A">
            <w:pPr>
              <w:spacing w:after="0"/>
              <w:rPr>
                <w:rFonts w:eastAsia="Calibri"/>
                <w:color w:val="000000"/>
                <w:sz w:val="20"/>
                <w:szCs w:val="20"/>
              </w:rPr>
            </w:pPr>
            <w:r>
              <w:rPr>
                <w:rFonts w:eastAsia="Calibri"/>
                <w:color w:val="000000"/>
                <w:sz w:val="20"/>
                <w:szCs w:val="20"/>
              </w:rPr>
              <w:t>1.2 Climate resilient nature-based solutions for restoration (and prevention of degradation) of MPAs and coastal ecosystems implemented through Special Management Areas/Locally Managed Marine Areas approach. (Namibia only]</w:t>
            </w:r>
          </w:p>
        </w:tc>
        <w:tc>
          <w:tcPr>
            <w:tcW w:w="2588" w:type="dxa"/>
          </w:tcPr>
          <w:p w14:paraId="68090F93" w14:textId="77777777" w:rsidR="00CF33D9" w:rsidRDefault="00E3332A">
            <w:pPr>
              <w:rPr>
                <w:rFonts w:eastAsia="Calibri"/>
                <w:sz w:val="20"/>
                <w:szCs w:val="20"/>
              </w:rPr>
            </w:pPr>
            <w:r>
              <w:rPr>
                <w:rFonts w:eastAsia="Calibri"/>
                <w:color w:val="000000"/>
                <w:sz w:val="20"/>
                <w:szCs w:val="20"/>
              </w:rPr>
              <w:t>1.2.1: Sustainable community-based tourism developed in and around selected MPAs and coastal ecosystems (under 1.1) with potential for third-party certifications (www.earthcheck.org)</w:t>
            </w:r>
          </w:p>
        </w:tc>
        <w:tc>
          <w:tcPr>
            <w:tcW w:w="335" w:type="dxa"/>
          </w:tcPr>
          <w:p w14:paraId="68090F94" w14:textId="77777777" w:rsidR="00CF33D9" w:rsidRDefault="00CF33D9">
            <w:pPr>
              <w:rPr>
                <w:rFonts w:eastAsia="Calibri"/>
                <w:sz w:val="20"/>
                <w:szCs w:val="20"/>
              </w:rPr>
            </w:pPr>
          </w:p>
        </w:tc>
        <w:tc>
          <w:tcPr>
            <w:tcW w:w="335" w:type="dxa"/>
          </w:tcPr>
          <w:p w14:paraId="68090F95"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0F96"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0F97"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0F98"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0F99"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0F9A"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0F9B"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0F9C"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0F9D"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0F9E"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0F9F"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0FA0"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0FA1"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0FA2"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0FA3"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0FA4"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0FA5"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0FA6"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0FA7"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0FA8"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0FA9" w14:textId="77777777" w:rsidR="00CF33D9" w:rsidRDefault="00CF33D9">
            <w:pPr>
              <w:rPr>
                <w:rFonts w:eastAsia="Calibri"/>
                <w:sz w:val="20"/>
                <w:szCs w:val="20"/>
              </w:rPr>
            </w:pPr>
          </w:p>
        </w:tc>
        <w:tc>
          <w:tcPr>
            <w:tcW w:w="336" w:type="dxa"/>
          </w:tcPr>
          <w:p w14:paraId="68090FAA" w14:textId="77777777" w:rsidR="00CF33D9" w:rsidRDefault="00CF33D9">
            <w:pPr>
              <w:rPr>
                <w:rFonts w:eastAsia="Calibri"/>
                <w:sz w:val="20"/>
                <w:szCs w:val="20"/>
              </w:rPr>
            </w:pPr>
          </w:p>
        </w:tc>
        <w:tc>
          <w:tcPr>
            <w:tcW w:w="336" w:type="dxa"/>
          </w:tcPr>
          <w:p w14:paraId="68090FAB" w14:textId="77777777" w:rsidR="00CF33D9" w:rsidRDefault="00CF33D9">
            <w:pPr>
              <w:rPr>
                <w:rFonts w:eastAsia="Calibri"/>
                <w:sz w:val="20"/>
                <w:szCs w:val="20"/>
              </w:rPr>
            </w:pPr>
          </w:p>
        </w:tc>
      </w:tr>
      <w:tr w:rsidR="00CF33D9" w14:paraId="68090FC8" w14:textId="77777777">
        <w:tc>
          <w:tcPr>
            <w:tcW w:w="1413" w:type="dxa"/>
            <w:vMerge/>
          </w:tcPr>
          <w:p w14:paraId="68090FAD" w14:textId="77777777" w:rsidR="00CF33D9" w:rsidRDefault="00CF33D9">
            <w:pPr>
              <w:widowControl w:val="0"/>
              <w:spacing w:after="0" w:line="276" w:lineRule="auto"/>
              <w:rPr>
                <w:rFonts w:eastAsia="Calibri"/>
                <w:sz w:val="20"/>
                <w:szCs w:val="20"/>
              </w:rPr>
            </w:pPr>
          </w:p>
        </w:tc>
        <w:tc>
          <w:tcPr>
            <w:tcW w:w="2130" w:type="dxa"/>
            <w:vMerge/>
          </w:tcPr>
          <w:p w14:paraId="68090FAE" w14:textId="77777777" w:rsidR="00CF33D9" w:rsidRDefault="00CF33D9">
            <w:pPr>
              <w:widowControl w:val="0"/>
              <w:spacing w:after="0" w:line="276" w:lineRule="auto"/>
              <w:rPr>
                <w:rFonts w:eastAsia="Calibri"/>
                <w:sz w:val="20"/>
                <w:szCs w:val="20"/>
              </w:rPr>
            </w:pPr>
          </w:p>
        </w:tc>
        <w:tc>
          <w:tcPr>
            <w:tcW w:w="2588" w:type="dxa"/>
          </w:tcPr>
          <w:p w14:paraId="68090FAF" w14:textId="77777777" w:rsidR="00CF33D9" w:rsidRDefault="00E3332A">
            <w:pPr>
              <w:rPr>
                <w:rFonts w:eastAsia="Calibri"/>
                <w:sz w:val="20"/>
                <w:szCs w:val="20"/>
              </w:rPr>
            </w:pPr>
            <w:r>
              <w:rPr>
                <w:rFonts w:eastAsia="Calibri"/>
                <w:color w:val="000000"/>
                <w:sz w:val="20"/>
                <w:szCs w:val="20"/>
              </w:rPr>
              <w:t>1.2.2: Community-based climate-resilient ecosystem restoration interventions such as enhanced protection, control of alien and invasive species, assisted regeneration implemented in selected MPAs and coastal ecosystems (under 1.1)</w:t>
            </w:r>
          </w:p>
        </w:tc>
        <w:tc>
          <w:tcPr>
            <w:tcW w:w="335" w:type="dxa"/>
            <w:tcBorders>
              <w:bottom w:val="single" w:sz="4" w:space="0" w:color="000000"/>
            </w:tcBorders>
          </w:tcPr>
          <w:p w14:paraId="68090FB0" w14:textId="77777777" w:rsidR="00CF33D9" w:rsidRDefault="00CF33D9">
            <w:pPr>
              <w:rPr>
                <w:rFonts w:eastAsia="Calibri"/>
                <w:sz w:val="20"/>
                <w:szCs w:val="20"/>
              </w:rPr>
            </w:pPr>
          </w:p>
        </w:tc>
        <w:tc>
          <w:tcPr>
            <w:tcW w:w="335" w:type="dxa"/>
            <w:tcBorders>
              <w:bottom w:val="single" w:sz="4" w:space="0" w:color="000000"/>
            </w:tcBorders>
          </w:tcPr>
          <w:p w14:paraId="68090FB1"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0FB2"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0FB3"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0FB4"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0FB5"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0FB6"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0FB7"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0FB8"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0FB9"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0FBA"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0FBB"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0FBC"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0FBD"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0FBE"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0FBF"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0FC0"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0FC1"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0FC2"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0FC3"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0FC4"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0FC5" w14:textId="77777777" w:rsidR="00CF33D9" w:rsidRDefault="00CF33D9">
            <w:pPr>
              <w:rPr>
                <w:rFonts w:eastAsia="Calibri"/>
                <w:sz w:val="20"/>
                <w:szCs w:val="20"/>
              </w:rPr>
            </w:pPr>
          </w:p>
        </w:tc>
        <w:tc>
          <w:tcPr>
            <w:tcW w:w="336" w:type="dxa"/>
            <w:tcBorders>
              <w:bottom w:val="single" w:sz="4" w:space="0" w:color="000000"/>
            </w:tcBorders>
          </w:tcPr>
          <w:p w14:paraId="68090FC6" w14:textId="77777777" w:rsidR="00CF33D9" w:rsidRDefault="00CF33D9">
            <w:pPr>
              <w:rPr>
                <w:rFonts w:eastAsia="Calibri"/>
                <w:sz w:val="20"/>
                <w:szCs w:val="20"/>
              </w:rPr>
            </w:pPr>
          </w:p>
        </w:tc>
        <w:tc>
          <w:tcPr>
            <w:tcW w:w="336" w:type="dxa"/>
            <w:tcBorders>
              <w:bottom w:val="single" w:sz="4" w:space="0" w:color="000000"/>
            </w:tcBorders>
          </w:tcPr>
          <w:p w14:paraId="68090FC7" w14:textId="77777777" w:rsidR="00CF33D9" w:rsidRDefault="00CF33D9">
            <w:pPr>
              <w:rPr>
                <w:rFonts w:eastAsia="Calibri"/>
                <w:sz w:val="20"/>
                <w:szCs w:val="20"/>
              </w:rPr>
            </w:pPr>
          </w:p>
        </w:tc>
      </w:tr>
      <w:tr w:rsidR="00CF33D9" w14:paraId="68090FE4" w14:textId="77777777">
        <w:tc>
          <w:tcPr>
            <w:tcW w:w="1413" w:type="dxa"/>
            <w:vMerge/>
          </w:tcPr>
          <w:p w14:paraId="68090FC9" w14:textId="77777777" w:rsidR="00CF33D9" w:rsidRDefault="00CF33D9">
            <w:pPr>
              <w:widowControl w:val="0"/>
              <w:spacing w:after="0" w:line="276" w:lineRule="auto"/>
              <w:rPr>
                <w:rFonts w:eastAsia="Calibri"/>
                <w:sz w:val="20"/>
                <w:szCs w:val="20"/>
              </w:rPr>
            </w:pPr>
          </w:p>
        </w:tc>
        <w:tc>
          <w:tcPr>
            <w:tcW w:w="2130" w:type="dxa"/>
          </w:tcPr>
          <w:p w14:paraId="68090FCA" w14:textId="77777777" w:rsidR="00CF33D9" w:rsidRDefault="00E3332A">
            <w:pPr>
              <w:rPr>
                <w:rFonts w:eastAsia="Calibri"/>
                <w:sz w:val="20"/>
                <w:szCs w:val="20"/>
              </w:rPr>
            </w:pPr>
            <w:r>
              <w:rPr>
                <w:rFonts w:eastAsia="Calibri"/>
                <w:color w:val="000000"/>
                <w:sz w:val="20"/>
                <w:szCs w:val="20"/>
              </w:rPr>
              <w:t>1.3: Improved biodiversity monitoring (using eDNA-based methods) to inform actions for improved management of MPAs and coastal ecosystems. (Namibia</w:t>
            </w:r>
            <w:r>
              <w:rPr>
                <w:rFonts w:eastAsia="Calibri"/>
                <w:color w:val="000000"/>
                <w:sz w:val="20"/>
                <w:szCs w:val="20"/>
                <w:highlight w:val="cyan"/>
              </w:rPr>
              <w:t xml:space="preserve"> </w:t>
            </w:r>
            <w:r>
              <w:rPr>
                <w:rFonts w:eastAsia="Calibri"/>
                <w:color w:val="000000"/>
                <w:sz w:val="20"/>
                <w:szCs w:val="20"/>
              </w:rPr>
              <w:t>only]</w:t>
            </w:r>
          </w:p>
        </w:tc>
        <w:tc>
          <w:tcPr>
            <w:tcW w:w="2588" w:type="dxa"/>
          </w:tcPr>
          <w:p w14:paraId="68090FCB" w14:textId="77777777" w:rsidR="00CF33D9" w:rsidRDefault="00E3332A">
            <w:pPr>
              <w:rPr>
                <w:rFonts w:eastAsia="Calibri"/>
                <w:sz w:val="20"/>
                <w:szCs w:val="20"/>
              </w:rPr>
            </w:pPr>
            <w:r>
              <w:rPr>
                <w:rFonts w:eastAsia="Calibri"/>
                <w:color w:val="000000"/>
                <w:sz w:val="20"/>
                <w:szCs w:val="20"/>
              </w:rPr>
              <w:t>1.3.1: Community-based biodiversity monitoring within the selected MPAs and coastal ecosystems (under 1.1) developed or enhanced</w:t>
            </w:r>
          </w:p>
        </w:tc>
        <w:tc>
          <w:tcPr>
            <w:tcW w:w="335" w:type="dxa"/>
            <w:tcBorders>
              <w:bottom w:val="single" w:sz="4" w:space="0" w:color="000000"/>
            </w:tcBorders>
            <w:shd w:val="clear" w:color="auto" w:fill="00B0F0"/>
          </w:tcPr>
          <w:p w14:paraId="68090FCC"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0FCD"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0FCE"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0FCF" w14:textId="77777777" w:rsidR="00CF33D9" w:rsidRDefault="00CF33D9">
            <w:pPr>
              <w:rPr>
                <w:rFonts w:eastAsia="Calibri"/>
                <w:sz w:val="20"/>
                <w:szCs w:val="20"/>
              </w:rPr>
            </w:pPr>
          </w:p>
        </w:tc>
        <w:tc>
          <w:tcPr>
            <w:tcW w:w="335" w:type="dxa"/>
            <w:shd w:val="clear" w:color="auto" w:fill="00B0F0"/>
          </w:tcPr>
          <w:p w14:paraId="68090FD0" w14:textId="77777777" w:rsidR="00CF33D9" w:rsidRDefault="00CF33D9">
            <w:pPr>
              <w:rPr>
                <w:rFonts w:eastAsia="Calibri"/>
                <w:sz w:val="20"/>
                <w:szCs w:val="20"/>
              </w:rPr>
            </w:pPr>
          </w:p>
        </w:tc>
        <w:tc>
          <w:tcPr>
            <w:tcW w:w="335" w:type="dxa"/>
            <w:shd w:val="clear" w:color="auto" w:fill="00B0F0"/>
          </w:tcPr>
          <w:p w14:paraId="68090FD1" w14:textId="77777777" w:rsidR="00CF33D9" w:rsidRDefault="00CF33D9">
            <w:pPr>
              <w:rPr>
                <w:rFonts w:eastAsia="Calibri"/>
                <w:sz w:val="20"/>
                <w:szCs w:val="20"/>
              </w:rPr>
            </w:pPr>
          </w:p>
        </w:tc>
        <w:tc>
          <w:tcPr>
            <w:tcW w:w="335" w:type="dxa"/>
            <w:shd w:val="clear" w:color="auto" w:fill="00B0F0"/>
          </w:tcPr>
          <w:p w14:paraId="68090FD2" w14:textId="77777777" w:rsidR="00CF33D9" w:rsidRDefault="00CF33D9">
            <w:pPr>
              <w:rPr>
                <w:rFonts w:eastAsia="Calibri"/>
                <w:sz w:val="20"/>
                <w:szCs w:val="20"/>
              </w:rPr>
            </w:pPr>
          </w:p>
        </w:tc>
        <w:tc>
          <w:tcPr>
            <w:tcW w:w="335" w:type="dxa"/>
            <w:shd w:val="clear" w:color="auto" w:fill="00B0F0"/>
          </w:tcPr>
          <w:p w14:paraId="68090FD3" w14:textId="77777777" w:rsidR="00CF33D9" w:rsidRDefault="00CF33D9">
            <w:pPr>
              <w:rPr>
                <w:rFonts w:eastAsia="Calibri"/>
                <w:sz w:val="20"/>
                <w:szCs w:val="20"/>
              </w:rPr>
            </w:pPr>
          </w:p>
        </w:tc>
        <w:tc>
          <w:tcPr>
            <w:tcW w:w="336" w:type="dxa"/>
            <w:shd w:val="clear" w:color="auto" w:fill="00B0F0"/>
          </w:tcPr>
          <w:p w14:paraId="68090FD4" w14:textId="77777777" w:rsidR="00CF33D9" w:rsidRDefault="00CF33D9">
            <w:pPr>
              <w:rPr>
                <w:rFonts w:eastAsia="Calibri"/>
                <w:sz w:val="20"/>
                <w:szCs w:val="20"/>
              </w:rPr>
            </w:pPr>
          </w:p>
        </w:tc>
        <w:tc>
          <w:tcPr>
            <w:tcW w:w="336" w:type="dxa"/>
            <w:shd w:val="clear" w:color="auto" w:fill="00B0F0"/>
          </w:tcPr>
          <w:p w14:paraId="68090FD5" w14:textId="77777777" w:rsidR="00CF33D9" w:rsidRDefault="00CF33D9">
            <w:pPr>
              <w:rPr>
                <w:rFonts w:eastAsia="Calibri"/>
                <w:sz w:val="20"/>
                <w:szCs w:val="20"/>
              </w:rPr>
            </w:pPr>
          </w:p>
        </w:tc>
        <w:tc>
          <w:tcPr>
            <w:tcW w:w="336" w:type="dxa"/>
            <w:shd w:val="clear" w:color="auto" w:fill="00B0F0"/>
          </w:tcPr>
          <w:p w14:paraId="68090FD6" w14:textId="77777777" w:rsidR="00CF33D9" w:rsidRDefault="00CF33D9">
            <w:pPr>
              <w:rPr>
                <w:rFonts w:eastAsia="Calibri"/>
                <w:sz w:val="20"/>
                <w:szCs w:val="20"/>
              </w:rPr>
            </w:pPr>
          </w:p>
        </w:tc>
        <w:tc>
          <w:tcPr>
            <w:tcW w:w="336" w:type="dxa"/>
            <w:shd w:val="clear" w:color="auto" w:fill="00B0F0"/>
          </w:tcPr>
          <w:p w14:paraId="68090FD7" w14:textId="77777777" w:rsidR="00CF33D9" w:rsidRDefault="00CF33D9">
            <w:pPr>
              <w:rPr>
                <w:rFonts w:eastAsia="Calibri"/>
                <w:sz w:val="20"/>
                <w:szCs w:val="20"/>
              </w:rPr>
            </w:pPr>
          </w:p>
        </w:tc>
        <w:tc>
          <w:tcPr>
            <w:tcW w:w="336" w:type="dxa"/>
            <w:shd w:val="clear" w:color="auto" w:fill="00B0F0"/>
          </w:tcPr>
          <w:p w14:paraId="68090FD8" w14:textId="77777777" w:rsidR="00CF33D9" w:rsidRDefault="00CF33D9">
            <w:pPr>
              <w:rPr>
                <w:rFonts w:eastAsia="Calibri"/>
                <w:sz w:val="20"/>
                <w:szCs w:val="20"/>
              </w:rPr>
            </w:pPr>
          </w:p>
        </w:tc>
        <w:tc>
          <w:tcPr>
            <w:tcW w:w="336" w:type="dxa"/>
            <w:shd w:val="clear" w:color="auto" w:fill="00B0F0"/>
          </w:tcPr>
          <w:p w14:paraId="68090FD9" w14:textId="77777777" w:rsidR="00CF33D9" w:rsidRDefault="00CF33D9">
            <w:pPr>
              <w:rPr>
                <w:rFonts w:eastAsia="Calibri"/>
                <w:sz w:val="20"/>
                <w:szCs w:val="20"/>
              </w:rPr>
            </w:pPr>
          </w:p>
        </w:tc>
        <w:tc>
          <w:tcPr>
            <w:tcW w:w="336" w:type="dxa"/>
            <w:shd w:val="clear" w:color="auto" w:fill="00B0F0"/>
          </w:tcPr>
          <w:p w14:paraId="68090FDA" w14:textId="77777777" w:rsidR="00CF33D9" w:rsidRDefault="00CF33D9">
            <w:pPr>
              <w:rPr>
                <w:rFonts w:eastAsia="Calibri"/>
                <w:sz w:val="20"/>
                <w:szCs w:val="20"/>
              </w:rPr>
            </w:pPr>
          </w:p>
        </w:tc>
        <w:tc>
          <w:tcPr>
            <w:tcW w:w="336" w:type="dxa"/>
            <w:shd w:val="clear" w:color="auto" w:fill="00B0F0"/>
          </w:tcPr>
          <w:p w14:paraId="68090FDB" w14:textId="77777777" w:rsidR="00CF33D9" w:rsidRDefault="00CF33D9">
            <w:pPr>
              <w:rPr>
                <w:rFonts w:eastAsia="Calibri"/>
                <w:sz w:val="20"/>
                <w:szCs w:val="20"/>
              </w:rPr>
            </w:pPr>
          </w:p>
        </w:tc>
        <w:tc>
          <w:tcPr>
            <w:tcW w:w="336" w:type="dxa"/>
            <w:shd w:val="clear" w:color="auto" w:fill="00B0F0"/>
          </w:tcPr>
          <w:p w14:paraId="68090FDC" w14:textId="77777777" w:rsidR="00CF33D9" w:rsidRDefault="00CF33D9">
            <w:pPr>
              <w:rPr>
                <w:rFonts w:eastAsia="Calibri"/>
                <w:sz w:val="20"/>
                <w:szCs w:val="20"/>
              </w:rPr>
            </w:pPr>
          </w:p>
        </w:tc>
        <w:tc>
          <w:tcPr>
            <w:tcW w:w="336" w:type="dxa"/>
            <w:shd w:val="clear" w:color="auto" w:fill="00B0F0"/>
          </w:tcPr>
          <w:p w14:paraId="68090FDD" w14:textId="77777777" w:rsidR="00CF33D9" w:rsidRDefault="00CF33D9">
            <w:pPr>
              <w:rPr>
                <w:rFonts w:eastAsia="Calibri"/>
                <w:sz w:val="20"/>
                <w:szCs w:val="20"/>
              </w:rPr>
            </w:pPr>
          </w:p>
        </w:tc>
        <w:tc>
          <w:tcPr>
            <w:tcW w:w="336" w:type="dxa"/>
            <w:shd w:val="clear" w:color="auto" w:fill="00B0F0"/>
          </w:tcPr>
          <w:p w14:paraId="68090FDE" w14:textId="77777777" w:rsidR="00CF33D9" w:rsidRDefault="00CF33D9">
            <w:pPr>
              <w:rPr>
                <w:rFonts w:eastAsia="Calibri"/>
                <w:sz w:val="20"/>
                <w:szCs w:val="20"/>
              </w:rPr>
            </w:pPr>
          </w:p>
        </w:tc>
        <w:tc>
          <w:tcPr>
            <w:tcW w:w="336" w:type="dxa"/>
            <w:shd w:val="clear" w:color="auto" w:fill="00B0F0"/>
          </w:tcPr>
          <w:p w14:paraId="68090FDF" w14:textId="77777777" w:rsidR="00CF33D9" w:rsidRDefault="00CF33D9">
            <w:pPr>
              <w:rPr>
                <w:rFonts w:eastAsia="Calibri"/>
                <w:sz w:val="20"/>
                <w:szCs w:val="20"/>
              </w:rPr>
            </w:pPr>
          </w:p>
        </w:tc>
        <w:tc>
          <w:tcPr>
            <w:tcW w:w="336" w:type="dxa"/>
            <w:shd w:val="clear" w:color="auto" w:fill="00B0F0"/>
          </w:tcPr>
          <w:p w14:paraId="68090FE0" w14:textId="77777777" w:rsidR="00CF33D9" w:rsidRDefault="00CF33D9">
            <w:pPr>
              <w:rPr>
                <w:rFonts w:eastAsia="Calibri"/>
                <w:sz w:val="20"/>
                <w:szCs w:val="20"/>
              </w:rPr>
            </w:pPr>
          </w:p>
        </w:tc>
        <w:tc>
          <w:tcPr>
            <w:tcW w:w="336" w:type="dxa"/>
            <w:shd w:val="clear" w:color="auto" w:fill="00B0F0"/>
          </w:tcPr>
          <w:p w14:paraId="68090FE1" w14:textId="77777777" w:rsidR="00CF33D9" w:rsidRDefault="00CF33D9">
            <w:pPr>
              <w:rPr>
                <w:rFonts w:eastAsia="Calibri"/>
                <w:sz w:val="20"/>
                <w:szCs w:val="20"/>
              </w:rPr>
            </w:pPr>
          </w:p>
        </w:tc>
        <w:tc>
          <w:tcPr>
            <w:tcW w:w="336" w:type="dxa"/>
            <w:shd w:val="clear" w:color="auto" w:fill="00B0F0"/>
          </w:tcPr>
          <w:p w14:paraId="68090FE2" w14:textId="77777777" w:rsidR="00CF33D9" w:rsidRDefault="00CF33D9">
            <w:pPr>
              <w:rPr>
                <w:rFonts w:eastAsia="Calibri"/>
                <w:sz w:val="20"/>
                <w:szCs w:val="20"/>
              </w:rPr>
            </w:pPr>
          </w:p>
        </w:tc>
        <w:tc>
          <w:tcPr>
            <w:tcW w:w="336" w:type="dxa"/>
            <w:shd w:val="clear" w:color="auto" w:fill="00B0F0"/>
          </w:tcPr>
          <w:p w14:paraId="68090FE3" w14:textId="77777777" w:rsidR="00CF33D9" w:rsidRDefault="00CF33D9">
            <w:pPr>
              <w:rPr>
                <w:rFonts w:eastAsia="Calibri"/>
                <w:sz w:val="20"/>
                <w:szCs w:val="20"/>
              </w:rPr>
            </w:pPr>
          </w:p>
        </w:tc>
      </w:tr>
      <w:tr w:rsidR="00CF33D9" w14:paraId="68091000" w14:textId="77777777">
        <w:tc>
          <w:tcPr>
            <w:tcW w:w="1413" w:type="dxa"/>
            <w:vMerge/>
          </w:tcPr>
          <w:p w14:paraId="68090FE5" w14:textId="77777777" w:rsidR="00CF33D9" w:rsidRDefault="00CF33D9">
            <w:pPr>
              <w:widowControl w:val="0"/>
              <w:spacing w:after="0" w:line="276" w:lineRule="auto"/>
              <w:rPr>
                <w:rFonts w:eastAsia="Calibri"/>
                <w:sz w:val="20"/>
                <w:szCs w:val="20"/>
              </w:rPr>
            </w:pPr>
          </w:p>
        </w:tc>
        <w:tc>
          <w:tcPr>
            <w:tcW w:w="2130" w:type="dxa"/>
            <w:vMerge w:val="restart"/>
          </w:tcPr>
          <w:p w14:paraId="68090FE6" w14:textId="77777777" w:rsidR="00CF33D9" w:rsidRDefault="00E3332A">
            <w:pPr>
              <w:rPr>
                <w:rFonts w:eastAsia="Calibri"/>
                <w:sz w:val="20"/>
                <w:szCs w:val="20"/>
              </w:rPr>
            </w:pPr>
            <w:r>
              <w:rPr>
                <w:rFonts w:eastAsia="Calibri"/>
                <w:color w:val="000000"/>
                <w:sz w:val="20"/>
                <w:szCs w:val="20"/>
              </w:rPr>
              <w:t>1.4: Minimise impacts of exploration and extraction of non-living marine resources (NLMR) on critical marine and coastal ecosystems through regulation and industry action</w:t>
            </w:r>
          </w:p>
        </w:tc>
        <w:tc>
          <w:tcPr>
            <w:tcW w:w="2588" w:type="dxa"/>
          </w:tcPr>
          <w:p w14:paraId="68090FE7" w14:textId="77777777" w:rsidR="00CF33D9" w:rsidRDefault="00E3332A">
            <w:pPr>
              <w:rPr>
                <w:rFonts w:eastAsia="Calibri"/>
                <w:sz w:val="20"/>
                <w:szCs w:val="20"/>
              </w:rPr>
            </w:pPr>
            <w:r>
              <w:rPr>
                <w:rFonts w:eastAsia="Calibri"/>
                <w:color w:val="000000"/>
                <w:sz w:val="20"/>
                <w:szCs w:val="20"/>
              </w:rPr>
              <w:t>1.4.1: Policy and legislative frameworks strengthened to minimize adverse impacts of extractive activities in the BCLME</w:t>
            </w:r>
          </w:p>
        </w:tc>
        <w:tc>
          <w:tcPr>
            <w:tcW w:w="335" w:type="dxa"/>
            <w:shd w:val="clear" w:color="auto" w:fill="00B0F0"/>
          </w:tcPr>
          <w:p w14:paraId="68090FE8" w14:textId="77777777" w:rsidR="00CF33D9" w:rsidRDefault="00CF33D9">
            <w:pPr>
              <w:rPr>
                <w:rFonts w:eastAsia="Calibri"/>
                <w:sz w:val="20"/>
                <w:szCs w:val="20"/>
              </w:rPr>
            </w:pPr>
          </w:p>
        </w:tc>
        <w:tc>
          <w:tcPr>
            <w:tcW w:w="335" w:type="dxa"/>
            <w:shd w:val="clear" w:color="auto" w:fill="00B0F0"/>
          </w:tcPr>
          <w:p w14:paraId="68090FE9"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0FEA"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0FEB" w14:textId="77777777" w:rsidR="00CF33D9" w:rsidRDefault="00CF33D9">
            <w:pPr>
              <w:rPr>
                <w:rFonts w:eastAsia="Calibri"/>
                <w:sz w:val="20"/>
                <w:szCs w:val="20"/>
              </w:rPr>
            </w:pPr>
          </w:p>
        </w:tc>
        <w:tc>
          <w:tcPr>
            <w:tcW w:w="335" w:type="dxa"/>
            <w:tcBorders>
              <w:bottom w:val="single" w:sz="4" w:space="0" w:color="000000"/>
            </w:tcBorders>
          </w:tcPr>
          <w:p w14:paraId="68090FEC" w14:textId="77777777" w:rsidR="00CF33D9" w:rsidRDefault="00CF33D9">
            <w:pPr>
              <w:rPr>
                <w:rFonts w:eastAsia="Calibri"/>
                <w:sz w:val="20"/>
                <w:szCs w:val="20"/>
              </w:rPr>
            </w:pPr>
          </w:p>
        </w:tc>
        <w:tc>
          <w:tcPr>
            <w:tcW w:w="335" w:type="dxa"/>
            <w:tcBorders>
              <w:bottom w:val="single" w:sz="4" w:space="0" w:color="000000"/>
            </w:tcBorders>
          </w:tcPr>
          <w:p w14:paraId="68090FED" w14:textId="77777777" w:rsidR="00CF33D9" w:rsidRDefault="00CF33D9">
            <w:pPr>
              <w:rPr>
                <w:rFonts w:eastAsia="Calibri"/>
                <w:sz w:val="20"/>
                <w:szCs w:val="20"/>
              </w:rPr>
            </w:pPr>
          </w:p>
        </w:tc>
        <w:tc>
          <w:tcPr>
            <w:tcW w:w="335" w:type="dxa"/>
            <w:tcBorders>
              <w:bottom w:val="single" w:sz="4" w:space="0" w:color="000000"/>
            </w:tcBorders>
          </w:tcPr>
          <w:p w14:paraId="68090FEE" w14:textId="77777777" w:rsidR="00CF33D9" w:rsidRDefault="00CF33D9">
            <w:pPr>
              <w:rPr>
                <w:rFonts w:eastAsia="Calibri"/>
                <w:sz w:val="20"/>
                <w:szCs w:val="20"/>
              </w:rPr>
            </w:pPr>
          </w:p>
        </w:tc>
        <w:tc>
          <w:tcPr>
            <w:tcW w:w="335" w:type="dxa"/>
            <w:tcBorders>
              <w:bottom w:val="single" w:sz="4" w:space="0" w:color="000000"/>
            </w:tcBorders>
          </w:tcPr>
          <w:p w14:paraId="68090FEF" w14:textId="77777777" w:rsidR="00CF33D9" w:rsidRDefault="00CF33D9">
            <w:pPr>
              <w:rPr>
                <w:rFonts w:eastAsia="Calibri"/>
                <w:sz w:val="20"/>
                <w:szCs w:val="20"/>
              </w:rPr>
            </w:pPr>
          </w:p>
        </w:tc>
        <w:tc>
          <w:tcPr>
            <w:tcW w:w="336" w:type="dxa"/>
            <w:tcBorders>
              <w:bottom w:val="single" w:sz="4" w:space="0" w:color="000000"/>
            </w:tcBorders>
          </w:tcPr>
          <w:p w14:paraId="68090FF0" w14:textId="77777777" w:rsidR="00CF33D9" w:rsidRDefault="00CF33D9">
            <w:pPr>
              <w:rPr>
                <w:rFonts w:eastAsia="Calibri"/>
                <w:sz w:val="20"/>
                <w:szCs w:val="20"/>
              </w:rPr>
            </w:pPr>
          </w:p>
        </w:tc>
        <w:tc>
          <w:tcPr>
            <w:tcW w:w="336" w:type="dxa"/>
            <w:tcBorders>
              <w:bottom w:val="single" w:sz="4" w:space="0" w:color="000000"/>
            </w:tcBorders>
          </w:tcPr>
          <w:p w14:paraId="68090FF1" w14:textId="77777777" w:rsidR="00CF33D9" w:rsidRDefault="00CF33D9">
            <w:pPr>
              <w:rPr>
                <w:rFonts w:eastAsia="Calibri"/>
                <w:sz w:val="20"/>
                <w:szCs w:val="20"/>
              </w:rPr>
            </w:pPr>
          </w:p>
        </w:tc>
        <w:tc>
          <w:tcPr>
            <w:tcW w:w="336" w:type="dxa"/>
          </w:tcPr>
          <w:p w14:paraId="68090FF2" w14:textId="77777777" w:rsidR="00CF33D9" w:rsidRDefault="00CF33D9">
            <w:pPr>
              <w:rPr>
                <w:rFonts w:eastAsia="Calibri"/>
                <w:sz w:val="20"/>
                <w:szCs w:val="20"/>
              </w:rPr>
            </w:pPr>
          </w:p>
        </w:tc>
        <w:tc>
          <w:tcPr>
            <w:tcW w:w="336" w:type="dxa"/>
          </w:tcPr>
          <w:p w14:paraId="68090FF3" w14:textId="77777777" w:rsidR="00CF33D9" w:rsidRDefault="00CF33D9">
            <w:pPr>
              <w:rPr>
                <w:rFonts w:eastAsia="Calibri"/>
                <w:sz w:val="20"/>
                <w:szCs w:val="20"/>
              </w:rPr>
            </w:pPr>
          </w:p>
        </w:tc>
        <w:tc>
          <w:tcPr>
            <w:tcW w:w="336" w:type="dxa"/>
          </w:tcPr>
          <w:p w14:paraId="68090FF4" w14:textId="77777777" w:rsidR="00CF33D9" w:rsidRDefault="00CF33D9">
            <w:pPr>
              <w:rPr>
                <w:rFonts w:eastAsia="Calibri"/>
                <w:sz w:val="20"/>
                <w:szCs w:val="20"/>
              </w:rPr>
            </w:pPr>
          </w:p>
        </w:tc>
        <w:tc>
          <w:tcPr>
            <w:tcW w:w="336" w:type="dxa"/>
          </w:tcPr>
          <w:p w14:paraId="68090FF5" w14:textId="77777777" w:rsidR="00CF33D9" w:rsidRDefault="00CF33D9">
            <w:pPr>
              <w:rPr>
                <w:rFonts w:eastAsia="Calibri"/>
                <w:sz w:val="20"/>
                <w:szCs w:val="20"/>
              </w:rPr>
            </w:pPr>
          </w:p>
        </w:tc>
        <w:tc>
          <w:tcPr>
            <w:tcW w:w="336" w:type="dxa"/>
          </w:tcPr>
          <w:p w14:paraId="68090FF6" w14:textId="77777777" w:rsidR="00CF33D9" w:rsidRDefault="00CF33D9">
            <w:pPr>
              <w:rPr>
                <w:rFonts w:eastAsia="Calibri"/>
                <w:sz w:val="20"/>
                <w:szCs w:val="20"/>
              </w:rPr>
            </w:pPr>
          </w:p>
        </w:tc>
        <w:tc>
          <w:tcPr>
            <w:tcW w:w="336" w:type="dxa"/>
          </w:tcPr>
          <w:p w14:paraId="68090FF7" w14:textId="77777777" w:rsidR="00CF33D9" w:rsidRDefault="00CF33D9">
            <w:pPr>
              <w:rPr>
                <w:rFonts w:eastAsia="Calibri"/>
                <w:sz w:val="20"/>
                <w:szCs w:val="20"/>
              </w:rPr>
            </w:pPr>
          </w:p>
        </w:tc>
        <w:tc>
          <w:tcPr>
            <w:tcW w:w="336" w:type="dxa"/>
          </w:tcPr>
          <w:p w14:paraId="68090FF8" w14:textId="77777777" w:rsidR="00CF33D9" w:rsidRDefault="00CF33D9">
            <w:pPr>
              <w:rPr>
                <w:rFonts w:eastAsia="Calibri"/>
                <w:sz w:val="20"/>
                <w:szCs w:val="20"/>
              </w:rPr>
            </w:pPr>
          </w:p>
        </w:tc>
        <w:tc>
          <w:tcPr>
            <w:tcW w:w="336" w:type="dxa"/>
          </w:tcPr>
          <w:p w14:paraId="68090FF9" w14:textId="77777777" w:rsidR="00CF33D9" w:rsidRDefault="00CF33D9">
            <w:pPr>
              <w:rPr>
                <w:rFonts w:eastAsia="Calibri"/>
                <w:sz w:val="20"/>
                <w:szCs w:val="20"/>
              </w:rPr>
            </w:pPr>
          </w:p>
        </w:tc>
        <w:tc>
          <w:tcPr>
            <w:tcW w:w="336" w:type="dxa"/>
          </w:tcPr>
          <w:p w14:paraId="68090FFA" w14:textId="77777777" w:rsidR="00CF33D9" w:rsidRDefault="00CF33D9">
            <w:pPr>
              <w:rPr>
                <w:rFonts w:eastAsia="Calibri"/>
                <w:sz w:val="20"/>
                <w:szCs w:val="20"/>
              </w:rPr>
            </w:pPr>
          </w:p>
        </w:tc>
        <w:tc>
          <w:tcPr>
            <w:tcW w:w="336" w:type="dxa"/>
          </w:tcPr>
          <w:p w14:paraId="68090FFB" w14:textId="77777777" w:rsidR="00CF33D9" w:rsidRDefault="00CF33D9">
            <w:pPr>
              <w:rPr>
                <w:rFonts w:eastAsia="Calibri"/>
                <w:sz w:val="20"/>
                <w:szCs w:val="20"/>
              </w:rPr>
            </w:pPr>
          </w:p>
        </w:tc>
        <w:tc>
          <w:tcPr>
            <w:tcW w:w="336" w:type="dxa"/>
          </w:tcPr>
          <w:p w14:paraId="68090FFC" w14:textId="77777777" w:rsidR="00CF33D9" w:rsidRDefault="00CF33D9">
            <w:pPr>
              <w:rPr>
                <w:rFonts w:eastAsia="Calibri"/>
                <w:sz w:val="20"/>
                <w:szCs w:val="20"/>
              </w:rPr>
            </w:pPr>
          </w:p>
        </w:tc>
        <w:tc>
          <w:tcPr>
            <w:tcW w:w="336" w:type="dxa"/>
          </w:tcPr>
          <w:p w14:paraId="68090FFD" w14:textId="77777777" w:rsidR="00CF33D9" w:rsidRDefault="00CF33D9">
            <w:pPr>
              <w:rPr>
                <w:rFonts w:eastAsia="Calibri"/>
                <w:sz w:val="20"/>
                <w:szCs w:val="20"/>
              </w:rPr>
            </w:pPr>
          </w:p>
        </w:tc>
        <w:tc>
          <w:tcPr>
            <w:tcW w:w="336" w:type="dxa"/>
          </w:tcPr>
          <w:p w14:paraId="68090FFE" w14:textId="77777777" w:rsidR="00CF33D9" w:rsidRDefault="00CF33D9">
            <w:pPr>
              <w:rPr>
                <w:rFonts w:eastAsia="Calibri"/>
                <w:sz w:val="20"/>
                <w:szCs w:val="20"/>
              </w:rPr>
            </w:pPr>
          </w:p>
        </w:tc>
        <w:tc>
          <w:tcPr>
            <w:tcW w:w="336" w:type="dxa"/>
          </w:tcPr>
          <w:p w14:paraId="68090FFF" w14:textId="77777777" w:rsidR="00CF33D9" w:rsidRDefault="00CF33D9">
            <w:pPr>
              <w:rPr>
                <w:rFonts w:eastAsia="Calibri"/>
                <w:sz w:val="20"/>
                <w:szCs w:val="20"/>
              </w:rPr>
            </w:pPr>
          </w:p>
        </w:tc>
      </w:tr>
      <w:tr w:rsidR="00CF33D9" w14:paraId="6809101C" w14:textId="77777777">
        <w:tc>
          <w:tcPr>
            <w:tcW w:w="1413" w:type="dxa"/>
            <w:vMerge/>
          </w:tcPr>
          <w:p w14:paraId="68091001" w14:textId="77777777" w:rsidR="00CF33D9" w:rsidRDefault="00CF33D9">
            <w:pPr>
              <w:widowControl w:val="0"/>
              <w:spacing w:after="0" w:line="276" w:lineRule="auto"/>
              <w:rPr>
                <w:rFonts w:eastAsia="Calibri"/>
                <w:sz w:val="20"/>
                <w:szCs w:val="20"/>
              </w:rPr>
            </w:pPr>
          </w:p>
        </w:tc>
        <w:tc>
          <w:tcPr>
            <w:tcW w:w="2130" w:type="dxa"/>
            <w:vMerge/>
          </w:tcPr>
          <w:p w14:paraId="68091002" w14:textId="77777777" w:rsidR="00CF33D9" w:rsidRDefault="00CF33D9">
            <w:pPr>
              <w:widowControl w:val="0"/>
              <w:spacing w:after="0" w:line="276" w:lineRule="auto"/>
              <w:rPr>
                <w:rFonts w:eastAsia="Calibri"/>
                <w:sz w:val="20"/>
                <w:szCs w:val="20"/>
              </w:rPr>
            </w:pPr>
          </w:p>
        </w:tc>
        <w:tc>
          <w:tcPr>
            <w:tcW w:w="2588" w:type="dxa"/>
          </w:tcPr>
          <w:p w14:paraId="68091003" w14:textId="77777777" w:rsidR="00CF33D9" w:rsidRDefault="00E3332A">
            <w:pPr>
              <w:rPr>
                <w:rFonts w:eastAsia="Calibri"/>
                <w:sz w:val="20"/>
                <w:szCs w:val="20"/>
              </w:rPr>
            </w:pPr>
            <w:r>
              <w:rPr>
                <w:rFonts w:eastAsia="Calibri"/>
                <w:color w:val="000000"/>
                <w:sz w:val="20"/>
                <w:szCs w:val="20"/>
              </w:rPr>
              <w:t>1.4.2: Capacity of government institutions, private sector actors and financial institutions involved in exploration/exploitation of non-living marine resources strengthened (with a gender-sensitive approach) for adoption of innovative environmentally friendly exploratory and extractive methods and technologies.</w:t>
            </w:r>
          </w:p>
        </w:tc>
        <w:tc>
          <w:tcPr>
            <w:tcW w:w="335" w:type="dxa"/>
            <w:tcBorders>
              <w:bottom w:val="single" w:sz="4" w:space="0" w:color="000000"/>
            </w:tcBorders>
          </w:tcPr>
          <w:p w14:paraId="68091004" w14:textId="77777777" w:rsidR="00CF33D9" w:rsidRDefault="00CF33D9">
            <w:pPr>
              <w:rPr>
                <w:rFonts w:eastAsia="Calibri"/>
                <w:sz w:val="20"/>
                <w:szCs w:val="20"/>
              </w:rPr>
            </w:pPr>
          </w:p>
        </w:tc>
        <w:tc>
          <w:tcPr>
            <w:tcW w:w="335" w:type="dxa"/>
            <w:tcBorders>
              <w:bottom w:val="single" w:sz="4" w:space="0" w:color="000000"/>
            </w:tcBorders>
          </w:tcPr>
          <w:p w14:paraId="68091005"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006"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007"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008"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009"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00A"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00B"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00C"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00D" w14:textId="77777777" w:rsidR="00CF33D9" w:rsidRDefault="00CF33D9">
            <w:pPr>
              <w:rPr>
                <w:rFonts w:eastAsia="Calibri"/>
                <w:sz w:val="20"/>
                <w:szCs w:val="20"/>
              </w:rPr>
            </w:pPr>
          </w:p>
        </w:tc>
        <w:tc>
          <w:tcPr>
            <w:tcW w:w="336" w:type="dxa"/>
            <w:tcBorders>
              <w:bottom w:val="single" w:sz="4" w:space="0" w:color="000000"/>
            </w:tcBorders>
          </w:tcPr>
          <w:p w14:paraId="6809100E" w14:textId="77777777" w:rsidR="00CF33D9" w:rsidRDefault="00CF33D9">
            <w:pPr>
              <w:rPr>
                <w:rFonts w:eastAsia="Calibri"/>
                <w:sz w:val="20"/>
                <w:szCs w:val="20"/>
              </w:rPr>
            </w:pPr>
          </w:p>
        </w:tc>
        <w:tc>
          <w:tcPr>
            <w:tcW w:w="336" w:type="dxa"/>
            <w:tcBorders>
              <w:bottom w:val="single" w:sz="4" w:space="0" w:color="000000"/>
            </w:tcBorders>
          </w:tcPr>
          <w:p w14:paraId="6809100F" w14:textId="77777777" w:rsidR="00CF33D9" w:rsidRDefault="00CF33D9">
            <w:pPr>
              <w:rPr>
                <w:rFonts w:eastAsia="Calibri"/>
                <w:sz w:val="20"/>
                <w:szCs w:val="20"/>
              </w:rPr>
            </w:pPr>
          </w:p>
        </w:tc>
        <w:tc>
          <w:tcPr>
            <w:tcW w:w="336" w:type="dxa"/>
            <w:tcBorders>
              <w:bottom w:val="single" w:sz="4" w:space="0" w:color="000000"/>
            </w:tcBorders>
          </w:tcPr>
          <w:p w14:paraId="68091010" w14:textId="77777777" w:rsidR="00CF33D9" w:rsidRDefault="00CF33D9">
            <w:pPr>
              <w:rPr>
                <w:rFonts w:eastAsia="Calibri"/>
                <w:sz w:val="20"/>
                <w:szCs w:val="20"/>
              </w:rPr>
            </w:pPr>
          </w:p>
        </w:tc>
        <w:tc>
          <w:tcPr>
            <w:tcW w:w="336" w:type="dxa"/>
          </w:tcPr>
          <w:p w14:paraId="68091011" w14:textId="77777777" w:rsidR="00CF33D9" w:rsidRDefault="00CF33D9">
            <w:pPr>
              <w:rPr>
                <w:rFonts w:eastAsia="Calibri"/>
                <w:sz w:val="20"/>
                <w:szCs w:val="20"/>
              </w:rPr>
            </w:pPr>
          </w:p>
        </w:tc>
        <w:tc>
          <w:tcPr>
            <w:tcW w:w="336" w:type="dxa"/>
          </w:tcPr>
          <w:p w14:paraId="68091012" w14:textId="77777777" w:rsidR="00CF33D9" w:rsidRDefault="00CF33D9">
            <w:pPr>
              <w:rPr>
                <w:rFonts w:eastAsia="Calibri"/>
                <w:sz w:val="20"/>
                <w:szCs w:val="20"/>
              </w:rPr>
            </w:pPr>
          </w:p>
        </w:tc>
        <w:tc>
          <w:tcPr>
            <w:tcW w:w="336" w:type="dxa"/>
          </w:tcPr>
          <w:p w14:paraId="68091013" w14:textId="77777777" w:rsidR="00CF33D9" w:rsidRDefault="00CF33D9">
            <w:pPr>
              <w:rPr>
                <w:rFonts w:eastAsia="Calibri"/>
                <w:sz w:val="20"/>
                <w:szCs w:val="20"/>
              </w:rPr>
            </w:pPr>
          </w:p>
        </w:tc>
        <w:tc>
          <w:tcPr>
            <w:tcW w:w="336" w:type="dxa"/>
          </w:tcPr>
          <w:p w14:paraId="68091014" w14:textId="77777777" w:rsidR="00CF33D9" w:rsidRDefault="00CF33D9">
            <w:pPr>
              <w:rPr>
                <w:rFonts w:eastAsia="Calibri"/>
                <w:sz w:val="20"/>
                <w:szCs w:val="20"/>
              </w:rPr>
            </w:pPr>
          </w:p>
        </w:tc>
        <w:tc>
          <w:tcPr>
            <w:tcW w:w="336" w:type="dxa"/>
          </w:tcPr>
          <w:p w14:paraId="68091015" w14:textId="77777777" w:rsidR="00CF33D9" w:rsidRDefault="00CF33D9">
            <w:pPr>
              <w:rPr>
                <w:rFonts w:eastAsia="Calibri"/>
                <w:sz w:val="20"/>
                <w:szCs w:val="20"/>
              </w:rPr>
            </w:pPr>
          </w:p>
        </w:tc>
        <w:tc>
          <w:tcPr>
            <w:tcW w:w="336" w:type="dxa"/>
          </w:tcPr>
          <w:p w14:paraId="68091016" w14:textId="77777777" w:rsidR="00CF33D9" w:rsidRDefault="00CF33D9">
            <w:pPr>
              <w:rPr>
                <w:rFonts w:eastAsia="Calibri"/>
                <w:sz w:val="20"/>
                <w:szCs w:val="20"/>
              </w:rPr>
            </w:pPr>
          </w:p>
        </w:tc>
        <w:tc>
          <w:tcPr>
            <w:tcW w:w="336" w:type="dxa"/>
          </w:tcPr>
          <w:p w14:paraId="68091017" w14:textId="77777777" w:rsidR="00CF33D9" w:rsidRDefault="00CF33D9">
            <w:pPr>
              <w:rPr>
                <w:rFonts w:eastAsia="Calibri"/>
                <w:sz w:val="20"/>
                <w:szCs w:val="20"/>
              </w:rPr>
            </w:pPr>
          </w:p>
        </w:tc>
        <w:tc>
          <w:tcPr>
            <w:tcW w:w="336" w:type="dxa"/>
          </w:tcPr>
          <w:p w14:paraId="68091018" w14:textId="77777777" w:rsidR="00CF33D9" w:rsidRDefault="00CF33D9">
            <w:pPr>
              <w:rPr>
                <w:rFonts w:eastAsia="Calibri"/>
                <w:sz w:val="20"/>
                <w:szCs w:val="20"/>
              </w:rPr>
            </w:pPr>
          </w:p>
        </w:tc>
        <w:tc>
          <w:tcPr>
            <w:tcW w:w="336" w:type="dxa"/>
          </w:tcPr>
          <w:p w14:paraId="68091019" w14:textId="77777777" w:rsidR="00CF33D9" w:rsidRDefault="00CF33D9">
            <w:pPr>
              <w:rPr>
                <w:rFonts w:eastAsia="Calibri"/>
                <w:sz w:val="20"/>
                <w:szCs w:val="20"/>
              </w:rPr>
            </w:pPr>
          </w:p>
        </w:tc>
        <w:tc>
          <w:tcPr>
            <w:tcW w:w="336" w:type="dxa"/>
          </w:tcPr>
          <w:p w14:paraId="6809101A" w14:textId="77777777" w:rsidR="00CF33D9" w:rsidRDefault="00CF33D9">
            <w:pPr>
              <w:rPr>
                <w:rFonts w:eastAsia="Calibri"/>
                <w:sz w:val="20"/>
                <w:szCs w:val="20"/>
              </w:rPr>
            </w:pPr>
          </w:p>
        </w:tc>
        <w:tc>
          <w:tcPr>
            <w:tcW w:w="336" w:type="dxa"/>
          </w:tcPr>
          <w:p w14:paraId="6809101B" w14:textId="77777777" w:rsidR="00CF33D9" w:rsidRDefault="00CF33D9">
            <w:pPr>
              <w:rPr>
                <w:rFonts w:eastAsia="Calibri"/>
                <w:sz w:val="20"/>
                <w:szCs w:val="20"/>
              </w:rPr>
            </w:pPr>
          </w:p>
        </w:tc>
      </w:tr>
      <w:tr w:rsidR="00CF33D9" w14:paraId="68091039" w14:textId="77777777">
        <w:tc>
          <w:tcPr>
            <w:tcW w:w="1413" w:type="dxa"/>
            <w:vMerge w:val="restart"/>
          </w:tcPr>
          <w:p w14:paraId="6809101D" w14:textId="77777777" w:rsidR="00CF33D9" w:rsidRDefault="00E3332A">
            <w:pPr>
              <w:rPr>
                <w:rFonts w:eastAsia="Calibri"/>
                <w:sz w:val="20"/>
                <w:szCs w:val="20"/>
              </w:rPr>
            </w:pPr>
            <w:r>
              <w:rPr>
                <w:rFonts w:eastAsia="Calibri"/>
                <w:b/>
                <w:color w:val="000000"/>
                <w:sz w:val="20"/>
                <w:szCs w:val="20"/>
              </w:rPr>
              <w:t>Component 2</w:t>
            </w:r>
            <w:r>
              <w:rPr>
                <w:rFonts w:eastAsia="Calibri"/>
                <w:color w:val="000000"/>
                <w:sz w:val="20"/>
                <w:szCs w:val="20"/>
              </w:rPr>
              <w:t>: Enhance sustainable and climate resilient marine living resources and their value chains in the BCLME</w:t>
            </w:r>
          </w:p>
        </w:tc>
        <w:tc>
          <w:tcPr>
            <w:tcW w:w="2130" w:type="dxa"/>
            <w:vMerge w:val="restart"/>
          </w:tcPr>
          <w:p w14:paraId="6809101E" w14:textId="77777777" w:rsidR="00CF33D9" w:rsidRDefault="00E3332A">
            <w:pPr>
              <w:spacing w:after="0"/>
              <w:rPr>
                <w:rFonts w:eastAsia="Calibri"/>
                <w:color w:val="000000"/>
                <w:sz w:val="20"/>
                <w:szCs w:val="20"/>
              </w:rPr>
            </w:pPr>
            <w:r>
              <w:rPr>
                <w:rFonts w:eastAsia="Calibri"/>
                <w:color w:val="000000"/>
                <w:sz w:val="20"/>
                <w:szCs w:val="20"/>
              </w:rPr>
              <w:t xml:space="preserve">2.1: Climate resilient and sustainably managed fisheries and seafood </w:t>
            </w:r>
          </w:p>
          <w:p w14:paraId="6809101F" w14:textId="77777777" w:rsidR="00CF33D9" w:rsidRDefault="00CF33D9">
            <w:pPr>
              <w:rPr>
                <w:rFonts w:eastAsia="Calibri"/>
                <w:sz w:val="20"/>
                <w:szCs w:val="20"/>
              </w:rPr>
            </w:pPr>
          </w:p>
        </w:tc>
        <w:tc>
          <w:tcPr>
            <w:tcW w:w="2588" w:type="dxa"/>
          </w:tcPr>
          <w:p w14:paraId="68091020" w14:textId="77777777" w:rsidR="00CF33D9" w:rsidRDefault="00E3332A">
            <w:pPr>
              <w:spacing w:after="0"/>
              <w:rPr>
                <w:rFonts w:eastAsia="Calibri"/>
                <w:color w:val="000000"/>
                <w:sz w:val="20"/>
                <w:szCs w:val="20"/>
              </w:rPr>
            </w:pPr>
            <w:r>
              <w:rPr>
                <w:rFonts w:eastAsia="Calibri"/>
                <w:color w:val="000000"/>
                <w:sz w:val="20"/>
                <w:szCs w:val="20"/>
              </w:rPr>
              <w:t>2.1.1: Bilateral agreements for joint sustainable and climate resilient management of transboundary fish stocks (Cape horse mackerel, Cape hakes) developed and implemented to curb IUU fishing</w:t>
            </w:r>
          </w:p>
        </w:tc>
        <w:tc>
          <w:tcPr>
            <w:tcW w:w="335" w:type="dxa"/>
            <w:shd w:val="clear" w:color="auto" w:fill="00B0F0"/>
          </w:tcPr>
          <w:p w14:paraId="68091021" w14:textId="77777777" w:rsidR="00CF33D9" w:rsidRDefault="00CF33D9">
            <w:pPr>
              <w:rPr>
                <w:rFonts w:eastAsia="Calibri"/>
                <w:sz w:val="20"/>
                <w:szCs w:val="20"/>
              </w:rPr>
            </w:pPr>
          </w:p>
        </w:tc>
        <w:tc>
          <w:tcPr>
            <w:tcW w:w="335" w:type="dxa"/>
            <w:shd w:val="clear" w:color="auto" w:fill="00B0F0"/>
          </w:tcPr>
          <w:p w14:paraId="68091022" w14:textId="77777777" w:rsidR="00CF33D9" w:rsidRDefault="00CF33D9">
            <w:pPr>
              <w:rPr>
                <w:rFonts w:eastAsia="Calibri"/>
                <w:sz w:val="20"/>
                <w:szCs w:val="20"/>
              </w:rPr>
            </w:pPr>
          </w:p>
        </w:tc>
        <w:tc>
          <w:tcPr>
            <w:tcW w:w="335" w:type="dxa"/>
            <w:shd w:val="clear" w:color="auto" w:fill="00B0F0"/>
          </w:tcPr>
          <w:p w14:paraId="68091023" w14:textId="77777777" w:rsidR="00CF33D9" w:rsidRDefault="00CF33D9">
            <w:pPr>
              <w:rPr>
                <w:rFonts w:eastAsia="Calibri"/>
                <w:sz w:val="20"/>
                <w:szCs w:val="20"/>
              </w:rPr>
            </w:pPr>
          </w:p>
        </w:tc>
        <w:tc>
          <w:tcPr>
            <w:tcW w:w="335" w:type="dxa"/>
            <w:shd w:val="clear" w:color="auto" w:fill="00B0F0"/>
          </w:tcPr>
          <w:p w14:paraId="68091024"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025"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026"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027"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028"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029"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02A"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02B"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02C"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02D" w14:textId="77777777" w:rsidR="00CF33D9" w:rsidRDefault="00CF33D9">
            <w:pPr>
              <w:rPr>
                <w:rFonts w:eastAsia="Calibri"/>
                <w:sz w:val="20"/>
                <w:szCs w:val="20"/>
              </w:rPr>
            </w:pPr>
          </w:p>
        </w:tc>
        <w:tc>
          <w:tcPr>
            <w:tcW w:w="336" w:type="dxa"/>
            <w:tcBorders>
              <w:bottom w:val="single" w:sz="4" w:space="0" w:color="000000"/>
            </w:tcBorders>
          </w:tcPr>
          <w:p w14:paraId="6809102E" w14:textId="77777777" w:rsidR="00CF33D9" w:rsidRDefault="00CF33D9">
            <w:pPr>
              <w:rPr>
                <w:rFonts w:eastAsia="Calibri"/>
                <w:sz w:val="20"/>
                <w:szCs w:val="20"/>
              </w:rPr>
            </w:pPr>
          </w:p>
        </w:tc>
        <w:tc>
          <w:tcPr>
            <w:tcW w:w="336" w:type="dxa"/>
            <w:tcBorders>
              <w:bottom w:val="single" w:sz="4" w:space="0" w:color="000000"/>
            </w:tcBorders>
          </w:tcPr>
          <w:p w14:paraId="6809102F" w14:textId="77777777" w:rsidR="00CF33D9" w:rsidRDefault="00CF33D9">
            <w:pPr>
              <w:rPr>
                <w:rFonts w:eastAsia="Calibri"/>
                <w:sz w:val="20"/>
                <w:szCs w:val="20"/>
              </w:rPr>
            </w:pPr>
          </w:p>
        </w:tc>
        <w:tc>
          <w:tcPr>
            <w:tcW w:w="336" w:type="dxa"/>
            <w:tcBorders>
              <w:bottom w:val="single" w:sz="4" w:space="0" w:color="000000"/>
            </w:tcBorders>
          </w:tcPr>
          <w:p w14:paraId="68091030" w14:textId="77777777" w:rsidR="00CF33D9" w:rsidRDefault="00CF33D9">
            <w:pPr>
              <w:rPr>
                <w:rFonts w:eastAsia="Calibri"/>
                <w:sz w:val="20"/>
                <w:szCs w:val="20"/>
              </w:rPr>
            </w:pPr>
          </w:p>
        </w:tc>
        <w:tc>
          <w:tcPr>
            <w:tcW w:w="336" w:type="dxa"/>
            <w:tcBorders>
              <w:bottom w:val="single" w:sz="4" w:space="0" w:color="000000"/>
            </w:tcBorders>
          </w:tcPr>
          <w:p w14:paraId="68091031" w14:textId="77777777" w:rsidR="00CF33D9" w:rsidRDefault="00CF33D9">
            <w:pPr>
              <w:rPr>
                <w:rFonts w:eastAsia="Calibri"/>
                <w:sz w:val="20"/>
                <w:szCs w:val="20"/>
              </w:rPr>
            </w:pPr>
          </w:p>
        </w:tc>
        <w:tc>
          <w:tcPr>
            <w:tcW w:w="336" w:type="dxa"/>
            <w:tcBorders>
              <w:bottom w:val="single" w:sz="4" w:space="0" w:color="000000"/>
            </w:tcBorders>
          </w:tcPr>
          <w:p w14:paraId="68091032" w14:textId="77777777" w:rsidR="00CF33D9" w:rsidRDefault="00CF33D9">
            <w:pPr>
              <w:rPr>
                <w:rFonts w:eastAsia="Calibri"/>
                <w:sz w:val="20"/>
                <w:szCs w:val="20"/>
              </w:rPr>
            </w:pPr>
          </w:p>
        </w:tc>
        <w:tc>
          <w:tcPr>
            <w:tcW w:w="336" w:type="dxa"/>
            <w:tcBorders>
              <w:bottom w:val="single" w:sz="4" w:space="0" w:color="000000"/>
            </w:tcBorders>
          </w:tcPr>
          <w:p w14:paraId="68091033" w14:textId="77777777" w:rsidR="00CF33D9" w:rsidRDefault="00CF33D9">
            <w:pPr>
              <w:rPr>
                <w:rFonts w:eastAsia="Calibri"/>
                <w:sz w:val="20"/>
                <w:szCs w:val="20"/>
              </w:rPr>
            </w:pPr>
          </w:p>
        </w:tc>
        <w:tc>
          <w:tcPr>
            <w:tcW w:w="336" w:type="dxa"/>
            <w:tcBorders>
              <w:bottom w:val="single" w:sz="4" w:space="0" w:color="000000"/>
            </w:tcBorders>
          </w:tcPr>
          <w:p w14:paraId="68091034" w14:textId="77777777" w:rsidR="00CF33D9" w:rsidRDefault="00CF33D9">
            <w:pPr>
              <w:rPr>
                <w:rFonts w:eastAsia="Calibri"/>
                <w:sz w:val="20"/>
                <w:szCs w:val="20"/>
              </w:rPr>
            </w:pPr>
          </w:p>
        </w:tc>
        <w:tc>
          <w:tcPr>
            <w:tcW w:w="336" w:type="dxa"/>
            <w:tcBorders>
              <w:bottom w:val="single" w:sz="4" w:space="0" w:color="000000"/>
            </w:tcBorders>
          </w:tcPr>
          <w:p w14:paraId="68091035" w14:textId="77777777" w:rsidR="00CF33D9" w:rsidRDefault="00CF33D9">
            <w:pPr>
              <w:rPr>
                <w:rFonts w:eastAsia="Calibri"/>
                <w:sz w:val="20"/>
                <w:szCs w:val="20"/>
              </w:rPr>
            </w:pPr>
          </w:p>
        </w:tc>
        <w:tc>
          <w:tcPr>
            <w:tcW w:w="336" w:type="dxa"/>
            <w:tcBorders>
              <w:bottom w:val="single" w:sz="4" w:space="0" w:color="000000"/>
            </w:tcBorders>
          </w:tcPr>
          <w:p w14:paraId="68091036" w14:textId="77777777" w:rsidR="00CF33D9" w:rsidRDefault="00CF33D9">
            <w:pPr>
              <w:rPr>
                <w:rFonts w:eastAsia="Calibri"/>
                <w:sz w:val="20"/>
                <w:szCs w:val="20"/>
              </w:rPr>
            </w:pPr>
          </w:p>
        </w:tc>
        <w:tc>
          <w:tcPr>
            <w:tcW w:w="336" w:type="dxa"/>
            <w:tcBorders>
              <w:bottom w:val="single" w:sz="4" w:space="0" w:color="000000"/>
            </w:tcBorders>
          </w:tcPr>
          <w:p w14:paraId="68091037" w14:textId="77777777" w:rsidR="00CF33D9" w:rsidRDefault="00CF33D9">
            <w:pPr>
              <w:rPr>
                <w:rFonts w:eastAsia="Calibri"/>
                <w:sz w:val="20"/>
                <w:szCs w:val="20"/>
              </w:rPr>
            </w:pPr>
          </w:p>
        </w:tc>
        <w:tc>
          <w:tcPr>
            <w:tcW w:w="336" w:type="dxa"/>
            <w:tcBorders>
              <w:bottom w:val="single" w:sz="4" w:space="0" w:color="000000"/>
            </w:tcBorders>
          </w:tcPr>
          <w:p w14:paraId="68091038" w14:textId="77777777" w:rsidR="00CF33D9" w:rsidRDefault="00CF33D9">
            <w:pPr>
              <w:rPr>
                <w:rFonts w:eastAsia="Calibri"/>
                <w:sz w:val="20"/>
                <w:szCs w:val="20"/>
              </w:rPr>
            </w:pPr>
          </w:p>
        </w:tc>
      </w:tr>
      <w:tr w:rsidR="00CF33D9" w14:paraId="68091055" w14:textId="77777777">
        <w:tc>
          <w:tcPr>
            <w:tcW w:w="1413" w:type="dxa"/>
            <w:vMerge/>
          </w:tcPr>
          <w:p w14:paraId="6809103A" w14:textId="77777777" w:rsidR="00CF33D9" w:rsidRDefault="00CF33D9">
            <w:pPr>
              <w:widowControl w:val="0"/>
              <w:spacing w:after="0" w:line="276" w:lineRule="auto"/>
              <w:rPr>
                <w:rFonts w:eastAsia="Calibri"/>
                <w:sz w:val="20"/>
                <w:szCs w:val="20"/>
              </w:rPr>
            </w:pPr>
          </w:p>
        </w:tc>
        <w:tc>
          <w:tcPr>
            <w:tcW w:w="2130" w:type="dxa"/>
            <w:vMerge/>
          </w:tcPr>
          <w:p w14:paraId="6809103B" w14:textId="77777777" w:rsidR="00CF33D9" w:rsidRDefault="00CF33D9">
            <w:pPr>
              <w:widowControl w:val="0"/>
              <w:spacing w:after="0" w:line="276" w:lineRule="auto"/>
              <w:rPr>
                <w:rFonts w:eastAsia="Calibri"/>
                <w:sz w:val="20"/>
                <w:szCs w:val="20"/>
              </w:rPr>
            </w:pPr>
          </w:p>
        </w:tc>
        <w:tc>
          <w:tcPr>
            <w:tcW w:w="2588" w:type="dxa"/>
          </w:tcPr>
          <w:p w14:paraId="6809103C" w14:textId="77777777" w:rsidR="00CF33D9" w:rsidRDefault="00E3332A">
            <w:pPr>
              <w:rPr>
                <w:rFonts w:eastAsia="Calibri"/>
                <w:sz w:val="20"/>
                <w:szCs w:val="20"/>
              </w:rPr>
            </w:pPr>
            <w:r>
              <w:rPr>
                <w:rFonts w:eastAsia="Calibri"/>
                <w:color w:val="000000"/>
                <w:sz w:val="20"/>
                <w:szCs w:val="20"/>
              </w:rPr>
              <w:t xml:space="preserve">2.1.2: Sustainable and climate resilient mariculture opportunities and exploitation of other living </w:t>
            </w:r>
            <w:r>
              <w:rPr>
                <w:rFonts w:eastAsia="Calibri"/>
                <w:color w:val="000000"/>
                <w:sz w:val="20"/>
                <w:szCs w:val="20"/>
              </w:rPr>
              <w:lastRenderedPageBreak/>
              <w:t>marine resources at national levels identifies and plans for development and scaling up developed</w:t>
            </w:r>
          </w:p>
        </w:tc>
        <w:tc>
          <w:tcPr>
            <w:tcW w:w="335" w:type="dxa"/>
          </w:tcPr>
          <w:p w14:paraId="6809103D" w14:textId="77777777" w:rsidR="00CF33D9" w:rsidRDefault="00CF33D9">
            <w:pPr>
              <w:rPr>
                <w:rFonts w:eastAsia="Calibri"/>
                <w:sz w:val="20"/>
                <w:szCs w:val="20"/>
              </w:rPr>
            </w:pPr>
          </w:p>
        </w:tc>
        <w:tc>
          <w:tcPr>
            <w:tcW w:w="335" w:type="dxa"/>
          </w:tcPr>
          <w:p w14:paraId="6809103E" w14:textId="77777777" w:rsidR="00CF33D9" w:rsidRDefault="00CF33D9">
            <w:pPr>
              <w:rPr>
                <w:rFonts w:eastAsia="Calibri"/>
                <w:sz w:val="20"/>
                <w:szCs w:val="20"/>
              </w:rPr>
            </w:pPr>
          </w:p>
        </w:tc>
        <w:tc>
          <w:tcPr>
            <w:tcW w:w="335" w:type="dxa"/>
          </w:tcPr>
          <w:p w14:paraId="6809103F" w14:textId="77777777" w:rsidR="00CF33D9" w:rsidRDefault="00CF33D9">
            <w:pPr>
              <w:rPr>
                <w:rFonts w:eastAsia="Calibri"/>
                <w:sz w:val="20"/>
                <w:szCs w:val="20"/>
              </w:rPr>
            </w:pPr>
          </w:p>
        </w:tc>
        <w:tc>
          <w:tcPr>
            <w:tcW w:w="335" w:type="dxa"/>
          </w:tcPr>
          <w:p w14:paraId="68091040" w14:textId="77777777" w:rsidR="00CF33D9" w:rsidRDefault="00CF33D9">
            <w:pPr>
              <w:rPr>
                <w:rFonts w:eastAsia="Calibri"/>
                <w:sz w:val="20"/>
                <w:szCs w:val="20"/>
              </w:rPr>
            </w:pPr>
          </w:p>
        </w:tc>
        <w:tc>
          <w:tcPr>
            <w:tcW w:w="335" w:type="dxa"/>
            <w:shd w:val="clear" w:color="auto" w:fill="00B0F0"/>
          </w:tcPr>
          <w:p w14:paraId="68091041" w14:textId="77777777" w:rsidR="00CF33D9" w:rsidRDefault="00CF33D9">
            <w:pPr>
              <w:rPr>
                <w:rFonts w:eastAsia="Calibri"/>
                <w:sz w:val="20"/>
                <w:szCs w:val="20"/>
              </w:rPr>
            </w:pPr>
          </w:p>
        </w:tc>
        <w:tc>
          <w:tcPr>
            <w:tcW w:w="335" w:type="dxa"/>
            <w:shd w:val="clear" w:color="auto" w:fill="00B0F0"/>
          </w:tcPr>
          <w:p w14:paraId="68091042" w14:textId="77777777" w:rsidR="00CF33D9" w:rsidRDefault="00CF33D9">
            <w:pPr>
              <w:rPr>
                <w:rFonts w:eastAsia="Calibri"/>
                <w:sz w:val="20"/>
                <w:szCs w:val="20"/>
              </w:rPr>
            </w:pPr>
          </w:p>
        </w:tc>
        <w:tc>
          <w:tcPr>
            <w:tcW w:w="335" w:type="dxa"/>
            <w:shd w:val="clear" w:color="auto" w:fill="00B0F0"/>
          </w:tcPr>
          <w:p w14:paraId="68091043" w14:textId="77777777" w:rsidR="00CF33D9" w:rsidRDefault="00CF33D9">
            <w:pPr>
              <w:rPr>
                <w:rFonts w:eastAsia="Calibri"/>
                <w:sz w:val="20"/>
                <w:szCs w:val="20"/>
              </w:rPr>
            </w:pPr>
          </w:p>
        </w:tc>
        <w:tc>
          <w:tcPr>
            <w:tcW w:w="335" w:type="dxa"/>
            <w:shd w:val="clear" w:color="auto" w:fill="00B0F0"/>
          </w:tcPr>
          <w:p w14:paraId="68091044" w14:textId="77777777" w:rsidR="00CF33D9" w:rsidRDefault="00CF33D9">
            <w:pPr>
              <w:rPr>
                <w:rFonts w:eastAsia="Calibri"/>
                <w:sz w:val="20"/>
                <w:szCs w:val="20"/>
              </w:rPr>
            </w:pPr>
          </w:p>
        </w:tc>
        <w:tc>
          <w:tcPr>
            <w:tcW w:w="336" w:type="dxa"/>
            <w:shd w:val="clear" w:color="auto" w:fill="00B0F0"/>
          </w:tcPr>
          <w:p w14:paraId="68091045" w14:textId="77777777" w:rsidR="00CF33D9" w:rsidRDefault="00CF33D9">
            <w:pPr>
              <w:rPr>
                <w:rFonts w:eastAsia="Calibri"/>
                <w:sz w:val="20"/>
                <w:szCs w:val="20"/>
              </w:rPr>
            </w:pPr>
          </w:p>
        </w:tc>
        <w:tc>
          <w:tcPr>
            <w:tcW w:w="336" w:type="dxa"/>
            <w:shd w:val="clear" w:color="auto" w:fill="00B0F0"/>
          </w:tcPr>
          <w:p w14:paraId="68091046" w14:textId="77777777" w:rsidR="00CF33D9" w:rsidRDefault="00CF33D9">
            <w:pPr>
              <w:rPr>
                <w:rFonts w:eastAsia="Calibri"/>
                <w:sz w:val="20"/>
                <w:szCs w:val="20"/>
              </w:rPr>
            </w:pPr>
          </w:p>
        </w:tc>
        <w:tc>
          <w:tcPr>
            <w:tcW w:w="336" w:type="dxa"/>
            <w:shd w:val="clear" w:color="auto" w:fill="00B0F0"/>
          </w:tcPr>
          <w:p w14:paraId="68091047" w14:textId="77777777" w:rsidR="00CF33D9" w:rsidRDefault="00CF33D9">
            <w:pPr>
              <w:rPr>
                <w:rFonts w:eastAsia="Calibri"/>
                <w:sz w:val="20"/>
                <w:szCs w:val="20"/>
              </w:rPr>
            </w:pPr>
          </w:p>
        </w:tc>
        <w:tc>
          <w:tcPr>
            <w:tcW w:w="336" w:type="dxa"/>
            <w:shd w:val="clear" w:color="auto" w:fill="00B0F0"/>
          </w:tcPr>
          <w:p w14:paraId="68091048"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049"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04A"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04B"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04C"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04D"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04E"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04F"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050" w14:textId="77777777" w:rsidR="00CF33D9" w:rsidRDefault="00CF33D9">
            <w:pPr>
              <w:rPr>
                <w:rFonts w:eastAsia="Calibri"/>
                <w:sz w:val="20"/>
                <w:szCs w:val="20"/>
              </w:rPr>
            </w:pPr>
          </w:p>
        </w:tc>
        <w:tc>
          <w:tcPr>
            <w:tcW w:w="336" w:type="dxa"/>
            <w:shd w:val="clear" w:color="auto" w:fill="00B0F0"/>
          </w:tcPr>
          <w:p w14:paraId="68091051" w14:textId="77777777" w:rsidR="00CF33D9" w:rsidRDefault="00CF33D9">
            <w:pPr>
              <w:rPr>
                <w:rFonts w:eastAsia="Calibri"/>
                <w:sz w:val="20"/>
                <w:szCs w:val="20"/>
              </w:rPr>
            </w:pPr>
          </w:p>
        </w:tc>
        <w:tc>
          <w:tcPr>
            <w:tcW w:w="336" w:type="dxa"/>
            <w:shd w:val="clear" w:color="auto" w:fill="00B0F0"/>
          </w:tcPr>
          <w:p w14:paraId="68091052" w14:textId="77777777" w:rsidR="00CF33D9" w:rsidRDefault="00CF33D9">
            <w:pPr>
              <w:rPr>
                <w:rFonts w:eastAsia="Calibri"/>
                <w:sz w:val="20"/>
                <w:szCs w:val="20"/>
              </w:rPr>
            </w:pPr>
          </w:p>
        </w:tc>
        <w:tc>
          <w:tcPr>
            <w:tcW w:w="336" w:type="dxa"/>
            <w:shd w:val="clear" w:color="auto" w:fill="00B0F0"/>
          </w:tcPr>
          <w:p w14:paraId="68091053" w14:textId="77777777" w:rsidR="00CF33D9" w:rsidRDefault="00CF33D9">
            <w:pPr>
              <w:rPr>
                <w:rFonts w:eastAsia="Calibri"/>
                <w:sz w:val="20"/>
                <w:szCs w:val="20"/>
              </w:rPr>
            </w:pPr>
          </w:p>
        </w:tc>
        <w:tc>
          <w:tcPr>
            <w:tcW w:w="336" w:type="dxa"/>
            <w:shd w:val="clear" w:color="auto" w:fill="00B0F0"/>
          </w:tcPr>
          <w:p w14:paraId="68091054" w14:textId="77777777" w:rsidR="00CF33D9" w:rsidRDefault="00CF33D9">
            <w:pPr>
              <w:rPr>
                <w:rFonts w:eastAsia="Calibri"/>
                <w:sz w:val="20"/>
                <w:szCs w:val="20"/>
              </w:rPr>
            </w:pPr>
          </w:p>
        </w:tc>
      </w:tr>
      <w:tr w:rsidR="00CF33D9" w14:paraId="68091071" w14:textId="77777777">
        <w:tc>
          <w:tcPr>
            <w:tcW w:w="1413" w:type="dxa"/>
            <w:vMerge/>
          </w:tcPr>
          <w:p w14:paraId="68091056" w14:textId="77777777" w:rsidR="00CF33D9" w:rsidRDefault="00CF33D9">
            <w:pPr>
              <w:widowControl w:val="0"/>
              <w:spacing w:after="0" w:line="276" w:lineRule="auto"/>
              <w:rPr>
                <w:rFonts w:eastAsia="Calibri"/>
                <w:sz w:val="20"/>
                <w:szCs w:val="20"/>
              </w:rPr>
            </w:pPr>
          </w:p>
        </w:tc>
        <w:tc>
          <w:tcPr>
            <w:tcW w:w="2130" w:type="dxa"/>
            <w:vMerge/>
          </w:tcPr>
          <w:p w14:paraId="68091057" w14:textId="77777777" w:rsidR="00CF33D9" w:rsidRDefault="00CF33D9">
            <w:pPr>
              <w:widowControl w:val="0"/>
              <w:spacing w:after="0" w:line="276" w:lineRule="auto"/>
              <w:rPr>
                <w:rFonts w:eastAsia="Calibri"/>
                <w:sz w:val="20"/>
                <w:szCs w:val="20"/>
              </w:rPr>
            </w:pPr>
          </w:p>
        </w:tc>
        <w:tc>
          <w:tcPr>
            <w:tcW w:w="2588" w:type="dxa"/>
          </w:tcPr>
          <w:p w14:paraId="68091058" w14:textId="77777777" w:rsidR="00CF33D9" w:rsidRDefault="00E3332A">
            <w:pPr>
              <w:rPr>
                <w:rFonts w:eastAsia="Calibri"/>
                <w:sz w:val="20"/>
                <w:szCs w:val="20"/>
              </w:rPr>
            </w:pPr>
            <w:r>
              <w:rPr>
                <w:rFonts w:eastAsia="Calibri"/>
                <w:color w:val="000000"/>
                <w:sz w:val="20"/>
                <w:szCs w:val="20"/>
              </w:rPr>
              <w:t>2.1.3: Third-party sustainability and climate resilience certifications for fish and seafood products undertaken</w:t>
            </w:r>
          </w:p>
        </w:tc>
        <w:tc>
          <w:tcPr>
            <w:tcW w:w="335" w:type="dxa"/>
          </w:tcPr>
          <w:p w14:paraId="68091059" w14:textId="77777777" w:rsidR="00CF33D9" w:rsidRDefault="00CF33D9">
            <w:pPr>
              <w:rPr>
                <w:rFonts w:eastAsia="Calibri"/>
                <w:sz w:val="20"/>
                <w:szCs w:val="20"/>
              </w:rPr>
            </w:pPr>
          </w:p>
        </w:tc>
        <w:tc>
          <w:tcPr>
            <w:tcW w:w="335" w:type="dxa"/>
          </w:tcPr>
          <w:p w14:paraId="6809105A" w14:textId="77777777" w:rsidR="00CF33D9" w:rsidRDefault="00CF33D9">
            <w:pPr>
              <w:rPr>
                <w:rFonts w:eastAsia="Calibri"/>
                <w:sz w:val="20"/>
                <w:szCs w:val="20"/>
              </w:rPr>
            </w:pPr>
          </w:p>
        </w:tc>
        <w:tc>
          <w:tcPr>
            <w:tcW w:w="335" w:type="dxa"/>
            <w:tcBorders>
              <w:bottom w:val="single" w:sz="4" w:space="0" w:color="000000"/>
            </w:tcBorders>
          </w:tcPr>
          <w:p w14:paraId="6809105B" w14:textId="77777777" w:rsidR="00CF33D9" w:rsidRDefault="00CF33D9">
            <w:pPr>
              <w:rPr>
                <w:rFonts w:eastAsia="Calibri"/>
                <w:sz w:val="20"/>
                <w:szCs w:val="20"/>
              </w:rPr>
            </w:pPr>
          </w:p>
        </w:tc>
        <w:tc>
          <w:tcPr>
            <w:tcW w:w="335" w:type="dxa"/>
            <w:tcBorders>
              <w:bottom w:val="single" w:sz="4" w:space="0" w:color="000000"/>
            </w:tcBorders>
          </w:tcPr>
          <w:p w14:paraId="6809105C" w14:textId="77777777" w:rsidR="00CF33D9" w:rsidRDefault="00CF33D9">
            <w:pPr>
              <w:rPr>
                <w:rFonts w:eastAsia="Calibri"/>
                <w:sz w:val="20"/>
                <w:szCs w:val="20"/>
              </w:rPr>
            </w:pPr>
          </w:p>
        </w:tc>
        <w:tc>
          <w:tcPr>
            <w:tcW w:w="335" w:type="dxa"/>
            <w:tcBorders>
              <w:bottom w:val="single" w:sz="4" w:space="0" w:color="000000"/>
            </w:tcBorders>
          </w:tcPr>
          <w:p w14:paraId="6809105D" w14:textId="77777777" w:rsidR="00CF33D9" w:rsidRDefault="00CF33D9">
            <w:pPr>
              <w:rPr>
                <w:rFonts w:eastAsia="Calibri"/>
                <w:sz w:val="20"/>
                <w:szCs w:val="20"/>
              </w:rPr>
            </w:pPr>
          </w:p>
        </w:tc>
        <w:tc>
          <w:tcPr>
            <w:tcW w:w="335" w:type="dxa"/>
            <w:tcBorders>
              <w:bottom w:val="single" w:sz="4" w:space="0" w:color="000000"/>
            </w:tcBorders>
          </w:tcPr>
          <w:p w14:paraId="6809105E" w14:textId="77777777" w:rsidR="00CF33D9" w:rsidRDefault="00CF33D9">
            <w:pPr>
              <w:rPr>
                <w:rFonts w:eastAsia="Calibri"/>
                <w:sz w:val="20"/>
                <w:szCs w:val="20"/>
              </w:rPr>
            </w:pPr>
          </w:p>
        </w:tc>
        <w:tc>
          <w:tcPr>
            <w:tcW w:w="335" w:type="dxa"/>
            <w:tcBorders>
              <w:bottom w:val="single" w:sz="4" w:space="0" w:color="000000"/>
            </w:tcBorders>
          </w:tcPr>
          <w:p w14:paraId="6809105F" w14:textId="77777777" w:rsidR="00CF33D9" w:rsidRDefault="00CF33D9">
            <w:pPr>
              <w:rPr>
                <w:rFonts w:eastAsia="Calibri"/>
                <w:sz w:val="20"/>
                <w:szCs w:val="20"/>
              </w:rPr>
            </w:pPr>
          </w:p>
        </w:tc>
        <w:tc>
          <w:tcPr>
            <w:tcW w:w="335" w:type="dxa"/>
            <w:tcBorders>
              <w:bottom w:val="single" w:sz="4" w:space="0" w:color="000000"/>
            </w:tcBorders>
          </w:tcPr>
          <w:p w14:paraId="68091060" w14:textId="77777777" w:rsidR="00CF33D9" w:rsidRDefault="00CF33D9">
            <w:pPr>
              <w:rPr>
                <w:rFonts w:eastAsia="Calibri"/>
                <w:sz w:val="20"/>
                <w:szCs w:val="20"/>
              </w:rPr>
            </w:pPr>
          </w:p>
        </w:tc>
        <w:tc>
          <w:tcPr>
            <w:tcW w:w="336" w:type="dxa"/>
            <w:tcBorders>
              <w:bottom w:val="single" w:sz="4" w:space="0" w:color="000000"/>
            </w:tcBorders>
          </w:tcPr>
          <w:p w14:paraId="68091061" w14:textId="77777777" w:rsidR="00CF33D9" w:rsidRDefault="00CF33D9">
            <w:pPr>
              <w:rPr>
                <w:rFonts w:eastAsia="Calibri"/>
                <w:sz w:val="20"/>
                <w:szCs w:val="20"/>
              </w:rPr>
            </w:pPr>
          </w:p>
        </w:tc>
        <w:tc>
          <w:tcPr>
            <w:tcW w:w="336" w:type="dxa"/>
            <w:tcBorders>
              <w:bottom w:val="single" w:sz="4" w:space="0" w:color="000000"/>
            </w:tcBorders>
          </w:tcPr>
          <w:p w14:paraId="68091062" w14:textId="77777777" w:rsidR="00CF33D9" w:rsidRDefault="00CF33D9">
            <w:pPr>
              <w:rPr>
                <w:rFonts w:eastAsia="Calibri"/>
                <w:sz w:val="20"/>
                <w:szCs w:val="20"/>
              </w:rPr>
            </w:pPr>
          </w:p>
        </w:tc>
        <w:tc>
          <w:tcPr>
            <w:tcW w:w="336" w:type="dxa"/>
            <w:tcBorders>
              <w:bottom w:val="single" w:sz="4" w:space="0" w:color="000000"/>
            </w:tcBorders>
          </w:tcPr>
          <w:p w14:paraId="68091063" w14:textId="77777777" w:rsidR="00CF33D9" w:rsidRDefault="00CF33D9">
            <w:pPr>
              <w:rPr>
                <w:rFonts w:eastAsia="Calibri"/>
                <w:sz w:val="20"/>
                <w:szCs w:val="20"/>
              </w:rPr>
            </w:pPr>
          </w:p>
        </w:tc>
        <w:tc>
          <w:tcPr>
            <w:tcW w:w="336" w:type="dxa"/>
            <w:tcBorders>
              <w:bottom w:val="single" w:sz="4" w:space="0" w:color="000000"/>
            </w:tcBorders>
          </w:tcPr>
          <w:p w14:paraId="68091064" w14:textId="77777777" w:rsidR="00CF33D9" w:rsidRDefault="00CF33D9">
            <w:pPr>
              <w:rPr>
                <w:rFonts w:eastAsia="Calibri"/>
                <w:sz w:val="20"/>
                <w:szCs w:val="20"/>
              </w:rPr>
            </w:pPr>
          </w:p>
        </w:tc>
        <w:tc>
          <w:tcPr>
            <w:tcW w:w="336" w:type="dxa"/>
            <w:shd w:val="clear" w:color="auto" w:fill="00B0F0"/>
          </w:tcPr>
          <w:p w14:paraId="68091065" w14:textId="77777777" w:rsidR="00CF33D9" w:rsidRDefault="00CF33D9">
            <w:pPr>
              <w:rPr>
                <w:rFonts w:eastAsia="Calibri"/>
                <w:sz w:val="20"/>
                <w:szCs w:val="20"/>
              </w:rPr>
            </w:pPr>
          </w:p>
        </w:tc>
        <w:tc>
          <w:tcPr>
            <w:tcW w:w="336" w:type="dxa"/>
            <w:shd w:val="clear" w:color="auto" w:fill="00B0F0"/>
          </w:tcPr>
          <w:p w14:paraId="68091066" w14:textId="77777777" w:rsidR="00CF33D9" w:rsidRDefault="00CF33D9">
            <w:pPr>
              <w:rPr>
                <w:rFonts w:eastAsia="Calibri"/>
                <w:sz w:val="20"/>
                <w:szCs w:val="20"/>
              </w:rPr>
            </w:pPr>
          </w:p>
        </w:tc>
        <w:tc>
          <w:tcPr>
            <w:tcW w:w="336" w:type="dxa"/>
            <w:shd w:val="clear" w:color="auto" w:fill="00B0F0"/>
          </w:tcPr>
          <w:p w14:paraId="68091067" w14:textId="77777777" w:rsidR="00CF33D9" w:rsidRDefault="00CF33D9">
            <w:pPr>
              <w:rPr>
                <w:rFonts w:eastAsia="Calibri"/>
                <w:sz w:val="20"/>
                <w:szCs w:val="20"/>
              </w:rPr>
            </w:pPr>
          </w:p>
        </w:tc>
        <w:tc>
          <w:tcPr>
            <w:tcW w:w="336" w:type="dxa"/>
            <w:shd w:val="clear" w:color="auto" w:fill="00B0F0"/>
          </w:tcPr>
          <w:p w14:paraId="68091068" w14:textId="77777777" w:rsidR="00CF33D9" w:rsidRDefault="00CF33D9">
            <w:pPr>
              <w:rPr>
                <w:rFonts w:eastAsia="Calibri"/>
                <w:sz w:val="20"/>
                <w:szCs w:val="20"/>
              </w:rPr>
            </w:pPr>
          </w:p>
        </w:tc>
        <w:tc>
          <w:tcPr>
            <w:tcW w:w="336" w:type="dxa"/>
            <w:shd w:val="clear" w:color="auto" w:fill="00B0F0"/>
          </w:tcPr>
          <w:p w14:paraId="68091069" w14:textId="77777777" w:rsidR="00CF33D9" w:rsidRDefault="00CF33D9">
            <w:pPr>
              <w:rPr>
                <w:rFonts w:eastAsia="Calibri"/>
                <w:sz w:val="20"/>
                <w:szCs w:val="20"/>
              </w:rPr>
            </w:pPr>
          </w:p>
        </w:tc>
        <w:tc>
          <w:tcPr>
            <w:tcW w:w="336" w:type="dxa"/>
            <w:shd w:val="clear" w:color="auto" w:fill="00B0F0"/>
          </w:tcPr>
          <w:p w14:paraId="6809106A" w14:textId="77777777" w:rsidR="00CF33D9" w:rsidRDefault="00CF33D9">
            <w:pPr>
              <w:rPr>
                <w:rFonts w:eastAsia="Calibri"/>
                <w:sz w:val="20"/>
                <w:szCs w:val="20"/>
              </w:rPr>
            </w:pPr>
          </w:p>
        </w:tc>
        <w:tc>
          <w:tcPr>
            <w:tcW w:w="336" w:type="dxa"/>
            <w:shd w:val="clear" w:color="auto" w:fill="00B0F0"/>
          </w:tcPr>
          <w:p w14:paraId="6809106B" w14:textId="77777777" w:rsidR="00CF33D9" w:rsidRDefault="00CF33D9">
            <w:pPr>
              <w:rPr>
                <w:rFonts w:eastAsia="Calibri"/>
                <w:sz w:val="20"/>
                <w:szCs w:val="20"/>
              </w:rPr>
            </w:pPr>
          </w:p>
        </w:tc>
        <w:tc>
          <w:tcPr>
            <w:tcW w:w="336" w:type="dxa"/>
            <w:shd w:val="clear" w:color="auto" w:fill="00B0F0"/>
          </w:tcPr>
          <w:p w14:paraId="6809106C" w14:textId="77777777" w:rsidR="00CF33D9" w:rsidRDefault="00CF33D9">
            <w:pPr>
              <w:rPr>
                <w:rFonts w:eastAsia="Calibri"/>
                <w:sz w:val="20"/>
                <w:szCs w:val="20"/>
              </w:rPr>
            </w:pPr>
          </w:p>
        </w:tc>
        <w:tc>
          <w:tcPr>
            <w:tcW w:w="336" w:type="dxa"/>
          </w:tcPr>
          <w:p w14:paraId="6809106D" w14:textId="77777777" w:rsidR="00CF33D9" w:rsidRDefault="00CF33D9">
            <w:pPr>
              <w:rPr>
                <w:rFonts w:eastAsia="Calibri"/>
                <w:sz w:val="20"/>
                <w:szCs w:val="20"/>
              </w:rPr>
            </w:pPr>
          </w:p>
        </w:tc>
        <w:tc>
          <w:tcPr>
            <w:tcW w:w="336" w:type="dxa"/>
          </w:tcPr>
          <w:p w14:paraId="6809106E" w14:textId="77777777" w:rsidR="00CF33D9" w:rsidRDefault="00CF33D9">
            <w:pPr>
              <w:rPr>
                <w:rFonts w:eastAsia="Calibri"/>
                <w:sz w:val="20"/>
                <w:szCs w:val="20"/>
              </w:rPr>
            </w:pPr>
          </w:p>
        </w:tc>
        <w:tc>
          <w:tcPr>
            <w:tcW w:w="336" w:type="dxa"/>
          </w:tcPr>
          <w:p w14:paraId="6809106F" w14:textId="77777777" w:rsidR="00CF33D9" w:rsidRDefault="00CF33D9">
            <w:pPr>
              <w:rPr>
                <w:rFonts w:eastAsia="Calibri"/>
                <w:sz w:val="20"/>
                <w:szCs w:val="20"/>
              </w:rPr>
            </w:pPr>
          </w:p>
        </w:tc>
        <w:tc>
          <w:tcPr>
            <w:tcW w:w="336" w:type="dxa"/>
          </w:tcPr>
          <w:p w14:paraId="68091070" w14:textId="77777777" w:rsidR="00CF33D9" w:rsidRDefault="00CF33D9">
            <w:pPr>
              <w:rPr>
                <w:rFonts w:eastAsia="Calibri"/>
                <w:sz w:val="20"/>
                <w:szCs w:val="20"/>
              </w:rPr>
            </w:pPr>
          </w:p>
        </w:tc>
      </w:tr>
      <w:tr w:rsidR="00CF33D9" w14:paraId="6809108D" w14:textId="77777777">
        <w:tc>
          <w:tcPr>
            <w:tcW w:w="1413" w:type="dxa"/>
            <w:vMerge/>
          </w:tcPr>
          <w:p w14:paraId="68091072" w14:textId="77777777" w:rsidR="00CF33D9" w:rsidRDefault="00CF33D9">
            <w:pPr>
              <w:widowControl w:val="0"/>
              <w:spacing w:after="0" w:line="276" w:lineRule="auto"/>
              <w:rPr>
                <w:rFonts w:eastAsia="Calibri"/>
                <w:sz w:val="20"/>
                <w:szCs w:val="20"/>
              </w:rPr>
            </w:pPr>
          </w:p>
        </w:tc>
        <w:tc>
          <w:tcPr>
            <w:tcW w:w="2130" w:type="dxa"/>
            <w:vMerge w:val="restart"/>
          </w:tcPr>
          <w:p w14:paraId="68091073" w14:textId="77777777" w:rsidR="00CF33D9" w:rsidRDefault="00E3332A">
            <w:pPr>
              <w:rPr>
                <w:rFonts w:eastAsia="Calibri"/>
                <w:sz w:val="20"/>
                <w:szCs w:val="20"/>
              </w:rPr>
            </w:pPr>
            <w:r>
              <w:rPr>
                <w:rFonts w:eastAsia="Calibri"/>
                <w:color w:val="000000"/>
                <w:sz w:val="20"/>
                <w:szCs w:val="20"/>
              </w:rPr>
              <w:t>2.2: Market growth and diversification for BCLME sustainable and climate resilient marine commodities in domestic and international markets and improved socio-economic conditions of fishing communities</w:t>
            </w:r>
          </w:p>
        </w:tc>
        <w:tc>
          <w:tcPr>
            <w:tcW w:w="2588" w:type="dxa"/>
          </w:tcPr>
          <w:p w14:paraId="68091074" w14:textId="77777777" w:rsidR="00CF33D9" w:rsidRDefault="00E3332A">
            <w:pPr>
              <w:rPr>
                <w:rFonts w:eastAsia="Calibri"/>
                <w:sz w:val="20"/>
                <w:szCs w:val="20"/>
              </w:rPr>
            </w:pPr>
            <w:r>
              <w:rPr>
                <w:rFonts w:eastAsia="Calibri"/>
                <w:color w:val="000000"/>
                <w:sz w:val="20"/>
                <w:szCs w:val="20"/>
              </w:rPr>
              <w:t>2.2.1: Fish, seafood and mariculture market research and analysis that takes into consideration climate change impacts developed at national and regional levels</w:t>
            </w:r>
          </w:p>
        </w:tc>
        <w:tc>
          <w:tcPr>
            <w:tcW w:w="335" w:type="dxa"/>
          </w:tcPr>
          <w:p w14:paraId="68091075" w14:textId="77777777" w:rsidR="00CF33D9" w:rsidRDefault="00CF33D9">
            <w:pPr>
              <w:rPr>
                <w:rFonts w:eastAsia="Calibri"/>
                <w:sz w:val="20"/>
                <w:szCs w:val="20"/>
              </w:rPr>
            </w:pPr>
          </w:p>
        </w:tc>
        <w:tc>
          <w:tcPr>
            <w:tcW w:w="335" w:type="dxa"/>
          </w:tcPr>
          <w:p w14:paraId="68091076" w14:textId="77777777" w:rsidR="00CF33D9" w:rsidRDefault="00CF33D9">
            <w:pPr>
              <w:rPr>
                <w:rFonts w:eastAsia="Calibri"/>
                <w:sz w:val="20"/>
                <w:szCs w:val="20"/>
              </w:rPr>
            </w:pPr>
          </w:p>
        </w:tc>
        <w:tc>
          <w:tcPr>
            <w:tcW w:w="335" w:type="dxa"/>
            <w:shd w:val="clear" w:color="auto" w:fill="00B0F0"/>
          </w:tcPr>
          <w:p w14:paraId="68091077" w14:textId="77777777" w:rsidR="00CF33D9" w:rsidRDefault="00CF33D9">
            <w:pPr>
              <w:rPr>
                <w:rFonts w:eastAsia="Calibri"/>
                <w:sz w:val="20"/>
                <w:szCs w:val="20"/>
              </w:rPr>
            </w:pPr>
          </w:p>
        </w:tc>
        <w:tc>
          <w:tcPr>
            <w:tcW w:w="335" w:type="dxa"/>
            <w:shd w:val="clear" w:color="auto" w:fill="00B0F0"/>
          </w:tcPr>
          <w:p w14:paraId="68091078"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079"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07A"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07B"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07C"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07D"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07E"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07F"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080" w14:textId="77777777" w:rsidR="00CF33D9" w:rsidRDefault="00CF33D9">
            <w:pPr>
              <w:rPr>
                <w:rFonts w:eastAsia="Calibri"/>
                <w:sz w:val="20"/>
                <w:szCs w:val="20"/>
              </w:rPr>
            </w:pPr>
          </w:p>
        </w:tc>
        <w:tc>
          <w:tcPr>
            <w:tcW w:w="336" w:type="dxa"/>
            <w:tcBorders>
              <w:bottom w:val="single" w:sz="4" w:space="0" w:color="000000"/>
            </w:tcBorders>
          </w:tcPr>
          <w:p w14:paraId="68091081" w14:textId="77777777" w:rsidR="00CF33D9" w:rsidRDefault="00CF33D9">
            <w:pPr>
              <w:rPr>
                <w:rFonts w:eastAsia="Calibri"/>
                <w:sz w:val="20"/>
                <w:szCs w:val="20"/>
              </w:rPr>
            </w:pPr>
          </w:p>
        </w:tc>
        <w:tc>
          <w:tcPr>
            <w:tcW w:w="336" w:type="dxa"/>
            <w:tcBorders>
              <w:bottom w:val="single" w:sz="4" w:space="0" w:color="000000"/>
            </w:tcBorders>
          </w:tcPr>
          <w:p w14:paraId="68091082" w14:textId="77777777" w:rsidR="00CF33D9" w:rsidRDefault="00CF33D9">
            <w:pPr>
              <w:rPr>
                <w:rFonts w:eastAsia="Calibri"/>
                <w:sz w:val="20"/>
                <w:szCs w:val="20"/>
              </w:rPr>
            </w:pPr>
          </w:p>
        </w:tc>
        <w:tc>
          <w:tcPr>
            <w:tcW w:w="336" w:type="dxa"/>
            <w:tcBorders>
              <w:bottom w:val="single" w:sz="4" w:space="0" w:color="000000"/>
            </w:tcBorders>
          </w:tcPr>
          <w:p w14:paraId="68091083" w14:textId="77777777" w:rsidR="00CF33D9" w:rsidRDefault="00CF33D9">
            <w:pPr>
              <w:rPr>
                <w:rFonts w:eastAsia="Calibri"/>
                <w:sz w:val="20"/>
                <w:szCs w:val="20"/>
              </w:rPr>
            </w:pPr>
          </w:p>
        </w:tc>
        <w:tc>
          <w:tcPr>
            <w:tcW w:w="336" w:type="dxa"/>
            <w:tcBorders>
              <w:bottom w:val="single" w:sz="4" w:space="0" w:color="000000"/>
            </w:tcBorders>
          </w:tcPr>
          <w:p w14:paraId="68091084" w14:textId="77777777" w:rsidR="00CF33D9" w:rsidRDefault="00CF33D9">
            <w:pPr>
              <w:rPr>
                <w:rFonts w:eastAsia="Calibri"/>
                <w:sz w:val="20"/>
                <w:szCs w:val="20"/>
              </w:rPr>
            </w:pPr>
          </w:p>
        </w:tc>
        <w:tc>
          <w:tcPr>
            <w:tcW w:w="336" w:type="dxa"/>
          </w:tcPr>
          <w:p w14:paraId="68091085" w14:textId="77777777" w:rsidR="00CF33D9" w:rsidRDefault="00CF33D9">
            <w:pPr>
              <w:rPr>
                <w:rFonts w:eastAsia="Calibri"/>
                <w:sz w:val="20"/>
                <w:szCs w:val="20"/>
              </w:rPr>
            </w:pPr>
          </w:p>
        </w:tc>
        <w:tc>
          <w:tcPr>
            <w:tcW w:w="336" w:type="dxa"/>
          </w:tcPr>
          <w:p w14:paraId="68091086" w14:textId="77777777" w:rsidR="00CF33D9" w:rsidRDefault="00CF33D9">
            <w:pPr>
              <w:rPr>
                <w:rFonts w:eastAsia="Calibri"/>
                <w:sz w:val="20"/>
                <w:szCs w:val="20"/>
              </w:rPr>
            </w:pPr>
          </w:p>
        </w:tc>
        <w:tc>
          <w:tcPr>
            <w:tcW w:w="336" w:type="dxa"/>
          </w:tcPr>
          <w:p w14:paraId="68091087" w14:textId="77777777" w:rsidR="00CF33D9" w:rsidRDefault="00CF33D9">
            <w:pPr>
              <w:rPr>
                <w:rFonts w:eastAsia="Calibri"/>
                <w:sz w:val="20"/>
                <w:szCs w:val="20"/>
              </w:rPr>
            </w:pPr>
          </w:p>
        </w:tc>
        <w:tc>
          <w:tcPr>
            <w:tcW w:w="336" w:type="dxa"/>
          </w:tcPr>
          <w:p w14:paraId="68091088" w14:textId="77777777" w:rsidR="00CF33D9" w:rsidRDefault="00CF33D9">
            <w:pPr>
              <w:rPr>
                <w:rFonts w:eastAsia="Calibri"/>
                <w:sz w:val="20"/>
                <w:szCs w:val="20"/>
              </w:rPr>
            </w:pPr>
          </w:p>
        </w:tc>
        <w:tc>
          <w:tcPr>
            <w:tcW w:w="336" w:type="dxa"/>
          </w:tcPr>
          <w:p w14:paraId="68091089" w14:textId="77777777" w:rsidR="00CF33D9" w:rsidRDefault="00CF33D9">
            <w:pPr>
              <w:rPr>
                <w:rFonts w:eastAsia="Calibri"/>
                <w:sz w:val="20"/>
                <w:szCs w:val="20"/>
              </w:rPr>
            </w:pPr>
          </w:p>
        </w:tc>
        <w:tc>
          <w:tcPr>
            <w:tcW w:w="336" w:type="dxa"/>
          </w:tcPr>
          <w:p w14:paraId="6809108A" w14:textId="77777777" w:rsidR="00CF33D9" w:rsidRDefault="00CF33D9">
            <w:pPr>
              <w:rPr>
                <w:rFonts w:eastAsia="Calibri"/>
                <w:sz w:val="20"/>
                <w:szCs w:val="20"/>
              </w:rPr>
            </w:pPr>
          </w:p>
        </w:tc>
        <w:tc>
          <w:tcPr>
            <w:tcW w:w="336" w:type="dxa"/>
          </w:tcPr>
          <w:p w14:paraId="6809108B" w14:textId="77777777" w:rsidR="00CF33D9" w:rsidRDefault="00CF33D9">
            <w:pPr>
              <w:rPr>
                <w:rFonts w:eastAsia="Calibri"/>
                <w:sz w:val="20"/>
                <w:szCs w:val="20"/>
              </w:rPr>
            </w:pPr>
          </w:p>
        </w:tc>
        <w:tc>
          <w:tcPr>
            <w:tcW w:w="336" w:type="dxa"/>
          </w:tcPr>
          <w:p w14:paraId="6809108C" w14:textId="77777777" w:rsidR="00CF33D9" w:rsidRDefault="00CF33D9">
            <w:pPr>
              <w:rPr>
                <w:rFonts w:eastAsia="Calibri"/>
                <w:sz w:val="20"/>
                <w:szCs w:val="20"/>
              </w:rPr>
            </w:pPr>
          </w:p>
        </w:tc>
      </w:tr>
      <w:tr w:rsidR="00CF33D9" w14:paraId="680910A9" w14:textId="77777777">
        <w:tc>
          <w:tcPr>
            <w:tcW w:w="1413" w:type="dxa"/>
            <w:vMerge/>
          </w:tcPr>
          <w:p w14:paraId="6809108E" w14:textId="77777777" w:rsidR="00CF33D9" w:rsidRDefault="00CF33D9">
            <w:pPr>
              <w:widowControl w:val="0"/>
              <w:spacing w:after="0" w:line="276" w:lineRule="auto"/>
              <w:rPr>
                <w:rFonts w:eastAsia="Calibri"/>
                <w:sz w:val="20"/>
                <w:szCs w:val="20"/>
              </w:rPr>
            </w:pPr>
          </w:p>
        </w:tc>
        <w:tc>
          <w:tcPr>
            <w:tcW w:w="2130" w:type="dxa"/>
            <w:vMerge/>
          </w:tcPr>
          <w:p w14:paraId="6809108F" w14:textId="77777777" w:rsidR="00CF33D9" w:rsidRDefault="00CF33D9">
            <w:pPr>
              <w:widowControl w:val="0"/>
              <w:spacing w:after="0" w:line="276" w:lineRule="auto"/>
              <w:rPr>
                <w:rFonts w:eastAsia="Calibri"/>
                <w:sz w:val="20"/>
                <w:szCs w:val="20"/>
              </w:rPr>
            </w:pPr>
          </w:p>
        </w:tc>
        <w:tc>
          <w:tcPr>
            <w:tcW w:w="2588" w:type="dxa"/>
          </w:tcPr>
          <w:p w14:paraId="68091090" w14:textId="77777777" w:rsidR="00CF33D9" w:rsidRDefault="00E3332A">
            <w:pPr>
              <w:rPr>
                <w:rFonts w:eastAsia="Calibri"/>
                <w:sz w:val="20"/>
                <w:szCs w:val="20"/>
              </w:rPr>
            </w:pPr>
            <w:r>
              <w:rPr>
                <w:rFonts w:eastAsia="Calibri"/>
                <w:color w:val="000000"/>
                <w:sz w:val="20"/>
                <w:szCs w:val="20"/>
              </w:rPr>
              <w:t>2.2.2: Capacities for sustainable and climate resilient value chains developed (with a gender sensitive approach) for new and diversified fish and seafood products, including mariculture</w:t>
            </w:r>
          </w:p>
        </w:tc>
        <w:tc>
          <w:tcPr>
            <w:tcW w:w="335" w:type="dxa"/>
          </w:tcPr>
          <w:p w14:paraId="68091091" w14:textId="77777777" w:rsidR="00CF33D9" w:rsidRDefault="00CF33D9">
            <w:pPr>
              <w:rPr>
                <w:rFonts w:eastAsia="Calibri"/>
                <w:sz w:val="20"/>
                <w:szCs w:val="20"/>
              </w:rPr>
            </w:pPr>
          </w:p>
        </w:tc>
        <w:tc>
          <w:tcPr>
            <w:tcW w:w="335" w:type="dxa"/>
          </w:tcPr>
          <w:p w14:paraId="68091092" w14:textId="77777777" w:rsidR="00CF33D9" w:rsidRDefault="00CF33D9">
            <w:pPr>
              <w:rPr>
                <w:rFonts w:eastAsia="Calibri"/>
                <w:sz w:val="20"/>
                <w:szCs w:val="20"/>
              </w:rPr>
            </w:pPr>
          </w:p>
        </w:tc>
        <w:tc>
          <w:tcPr>
            <w:tcW w:w="335" w:type="dxa"/>
          </w:tcPr>
          <w:p w14:paraId="68091093" w14:textId="77777777" w:rsidR="00CF33D9" w:rsidRDefault="00CF33D9">
            <w:pPr>
              <w:rPr>
                <w:rFonts w:eastAsia="Calibri"/>
                <w:sz w:val="20"/>
                <w:szCs w:val="20"/>
              </w:rPr>
            </w:pPr>
          </w:p>
        </w:tc>
        <w:tc>
          <w:tcPr>
            <w:tcW w:w="335" w:type="dxa"/>
          </w:tcPr>
          <w:p w14:paraId="68091094" w14:textId="77777777" w:rsidR="00CF33D9" w:rsidRDefault="00CF33D9">
            <w:pPr>
              <w:rPr>
                <w:rFonts w:eastAsia="Calibri"/>
                <w:sz w:val="20"/>
                <w:szCs w:val="20"/>
              </w:rPr>
            </w:pPr>
          </w:p>
        </w:tc>
        <w:tc>
          <w:tcPr>
            <w:tcW w:w="335" w:type="dxa"/>
            <w:shd w:val="clear" w:color="auto" w:fill="00B0F0"/>
          </w:tcPr>
          <w:p w14:paraId="68091095" w14:textId="77777777" w:rsidR="00CF33D9" w:rsidRDefault="00CF33D9">
            <w:pPr>
              <w:rPr>
                <w:rFonts w:eastAsia="Calibri"/>
                <w:sz w:val="20"/>
                <w:szCs w:val="20"/>
              </w:rPr>
            </w:pPr>
          </w:p>
        </w:tc>
        <w:tc>
          <w:tcPr>
            <w:tcW w:w="335" w:type="dxa"/>
            <w:shd w:val="clear" w:color="auto" w:fill="00B0F0"/>
          </w:tcPr>
          <w:p w14:paraId="68091096" w14:textId="77777777" w:rsidR="00CF33D9" w:rsidRDefault="00CF33D9">
            <w:pPr>
              <w:rPr>
                <w:rFonts w:eastAsia="Calibri"/>
                <w:sz w:val="20"/>
                <w:szCs w:val="20"/>
              </w:rPr>
            </w:pPr>
          </w:p>
        </w:tc>
        <w:tc>
          <w:tcPr>
            <w:tcW w:w="335" w:type="dxa"/>
            <w:shd w:val="clear" w:color="auto" w:fill="00B0F0"/>
          </w:tcPr>
          <w:p w14:paraId="68091097" w14:textId="77777777" w:rsidR="00CF33D9" w:rsidRDefault="00CF33D9">
            <w:pPr>
              <w:rPr>
                <w:rFonts w:eastAsia="Calibri"/>
                <w:sz w:val="20"/>
                <w:szCs w:val="20"/>
              </w:rPr>
            </w:pPr>
          </w:p>
        </w:tc>
        <w:tc>
          <w:tcPr>
            <w:tcW w:w="335" w:type="dxa"/>
            <w:shd w:val="clear" w:color="auto" w:fill="00B0F0"/>
          </w:tcPr>
          <w:p w14:paraId="68091098"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099"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09A"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09B"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09C"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09D"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09E"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09F"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0A0" w14:textId="77777777" w:rsidR="00CF33D9" w:rsidRDefault="00CF33D9">
            <w:pPr>
              <w:rPr>
                <w:rFonts w:eastAsia="Calibri"/>
                <w:sz w:val="20"/>
                <w:szCs w:val="20"/>
              </w:rPr>
            </w:pPr>
          </w:p>
        </w:tc>
        <w:tc>
          <w:tcPr>
            <w:tcW w:w="336" w:type="dxa"/>
            <w:tcBorders>
              <w:bottom w:val="single" w:sz="4" w:space="0" w:color="000000"/>
            </w:tcBorders>
          </w:tcPr>
          <w:p w14:paraId="680910A1" w14:textId="77777777" w:rsidR="00CF33D9" w:rsidRDefault="00CF33D9">
            <w:pPr>
              <w:rPr>
                <w:rFonts w:eastAsia="Calibri"/>
                <w:sz w:val="20"/>
                <w:szCs w:val="20"/>
              </w:rPr>
            </w:pPr>
          </w:p>
        </w:tc>
        <w:tc>
          <w:tcPr>
            <w:tcW w:w="336" w:type="dxa"/>
            <w:tcBorders>
              <w:bottom w:val="single" w:sz="4" w:space="0" w:color="000000"/>
            </w:tcBorders>
          </w:tcPr>
          <w:p w14:paraId="680910A2" w14:textId="77777777" w:rsidR="00CF33D9" w:rsidRDefault="00CF33D9">
            <w:pPr>
              <w:rPr>
                <w:rFonts w:eastAsia="Calibri"/>
                <w:sz w:val="20"/>
                <w:szCs w:val="20"/>
              </w:rPr>
            </w:pPr>
          </w:p>
        </w:tc>
        <w:tc>
          <w:tcPr>
            <w:tcW w:w="336" w:type="dxa"/>
            <w:tcBorders>
              <w:bottom w:val="single" w:sz="4" w:space="0" w:color="000000"/>
            </w:tcBorders>
          </w:tcPr>
          <w:p w14:paraId="680910A3" w14:textId="77777777" w:rsidR="00CF33D9" w:rsidRDefault="00CF33D9">
            <w:pPr>
              <w:rPr>
                <w:rFonts w:eastAsia="Calibri"/>
                <w:sz w:val="20"/>
                <w:szCs w:val="20"/>
              </w:rPr>
            </w:pPr>
          </w:p>
        </w:tc>
        <w:tc>
          <w:tcPr>
            <w:tcW w:w="336" w:type="dxa"/>
            <w:tcBorders>
              <w:bottom w:val="single" w:sz="4" w:space="0" w:color="000000"/>
            </w:tcBorders>
          </w:tcPr>
          <w:p w14:paraId="680910A4" w14:textId="77777777" w:rsidR="00CF33D9" w:rsidRDefault="00CF33D9">
            <w:pPr>
              <w:rPr>
                <w:rFonts w:eastAsia="Calibri"/>
                <w:sz w:val="20"/>
                <w:szCs w:val="20"/>
              </w:rPr>
            </w:pPr>
          </w:p>
        </w:tc>
        <w:tc>
          <w:tcPr>
            <w:tcW w:w="336" w:type="dxa"/>
          </w:tcPr>
          <w:p w14:paraId="680910A5" w14:textId="77777777" w:rsidR="00CF33D9" w:rsidRDefault="00CF33D9">
            <w:pPr>
              <w:rPr>
                <w:rFonts w:eastAsia="Calibri"/>
                <w:sz w:val="20"/>
                <w:szCs w:val="20"/>
              </w:rPr>
            </w:pPr>
          </w:p>
        </w:tc>
        <w:tc>
          <w:tcPr>
            <w:tcW w:w="336" w:type="dxa"/>
          </w:tcPr>
          <w:p w14:paraId="680910A6" w14:textId="77777777" w:rsidR="00CF33D9" w:rsidRDefault="00CF33D9">
            <w:pPr>
              <w:rPr>
                <w:rFonts w:eastAsia="Calibri"/>
                <w:sz w:val="20"/>
                <w:szCs w:val="20"/>
              </w:rPr>
            </w:pPr>
          </w:p>
        </w:tc>
        <w:tc>
          <w:tcPr>
            <w:tcW w:w="336" w:type="dxa"/>
          </w:tcPr>
          <w:p w14:paraId="680910A7" w14:textId="77777777" w:rsidR="00CF33D9" w:rsidRDefault="00CF33D9">
            <w:pPr>
              <w:rPr>
                <w:rFonts w:eastAsia="Calibri"/>
                <w:sz w:val="20"/>
                <w:szCs w:val="20"/>
              </w:rPr>
            </w:pPr>
          </w:p>
        </w:tc>
        <w:tc>
          <w:tcPr>
            <w:tcW w:w="336" w:type="dxa"/>
          </w:tcPr>
          <w:p w14:paraId="680910A8" w14:textId="77777777" w:rsidR="00CF33D9" w:rsidRDefault="00CF33D9">
            <w:pPr>
              <w:rPr>
                <w:rFonts w:eastAsia="Calibri"/>
                <w:sz w:val="20"/>
                <w:szCs w:val="20"/>
              </w:rPr>
            </w:pPr>
          </w:p>
        </w:tc>
      </w:tr>
      <w:tr w:rsidR="00CF33D9" w14:paraId="680910C5" w14:textId="77777777">
        <w:tc>
          <w:tcPr>
            <w:tcW w:w="1413" w:type="dxa"/>
            <w:vMerge/>
          </w:tcPr>
          <w:p w14:paraId="680910AA" w14:textId="77777777" w:rsidR="00CF33D9" w:rsidRDefault="00CF33D9">
            <w:pPr>
              <w:widowControl w:val="0"/>
              <w:spacing w:after="0" w:line="276" w:lineRule="auto"/>
              <w:rPr>
                <w:rFonts w:eastAsia="Calibri"/>
                <w:sz w:val="20"/>
                <w:szCs w:val="20"/>
              </w:rPr>
            </w:pPr>
          </w:p>
        </w:tc>
        <w:tc>
          <w:tcPr>
            <w:tcW w:w="2130" w:type="dxa"/>
            <w:vMerge/>
          </w:tcPr>
          <w:p w14:paraId="680910AB" w14:textId="77777777" w:rsidR="00CF33D9" w:rsidRDefault="00CF33D9">
            <w:pPr>
              <w:widowControl w:val="0"/>
              <w:spacing w:after="0" w:line="276" w:lineRule="auto"/>
              <w:rPr>
                <w:rFonts w:eastAsia="Calibri"/>
                <w:sz w:val="20"/>
                <w:szCs w:val="20"/>
              </w:rPr>
            </w:pPr>
          </w:p>
        </w:tc>
        <w:tc>
          <w:tcPr>
            <w:tcW w:w="2588" w:type="dxa"/>
          </w:tcPr>
          <w:p w14:paraId="680910AC" w14:textId="77777777" w:rsidR="00CF33D9" w:rsidRDefault="00E3332A">
            <w:pPr>
              <w:rPr>
                <w:rFonts w:eastAsia="Calibri"/>
                <w:sz w:val="20"/>
                <w:szCs w:val="20"/>
              </w:rPr>
            </w:pPr>
            <w:r>
              <w:rPr>
                <w:rFonts w:eastAsia="Calibri"/>
                <w:color w:val="000000"/>
                <w:sz w:val="20"/>
                <w:szCs w:val="20"/>
              </w:rPr>
              <w:t>2.2.3: New climate resilient markets identified, explored and viable ones engaged</w:t>
            </w:r>
          </w:p>
        </w:tc>
        <w:tc>
          <w:tcPr>
            <w:tcW w:w="335" w:type="dxa"/>
            <w:tcBorders>
              <w:bottom w:val="single" w:sz="4" w:space="0" w:color="000000"/>
            </w:tcBorders>
          </w:tcPr>
          <w:p w14:paraId="680910AD" w14:textId="77777777" w:rsidR="00CF33D9" w:rsidRDefault="00CF33D9">
            <w:pPr>
              <w:rPr>
                <w:rFonts w:eastAsia="Calibri"/>
                <w:sz w:val="20"/>
                <w:szCs w:val="20"/>
              </w:rPr>
            </w:pPr>
          </w:p>
        </w:tc>
        <w:tc>
          <w:tcPr>
            <w:tcW w:w="335" w:type="dxa"/>
            <w:tcBorders>
              <w:bottom w:val="single" w:sz="4" w:space="0" w:color="000000"/>
            </w:tcBorders>
          </w:tcPr>
          <w:p w14:paraId="680910AE" w14:textId="77777777" w:rsidR="00CF33D9" w:rsidRDefault="00CF33D9">
            <w:pPr>
              <w:rPr>
                <w:rFonts w:eastAsia="Calibri"/>
                <w:sz w:val="20"/>
                <w:szCs w:val="20"/>
              </w:rPr>
            </w:pPr>
          </w:p>
        </w:tc>
        <w:tc>
          <w:tcPr>
            <w:tcW w:w="335" w:type="dxa"/>
            <w:tcBorders>
              <w:bottom w:val="single" w:sz="4" w:space="0" w:color="000000"/>
            </w:tcBorders>
          </w:tcPr>
          <w:p w14:paraId="680910AF" w14:textId="77777777" w:rsidR="00CF33D9" w:rsidRDefault="00CF33D9">
            <w:pPr>
              <w:rPr>
                <w:rFonts w:eastAsia="Calibri"/>
                <w:sz w:val="20"/>
                <w:szCs w:val="20"/>
              </w:rPr>
            </w:pPr>
          </w:p>
        </w:tc>
        <w:tc>
          <w:tcPr>
            <w:tcW w:w="335" w:type="dxa"/>
            <w:tcBorders>
              <w:bottom w:val="single" w:sz="4" w:space="0" w:color="000000"/>
            </w:tcBorders>
          </w:tcPr>
          <w:p w14:paraId="680910B0" w14:textId="77777777" w:rsidR="00CF33D9" w:rsidRDefault="00CF33D9">
            <w:pPr>
              <w:rPr>
                <w:rFonts w:eastAsia="Calibri"/>
                <w:sz w:val="20"/>
                <w:szCs w:val="20"/>
              </w:rPr>
            </w:pPr>
          </w:p>
        </w:tc>
        <w:tc>
          <w:tcPr>
            <w:tcW w:w="335" w:type="dxa"/>
            <w:tcBorders>
              <w:bottom w:val="single" w:sz="4" w:space="0" w:color="000000"/>
            </w:tcBorders>
          </w:tcPr>
          <w:p w14:paraId="680910B1" w14:textId="77777777" w:rsidR="00CF33D9" w:rsidRDefault="00CF33D9">
            <w:pPr>
              <w:rPr>
                <w:rFonts w:eastAsia="Calibri"/>
                <w:sz w:val="20"/>
                <w:szCs w:val="20"/>
              </w:rPr>
            </w:pPr>
          </w:p>
        </w:tc>
        <w:tc>
          <w:tcPr>
            <w:tcW w:w="335" w:type="dxa"/>
            <w:tcBorders>
              <w:bottom w:val="single" w:sz="4" w:space="0" w:color="000000"/>
            </w:tcBorders>
          </w:tcPr>
          <w:p w14:paraId="680910B2" w14:textId="77777777" w:rsidR="00CF33D9" w:rsidRDefault="00CF33D9">
            <w:pPr>
              <w:rPr>
                <w:rFonts w:eastAsia="Calibri"/>
                <w:sz w:val="20"/>
                <w:szCs w:val="20"/>
              </w:rPr>
            </w:pPr>
          </w:p>
        </w:tc>
        <w:tc>
          <w:tcPr>
            <w:tcW w:w="335" w:type="dxa"/>
          </w:tcPr>
          <w:p w14:paraId="680910B3" w14:textId="77777777" w:rsidR="00CF33D9" w:rsidRDefault="00CF33D9">
            <w:pPr>
              <w:rPr>
                <w:rFonts w:eastAsia="Calibri"/>
                <w:sz w:val="20"/>
                <w:szCs w:val="20"/>
              </w:rPr>
            </w:pPr>
          </w:p>
        </w:tc>
        <w:tc>
          <w:tcPr>
            <w:tcW w:w="335" w:type="dxa"/>
          </w:tcPr>
          <w:p w14:paraId="680910B4" w14:textId="77777777" w:rsidR="00CF33D9" w:rsidRDefault="00CF33D9">
            <w:pPr>
              <w:rPr>
                <w:rFonts w:eastAsia="Calibri"/>
                <w:sz w:val="20"/>
                <w:szCs w:val="20"/>
              </w:rPr>
            </w:pPr>
          </w:p>
        </w:tc>
        <w:tc>
          <w:tcPr>
            <w:tcW w:w="336" w:type="dxa"/>
            <w:shd w:val="clear" w:color="auto" w:fill="00B0F0"/>
          </w:tcPr>
          <w:p w14:paraId="680910B5" w14:textId="77777777" w:rsidR="00CF33D9" w:rsidRDefault="00CF33D9">
            <w:pPr>
              <w:rPr>
                <w:rFonts w:eastAsia="Calibri"/>
                <w:sz w:val="20"/>
                <w:szCs w:val="20"/>
              </w:rPr>
            </w:pPr>
          </w:p>
        </w:tc>
        <w:tc>
          <w:tcPr>
            <w:tcW w:w="336" w:type="dxa"/>
            <w:shd w:val="clear" w:color="auto" w:fill="00B0F0"/>
          </w:tcPr>
          <w:p w14:paraId="680910B6" w14:textId="77777777" w:rsidR="00CF33D9" w:rsidRDefault="00CF33D9">
            <w:pPr>
              <w:rPr>
                <w:rFonts w:eastAsia="Calibri"/>
                <w:sz w:val="20"/>
                <w:szCs w:val="20"/>
              </w:rPr>
            </w:pPr>
          </w:p>
        </w:tc>
        <w:tc>
          <w:tcPr>
            <w:tcW w:w="336" w:type="dxa"/>
            <w:shd w:val="clear" w:color="auto" w:fill="00B0F0"/>
          </w:tcPr>
          <w:p w14:paraId="680910B7" w14:textId="77777777" w:rsidR="00CF33D9" w:rsidRDefault="00CF33D9">
            <w:pPr>
              <w:rPr>
                <w:rFonts w:eastAsia="Calibri"/>
                <w:sz w:val="20"/>
                <w:szCs w:val="20"/>
              </w:rPr>
            </w:pPr>
          </w:p>
        </w:tc>
        <w:tc>
          <w:tcPr>
            <w:tcW w:w="336" w:type="dxa"/>
            <w:shd w:val="clear" w:color="auto" w:fill="00B0F0"/>
          </w:tcPr>
          <w:p w14:paraId="680910B8" w14:textId="77777777" w:rsidR="00CF33D9" w:rsidRDefault="00CF33D9">
            <w:pPr>
              <w:rPr>
                <w:rFonts w:eastAsia="Calibri"/>
                <w:sz w:val="20"/>
                <w:szCs w:val="20"/>
              </w:rPr>
            </w:pPr>
          </w:p>
        </w:tc>
        <w:tc>
          <w:tcPr>
            <w:tcW w:w="336" w:type="dxa"/>
            <w:shd w:val="clear" w:color="auto" w:fill="00B0F0"/>
          </w:tcPr>
          <w:p w14:paraId="680910B9" w14:textId="77777777" w:rsidR="00CF33D9" w:rsidRDefault="00CF33D9">
            <w:pPr>
              <w:rPr>
                <w:rFonts w:eastAsia="Calibri"/>
                <w:sz w:val="20"/>
                <w:szCs w:val="20"/>
              </w:rPr>
            </w:pPr>
          </w:p>
        </w:tc>
        <w:tc>
          <w:tcPr>
            <w:tcW w:w="336" w:type="dxa"/>
            <w:shd w:val="clear" w:color="auto" w:fill="00B0F0"/>
          </w:tcPr>
          <w:p w14:paraId="680910BA" w14:textId="77777777" w:rsidR="00CF33D9" w:rsidRDefault="00CF33D9">
            <w:pPr>
              <w:rPr>
                <w:rFonts w:eastAsia="Calibri"/>
                <w:sz w:val="20"/>
                <w:szCs w:val="20"/>
              </w:rPr>
            </w:pPr>
          </w:p>
        </w:tc>
        <w:tc>
          <w:tcPr>
            <w:tcW w:w="336" w:type="dxa"/>
            <w:shd w:val="clear" w:color="auto" w:fill="00B0F0"/>
          </w:tcPr>
          <w:p w14:paraId="680910BB" w14:textId="77777777" w:rsidR="00CF33D9" w:rsidRDefault="00CF33D9">
            <w:pPr>
              <w:rPr>
                <w:rFonts w:eastAsia="Calibri"/>
                <w:sz w:val="20"/>
                <w:szCs w:val="20"/>
              </w:rPr>
            </w:pPr>
          </w:p>
        </w:tc>
        <w:tc>
          <w:tcPr>
            <w:tcW w:w="336" w:type="dxa"/>
            <w:shd w:val="clear" w:color="auto" w:fill="00B0F0"/>
          </w:tcPr>
          <w:p w14:paraId="680910BC" w14:textId="77777777" w:rsidR="00CF33D9" w:rsidRDefault="00CF33D9">
            <w:pPr>
              <w:rPr>
                <w:rFonts w:eastAsia="Calibri"/>
                <w:sz w:val="20"/>
                <w:szCs w:val="20"/>
              </w:rPr>
            </w:pPr>
          </w:p>
        </w:tc>
        <w:tc>
          <w:tcPr>
            <w:tcW w:w="336" w:type="dxa"/>
            <w:shd w:val="clear" w:color="auto" w:fill="00B0F0"/>
          </w:tcPr>
          <w:p w14:paraId="680910BD" w14:textId="77777777" w:rsidR="00CF33D9" w:rsidRDefault="00CF33D9">
            <w:pPr>
              <w:rPr>
                <w:rFonts w:eastAsia="Calibri"/>
                <w:sz w:val="20"/>
                <w:szCs w:val="20"/>
              </w:rPr>
            </w:pPr>
          </w:p>
        </w:tc>
        <w:tc>
          <w:tcPr>
            <w:tcW w:w="336" w:type="dxa"/>
            <w:shd w:val="clear" w:color="auto" w:fill="00B0F0"/>
          </w:tcPr>
          <w:p w14:paraId="680910BE" w14:textId="77777777" w:rsidR="00CF33D9" w:rsidRDefault="00CF33D9">
            <w:pPr>
              <w:rPr>
                <w:rFonts w:eastAsia="Calibri"/>
                <w:sz w:val="20"/>
                <w:szCs w:val="20"/>
              </w:rPr>
            </w:pPr>
          </w:p>
        </w:tc>
        <w:tc>
          <w:tcPr>
            <w:tcW w:w="336" w:type="dxa"/>
            <w:shd w:val="clear" w:color="auto" w:fill="00B0F0"/>
          </w:tcPr>
          <w:p w14:paraId="680910BF" w14:textId="77777777" w:rsidR="00CF33D9" w:rsidRDefault="00CF33D9">
            <w:pPr>
              <w:rPr>
                <w:rFonts w:eastAsia="Calibri"/>
                <w:sz w:val="20"/>
                <w:szCs w:val="20"/>
              </w:rPr>
            </w:pPr>
          </w:p>
        </w:tc>
        <w:tc>
          <w:tcPr>
            <w:tcW w:w="336" w:type="dxa"/>
            <w:shd w:val="clear" w:color="auto" w:fill="00B0F0"/>
          </w:tcPr>
          <w:p w14:paraId="680910C0" w14:textId="77777777" w:rsidR="00CF33D9" w:rsidRDefault="00CF33D9">
            <w:pPr>
              <w:rPr>
                <w:rFonts w:eastAsia="Calibri"/>
                <w:sz w:val="20"/>
                <w:szCs w:val="20"/>
              </w:rPr>
            </w:pPr>
          </w:p>
        </w:tc>
        <w:tc>
          <w:tcPr>
            <w:tcW w:w="336" w:type="dxa"/>
          </w:tcPr>
          <w:p w14:paraId="680910C1" w14:textId="77777777" w:rsidR="00CF33D9" w:rsidRDefault="00CF33D9">
            <w:pPr>
              <w:rPr>
                <w:rFonts w:eastAsia="Calibri"/>
                <w:sz w:val="20"/>
                <w:szCs w:val="20"/>
              </w:rPr>
            </w:pPr>
          </w:p>
        </w:tc>
        <w:tc>
          <w:tcPr>
            <w:tcW w:w="336" w:type="dxa"/>
          </w:tcPr>
          <w:p w14:paraId="680910C2" w14:textId="77777777" w:rsidR="00CF33D9" w:rsidRDefault="00CF33D9">
            <w:pPr>
              <w:rPr>
                <w:rFonts w:eastAsia="Calibri"/>
                <w:sz w:val="20"/>
                <w:szCs w:val="20"/>
              </w:rPr>
            </w:pPr>
          </w:p>
        </w:tc>
        <w:tc>
          <w:tcPr>
            <w:tcW w:w="336" w:type="dxa"/>
          </w:tcPr>
          <w:p w14:paraId="680910C3" w14:textId="77777777" w:rsidR="00CF33D9" w:rsidRDefault="00CF33D9">
            <w:pPr>
              <w:rPr>
                <w:rFonts w:eastAsia="Calibri"/>
                <w:sz w:val="20"/>
                <w:szCs w:val="20"/>
              </w:rPr>
            </w:pPr>
          </w:p>
        </w:tc>
        <w:tc>
          <w:tcPr>
            <w:tcW w:w="336" w:type="dxa"/>
          </w:tcPr>
          <w:p w14:paraId="680910C4" w14:textId="77777777" w:rsidR="00CF33D9" w:rsidRDefault="00CF33D9">
            <w:pPr>
              <w:rPr>
                <w:rFonts w:eastAsia="Calibri"/>
                <w:sz w:val="20"/>
                <w:szCs w:val="20"/>
              </w:rPr>
            </w:pPr>
          </w:p>
        </w:tc>
      </w:tr>
      <w:tr w:rsidR="00CF33D9" w14:paraId="680910E2" w14:textId="77777777">
        <w:tc>
          <w:tcPr>
            <w:tcW w:w="1413" w:type="dxa"/>
            <w:vMerge w:val="restart"/>
          </w:tcPr>
          <w:p w14:paraId="680910C6" w14:textId="77777777" w:rsidR="00CF33D9" w:rsidRDefault="00E3332A">
            <w:pPr>
              <w:rPr>
                <w:rFonts w:eastAsia="Calibri"/>
                <w:sz w:val="20"/>
                <w:szCs w:val="20"/>
              </w:rPr>
            </w:pPr>
            <w:r>
              <w:rPr>
                <w:rFonts w:eastAsia="Calibri"/>
                <w:b/>
                <w:color w:val="000000"/>
                <w:sz w:val="20"/>
                <w:szCs w:val="20"/>
              </w:rPr>
              <w:lastRenderedPageBreak/>
              <w:t>Component 3</w:t>
            </w:r>
            <w:r>
              <w:rPr>
                <w:rFonts w:eastAsia="Calibri"/>
                <w:color w:val="000000"/>
                <w:sz w:val="20"/>
                <w:szCs w:val="20"/>
              </w:rPr>
              <w:t>: Improve coastal and marine pollution management in the BCLME</w:t>
            </w:r>
          </w:p>
        </w:tc>
        <w:tc>
          <w:tcPr>
            <w:tcW w:w="2130" w:type="dxa"/>
          </w:tcPr>
          <w:p w14:paraId="680910C7" w14:textId="77777777" w:rsidR="00CF33D9" w:rsidRDefault="00E333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eastAsia="Calibri"/>
                <w:color w:val="000000"/>
                <w:sz w:val="20"/>
                <w:szCs w:val="20"/>
              </w:rPr>
            </w:pPr>
            <w:r>
              <w:rPr>
                <w:rFonts w:eastAsia="Calibri"/>
                <w:color w:val="000000"/>
                <w:sz w:val="20"/>
                <w:szCs w:val="20"/>
              </w:rPr>
              <w:t xml:space="preserve">3.1 </w:t>
            </w:r>
            <w:r>
              <w:rPr>
                <w:rFonts w:eastAsia="Calibri"/>
                <w:sz w:val="20"/>
                <w:szCs w:val="20"/>
              </w:rPr>
              <w:t>Reduced discharge of pollutants from ocean-based activities</w:t>
            </w:r>
            <w:r>
              <w:rPr>
                <w:rFonts w:eastAsia="Calibri"/>
                <w:color w:val="000000"/>
                <w:sz w:val="20"/>
                <w:szCs w:val="20"/>
              </w:rPr>
              <w:t xml:space="preserve"> </w:t>
            </w:r>
          </w:p>
          <w:p w14:paraId="680910C8" w14:textId="77777777" w:rsidR="00CF33D9" w:rsidRDefault="00CF33D9">
            <w:pPr>
              <w:rPr>
                <w:rFonts w:eastAsia="Calibri"/>
                <w:sz w:val="20"/>
                <w:szCs w:val="20"/>
              </w:rPr>
            </w:pPr>
          </w:p>
        </w:tc>
        <w:tc>
          <w:tcPr>
            <w:tcW w:w="2588" w:type="dxa"/>
          </w:tcPr>
          <w:p w14:paraId="680910C9" w14:textId="77777777" w:rsidR="00CF33D9" w:rsidRDefault="00E3332A">
            <w:pPr>
              <w:rPr>
                <w:rFonts w:eastAsia="Calibri"/>
                <w:sz w:val="20"/>
                <w:szCs w:val="20"/>
              </w:rPr>
            </w:pPr>
            <w:r>
              <w:rPr>
                <w:rFonts w:eastAsia="Calibri"/>
                <w:color w:val="000000"/>
                <w:sz w:val="20"/>
                <w:szCs w:val="20"/>
              </w:rPr>
              <w:t>3.1.1 Policy and legislative frameworks developed/updated/strengthened</w:t>
            </w:r>
            <w:r>
              <w:rPr>
                <w:rFonts w:eastAsia="Calibri"/>
                <w:color w:val="000000"/>
                <w:sz w:val="20"/>
                <w:szCs w:val="20"/>
              </w:rPr>
              <w:br/>
              <w:t>and related strategies in place to address pollution prevention and control and response from shipping and extractive industries in the BCLME</w:t>
            </w:r>
          </w:p>
        </w:tc>
        <w:tc>
          <w:tcPr>
            <w:tcW w:w="335" w:type="dxa"/>
            <w:shd w:val="clear" w:color="auto" w:fill="00B0F0"/>
          </w:tcPr>
          <w:p w14:paraId="680910CA" w14:textId="77777777" w:rsidR="00CF33D9" w:rsidRDefault="00CF33D9">
            <w:pPr>
              <w:rPr>
                <w:rFonts w:eastAsia="Calibri"/>
                <w:sz w:val="20"/>
                <w:szCs w:val="20"/>
              </w:rPr>
            </w:pPr>
          </w:p>
        </w:tc>
        <w:tc>
          <w:tcPr>
            <w:tcW w:w="335" w:type="dxa"/>
            <w:shd w:val="clear" w:color="auto" w:fill="00B0F0"/>
          </w:tcPr>
          <w:p w14:paraId="680910CB"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0CC"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0CD"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0CE"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0CF" w14:textId="77777777" w:rsidR="00CF33D9" w:rsidRDefault="00CF33D9">
            <w:pPr>
              <w:rPr>
                <w:rFonts w:eastAsia="Calibri"/>
                <w:sz w:val="20"/>
                <w:szCs w:val="20"/>
              </w:rPr>
            </w:pPr>
          </w:p>
        </w:tc>
        <w:tc>
          <w:tcPr>
            <w:tcW w:w="335" w:type="dxa"/>
            <w:tcBorders>
              <w:bottom w:val="single" w:sz="4" w:space="0" w:color="000000"/>
            </w:tcBorders>
          </w:tcPr>
          <w:p w14:paraId="680910D0" w14:textId="77777777" w:rsidR="00CF33D9" w:rsidRDefault="00CF33D9">
            <w:pPr>
              <w:rPr>
                <w:rFonts w:eastAsia="Calibri"/>
                <w:sz w:val="20"/>
                <w:szCs w:val="20"/>
              </w:rPr>
            </w:pPr>
          </w:p>
        </w:tc>
        <w:tc>
          <w:tcPr>
            <w:tcW w:w="335" w:type="dxa"/>
            <w:tcBorders>
              <w:bottom w:val="single" w:sz="4" w:space="0" w:color="000000"/>
            </w:tcBorders>
          </w:tcPr>
          <w:p w14:paraId="680910D1" w14:textId="77777777" w:rsidR="00CF33D9" w:rsidRDefault="00CF33D9">
            <w:pPr>
              <w:rPr>
                <w:rFonts w:eastAsia="Calibri"/>
                <w:sz w:val="20"/>
                <w:szCs w:val="20"/>
              </w:rPr>
            </w:pPr>
          </w:p>
        </w:tc>
        <w:tc>
          <w:tcPr>
            <w:tcW w:w="336" w:type="dxa"/>
            <w:tcBorders>
              <w:bottom w:val="single" w:sz="4" w:space="0" w:color="000000"/>
            </w:tcBorders>
          </w:tcPr>
          <w:p w14:paraId="680910D2" w14:textId="77777777" w:rsidR="00CF33D9" w:rsidRDefault="00CF33D9">
            <w:pPr>
              <w:rPr>
                <w:rFonts w:eastAsia="Calibri"/>
                <w:sz w:val="20"/>
                <w:szCs w:val="20"/>
              </w:rPr>
            </w:pPr>
          </w:p>
        </w:tc>
        <w:tc>
          <w:tcPr>
            <w:tcW w:w="336" w:type="dxa"/>
            <w:tcBorders>
              <w:bottom w:val="single" w:sz="4" w:space="0" w:color="000000"/>
            </w:tcBorders>
          </w:tcPr>
          <w:p w14:paraId="680910D3" w14:textId="77777777" w:rsidR="00CF33D9" w:rsidRDefault="00CF33D9">
            <w:pPr>
              <w:rPr>
                <w:rFonts w:eastAsia="Calibri"/>
                <w:sz w:val="20"/>
                <w:szCs w:val="20"/>
              </w:rPr>
            </w:pPr>
          </w:p>
        </w:tc>
        <w:tc>
          <w:tcPr>
            <w:tcW w:w="336" w:type="dxa"/>
            <w:tcBorders>
              <w:bottom w:val="single" w:sz="4" w:space="0" w:color="000000"/>
            </w:tcBorders>
          </w:tcPr>
          <w:p w14:paraId="680910D4" w14:textId="77777777" w:rsidR="00CF33D9" w:rsidRDefault="00CF33D9">
            <w:pPr>
              <w:rPr>
                <w:rFonts w:eastAsia="Calibri"/>
                <w:sz w:val="20"/>
                <w:szCs w:val="20"/>
              </w:rPr>
            </w:pPr>
          </w:p>
        </w:tc>
        <w:tc>
          <w:tcPr>
            <w:tcW w:w="336" w:type="dxa"/>
            <w:tcBorders>
              <w:bottom w:val="single" w:sz="4" w:space="0" w:color="000000"/>
            </w:tcBorders>
          </w:tcPr>
          <w:p w14:paraId="680910D5" w14:textId="77777777" w:rsidR="00CF33D9" w:rsidRDefault="00CF33D9">
            <w:pPr>
              <w:rPr>
                <w:rFonts w:eastAsia="Calibri"/>
                <w:sz w:val="20"/>
                <w:szCs w:val="20"/>
              </w:rPr>
            </w:pPr>
          </w:p>
        </w:tc>
        <w:tc>
          <w:tcPr>
            <w:tcW w:w="336" w:type="dxa"/>
            <w:tcBorders>
              <w:bottom w:val="single" w:sz="4" w:space="0" w:color="000000"/>
            </w:tcBorders>
          </w:tcPr>
          <w:p w14:paraId="680910D6" w14:textId="77777777" w:rsidR="00CF33D9" w:rsidRDefault="00CF33D9">
            <w:pPr>
              <w:rPr>
                <w:rFonts w:eastAsia="Calibri"/>
                <w:sz w:val="20"/>
                <w:szCs w:val="20"/>
              </w:rPr>
            </w:pPr>
          </w:p>
        </w:tc>
        <w:tc>
          <w:tcPr>
            <w:tcW w:w="336" w:type="dxa"/>
            <w:tcBorders>
              <w:bottom w:val="single" w:sz="4" w:space="0" w:color="000000"/>
            </w:tcBorders>
          </w:tcPr>
          <w:p w14:paraId="680910D7" w14:textId="77777777" w:rsidR="00CF33D9" w:rsidRDefault="00CF33D9">
            <w:pPr>
              <w:rPr>
                <w:rFonts w:eastAsia="Calibri"/>
                <w:sz w:val="20"/>
                <w:szCs w:val="20"/>
              </w:rPr>
            </w:pPr>
          </w:p>
        </w:tc>
        <w:tc>
          <w:tcPr>
            <w:tcW w:w="336" w:type="dxa"/>
            <w:tcBorders>
              <w:bottom w:val="single" w:sz="4" w:space="0" w:color="000000"/>
            </w:tcBorders>
          </w:tcPr>
          <w:p w14:paraId="680910D8" w14:textId="77777777" w:rsidR="00CF33D9" w:rsidRDefault="00CF33D9">
            <w:pPr>
              <w:rPr>
                <w:rFonts w:eastAsia="Calibri"/>
                <w:sz w:val="20"/>
                <w:szCs w:val="20"/>
              </w:rPr>
            </w:pPr>
          </w:p>
        </w:tc>
        <w:tc>
          <w:tcPr>
            <w:tcW w:w="336" w:type="dxa"/>
            <w:tcBorders>
              <w:bottom w:val="single" w:sz="4" w:space="0" w:color="000000"/>
            </w:tcBorders>
          </w:tcPr>
          <w:p w14:paraId="680910D9" w14:textId="77777777" w:rsidR="00CF33D9" w:rsidRDefault="00CF33D9">
            <w:pPr>
              <w:rPr>
                <w:rFonts w:eastAsia="Calibri"/>
                <w:sz w:val="20"/>
                <w:szCs w:val="20"/>
              </w:rPr>
            </w:pPr>
          </w:p>
        </w:tc>
        <w:tc>
          <w:tcPr>
            <w:tcW w:w="336" w:type="dxa"/>
            <w:tcBorders>
              <w:bottom w:val="single" w:sz="4" w:space="0" w:color="000000"/>
            </w:tcBorders>
          </w:tcPr>
          <w:p w14:paraId="680910DA" w14:textId="77777777" w:rsidR="00CF33D9" w:rsidRDefault="00CF33D9">
            <w:pPr>
              <w:rPr>
                <w:rFonts w:eastAsia="Calibri"/>
                <w:sz w:val="20"/>
                <w:szCs w:val="20"/>
              </w:rPr>
            </w:pPr>
          </w:p>
        </w:tc>
        <w:tc>
          <w:tcPr>
            <w:tcW w:w="336" w:type="dxa"/>
            <w:tcBorders>
              <w:bottom w:val="single" w:sz="4" w:space="0" w:color="000000"/>
            </w:tcBorders>
          </w:tcPr>
          <w:p w14:paraId="680910DB" w14:textId="77777777" w:rsidR="00CF33D9" w:rsidRDefault="00CF33D9">
            <w:pPr>
              <w:rPr>
                <w:rFonts w:eastAsia="Calibri"/>
                <w:sz w:val="20"/>
                <w:szCs w:val="20"/>
              </w:rPr>
            </w:pPr>
          </w:p>
        </w:tc>
        <w:tc>
          <w:tcPr>
            <w:tcW w:w="336" w:type="dxa"/>
            <w:tcBorders>
              <w:bottom w:val="single" w:sz="4" w:space="0" w:color="000000"/>
            </w:tcBorders>
          </w:tcPr>
          <w:p w14:paraId="680910DC" w14:textId="77777777" w:rsidR="00CF33D9" w:rsidRDefault="00CF33D9">
            <w:pPr>
              <w:rPr>
                <w:rFonts w:eastAsia="Calibri"/>
                <w:sz w:val="20"/>
                <w:szCs w:val="20"/>
              </w:rPr>
            </w:pPr>
          </w:p>
        </w:tc>
        <w:tc>
          <w:tcPr>
            <w:tcW w:w="336" w:type="dxa"/>
            <w:tcBorders>
              <w:bottom w:val="single" w:sz="4" w:space="0" w:color="000000"/>
            </w:tcBorders>
          </w:tcPr>
          <w:p w14:paraId="680910DD" w14:textId="77777777" w:rsidR="00CF33D9" w:rsidRDefault="00CF33D9">
            <w:pPr>
              <w:rPr>
                <w:rFonts w:eastAsia="Calibri"/>
                <w:sz w:val="20"/>
                <w:szCs w:val="20"/>
              </w:rPr>
            </w:pPr>
          </w:p>
        </w:tc>
        <w:tc>
          <w:tcPr>
            <w:tcW w:w="336" w:type="dxa"/>
            <w:tcBorders>
              <w:bottom w:val="single" w:sz="4" w:space="0" w:color="000000"/>
            </w:tcBorders>
          </w:tcPr>
          <w:p w14:paraId="680910DE" w14:textId="77777777" w:rsidR="00CF33D9" w:rsidRDefault="00CF33D9">
            <w:pPr>
              <w:rPr>
                <w:rFonts w:eastAsia="Calibri"/>
                <w:sz w:val="20"/>
                <w:szCs w:val="20"/>
              </w:rPr>
            </w:pPr>
          </w:p>
        </w:tc>
        <w:tc>
          <w:tcPr>
            <w:tcW w:w="336" w:type="dxa"/>
            <w:tcBorders>
              <w:bottom w:val="single" w:sz="4" w:space="0" w:color="000000"/>
            </w:tcBorders>
          </w:tcPr>
          <w:p w14:paraId="680910DF" w14:textId="77777777" w:rsidR="00CF33D9" w:rsidRDefault="00CF33D9">
            <w:pPr>
              <w:rPr>
                <w:rFonts w:eastAsia="Calibri"/>
                <w:sz w:val="20"/>
                <w:szCs w:val="20"/>
              </w:rPr>
            </w:pPr>
          </w:p>
        </w:tc>
        <w:tc>
          <w:tcPr>
            <w:tcW w:w="336" w:type="dxa"/>
            <w:tcBorders>
              <w:bottom w:val="single" w:sz="4" w:space="0" w:color="000000"/>
            </w:tcBorders>
          </w:tcPr>
          <w:p w14:paraId="680910E0" w14:textId="77777777" w:rsidR="00CF33D9" w:rsidRDefault="00CF33D9">
            <w:pPr>
              <w:rPr>
                <w:rFonts w:eastAsia="Calibri"/>
                <w:sz w:val="20"/>
                <w:szCs w:val="20"/>
              </w:rPr>
            </w:pPr>
          </w:p>
        </w:tc>
        <w:tc>
          <w:tcPr>
            <w:tcW w:w="336" w:type="dxa"/>
            <w:tcBorders>
              <w:bottom w:val="single" w:sz="4" w:space="0" w:color="000000"/>
            </w:tcBorders>
          </w:tcPr>
          <w:p w14:paraId="680910E1" w14:textId="77777777" w:rsidR="00CF33D9" w:rsidRDefault="00CF33D9">
            <w:pPr>
              <w:rPr>
                <w:rFonts w:eastAsia="Calibri"/>
                <w:sz w:val="20"/>
                <w:szCs w:val="20"/>
              </w:rPr>
            </w:pPr>
          </w:p>
        </w:tc>
      </w:tr>
      <w:tr w:rsidR="00CF33D9" w14:paraId="680910FE" w14:textId="77777777">
        <w:tc>
          <w:tcPr>
            <w:tcW w:w="1413" w:type="dxa"/>
            <w:vMerge/>
          </w:tcPr>
          <w:p w14:paraId="680910E3" w14:textId="77777777" w:rsidR="00CF33D9" w:rsidRDefault="00CF33D9">
            <w:pPr>
              <w:widowControl w:val="0"/>
              <w:spacing w:after="0" w:line="276" w:lineRule="auto"/>
              <w:rPr>
                <w:rFonts w:eastAsia="Calibri"/>
                <w:sz w:val="20"/>
                <w:szCs w:val="20"/>
              </w:rPr>
            </w:pPr>
          </w:p>
        </w:tc>
        <w:tc>
          <w:tcPr>
            <w:tcW w:w="2130" w:type="dxa"/>
            <w:vMerge w:val="restart"/>
          </w:tcPr>
          <w:p w14:paraId="680910E4" w14:textId="77777777" w:rsidR="00CF33D9" w:rsidRDefault="00E3332A">
            <w:pPr>
              <w:rPr>
                <w:rFonts w:eastAsia="Calibri"/>
                <w:sz w:val="20"/>
                <w:szCs w:val="20"/>
              </w:rPr>
            </w:pPr>
            <w:r>
              <w:rPr>
                <w:rFonts w:eastAsia="Calibri"/>
                <w:color w:val="000000"/>
                <w:sz w:val="20"/>
                <w:szCs w:val="20"/>
              </w:rPr>
              <w:t xml:space="preserve">3.2: </w:t>
            </w:r>
            <w:r>
              <w:rPr>
                <w:rFonts w:eastAsia="Calibri"/>
                <w:sz w:val="20"/>
                <w:szCs w:val="20"/>
              </w:rPr>
              <w:t>Reduced discharge of pollutants from land-based activities in priority coastal areas [and river basins] through Community-Level Stakeholder Engagement</w:t>
            </w:r>
          </w:p>
        </w:tc>
        <w:tc>
          <w:tcPr>
            <w:tcW w:w="2588" w:type="dxa"/>
          </w:tcPr>
          <w:p w14:paraId="680910E5" w14:textId="77777777" w:rsidR="00CF33D9" w:rsidRDefault="00E3332A">
            <w:pPr>
              <w:rPr>
                <w:rFonts w:eastAsia="Calibri"/>
                <w:sz w:val="20"/>
                <w:szCs w:val="20"/>
              </w:rPr>
            </w:pPr>
            <w:r>
              <w:rPr>
                <w:rFonts w:eastAsia="Calibri"/>
                <w:sz w:val="20"/>
                <w:szCs w:val="20"/>
              </w:rPr>
              <w:t>3.2.1: Pilot level community-based integrated coastal zone management (ICZM) approaches to pollution reduction demonstrated and addressed through demonstrations at pilot sites by mid-project and ready for replication</w:t>
            </w:r>
          </w:p>
        </w:tc>
        <w:tc>
          <w:tcPr>
            <w:tcW w:w="335" w:type="dxa"/>
          </w:tcPr>
          <w:p w14:paraId="680910E6" w14:textId="77777777" w:rsidR="00CF33D9" w:rsidRDefault="00CF33D9">
            <w:pPr>
              <w:rPr>
                <w:rFonts w:eastAsia="Calibri"/>
                <w:sz w:val="20"/>
                <w:szCs w:val="20"/>
              </w:rPr>
            </w:pPr>
          </w:p>
        </w:tc>
        <w:tc>
          <w:tcPr>
            <w:tcW w:w="335" w:type="dxa"/>
          </w:tcPr>
          <w:p w14:paraId="680910E7"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0E8"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0E9"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0EA"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0EB"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0EC"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0ED"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0EE"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0EF"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0F0"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0F1"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0F2"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0F3"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0F4"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0F5"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0F6"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0F7"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0F8"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0F9"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0FA"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0FB" w14:textId="77777777" w:rsidR="00CF33D9" w:rsidRDefault="00CF33D9">
            <w:pPr>
              <w:rPr>
                <w:rFonts w:eastAsia="Calibri"/>
                <w:sz w:val="20"/>
                <w:szCs w:val="20"/>
              </w:rPr>
            </w:pPr>
          </w:p>
        </w:tc>
        <w:tc>
          <w:tcPr>
            <w:tcW w:w="336" w:type="dxa"/>
            <w:shd w:val="clear" w:color="auto" w:fill="00B0F0"/>
          </w:tcPr>
          <w:p w14:paraId="680910FC" w14:textId="77777777" w:rsidR="00CF33D9" w:rsidRDefault="00CF33D9">
            <w:pPr>
              <w:rPr>
                <w:rFonts w:eastAsia="Calibri"/>
                <w:sz w:val="20"/>
                <w:szCs w:val="20"/>
              </w:rPr>
            </w:pPr>
          </w:p>
        </w:tc>
        <w:tc>
          <w:tcPr>
            <w:tcW w:w="336" w:type="dxa"/>
            <w:shd w:val="clear" w:color="auto" w:fill="00B0F0"/>
          </w:tcPr>
          <w:p w14:paraId="680910FD" w14:textId="77777777" w:rsidR="00CF33D9" w:rsidRDefault="00CF33D9">
            <w:pPr>
              <w:rPr>
                <w:rFonts w:eastAsia="Calibri"/>
                <w:sz w:val="20"/>
                <w:szCs w:val="20"/>
              </w:rPr>
            </w:pPr>
          </w:p>
        </w:tc>
      </w:tr>
      <w:tr w:rsidR="00CF33D9" w14:paraId="6809111A" w14:textId="77777777">
        <w:tc>
          <w:tcPr>
            <w:tcW w:w="1413" w:type="dxa"/>
            <w:vMerge/>
          </w:tcPr>
          <w:p w14:paraId="680910FF" w14:textId="77777777" w:rsidR="00CF33D9" w:rsidRDefault="00CF33D9">
            <w:pPr>
              <w:widowControl w:val="0"/>
              <w:spacing w:after="0" w:line="276" w:lineRule="auto"/>
              <w:rPr>
                <w:rFonts w:eastAsia="Calibri"/>
                <w:sz w:val="20"/>
                <w:szCs w:val="20"/>
              </w:rPr>
            </w:pPr>
          </w:p>
        </w:tc>
        <w:tc>
          <w:tcPr>
            <w:tcW w:w="2130" w:type="dxa"/>
            <w:vMerge/>
          </w:tcPr>
          <w:p w14:paraId="68091100" w14:textId="77777777" w:rsidR="00CF33D9" w:rsidRDefault="00CF33D9">
            <w:pPr>
              <w:widowControl w:val="0"/>
              <w:spacing w:after="0" w:line="276" w:lineRule="auto"/>
              <w:rPr>
                <w:rFonts w:eastAsia="Calibri"/>
                <w:sz w:val="20"/>
                <w:szCs w:val="20"/>
              </w:rPr>
            </w:pPr>
          </w:p>
        </w:tc>
        <w:tc>
          <w:tcPr>
            <w:tcW w:w="2588" w:type="dxa"/>
          </w:tcPr>
          <w:p w14:paraId="68091101" w14:textId="77777777" w:rsidR="00CF33D9" w:rsidRDefault="00E3332A">
            <w:pPr>
              <w:rPr>
                <w:rFonts w:eastAsia="Calibri"/>
                <w:sz w:val="20"/>
                <w:szCs w:val="20"/>
              </w:rPr>
            </w:pPr>
            <w:r>
              <w:rPr>
                <w:rFonts w:eastAsia="Calibri"/>
                <w:color w:val="000000"/>
                <w:sz w:val="20"/>
                <w:szCs w:val="20"/>
              </w:rPr>
              <w:t xml:space="preserve">3.2.2 Community awareness, training and capacity building and implementation plans and best practices for pollution management undertaken (with a gender-sensitive approach) in selected pilot sites along the BCLME coast  </w:t>
            </w:r>
          </w:p>
        </w:tc>
        <w:tc>
          <w:tcPr>
            <w:tcW w:w="335" w:type="dxa"/>
          </w:tcPr>
          <w:p w14:paraId="68091102" w14:textId="77777777" w:rsidR="00CF33D9" w:rsidRDefault="00CF33D9">
            <w:pPr>
              <w:rPr>
                <w:rFonts w:eastAsia="Calibri"/>
                <w:sz w:val="20"/>
                <w:szCs w:val="20"/>
              </w:rPr>
            </w:pPr>
          </w:p>
        </w:tc>
        <w:tc>
          <w:tcPr>
            <w:tcW w:w="335" w:type="dxa"/>
          </w:tcPr>
          <w:p w14:paraId="68091103"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104"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105"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106"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107"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108"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109"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0A"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0B"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0C"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0D"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0E"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0F"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10"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11"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12"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13"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14"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15"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16" w14:textId="77777777" w:rsidR="00CF33D9" w:rsidRDefault="00CF33D9">
            <w:pPr>
              <w:rPr>
                <w:rFonts w:eastAsia="Calibri"/>
                <w:sz w:val="20"/>
                <w:szCs w:val="20"/>
              </w:rPr>
            </w:pPr>
          </w:p>
        </w:tc>
        <w:tc>
          <w:tcPr>
            <w:tcW w:w="336" w:type="dxa"/>
            <w:shd w:val="clear" w:color="auto" w:fill="00B0F0"/>
          </w:tcPr>
          <w:p w14:paraId="68091117" w14:textId="77777777" w:rsidR="00CF33D9" w:rsidRDefault="00CF33D9">
            <w:pPr>
              <w:rPr>
                <w:rFonts w:eastAsia="Calibri"/>
                <w:sz w:val="20"/>
                <w:szCs w:val="20"/>
              </w:rPr>
            </w:pPr>
          </w:p>
        </w:tc>
        <w:tc>
          <w:tcPr>
            <w:tcW w:w="336" w:type="dxa"/>
          </w:tcPr>
          <w:p w14:paraId="68091118" w14:textId="77777777" w:rsidR="00CF33D9" w:rsidRDefault="00CF33D9">
            <w:pPr>
              <w:rPr>
                <w:rFonts w:eastAsia="Calibri"/>
                <w:sz w:val="20"/>
                <w:szCs w:val="20"/>
              </w:rPr>
            </w:pPr>
          </w:p>
        </w:tc>
        <w:tc>
          <w:tcPr>
            <w:tcW w:w="336" w:type="dxa"/>
          </w:tcPr>
          <w:p w14:paraId="68091119" w14:textId="77777777" w:rsidR="00CF33D9" w:rsidRDefault="00CF33D9">
            <w:pPr>
              <w:rPr>
                <w:rFonts w:eastAsia="Calibri"/>
                <w:sz w:val="20"/>
                <w:szCs w:val="20"/>
              </w:rPr>
            </w:pPr>
          </w:p>
        </w:tc>
      </w:tr>
      <w:tr w:rsidR="00CF33D9" w14:paraId="68091136" w14:textId="77777777">
        <w:tc>
          <w:tcPr>
            <w:tcW w:w="1413" w:type="dxa"/>
            <w:vMerge/>
          </w:tcPr>
          <w:p w14:paraId="6809111B" w14:textId="77777777" w:rsidR="00CF33D9" w:rsidRDefault="00CF33D9">
            <w:pPr>
              <w:widowControl w:val="0"/>
              <w:spacing w:after="0" w:line="276" w:lineRule="auto"/>
              <w:rPr>
                <w:rFonts w:eastAsia="Calibri"/>
                <w:sz w:val="20"/>
                <w:szCs w:val="20"/>
              </w:rPr>
            </w:pPr>
          </w:p>
        </w:tc>
        <w:tc>
          <w:tcPr>
            <w:tcW w:w="2130" w:type="dxa"/>
          </w:tcPr>
          <w:p w14:paraId="6809111C" w14:textId="77777777" w:rsidR="00CF33D9" w:rsidRDefault="00E3332A">
            <w:pPr>
              <w:rPr>
                <w:rFonts w:eastAsia="Calibri"/>
                <w:sz w:val="20"/>
                <w:szCs w:val="20"/>
              </w:rPr>
            </w:pPr>
            <w:r>
              <w:rPr>
                <w:rFonts w:eastAsia="Calibri"/>
                <w:sz w:val="20"/>
                <w:szCs w:val="20"/>
              </w:rPr>
              <w:t xml:space="preserve">3.3: Strengthened regional cooperation </w:t>
            </w:r>
            <w:r>
              <w:rPr>
                <w:rFonts w:eastAsia="Calibri"/>
                <w:sz w:val="20"/>
                <w:szCs w:val="20"/>
              </w:rPr>
              <w:lastRenderedPageBreak/>
              <w:t>and coordination, and increased institutional and technical capacity to undertake broad-scale monitoring and surveillance of marine pollution in priority transboundary and coastal hotspots of the BCLME</w:t>
            </w:r>
          </w:p>
        </w:tc>
        <w:tc>
          <w:tcPr>
            <w:tcW w:w="2588" w:type="dxa"/>
          </w:tcPr>
          <w:p w14:paraId="6809111D" w14:textId="77777777" w:rsidR="00CF33D9" w:rsidRDefault="00E3332A">
            <w:pPr>
              <w:rPr>
                <w:rFonts w:eastAsia="Calibri"/>
                <w:sz w:val="20"/>
                <w:szCs w:val="20"/>
              </w:rPr>
            </w:pPr>
            <w:r>
              <w:rPr>
                <w:rFonts w:eastAsia="Calibri"/>
                <w:sz w:val="20"/>
                <w:szCs w:val="20"/>
              </w:rPr>
              <w:lastRenderedPageBreak/>
              <w:t xml:space="preserve">3.3.1: Cooperative agreements and long-term </w:t>
            </w:r>
            <w:r>
              <w:rPr>
                <w:rFonts w:eastAsia="Calibri"/>
                <w:sz w:val="20"/>
                <w:szCs w:val="20"/>
              </w:rPr>
              <w:lastRenderedPageBreak/>
              <w:t>programs for ecosystem health monitoring and compliance between countries formalized</w:t>
            </w:r>
          </w:p>
        </w:tc>
        <w:tc>
          <w:tcPr>
            <w:tcW w:w="335" w:type="dxa"/>
          </w:tcPr>
          <w:p w14:paraId="6809111E" w14:textId="77777777" w:rsidR="00CF33D9" w:rsidRDefault="00CF33D9">
            <w:pPr>
              <w:rPr>
                <w:rFonts w:eastAsia="Calibri"/>
                <w:sz w:val="20"/>
                <w:szCs w:val="20"/>
              </w:rPr>
            </w:pPr>
          </w:p>
        </w:tc>
        <w:tc>
          <w:tcPr>
            <w:tcW w:w="335" w:type="dxa"/>
          </w:tcPr>
          <w:p w14:paraId="6809111F" w14:textId="77777777" w:rsidR="00CF33D9" w:rsidRDefault="00CF33D9">
            <w:pPr>
              <w:rPr>
                <w:rFonts w:eastAsia="Calibri"/>
                <w:sz w:val="20"/>
                <w:szCs w:val="20"/>
              </w:rPr>
            </w:pPr>
          </w:p>
        </w:tc>
        <w:tc>
          <w:tcPr>
            <w:tcW w:w="335" w:type="dxa"/>
            <w:shd w:val="clear" w:color="auto" w:fill="00B0F0"/>
          </w:tcPr>
          <w:p w14:paraId="68091120" w14:textId="77777777" w:rsidR="00CF33D9" w:rsidRDefault="00CF33D9">
            <w:pPr>
              <w:rPr>
                <w:rFonts w:eastAsia="Calibri"/>
                <w:sz w:val="20"/>
                <w:szCs w:val="20"/>
              </w:rPr>
            </w:pPr>
          </w:p>
        </w:tc>
        <w:tc>
          <w:tcPr>
            <w:tcW w:w="335" w:type="dxa"/>
            <w:shd w:val="clear" w:color="auto" w:fill="00B0F0"/>
          </w:tcPr>
          <w:p w14:paraId="68091121"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122"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123"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124"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125"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26"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27"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28"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29"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2A"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2B"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2C"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2D" w14:textId="77777777" w:rsidR="00CF33D9" w:rsidRDefault="00CF33D9">
            <w:pPr>
              <w:rPr>
                <w:rFonts w:eastAsia="Calibri"/>
                <w:sz w:val="20"/>
                <w:szCs w:val="20"/>
              </w:rPr>
            </w:pPr>
          </w:p>
        </w:tc>
        <w:tc>
          <w:tcPr>
            <w:tcW w:w="336" w:type="dxa"/>
            <w:shd w:val="clear" w:color="auto" w:fill="00B0F0"/>
          </w:tcPr>
          <w:p w14:paraId="6809112E" w14:textId="77777777" w:rsidR="00CF33D9" w:rsidRDefault="00CF33D9">
            <w:pPr>
              <w:rPr>
                <w:rFonts w:eastAsia="Calibri"/>
                <w:sz w:val="20"/>
                <w:szCs w:val="20"/>
              </w:rPr>
            </w:pPr>
          </w:p>
        </w:tc>
        <w:tc>
          <w:tcPr>
            <w:tcW w:w="336" w:type="dxa"/>
            <w:shd w:val="clear" w:color="auto" w:fill="00B0F0"/>
          </w:tcPr>
          <w:p w14:paraId="6809112F" w14:textId="77777777" w:rsidR="00CF33D9" w:rsidRDefault="00CF33D9">
            <w:pPr>
              <w:rPr>
                <w:rFonts w:eastAsia="Calibri"/>
                <w:sz w:val="20"/>
                <w:szCs w:val="20"/>
              </w:rPr>
            </w:pPr>
          </w:p>
        </w:tc>
        <w:tc>
          <w:tcPr>
            <w:tcW w:w="336" w:type="dxa"/>
            <w:shd w:val="clear" w:color="auto" w:fill="00B0F0"/>
          </w:tcPr>
          <w:p w14:paraId="68091130" w14:textId="77777777" w:rsidR="00CF33D9" w:rsidRDefault="00CF33D9">
            <w:pPr>
              <w:rPr>
                <w:rFonts w:eastAsia="Calibri"/>
                <w:sz w:val="20"/>
                <w:szCs w:val="20"/>
              </w:rPr>
            </w:pPr>
          </w:p>
        </w:tc>
        <w:tc>
          <w:tcPr>
            <w:tcW w:w="336" w:type="dxa"/>
            <w:shd w:val="clear" w:color="auto" w:fill="00B0F0"/>
          </w:tcPr>
          <w:p w14:paraId="68091131" w14:textId="77777777" w:rsidR="00CF33D9" w:rsidRDefault="00CF33D9">
            <w:pPr>
              <w:rPr>
                <w:rFonts w:eastAsia="Calibri"/>
                <w:sz w:val="20"/>
                <w:szCs w:val="20"/>
              </w:rPr>
            </w:pPr>
          </w:p>
        </w:tc>
        <w:tc>
          <w:tcPr>
            <w:tcW w:w="336" w:type="dxa"/>
            <w:shd w:val="clear" w:color="auto" w:fill="00B0F0"/>
          </w:tcPr>
          <w:p w14:paraId="68091132" w14:textId="77777777" w:rsidR="00CF33D9" w:rsidRDefault="00CF33D9">
            <w:pPr>
              <w:rPr>
                <w:rFonts w:eastAsia="Calibri"/>
                <w:sz w:val="20"/>
                <w:szCs w:val="20"/>
              </w:rPr>
            </w:pPr>
          </w:p>
        </w:tc>
        <w:tc>
          <w:tcPr>
            <w:tcW w:w="336" w:type="dxa"/>
          </w:tcPr>
          <w:p w14:paraId="68091133" w14:textId="77777777" w:rsidR="00CF33D9" w:rsidRDefault="00CF33D9">
            <w:pPr>
              <w:rPr>
                <w:rFonts w:eastAsia="Calibri"/>
                <w:sz w:val="20"/>
                <w:szCs w:val="20"/>
              </w:rPr>
            </w:pPr>
          </w:p>
        </w:tc>
        <w:tc>
          <w:tcPr>
            <w:tcW w:w="336" w:type="dxa"/>
          </w:tcPr>
          <w:p w14:paraId="68091134" w14:textId="77777777" w:rsidR="00CF33D9" w:rsidRDefault="00CF33D9">
            <w:pPr>
              <w:rPr>
                <w:rFonts w:eastAsia="Calibri"/>
                <w:sz w:val="20"/>
                <w:szCs w:val="20"/>
              </w:rPr>
            </w:pPr>
          </w:p>
        </w:tc>
        <w:tc>
          <w:tcPr>
            <w:tcW w:w="336" w:type="dxa"/>
          </w:tcPr>
          <w:p w14:paraId="68091135" w14:textId="77777777" w:rsidR="00CF33D9" w:rsidRDefault="00CF33D9">
            <w:pPr>
              <w:rPr>
                <w:rFonts w:eastAsia="Calibri"/>
                <w:sz w:val="20"/>
                <w:szCs w:val="20"/>
              </w:rPr>
            </w:pPr>
          </w:p>
        </w:tc>
      </w:tr>
      <w:tr w:rsidR="00CF33D9" w14:paraId="68091153" w14:textId="77777777">
        <w:tc>
          <w:tcPr>
            <w:tcW w:w="1413" w:type="dxa"/>
            <w:vMerge w:val="restart"/>
          </w:tcPr>
          <w:p w14:paraId="68091137" w14:textId="77777777" w:rsidR="00CF33D9" w:rsidRDefault="00E3332A">
            <w:pPr>
              <w:rPr>
                <w:rFonts w:eastAsia="Calibri"/>
                <w:sz w:val="20"/>
                <w:szCs w:val="20"/>
              </w:rPr>
            </w:pPr>
            <w:r>
              <w:rPr>
                <w:rFonts w:eastAsia="Calibri"/>
                <w:b/>
                <w:color w:val="000000"/>
                <w:sz w:val="20"/>
                <w:szCs w:val="20"/>
              </w:rPr>
              <w:t>Component 4</w:t>
            </w:r>
            <w:r>
              <w:rPr>
                <w:rFonts w:eastAsia="Calibri"/>
                <w:color w:val="000000"/>
                <w:sz w:val="20"/>
                <w:szCs w:val="20"/>
              </w:rPr>
              <w:t>: Promote regional and national frameworks for innovative sustainable blue/ocean economy finance to foster positive ecosystem, social and economic impacts</w:t>
            </w:r>
          </w:p>
        </w:tc>
        <w:tc>
          <w:tcPr>
            <w:tcW w:w="2130" w:type="dxa"/>
            <w:vMerge w:val="restart"/>
          </w:tcPr>
          <w:p w14:paraId="68091138" w14:textId="77777777" w:rsidR="00CF33D9" w:rsidRDefault="00E3332A">
            <w:pPr>
              <w:spacing w:after="0"/>
              <w:rPr>
                <w:rFonts w:eastAsia="Calibri"/>
                <w:color w:val="000000"/>
                <w:sz w:val="20"/>
                <w:szCs w:val="20"/>
              </w:rPr>
            </w:pPr>
            <w:r>
              <w:rPr>
                <w:rFonts w:eastAsia="Calibri"/>
                <w:color w:val="000000"/>
                <w:sz w:val="20"/>
                <w:szCs w:val="20"/>
              </w:rPr>
              <w:t>4.1: Policy, regulatory and institutional capacity for boosting sustainable innovative blue/ocean economy finance strengthened (within the framework of a Circular Economy)</w:t>
            </w:r>
          </w:p>
          <w:p w14:paraId="68091139" w14:textId="77777777" w:rsidR="00CF33D9" w:rsidRDefault="00CF33D9">
            <w:pPr>
              <w:rPr>
                <w:rFonts w:eastAsia="Calibri"/>
                <w:sz w:val="20"/>
                <w:szCs w:val="20"/>
              </w:rPr>
            </w:pPr>
          </w:p>
        </w:tc>
        <w:tc>
          <w:tcPr>
            <w:tcW w:w="2588" w:type="dxa"/>
          </w:tcPr>
          <w:p w14:paraId="6809113A" w14:textId="77777777" w:rsidR="00CF33D9" w:rsidRDefault="00E3332A">
            <w:pPr>
              <w:rPr>
                <w:rFonts w:eastAsia="Calibri"/>
                <w:sz w:val="20"/>
                <w:szCs w:val="20"/>
              </w:rPr>
            </w:pPr>
            <w:r>
              <w:rPr>
                <w:rFonts w:eastAsia="Calibri"/>
                <w:color w:val="000000"/>
                <w:sz w:val="20"/>
                <w:szCs w:val="20"/>
              </w:rPr>
              <w:t>4.1.1 Policies and strategies for Sustainable Blue/ Ocean Economy finance developed and/or strengthened</w:t>
            </w:r>
          </w:p>
        </w:tc>
        <w:tc>
          <w:tcPr>
            <w:tcW w:w="335" w:type="dxa"/>
          </w:tcPr>
          <w:p w14:paraId="6809113B" w14:textId="77777777" w:rsidR="00CF33D9" w:rsidRDefault="00CF33D9">
            <w:pPr>
              <w:rPr>
                <w:rFonts w:eastAsia="Calibri"/>
                <w:sz w:val="20"/>
                <w:szCs w:val="20"/>
              </w:rPr>
            </w:pPr>
          </w:p>
        </w:tc>
        <w:tc>
          <w:tcPr>
            <w:tcW w:w="335" w:type="dxa"/>
          </w:tcPr>
          <w:p w14:paraId="6809113C" w14:textId="77777777" w:rsidR="00CF33D9" w:rsidRDefault="00CF33D9">
            <w:pPr>
              <w:rPr>
                <w:rFonts w:eastAsia="Calibri"/>
                <w:sz w:val="20"/>
                <w:szCs w:val="20"/>
              </w:rPr>
            </w:pPr>
          </w:p>
        </w:tc>
        <w:tc>
          <w:tcPr>
            <w:tcW w:w="335" w:type="dxa"/>
          </w:tcPr>
          <w:p w14:paraId="6809113D" w14:textId="77777777" w:rsidR="00CF33D9" w:rsidRDefault="00CF33D9">
            <w:pPr>
              <w:rPr>
                <w:rFonts w:eastAsia="Calibri"/>
                <w:sz w:val="20"/>
                <w:szCs w:val="20"/>
              </w:rPr>
            </w:pPr>
          </w:p>
        </w:tc>
        <w:tc>
          <w:tcPr>
            <w:tcW w:w="335" w:type="dxa"/>
          </w:tcPr>
          <w:p w14:paraId="6809113E"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13F"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140"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141"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142" w14:textId="77777777" w:rsidR="00CF33D9" w:rsidRDefault="00CF33D9">
            <w:pPr>
              <w:rPr>
                <w:rFonts w:eastAsia="Calibri"/>
                <w:sz w:val="20"/>
                <w:szCs w:val="20"/>
              </w:rPr>
            </w:pPr>
          </w:p>
        </w:tc>
        <w:tc>
          <w:tcPr>
            <w:tcW w:w="336" w:type="dxa"/>
            <w:tcBorders>
              <w:bottom w:val="single" w:sz="4" w:space="0" w:color="000000"/>
            </w:tcBorders>
            <w:shd w:val="clear" w:color="auto" w:fill="auto"/>
          </w:tcPr>
          <w:p w14:paraId="68091143" w14:textId="77777777" w:rsidR="00CF33D9" w:rsidRDefault="00CF33D9">
            <w:pPr>
              <w:rPr>
                <w:rFonts w:eastAsia="Calibri"/>
                <w:sz w:val="20"/>
                <w:szCs w:val="20"/>
              </w:rPr>
            </w:pPr>
          </w:p>
        </w:tc>
        <w:tc>
          <w:tcPr>
            <w:tcW w:w="336" w:type="dxa"/>
            <w:tcBorders>
              <w:bottom w:val="single" w:sz="4" w:space="0" w:color="000000"/>
            </w:tcBorders>
            <w:shd w:val="clear" w:color="auto" w:fill="auto"/>
          </w:tcPr>
          <w:p w14:paraId="68091144" w14:textId="77777777" w:rsidR="00CF33D9" w:rsidRDefault="00CF33D9">
            <w:pPr>
              <w:rPr>
                <w:rFonts w:eastAsia="Calibri"/>
                <w:sz w:val="20"/>
                <w:szCs w:val="20"/>
              </w:rPr>
            </w:pPr>
          </w:p>
        </w:tc>
        <w:tc>
          <w:tcPr>
            <w:tcW w:w="336" w:type="dxa"/>
            <w:tcBorders>
              <w:bottom w:val="single" w:sz="4" w:space="0" w:color="000000"/>
            </w:tcBorders>
            <w:shd w:val="clear" w:color="auto" w:fill="auto"/>
          </w:tcPr>
          <w:p w14:paraId="68091145" w14:textId="77777777" w:rsidR="00CF33D9" w:rsidRDefault="00CF33D9">
            <w:pPr>
              <w:rPr>
                <w:rFonts w:eastAsia="Calibri"/>
                <w:sz w:val="20"/>
                <w:szCs w:val="20"/>
              </w:rPr>
            </w:pPr>
          </w:p>
        </w:tc>
        <w:tc>
          <w:tcPr>
            <w:tcW w:w="336" w:type="dxa"/>
            <w:tcBorders>
              <w:bottom w:val="single" w:sz="4" w:space="0" w:color="000000"/>
            </w:tcBorders>
            <w:shd w:val="clear" w:color="auto" w:fill="auto"/>
          </w:tcPr>
          <w:p w14:paraId="68091146" w14:textId="77777777" w:rsidR="00CF33D9" w:rsidRDefault="00CF33D9">
            <w:pPr>
              <w:rPr>
                <w:rFonts w:eastAsia="Calibri"/>
                <w:sz w:val="20"/>
                <w:szCs w:val="20"/>
              </w:rPr>
            </w:pPr>
          </w:p>
        </w:tc>
        <w:tc>
          <w:tcPr>
            <w:tcW w:w="336" w:type="dxa"/>
            <w:tcBorders>
              <w:bottom w:val="single" w:sz="4" w:space="0" w:color="000000"/>
            </w:tcBorders>
            <w:shd w:val="clear" w:color="auto" w:fill="auto"/>
          </w:tcPr>
          <w:p w14:paraId="68091147" w14:textId="77777777" w:rsidR="00CF33D9" w:rsidRDefault="00CF33D9">
            <w:pPr>
              <w:rPr>
                <w:rFonts w:eastAsia="Calibri"/>
                <w:sz w:val="20"/>
                <w:szCs w:val="20"/>
              </w:rPr>
            </w:pPr>
          </w:p>
        </w:tc>
        <w:tc>
          <w:tcPr>
            <w:tcW w:w="336" w:type="dxa"/>
            <w:tcBorders>
              <w:bottom w:val="single" w:sz="4" w:space="0" w:color="000000"/>
            </w:tcBorders>
            <w:shd w:val="clear" w:color="auto" w:fill="auto"/>
          </w:tcPr>
          <w:p w14:paraId="68091148" w14:textId="77777777" w:rsidR="00CF33D9" w:rsidRDefault="00CF33D9">
            <w:pPr>
              <w:rPr>
                <w:rFonts w:eastAsia="Calibri"/>
                <w:sz w:val="20"/>
                <w:szCs w:val="20"/>
              </w:rPr>
            </w:pPr>
          </w:p>
        </w:tc>
        <w:tc>
          <w:tcPr>
            <w:tcW w:w="336" w:type="dxa"/>
            <w:tcBorders>
              <w:bottom w:val="single" w:sz="4" w:space="0" w:color="000000"/>
            </w:tcBorders>
            <w:shd w:val="clear" w:color="auto" w:fill="auto"/>
          </w:tcPr>
          <w:p w14:paraId="68091149" w14:textId="77777777" w:rsidR="00CF33D9" w:rsidRDefault="00CF33D9">
            <w:pPr>
              <w:rPr>
                <w:rFonts w:eastAsia="Calibri"/>
                <w:sz w:val="20"/>
                <w:szCs w:val="20"/>
              </w:rPr>
            </w:pPr>
          </w:p>
        </w:tc>
        <w:tc>
          <w:tcPr>
            <w:tcW w:w="336" w:type="dxa"/>
            <w:tcBorders>
              <w:bottom w:val="single" w:sz="4" w:space="0" w:color="000000"/>
            </w:tcBorders>
            <w:shd w:val="clear" w:color="auto" w:fill="auto"/>
          </w:tcPr>
          <w:p w14:paraId="6809114A" w14:textId="77777777" w:rsidR="00CF33D9" w:rsidRDefault="00CF33D9">
            <w:pPr>
              <w:rPr>
                <w:rFonts w:eastAsia="Calibri"/>
                <w:sz w:val="20"/>
                <w:szCs w:val="20"/>
              </w:rPr>
            </w:pPr>
          </w:p>
        </w:tc>
        <w:tc>
          <w:tcPr>
            <w:tcW w:w="336" w:type="dxa"/>
            <w:tcBorders>
              <w:bottom w:val="single" w:sz="4" w:space="0" w:color="000000"/>
            </w:tcBorders>
          </w:tcPr>
          <w:p w14:paraId="6809114B" w14:textId="77777777" w:rsidR="00CF33D9" w:rsidRDefault="00CF33D9">
            <w:pPr>
              <w:rPr>
                <w:rFonts w:eastAsia="Calibri"/>
                <w:sz w:val="20"/>
                <w:szCs w:val="20"/>
              </w:rPr>
            </w:pPr>
          </w:p>
        </w:tc>
        <w:tc>
          <w:tcPr>
            <w:tcW w:w="336" w:type="dxa"/>
            <w:tcBorders>
              <w:bottom w:val="single" w:sz="4" w:space="0" w:color="000000"/>
            </w:tcBorders>
          </w:tcPr>
          <w:p w14:paraId="6809114C" w14:textId="77777777" w:rsidR="00CF33D9" w:rsidRDefault="00CF33D9">
            <w:pPr>
              <w:rPr>
                <w:rFonts w:eastAsia="Calibri"/>
                <w:sz w:val="20"/>
                <w:szCs w:val="20"/>
              </w:rPr>
            </w:pPr>
          </w:p>
        </w:tc>
        <w:tc>
          <w:tcPr>
            <w:tcW w:w="336" w:type="dxa"/>
            <w:tcBorders>
              <w:bottom w:val="single" w:sz="4" w:space="0" w:color="000000"/>
            </w:tcBorders>
          </w:tcPr>
          <w:p w14:paraId="6809114D" w14:textId="77777777" w:rsidR="00CF33D9" w:rsidRDefault="00CF33D9">
            <w:pPr>
              <w:rPr>
                <w:rFonts w:eastAsia="Calibri"/>
                <w:sz w:val="20"/>
                <w:szCs w:val="20"/>
              </w:rPr>
            </w:pPr>
          </w:p>
        </w:tc>
        <w:tc>
          <w:tcPr>
            <w:tcW w:w="336" w:type="dxa"/>
            <w:tcBorders>
              <w:bottom w:val="single" w:sz="4" w:space="0" w:color="000000"/>
            </w:tcBorders>
          </w:tcPr>
          <w:p w14:paraId="6809114E" w14:textId="77777777" w:rsidR="00CF33D9" w:rsidRDefault="00CF33D9">
            <w:pPr>
              <w:rPr>
                <w:rFonts w:eastAsia="Calibri"/>
                <w:sz w:val="20"/>
                <w:szCs w:val="20"/>
              </w:rPr>
            </w:pPr>
          </w:p>
        </w:tc>
        <w:tc>
          <w:tcPr>
            <w:tcW w:w="336" w:type="dxa"/>
            <w:tcBorders>
              <w:bottom w:val="single" w:sz="4" w:space="0" w:color="000000"/>
            </w:tcBorders>
          </w:tcPr>
          <w:p w14:paraId="6809114F" w14:textId="77777777" w:rsidR="00CF33D9" w:rsidRDefault="00CF33D9">
            <w:pPr>
              <w:rPr>
                <w:rFonts w:eastAsia="Calibri"/>
                <w:sz w:val="20"/>
                <w:szCs w:val="20"/>
              </w:rPr>
            </w:pPr>
          </w:p>
        </w:tc>
        <w:tc>
          <w:tcPr>
            <w:tcW w:w="336" w:type="dxa"/>
            <w:tcBorders>
              <w:bottom w:val="single" w:sz="4" w:space="0" w:color="000000"/>
            </w:tcBorders>
          </w:tcPr>
          <w:p w14:paraId="68091150" w14:textId="77777777" w:rsidR="00CF33D9" w:rsidRDefault="00CF33D9">
            <w:pPr>
              <w:rPr>
                <w:rFonts w:eastAsia="Calibri"/>
                <w:sz w:val="20"/>
                <w:szCs w:val="20"/>
              </w:rPr>
            </w:pPr>
          </w:p>
        </w:tc>
        <w:tc>
          <w:tcPr>
            <w:tcW w:w="336" w:type="dxa"/>
            <w:tcBorders>
              <w:bottom w:val="single" w:sz="4" w:space="0" w:color="000000"/>
            </w:tcBorders>
          </w:tcPr>
          <w:p w14:paraId="68091151" w14:textId="77777777" w:rsidR="00CF33D9" w:rsidRDefault="00CF33D9">
            <w:pPr>
              <w:rPr>
                <w:rFonts w:eastAsia="Calibri"/>
                <w:sz w:val="20"/>
                <w:szCs w:val="20"/>
              </w:rPr>
            </w:pPr>
          </w:p>
        </w:tc>
        <w:tc>
          <w:tcPr>
            <w:tcW w:w="336" w:type="dxa"/>
            <w:tcBorders>
              <w:bottom w:val="single" w:sz="4" w:space="0" w:color="000000"/>
            </w:tcBorders>
          </w:tcPr>
          <w:p w14:paraId="68091152" w14:textId="77777777" w:rsidR="00CF33D9" w:rsidRDefault="00CF33D9">
            <w:pPr>
              <w:rPr>
                <w:rFonts w:eastAsia="Calibri"/>
                <w:sz w:val="20"/>
                <w:szCs w:val="20"/>
              </w:rPr>
            </w:pPr>
          </w:p>
        </w:tc>
      </w:tr>
      <w:tr w:rsidR="00CF33D9" w14:paraId="6809116F" w14:textId="77777777">
        <w:tc>
          <w:tcPr>
            <w:tcW w:w="1413" w:type="dxa"/>
            <w:vMerge/>
          </w:tcPr>
          <w:p w14:paraId="68091154" w14:textId="77777777" w:rsidR="00CF33D9" w:rsidRDefault="00CF33D9">
            <w:pPr>
              <w:widowControl w:val="0"/>
              <w:spacing w:after="0" w:line="276" w:lineRule="auto"/>
              <w:rPr>
                <w:rFonts w:eastAsia="Calibri"/>
                <w:sz w:val="20"/>
                <w:szCs w:val="20"/>
              </w:rPr>
            </w:pPr>
          </w:p>
        </w:tc>
        <w:tc>
          <w:tcPr>
            <w:tcW w:w="2130" w:type="dxa"/>
            <w:vMerge/>
          </w:tcPr>
          <w:p w14:paraId="68091155" w14:textId="77777777" w:rsidR="00CF33D9" w:rsidRDefault="00CF33D9">
            <w:pPr>
              <w:widowControl w:val="0"/>
              <w:spacing w:after="0" w:line="276" w:lineRule="auto"/>
              <w:rPr>
                <w:rFonts w:eastAsia="Calibri"/>
                <w:sz w:val="20"/>
                <w:szCs w:val="20"/>
              </w:rPr>
            </w:pPr>
          </w:p>
        </w:tc>
        <w:tc>
          <w:tcPr>
            <w:tcW w:w="2588" w:type="dxa"/>
          </w:tcPr>
          <w:p w14:paraId="68091156" w14:textId="77777777" w:rsidR="00CF33D9" w:rsidRDefault="00E3332A">
            <w:pPr>
              <w:rPr>
                <w:rFonts w:eastAsia="Calibri"/>
                <w:sz w:val="20"/>
                <w:szCs w:val="20"/>
              </w:rPr>
            </w:pPr>
            <w:r>
              <w:rPr>
                <w:rFonts w:eastAsia="Calibri"/>
                <w:color w:val="000000"/>
                <w:sz w:val="20"/>
                <w:szCs w:val="20"/>
              </w:rPr>
              <w:t>4.1.2: Reinforced public sector (national and regional) and private sector capacities in the design and implementation of bankable Sustainable Blue/ocean economy projects, innovative financing, principles, standards and green investments, among others</w:t>
            </w:r>
          </w:p>
        </w:tc>
        <w:tc>
          <w:tcPr>
            <w:tcW w:w="335" w:type="dxa"/>
          </w:tcPr>
          <w:p w14:paraId="68091157" w14:textId="77777777" w:rsidR="00CF33D9" w:rsidRDefault="00CF33D9">
            <w:pPr>
              <w:rPr>
                <w:rFonts w:eastAsia="Calibri"/>
                <w:sz w:val="20"/>
                <w:szCs w:val="20"/>
              </w:rPr>
            </w:pPr>
          </w:p>
        </w:tc>
        <w:tc>
          <w:tcPr>
            <w:tcW w:w="335" w:type="dxa"/>
          </w:tcPr>
          <w:p w14:paraId="68091158" w14:textId="77777777" w:rsidR="00CF33D9" w:rsidRDefault="00CF33D9">
            <w:pPr>
              <w:rPr>
                <w:rFonts w:eastAsia="Calibri"/>
                <w:sz w:val="20"/>
                <w:szCs w:val="20"/>
              </w:rPr>
            </w:pPr>
          </w:p>
        </w:tc>
        <w:tc>
          <w:tcPr>
            <w:tcW w:w="335" w:type="dxa"/>
          </w:tcPr>
          <w:p w14:paraId="68091159" w14:textId="77777777" w:rsidR="00CF33D9" w:rsidRDefault="00CF33D9">
            <w:pPr>
              <w:rPr>
                <w:rFonts w:eastAsia="Calibri"/>
                <w:sz w:val="20"/>
                <w:szCs w:val="20"/>
              </w:rPr>
            </w:pPr>
          </w:p>
        </w:tc>
        <w:tc>
          <w:tcPr>
            <w:tcW w:w="335" w:type="dxa"/>
          </w:tcPr>
          <w:p w14:paraId="6809115A"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15B"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15C"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15D"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15E"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5F"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60"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61"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62"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63"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64"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65"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66"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67"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68"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69"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6A"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6B"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6C"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6D"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6E" w14:textId="77777777" w:rsidR="00CF33D9" w:rsidRDefault="00CF33D9">
            <w:pPr>
              <w:rPr>
                <w:rFonts w:eastAsia="Calibri"/>
                <w:sz w:val="20"/>
                <w:szCs w:val="20"/>
              </w:rPr>
            </w:pPr>
          </w:p>
        </w:tc>
      </w:tr>
      <w:tr w:rsidR="00CF33D9" w14:paraId="6809118C" w14:textId="77777777">
        <w:tc>
          <w:tcPr>
            <w:tcW w:w="1413" w:type="dxa"/>
            <w:vMerge/>
          </w:tcPr>
          <w:p w14:paraId="68091170" w14:textId="77777777" w:rsidR="00CF33D9" w:rsidRDefault="00CF33D9">
            <w:pPr>
              <w:widowControl w:val="0"/>
              <w:spacing w:after="0" w:line="276" w:lineRule="auto"/>
              <w:rPr>
                <w:rFonts w:eastAsia="Calibri"/>
                <w:sz w:val="20"/>
                <w:szCs w:val="20"/>
              </w:rPr>
            </w:pPr>
          </w:p>
        </w:tc>
        <w:tc>
          <w:tcPr>
            <w:tcW w:w="2130" w:type="dxa"/>
            <w:vMerge w:val="restart"/>
          </w:tcPr>
          <w:p w14:paraId="68091171" w14:textId="77777777" w:rsidR="00CF33D9" w:rsidRDefault="00E3332A">
            <w:pPr>
              <w:spacing w:after="0"/>
              <w:rPr>
                <w:rFonts w:eastAsia="Calibri"/>
                <w:color w:val="000000"/>
                <w:sz w:val="20"/>
                <w:szCs w:val="20"/>
              </w:rPr>
            </w:pPr>
            <w:r>
              <w:rPr>
                <w:rFonts w:eastAsia="Calibri"/>
                <w:color w:val="000000"/>
                <w:sz w:val="20"/>
                <w:szCs w:val="20"/>
              </w:rPr>
              <w:t>4.2: Innovative sustainable blue/ocean finance at national and/or regional levels accelerated</w:t>
            </w:r>
            <w:r>
              <w:rPr>
                <w:rFonts w:eastAsia="Calibri"/>
                <w:color w:val="000000"/>
                <w:sz w:val="20"/>
                <w:szCs w:val="20"/>
                <w:highlight w:val="yellow"/>
              </w:rPr>
              <w:t xml:space="preserve"> </w:t>
            </w:r>
          </w:p>
          <w:p w14:paraId="68091172" w14:textId="77777777" w:rsidR="00CF33D9" w:rsidRDefault="00CF33D9">
            <w:pPr>
              <w:rPr>
                <w:rFonts w:eastAsia="Calibri"/>
                <w:sz w:val="20"/>
                <w:szCs w:val="20"/>
              </w:rPr>
            </w:pPr>
          </w:p>
        </w:tc>
        <w:tc>
          <w:tcPr>
            <w:tcW w:w="2588" w:type="dxa"/>
          </w:tcPr>
          <w:p w14:paraId="68091173" w14:textId="77777777" w:rsidR="00CF33D9" w:rsidRDefault="00E3332A">
            <w:pPr>
              <w:rPr>
                <w:rFonts w:eastAsia="Calibri"/>
                <w:sz w:val="20"/>
                <w:szCs w:val="20"/>
              </w:rPr>
            </w:pPr>
            <w:r>
              <w:rPr>
                <w:rFonts w:eastAsia="Calibri"/>
                <w:color w:val="000000"/>
                <w:sz w:val="20"/>
                <w:szCs w:val="20"/>
              </w:rPr>
              <w:lastRenderedPageBreak/>
              <w:t xml:space="preserve">4.2.1: Viable sustainable blue/ocean finance mechanisms and tools developed and piloted (including incentives to </w:t>
            </w:r>
            <w:r>
              <w:rPr>
                <w:rFonts w:eastAsia="Calibri"/>
                <w:color w:val="000000"/>
                <w:sz w:val="20"/>
                <w:szCs w:val="20"/>
              </w:rPr>
              <w:lastRenderedPageBreak/>
              <w:t>stimulate regional, national, local and private sector SBE investments, pollution reduction, circular economy etc.)</w:t>
            </w:r>
          </w:p>
        </w:tc>
        <w:tc>
          <w:tcPr>
            <w:tcW w:w="335" w:type="dxa"/>
          </w:tcPr>
          <w:p w14:paraId="68091174" w14:textId="77777777" w:rsidR="00CF33D9" w:rsidRDefault="00CF33D9">
            <w:pPr>
              <w:rPr>
                <w:rFonts w:eastAsia="Calibri"/>
                <w:sz w:val="20"/>
                <w:szCs w:val="20"/>
              </w:rPr>
            </w:pPr>
          </w:p>
        </w:tc>
        <w:tc>
          <w:tcPr>
            <w:tcW w:w="335" w:type="dxa"/>
          </w:tcPr>
          <w:p w14:paraId="68091175" w14:textId="77777777" w:rsidR="00CF33D9" w:rsidRDefault="00CF33D9">
            <w:pPr>
              <w:rPr>
                <w:rFonts w:eastAsia="Calibri"/>
                <w:sz w:val="20"/>
                <w:szCs w:val="20"/>
              </w:rPr>
            </w:pPr>
          </w:p>
        </w:tc>
        <w:tc>
          <w:tcPr>
            <w:tcW w:w="335" w:type="dxa"/>
          </w:tcPr>
          <w:p w14:paraId="68091176" w14:textId="77777777" w:rsidR="00CF33D9" w:rsidRDefault="00CF33D9">
            <w:pPr>
              <w:rPr>
                <w:rFonts w:eastAsia="Calibri"/>
                <w:sz w:val="20"/>
                <w:szCs w:val="20"/>
              </w:rPr>
            </w:pPr>
          </w:p>
        </w:tc>
        <w:tc>
          <w:tcPr>
            <w:tcW w:w="335" w:type="dxa"/>
          </w:tcPr>
          <w:p w14:paraId="68091177" w14:textId="77777777" w:rsidR="00CF33D9" w:rsidRDefault="00CF33D9">
            <w:pPr>
              <w:rPr>
                <w:rFonts w:eastAsia="Calibri"/>
                <w:sz w:val="20"/>
                <w:szCs w:val="20"/>
              </w:rPr>
            </w:pPr>
          </w:p>
        </w:tc>
        <w:tc>
          <w:tcPr>
            <w:tcW w:w="335" w:type="dxa"/>
            <w:shd w:val="clear" w:color="auto" w:fill="00B0F0"/>
          </w:tcPr>
          <w:p w14:paraId="68091178" w14:textId="77777777" w:rsidR="00CF33D9" w:rsidRDefault="00CF33D9">
            <w:pPr>
              <w:rPr>
                <w:rFonts w:eastAsia="Calibri"/>
                <w:sz w:val="20"/>
                <w:szCs w:val="20"/>
              </w:rPr>
            </w:pPr>
          </w:p>
        </w:tc>
        <w:tc>
          <w:tcPr>
            <w:tcW w:w="335" w:type="dxa"/>
            <w:shd w:val="clear" w:color="auto" w:fill="00B0F0"/>
          </w:tcPr>
          <w:p w14:paraId="68091179" w14:textId="77777777" w:rsidR="00CF33D9" w:rsidRDefault="00CF33D9">
            <w:pPr>
              <w:rPr>
                <w:rFonts w:eastAsia="Calibri"/>
                <w:sz w:val="20"/>
                <w:szCs w:val="20"/>
              </w:rPr>
            </w:pPr>
          </w:p>
        </w:tc>
        <w:tc>
          <w:tcPr>
            <w:tcW w:w="335" w:type="dxa"/>
            <w:shd w:val="clear" w:color="auto" w:fill="00B0F0"/>
          </w:tcPr>
          <w:p w14:paraId="6809117A" w14:textId="77777777" w:rsidR="00CF33D9" w:rsidRDefault="00CF33D9">
            <w:pPr>
              <w:rPr>
                <w:rFonts w:eastAsia="Calibri"/>
                <w:sz w:val="20"/>
                <w:szCs w:val="20"/>
              </w:rPr>
            </w:pPr>
          </w:p>
        </w:tc>
        <w:tc>
          <w:tcPr>
            <w:tcW w:w="335" w:type="dxa"/>
            <w:shd w:val="clear" w:color="auto" w:fill="00B0F0"/>
          </w:tcPr>
          <w:p w14:paraId="6809117B" w14:textId="77777777" w:rsidR="00CF33D9" w:rsidRDefault="00CF33D9">
            <w:pPr>
              <w:rPr>
                <w:rFonts w:eastAsia="Calibri"/>
                <w:sz w:val="20"/>
                <w:szCs w:val="20"/>
              </w:rPr>
            </w:pPr>
          </w:p>
        </w:tc>
        <w:tc>
          <w:tcPr>
            <w:tcW w:w="336" w:type="dxa"/>
            <w:shd w:val="clear" w:color="auto" w:fill="00B0F0"/>
          </w:tcPr>
          <w:p w14:paraId="6809117C" w14:textId="77777777" w:rsidR="00CF33D9" w:rsidRDefault="00CF33D9">
            <w:pPr>
              <w:rPr>
                <w:rFonts w:eastAsia="Calibri"/>
                <w:sz w:val="20"/>
                <w:szCs w:val="20"/>
              </w:rPr>
            </w:pPr>
          </w:p>
        </w:tc>
        <w:tc>
          <w:tcPr>
            <w:tcW w:w="336" w:type="dxa"/>
            <w:shd w:val="clear" w:color="auto" w:fill="00B0F0"/>
          </w:tcPr>
          <w:p w14:paraId="6809117D" w14:textId="77777777" w:rsidR="00CF33D9" w:rsidRDefault="00CF33D9">
            <w:pPr>
              <w:rPr>
                <w:rFonts w:eastAsia="Calibri"/>
                <w:sz w:val="20"/>
                <w:szCs w:val="20"/>
              </w:rPr>
            </w:pPr>
          </w:p>
        </w:tc>
        <w:tc>
          <w:tcPr>
            <w:tcW w:w="336" w:type="dxa"/>
            <w:shd w:val="clear" w:color="auto" w:fill="00B0F0"/>
          </w:tcPr>
          <w:p w14:paraId="6809117E" w14:textId="77777777" w:rsidR="00CF33D9" w:rsidRDefault="00CF33D9">
            <w:pPr>
              <w:rPr>
                <w:rFonts w:eastAsia="Calibri"/>
                <w:sz w:val="20"/>
                <w:szCs w:val="20"/>
              </w:rPr>
            </w:pPr>
          </w:p>
        </w:tc>
        <w:tc>
          <w:tcPr>
            <w:tcW w:w="336" w:type="dxa"/>
            <w:shd w:val="clear" w:color="auto" w:fill="00B0F0"/>
          </w:tcPr>
          <w:p w14:paraId="6809117F" w14:textId="77777777" w:rsidR="00CF33D9" w:rsidRDefault="00CF33D9">
            <w:pPr>
              <w:rPr>
                <w:rFonts w:eastAsia="Calibri"/>
                <w:sz w:val="20"/>
                <w:szCs w:val="20"/>
              </w:rPr>
            </w:pPr>
          </w:p>
        </w:tc>
        <w:tc>
          <w:tcPr>
            <w:tcW w:w="336" w:type="dxa"/>
            <w:shd w:val="clear" w:color="auto" w:fill="00B0F0"/>
          </w:tcPr>
          <w:p w14:paraId="68091180" w14:textId="77777777" w:rsidR="00CF33D9" w:rsidRDefault="00CF33D9">
            <w:pPr>
              <w:rPr>
                <w:rFonts w:eastAsia="Calibri"/>
                <w:sz w:val="20"/>
                <w:szCs w:val="20"/>
              </w:rPr>
            </w:pPr>
          </w:p>
        </w:tc>
        <w:tc>
          <w:tcPr>
            <w:tcW w:w="336" w:type="dxa"/>
            <w:shd w:val="clear" w:color="auto" w:fill="00B0F0"/>
          </w:tcPr>
          <w:p w14:paraId="68091181" w14:textId="77777777" w:rsidR="00CF33D9" w:rsidRDefault="00CF33D9">
            <w:pPr>
              <w:rPr>
                <w:rFonts w:eastAsia="Calibri"/>
                <w:sz w:val="20"/>
                <w:szCs w:val="20"/>
              </w:rPr>
            </w:pPr>
          </w:p>
        </w:tc>
        <w:tc>
          <w:tcPr>
            <w:tcW w:w="336" w:type="dxa"/>
            <w:shd w:val="clear" w:color="auto" w:fill="00B0F0"/>
          </w:tcPr>
          <w:p w14:paraId="68091182" w14:textId="77777777" w:rsidR="00CF33D9" w:rsidRDefault="00CF33D9">
            <w:pPr>
              <w:rPr>
                <w:rFonts w:eastAsia="Calibri"/>
                <w:sz w:val="20"/>
                <w:szCs w:val="20"/>
              </w:rPr>
            </w:pPr>
          </w:p>
        </w:tc>
        <w:tc>
          <w:tcPr>
            <w:tcW w:w="336" w:type="dxa"/>
            <w:shd w:val="clear" w:color="auto" w:fill="00B0F0"/>
          </w:tcPr>
          <w:p w14:paraId="68091183" w14:textId="77777777" w:rsidR="00CF33D9" w:rsidRDefault="00CF33D9">
            <w:pPr>
              <w:rPr>
                <w:rFonts w:eastAsia="Calibri"/>
                <w:sz w:val="20"/>
                <w:szCs w:val="20"/>
              </w:rPr>
            </w:pPr>
          </w:p>
        </w:tc>
        <w:tc>
          <w:tcPr>
            <w:tcW w:w="336" w:type="dxa"/>
            <w:shd w:val="clear" w:color="auto" w:fill="00B0F0"/>
          </w:tcPr>
          <w:p w14:paraId="68091184" w14:textId="77777777" w:rsidR="00CF33D9" w:rsidRDefault="00CF33D9">
            <w:pPr>
              <w:rPr>
                <w:rFonts w:eastAsia="Calibri"/>
                <w:sz w:val="20"/>
                <w:szCs w:val="20"/>
              </w:rPr>
            </w:pPr>
          </w:p>
        </w:tc>
        <w:tc>
          <w:tcPr>
            <w:tcW w:w="336" w:type="dxa"/>
            <w:shd w:val="clear" w:color="auto" w:fill="00B0F0"/>
          </w:tcPr>
          <w:p w14:paraId="68091185" w14:textId="77777777" w:rsidR="00CF33D9" w:rsidRDefault="00CF33D9">
            <w:pPr>
              <w:rPr>
                <w:rFonts w:eastAsia="Calibri"/>
                <w:sz w:val="20"/>
                <w:szCs w:val="20"/>
              </w:rPr>
            </w:pPr>
          </w:p>
        </w:tc>
        <w:tc>
          <w:tcPr>
            <w:tcW w:w="336" w:type="dxa"/>
            <w:shd w:val="clear" w:color="auto" w:fill="00B0F0"/>
          </w:tcPr>
          <w:p w14:paraId="68091186" w14:textId="77777777" w:rsidR="00CF33D9" w:rsidRDefault="00CF33D9">
            <w:pPr>
              <w:rPr>
                <w:rFonts w:eastAsia="Calibri"/>
                <w:sz w:val="20"/>
                <w:szCs w:val="20"/>
              </w:rPr>
            </w:pPr>
          </w:p>
        </w:tc>
        <w:tc>
          <w:tcPr>
            <w:tcW w:w="336" w:type="dxa"/>
            <w:shd w:val="clear" w:color="auto" w:fill="00B0F0"/>
          </w:tcPr>
          <w:p w14:paraId="68091187" w14:textId="77777777" w:rsidR="00CF33D9" w:rsidRDefault="00CF33D9">
            <w:pPr>
              <w:rPr>
                <w:rFonts w:eastAsia="Calibri"/>
                <w:sz w:val="20"/>
                <w:szCs w:val="20"/>
              </w:rPr>
            </w:pPr>
          </w:p>
        </w:tc>
        <w:tc>
          <w:tcPr>
            <w:tcW w:w="336" w:type="dxa"/>
            <w:shd w:val="clear" w:color="auto" w:fill="00B0F0"/>
          </w:tcPr>
          <w:p w14:paraId="68091188" w14:textId="77777777" w:rsidR="00CF33D9" w:rsidRDefault="00CF33D9">
            <w:pPr>
              <w:rPr>
                <w:rFonts w:eastAsia="Calibri"/>
                <w:sz w:val="20"/>
                <w:szCs w:val="20"/>
              </w:rPr>
            </w:pPr>
          </w:p>
        </w:tc>
        <w:tc>
          <w:tcPr>
            <w:tcW w:w="336" w:type="dxa"/>
            <w:shd w:val="clear" w:color="auto" w:fill="00B0F0"/>
          </w:tcPr>
          <w:p w14:paraId="68091189" w14:textId="77777777" w:rsidR="00CF33D9" w:rsidRDefault="00CF33D9">
            <w:pPr>
              <w:rPr>
                <w:rFonts w:eastAsia="Calibri"/>
                <w:sz w:val="20"/>
                <w:szCs w:val="20"/>
              </w:rPr>
            </w:pPr>
          </w:p>
        </w:tc>
        <w:tc>
          <w:tcPr>
            <w:tcW w:w="336" w:type="dxa"/>
            <w:shd w:val="clear" w:color="auto" w:fill="00B0F0"/>
          </w:tcPr>
          <w:p w14:paraId="6809118A" w14:textId="77777777" w:rsidR="00CF33D9" w:rsidRDefault="00CF33D9">
            <w:pPr>
              <w:rPr>
                <w:rFonts w:eastAsia="Calibri"/>
                <w:sz w:val="20"/>
                <w:szCs w:val="20"/>
              </w:rPr>
            </w:pPr>
          </w:p>
        </w:tc>
        <w:tc>
          <w:tcPr>
            <w:tcW w:w="336" w:type="dxa"/>
            <w:shd w:val="clear" w:color="auto" w:fill="00B0F0"/>
          </w:tcPr>
          <w:p w14:paraId="6809118B" w14:textId="77777777" w:rsidR="00CF33D9" w:rsidRDefault="00CF33D9">
            <w:pPr>
              <w:rPr>
                <w:rFonts w:eastAsia="Calibri"/>
                <w:sz w:val="20"/>
                <w:szCs w:val="20"/>
              </w:rPr>
            </w:pPr>
          </w:p>
        </w:tc>
      </w:tr>
      <w:tr w:rsidR="00CF33D9" w14:paraId="680911A8" w14:textId="77777777">
        <w:tc>
          <w:tcPr>
            <w:tcW w:w="1413" w:type="dxa"/>
            <w:vMerge/>
          </w:tcPr>
          <w:p w14:paraId="6809118D" w14:textId="77777777" w:rsidR="00CF33D9" w:rsidRDefault="00CF33D9">
            <w:pPr>
              <w:widowControl w:val="0"/>
              <w:spacing w:after="0" w:line="276" w:lineRule="auto"/>
              <w:rPr>
                <w:rFonts w:eastAsia="Calibri"/>
                <w:sz w:val="20"/>
                <w:szCs w:val="20"/>
              </w:rPr>
            </w:pPr>
          </w:p>
        </w:tc>
        <w:tc>
          <w:tcPr>
            <w:tcW w:w="2130" w:type="dxa"/>
            <w:vMerge/>
          </w:tcPr>
          <w:p w14:paraId="6809118E" w14:textId="77777777" w:rsidR="00CF33D9" w:rsidRDefault="00CF33D9">
            <w:pPr>
              <w:widowControl w:val="0"/>
              <w:spacing w:after="0" w:line="276" w:lineRule="auto"/>
              <w:rPr>
                <w:rFonts w:eastAsia="Calibri"/>
                <w:sz w:val="20"/>
                <w:szCs w:val="20"/>
              </w:rPr>
            </w:pPr>
          </w:p>
        </w:tc>
        <w:tc>
          <w:tcPr>
            <w:tcW w:w="2588" w:type="dxa"/>
          </w:tcPr>
          <w:p w14:paraId="6809118F" w14:textId="77777777" w:rsidR="00CF33D9" w:rsidRDefault="00E3332A">
            <w:pPr>
              <w:rPr>
                <w:rFonts w:eastAsia="Calibri"/>
                <w:sz w:val="20"/>
                <w:szCs w:val="20"/>
              </w:rPr>
            </w:pPr>
            <w:r>
              <w:rPr>
                <w:rFonts w:eastAsia="Calibri"/>
                <w:color w:val="000000"/>
                <w:sz w:val="20"/>
                <w:szCs w:val="20"/>
              </w:rPr>
              <w:t>4.2.2: Feasibility for blue carbon finance assessed and viable options developed (the project will work with NGI to expand kelp harvesting (e.g. such efforts as https://kelp.blue/namibia/).</w:t>
            </w:r>
          </w:p>
        </w:tc>
        <w:tc>
          <w:tcPr>
            <w:tcW w:w="335" w:type="dxa"/>
          </w:tcPr>
          <w:p w14:paraId="68091190" w14:textId="77777777" w:rsidR="00CF33D9" w:rsidRDefault="00CF33D9">
            <w:pPr>
              <w:rPr>
                <w:rFonts w:eastAsia="Calibri"/>
                <w:sz w:val="20"/>
                <w:szCs w:val="20"/>
              </w:rPr>
            </w:pPr>
          </w:p>
        </w:tc>
        <w:tc>
          <w:tcPr>
            <w:tcW w:w="335" w:type="dxa"/>
          </w:tcPr>
          <w:p w14:paraId="68091191" w14:textId="77777777" w:rsidR="00CF33D9" w:rsidRDefault="00CF33D9">
            <w:pPr>
              <w:rPr>
                <w:rFonts w:eastAsia="Calibri"/>
                <w:sz w:val="20"/>
                <w:szCs w:val="20"/>
              </w:rPr>
            </w:pPr>
          </w:p>
        </w:tc>
        <w:tc>
          <w:tcPr>
            <w:tcW w:w="335" w:type="dxa"/>
          </w:tcPr>
          <w:p w14:paraId="68091192" w14:textId="77777777" w:rsidR="00CF33D9" w:rsidRDefault="00CF33D9">
            <w:pPr>
              <w:rPr>
                <w:rFonts w:eastAsia="Calibri"/>
                <w:sz w:val="20"/>
                <w:szCs w:val="20"/>
              </w:rPr>
            </w:pPr>
          </w:p>
        </w:tc>
        <w:tc>
          <w:tcPr>
            <w:tcW w:w="335" w:type="dxa"/>
          </w:tcPr>
          <w:p w14:paraId="68091193" w14:textId="77777777" w:rsidR="00CF33D9" w:rsidRDefault="00CF33D9">
            <w:pPr>
              <w:rPr>
                <w:rFonts w:eastAsia="Calibri"/>
                <w:sz w:val="20"/>
                <w:szCs w:val="20"/>
              </w:rPr>
            </w:pPr>
          </w:p>
        </w:tc>
        <w:tc>
          <w:tcPr>
            <w:tcW w:w="335" w:type="dxa"/>
            <w:shd w:val="clear" w:color="auto" w:fill="00B0F0"/>
          </w:tcPr>
          <w:p w14:paraId="68091194" w14:textId="77777777" w:rsidR="00CF33D9" w:rsidRDefault="00CF33D9">
            <w:pPr>
              <w:rPr>
                <w:rFonts w:eastAsia="Calibri"/>
                <w:sz w:val="20"/>
                <w:szCs w:val="20"/>
              </w:rPr>
            </w:pPr>
          </w:p>
        </w:tc>
        <w:tc>
          <w:tcPr>
            <w:tcW w:w="335" w:type="dxa"/>
            <w:shd w:val="clear" w:color="auto" w:fill="00B0F0"/>
          </w:tcPr>
          <w:p w14:paraId="68091195" w14:textId="77777777" w:rsidR="00CF33D9" w:rsidRDefault="00CF33D9">
            <w:pPr>
              <w:rPr>
                <w:rFonts w:eastAsia="Calibri"/>
                <w:sz w:val="20"/>
                <w:szCs w:val="20"/>
              </w:rPr>
            </w:pPr>
          </w:p>
        </w:tc>
        <w:tc>
          <w:tcPr>
            <w:tcW w:w="335" w:type="dxa"/>
            <w:shd w:val="clear" w:color="auto" w:fill="00B0F0"/>
          </w:tcPr>
          <w:p w14:paraId="68091196" w14:textId="77777777" w:rsidR="00CF33D9" w:rsidRDefault="00CF33D9">
            <w:pPr>
              <w:rPr>
                <w:rFonts w:eastAsia="Calibri"/>
                <w:sz w:val="20"/>
                <w:szCs w:val="20"/>
              </w:rPr>
            </w:pPr>
          </w:p>
        </w:tc>
        <w:tc>
          <w:tcPr>
            <w:tcW w:w="335" w:type="dxa"/>
            <w:shd w:val="clear" w:color="auto" w:fill="00B0F0"/>
          </w:tcPr>
          <w:p w14:paraId="68091197" w14:textId="77777777" w:rsidR="00CF33D9" w:rsidRDefault="00CF33D9">
            <w:pPr>
              <w:rPr>
                <w:rFonts w:eastAsia="Calibri"/>
                <w:sz w:val="20"/>
                <w:szCs w:val="20"/>
              </w:rPr>
            </w:pPr>
          </w:p>
        </w:tc>
        <w:tc>
          <w:tcPr>
            <w:tcW w:w="336" w:type="dxa"/>
            <w:shd w:val="clear" w:color="auto" w:fill="00B0F0"/>
          </w:tcPr>
          <w:p w14:paraId="68091198" w14:textId="77777777" w:rsidR="00CF33D9" w:rsidRDefault="00CF33D9">
            <w:pPr>
              <w:rPr>
                <w:rFonts w:eastAsia="Calibri"/>
                <w:sz w:val="20"/>
                <w:szCs w:val="20"/>
              </w:rPr>
            </w:pPr>
          </w:p>
        </w:tc>
        <w:tc>
          <w:tcPr>
            <w:tcW w:w="336" w:type="dxa"/>
            <w:shd w:val="clear" w:color="auto" w:fill="00B0F0"/>
          </w:tcPr>
          <w:p w14:paraId="68091199" w14:textId="77777777" w:rsidR="00CF33D9" w:rsidRDefault="00CF33D9">
            <w:pPr>
              <w:rPr>
                <w:rFonts w:eastAsia="Calibri"/>
                <w:sz w:val="20"/>
                <w:szCs w:val="20"/>
              </w:rPr>
            </w:pPr>
          </w:p>
        </w:tc>
        <w:tc>
          <w:tcPr>
            <w:tcW w:w="336" w:type="dxa"/>
            <w:shd w:val="clear" w:color="auto" w:fill="00B0F0"/>
          </w:tcPr>
          <w:p w14:paraId="6809119A" w14:textId="77777777" w:rsidR="00CF33D9" w:rsidRDefault="00CF33D9">
            <w:pPr>
              <w:rPr>
                <w:rFonts w:eastAsia="Calibri"/>
                <w:sz w:val="20"/>
                <w:szCs w:val="20"/>
              </w:rPr>
            </w:pPr>
          </w:p>
        </w:tc>
        <w:tc>
          <w:tcPr>
            <w:tcW w:w="336" w:type="dxa"/>
            <w:shd w:val="clear" w:color="auto" w:fill="00B0F0"/>
          </w:tcPr>
          <w:p w14:paraId="6809119B" w14:textId="77777777" w:rsidR="00CF33D9" w:rsidRDefault="00CF33D9">
            <w:pPr>
              <w:rPr>
                <w:rFonts w:eastAsia="Calibri"/>
                <w:sz w:val="20"/>
                <w:szCs w:val="20"/>
              </w:rPr>
            </w:pPr>
          </w:p>
        </w:tc>
        <w:tc>
          <w:tcPr>
            <w:tcW w:w="336" w:type="dxa"/>
            <w:shd w:val="clear" w:color="auto" w:fill="00B0F0"/>
          </w:tcPr>
          <w:p w14:paraId="6809119C" w14:textId="77777777" w:rsidR="00CF33D9" w:rsidRDefault="00CF33D9">
            <w:pPr>
              <w:rPr>
                <w:rFonts w:eastAsia="Calibri"/>
                <w:sz w:val="20"/>
                <w:szCs w:val="20"/>
              </w:rPr>
            </w:pPr>
          </w:p>
        </w:tc>
        <w:tc>
          <w:tcPr>
            <w:tcW w:w="336" w:type="dxa"/>
            <w:shd w:val="clear" w:color="auto" w:fill="00B0F0"/>
          </w:tcPr>
          <w:p w14:paraId="6809119D" w14:textId="77777777" w:rsidR="00CF33D9" w:rsidRDefault="00CF33D9">
            <w:pPr>
              <w:rPr>
                <w:rFonts w:eastAsia="Calibri"/>
                <w:sz w:val="20"/>
                <w:szCs w:val="20"/>
              </w:rPr>
            </w:pPr>
          </w:p>
        </w:tc>
        <w:tc>
          <w:tcPr>
            <w:tcW w:w="336" w:type="dxa"/>
            <w:shd w:val="clear" w:color="auto" w:fill="00B0F0"/>
          </w:tcPr>
          <w:p w14:paraId="6809119E" w14:textId="77777777" w:rsidR="00CF33D9" w:rsidRDefault="00CF33D9">
            <w:pPr>
              <w:rPr>
                <w:rFonts w:eastAsia="Calibri"/>
                <w:sz w:val="20"/>
                <w:szCs w:val="20"/>
              </w:rPr>
            </w:pPr>
          </w:p>
        </w:tc>
        <w:tc>
          <w:tcPr>
            <w:tcW w:w="336" w:type="dxa"/>
            <w:shd w:val="clear" w:color="auto" w:fill="00B0F0"/>
          </w:tcPr>
          <w:p w14:paraId="6809119F" w14:textId="77777777" w:rsidR="00CF33D9" w:rsidRDefault="00CF33D9">
            <w:pPr>
              <w:rPr>
                <w:rFonts w:eastAsia="Calibri"/>
                <w:sz w:val="20"/>
                <w:szCs w:val="20"/>
              </w:rPr>
            </w:pPr>
          </w:p>
        </w:tc>
        <w:tc>
          <w:tcPr>
            <w:tcW w:w="336" w:type="dxa"/>
            <w:shd w:val="clear" w:color="auto" w:fill="00B0F0"/>
          </w:tcPr>
          <w:p w14:paraId="680911A0" w14:textId="77777777" w:rsidR="00CF33D9" w:rsidRDefault="00CF33D9">
            <w:pPr>
              <w:rPr>
                <w:rFonts w:eastAsia="Calibri"/>
                <w:sz w:val="20"/>
                <w:szCs w:val="20"/>
              </w:rPr>
            </w:pPr>
          </w:p>
        </w:tc>
        <w:tc>
          <w:tcPr>
            <w:tcW w:w="336" w:type="dxa"/>
            <w:shd w:val="clear" w:color="auto" w:fill="00B0F0"/>
          </w:tcPr>
          <w:p w14:paraId="680911A1" w14:textId="77777777" w:rsidR="00CF33D9" w:rsidRDefault="00CF33D9">
            <w:pPr>
              <w:rPr>
                <w:rFonts w:eastAsia="Calibri"/>
                <w:sz w:val="20"/>
                <w:szCs w:val="20"/>
              </w:rPr>
            </w:pPr>
          </w:p>
        </w:tc>
        <w:tc>
          <w:tcPr>
            <w:tcW w:w="336" w:type="dxa"/>
            <w:shd w:val="clear" w:color="auto" w:fill="00B0F0"/>
          </w:tcPr>
          <w:p w14:paraId="680911A2" w14:textId="77777777" w:rsidR="00CF33D9" w:rsidRDefault="00CF33D9">
            <w:pPr>
              <w:rPr>
                <w:rFonts w:eastAsia="Calibri"/>
                <w:sz w:val="20"/>
                <w:szCs w:val="20"/>
              </w:rPr>
            </w:pPr>
          </w:p>
        </w:tc>
        <w:tc>
          <w:tcPr>
            <w:tcW w:w="336" w:type="dxa"/>
            <w:shd w:val="clear" w:color="auto" w:fill="00B0F0"/>
          </w:tcPr>
          <w:p w14:paraId="680911A3" w14:textId="77777777" w:rsidR="00CF33D9" w:rsidRDefault="00CF33D9">
            <w:pPr>
              <w:rPr>
                <w:rFonts w:eastAsia="Calibri"/>
                <w:sz w:val="20"/>
                <w:szCs w:val="20"/>
              </w:rPr>
            </w:pPr>
          </w:p>
        </w:tc>
        <w:tc>
          <w:tcPr>
            <w:tcW w:w="336" w:type="dxa"/>
            <w:shd w:val="clear" w:color="auto" w:fill="00B0F0"/>
          </w:tcPr>
          <w:p w14:paraId="680911A4" w14:textId="77777777" w:rsidR="00CF33D9" w:rsidRDefault="00CF33D9">
            <w:pPr>
              <w:rPr>
                <w:rFonts w:eastAsia="Calibri"/>
                <w:sz w:val="20"/>
                <w:szCs w:val="20"/>
              </w:rPr>
            </w:pPr>
          </w:p>
        </w:tc>
        <w:tc>
          <w:tcPr>
            <w:tcW w:w="336" w:type="dxa"/>
            <w:shd w:val="clear" w:color="auto" w:fill="00B0F0"/>
          </w:tcPr>
          <w:p w14:paraId="680911A5" w14:textId="77777777" w:rsidR="00CF33D9" w:rsidRDefault="00CF33D9">
            <w:pPr>
              <w:rPr>
                <w:rFonts w:eastAsia="Calibri"/>
                <w:sz w:val="20"/>
                <w:szCs w:val="20"/>
              </w:rPr>
            </w:pPr>
          </w:p>
        </w:tc>
        <w:tc>
          <w:tcPr>
            <w:tcW w:w="336" w:type="dxa"/>
            <w:shd w:val="clear" w:color="auto" w:fill="00B0F0"/>
          </w:tcPr>
          <w:p w14:paraId="680911A6" w14:textId="77777777" w:rsidR="00CF33D9" w:rsidRDefault="00CF33D9">
            <w:pPr>
              <w:rPr>
                <w:rFonts w:eastAsia="Calibri"/>
                <w:sz w:val="20"/>
                <w:szCs w:val="20"/>
              </w:rPr>
            </w:pPr>
          </w:p>
        </w:tc>
        <w:tc>
          <w:tcPr>
            <w:tcW w:w="336" w:type="dxa"/>
            <w:shd w:val="clear" w:color="auto" w:fill="00B0F0"/>
          </w:tcPr>
          <w:p w14:paraId="680911A7" w14:textId="77777777" w:rsidR="00CF33D9" w:rsidRDefault="00CF33D9">
            <w:pPr>
              <w:rPr>
                <w:rFonts w:eastAsia="Calibri"/>
                <w:sz w:val="20"/>
                <w:szCs w:val="20"/>
              </w:rPr>
            </w:pPr>
          </w:p>
        </w:tc>
      </w:tr>
      <w:tr w:rsidR="00CF33D9" w14:paraId="680911C4" w14:textId="77777777">
        <w:tc>
          <w:tcPr>
            <w:tcW w:w="1413" w:type="dxa"/>
            <w:vMerge/>
          </w:tcPr>
          <w:p w14:paraId="680911A9" w14:textId="77777777" w:rsidR="00CF33D9" w:rsidRDefault="00CF33D9">
            <w:pPr>
              <w:widowControl w:val="0"/>
              <w:spacing w:after="0" w:line="276" w:lineRule="auto"/>
              <w:rPr>
                <w:rFonts w:eastAsia="Calibri"/>
                <w:sz w:val="20"/>
                <w:szCs w:val="20"/>
              </w:rPr>
            </w:pPr>
          </w:p>
        </w:tc>
        <w:tc>
          <w:tcPr>
            <w:tcW w:w="2130" w:type="dxa"/>
            <w:vMerge/>
          </w:tcPr>
          <w:p w14:paraId="680911AA" w14:textId="77777777" w:rsidR="00CF33D9" w:rsidRDefault="00CF33D9">
            <w:pPr>
              <w:widowControl w:val="0"/>
              <w:spacing w:after="0" w:line="276" w:lineRule="auto"/>
              <w:rPr>
                <w:rFonts w:eastAsia="Calibri"/>
                <w:sz w:val="20"/>
                <w:szCs w:val="20"/>
              </w:rPr>
            </w:pPr>
          </w:p>
        </w:tc>
        <w:tc>
          <w:tcPr>
            <w:tcW w:w="2588" w:type="dxa"/>
          </w:tcPr>
          <w:p w14:paraId="680911AB" w14:textId="77777777" w:rsidR="00CF33D9" w:rsidRDefault="00E3332A">
            <w:pPr>
              <w:rPr>
                <w:rFonts w:eastAsia="Calibri"/>
                <w:sz w:val="20"/>
                <w:szCs w:val="20"/>
              </w:rPr>
            </w:pPr>
            <w:r>
              <w:rPr>
                <w:rFonts w:eastAsia="Calibri"/>
                <w:color w:val="000000"/>
                <w:sz w:val="20"/>
                <w:szCs w:val="20"/>
              </w:rPr>
              <w:t>4.2.3: Blue carbon finance mechanism developed and implemented</w:t>
            </w:r>
          </w:p>
        </w:tc>
        <w:tc>
          <w:tcPr>
            <w:tcW w:w="335" w:type="dxa"/>
            <w:tcBorders>
              <w:bottom w:val="single" w:sz="4" w:space="0" w:color="000000"/>
            </w:tcBorders>
          </w:tcPr>
          <w:p w14:paraId="680911AC" w14:textId="77777777" w:rsidR="00CF33D9" w:rsidRDefault="00CF33D9">
            <w:pPr>
              <w:rPr>
                <w:rFonts w:eastAsia="Calibri"/>
                <w:sz w:val="20"/>
                <w:szCs w:val="20"/>
              </w:rPr>
            </w:pPr>
          </w:p>
        </w:tc>
        <w:tc>
          <w:tcPr>
            <w:tcW w:w="335" w:type="dxa"/>
            <w:tcBorders>
              <w:bottom w:val="single" w:sz="4" w:space="0" w:color="000000"/>
            </w:tcBorders>
          </w:tcPr>
          <w:p w14:paraId="680911AD" w14:textId="77777777" w:rsidR="00CF33D9" w:rsidRDefault="00CF33D9">
            <w:pPr>
              <w:rPr>
                <w:rFonts w:eastAsia="Calibri"/>
                <w:sz w:val="20"/>
                <w:szCs w:val="20"/>
              </w:rPr>
            </w:pPr>
          </w:p>
        </w:tc>
        <w:tc>
          <w:tcPr>
            <w:tcW w:w="335" w:type="dxa"/>
            <w:tcBorders>
              <w:bottom w:val="single" w:sz="4" w:space="0" w:color="000000"/>
            </w:tcBorders>
          </w:tcPr>
          <w:p w14:paraId="680911AE" w14:textId="77777777" w:rsidR="00CF33D9" w:rsidRDefault="00CF33D9">
            <w:pPr>
              <w:rPr>
                <w:rFonts w:eastAsia="Calibri"/>
                <w:sz w:val="20"/>
                <w:szCs w:val="20"/>
              </w:rPr>
            </w:pPr>
          </w:p>
        </w:tc>
        <w:tc>
          <w:tcPr>
            <w:tcW w:w="335" w:type="dxa"/>
            <w:tcBorders>
              <w:bottom w:val="single" w:sz="4" w:space="0" w:color="000000"/>
            </w:tcBorders>
          </w:tcPr>
          <w:p w14:paraId="680911AF"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1B0"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1B1"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1B2"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1B3"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B4"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B5"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B6"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B7"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B8"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B9"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BA"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BB"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BC"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BD"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BE"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BF"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C0"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C1"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C2"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C3" w14:textId="77777777" w:rsidR="00CF33D9" w:rsidRDefault="00CF33D9">
            <w:pPr>
              <w:rPr>
                <w:rFonts w:eastAsia="Calibri"/>
                <w:sz w:val="20"/>
                <w:szCs w:val="20"/>
              </w:rPr>
            </w:pPr>
          </w:p>
        </w:tc>
      </w:tr>
      <w:tr w:rsidR="00CF33D9" w14:paraId="680911E2" w14:textId="77777777">
        <w:tc>
          <w:tcPr>
            <w:tcW w:w="1413" w:type="dxa"/>
            <w:vMerge w:val="restart"/>
          </w:tcPr>
          <w:p w14:paraId="680911C5" w14:textId="77777777" w:rsidR="00CF33D9" w:rsidRDefault="00E3332A">
            <w:pPr>
              <w:spacing w:after="0"/>
              <w:jc w:val="both"/>
              <w:rPr>
                <w:rFonts w:eastAsia="Calibri"/>
                <w:color w:val="000000"/>
                <w:sz w:val="20"/>
                <w:szCs w:val="20"/>
              </w:rPr>
            </w:pPr>
            <w:r>
              <w:rPr>
                <w:rFonts w:eastAsia="Calibri"/>
                <w:b/>
                <w:color w:val="000000"/>
                <w:sz w:val="20"/>
                <w:szCs w:val="20"/>
              </w:rPr>
              <w:t>Component 5</w:t>
            </w:r>
            <w:r>
              <w:rPr>
                <w:rFonts w:eastAsia="Calibri"/>
                <w:color w:val="000000"/>
                <w:sz w:val="20"/>
                <w:szCs w:val="20"/>
              </w:rPr>
              <w:t xml:space="preserve">: Knowledge </w:t>
            </w:r>
          </w:p>
          <w:p w14:paraId="680911C6" w14:textId="77777777" w:rsidR="00CF33D9" w:rsidRDefault="00E3332A">
            <w:pPr>
              <w:spacing w:after="0"/>
              <w:rPr>
                <w:rFonts w:eastAsia="Calibri"/>
                <w:color w:val="000000"/>
                <w:sz w:val="20"/>
                <w:szCs w:val="20"/>
              </w:rPr>
            </w:pPr>
            <w:r>
              <w:rPr>
                <w:rFonts w:eastAsia="Calibri"/>
                <w:color w:val="000000"/>
                <w:sz w:val="20"/>
                <w:szCs w:val="20"/>
              </w:rPr>
              <w:t xml:space="preserve">management, awareness raising and upscaling for Sustainable Blue/Ocean Economy </w:t>
            </w:r>
          </w:p>
          <w:p w14:paraId="680911C7" w14:textId="77777777" w:rsidR="00CF33D9" w:rsidRDefault="00CF33D9">
            <w:pPr>
              <w:rPr>
                <w:rFonts w:eastAsia="Calibri"/>
                <w:sz w:val="20"/>
                <w:szCs w:val="20"/>
              </w:rPr>
            </w:pPr>
          </w:p>
        </w:tc>
        <w:tc>
          <w:tcPr>
            <w:tcW w:w="2130" w:type="dxa"/>
            <w:vMerge w:val="restart"/>
          </w:tcPr>
          <w:p w14:paraId="680911C8" w14:textId="77777777" w:rsidR="00CF33D9" w:rsidRDefault="00E3332A">
            <w:pPr>
              <w:rPr>
                <w:rFonts w:eastAsia="Calibri"/>
                <w:sz w:val="20"/>
                <w:szCs w:val="20"/>
              </w:rPr>
            </w:pPr>
            <w:r>
              <w:rPr>
                <w:rFonts w:eastAsia="Calibri"/>
                <w:color w:val="000000"/>
                <w:sz w:val="20"/>
                <w:szCs w:val="20"/>
              </w:rPr>
              <w:t>5.1: Knowledge management, awareness raising and communication on Sustainable Blue/Ocean Economy, and Social and Environmental Safeguards in the BCLME region strengthened</w:t>
            </w:r>
          </w:p>
        </w:tc>
        <w:tc>
          <w:tcPr>
            <w:tcW w:w="2588" w:type="dxa"/>
          </w:tcPr>
          <w:p w14:paraId="680911C9" w14:textId="77777777" w:rsidR="00CF33D9" w:rsidRDefault="00E3332A">
            <w:pPr>
              <w:rPr>
                <w:rFonts w:eastAsia="Calibri"/>
                <w:sz w:val="20"/>
                <w:szCs w:val="20"/>
              </w:rPr>
            </w:pPr>
            <w:r>
              <w:rPr>
                <w:rFonts w:eastAsia="Calibri"/>
                <w:color w:val="000000"/>
                <w:sz w:val="20"/>
                <w:szCs w:val="20"/>
              </w:rPr>
              <w:t>5.1.1: Strengthened capacities for knowledge management in relation to SBE, ICZM, MSP and MPA, and monitoring Knowledge Management performance</w:t>
            </w:r>
          </w:p>
        </w:tc>
        <w:tc>
          <w:tcPr>
            <w:tcW w:w="335" w:type="dxa"/>
            <w:tcBorders>
              <w:bottom w:val="single" w:sz="4" w:space="0" w:color="000000"/>
            </w:tcBorders>
            <w:shd w:val="clear" w:color="auto" w:fill="00B0F0"/>
          </w:tcPr>
          <w:p w14:paraId="680911CA"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1CB"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1CC"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1CD"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1CE"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1CF"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1D0"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1D1"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D2"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D3"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D4"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D5"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D6"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D7"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D8"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D9"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DA"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DB"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DC"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DD"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DE"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DF"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E0"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E1" w14:textId="77777777" w:rsidR="00CF33D9" w:rsidRDefault="00CF33D9">
            <w:pPr>
              <w:rPr>
                <w:rFonts w:eastAsia="Calibri"/>
                <w:sz w:val="20"/>
                <w:szCs w:val="20"/>
              </w:rPr>
            </w:pPr>
          </w:p>
        </w:tc>
      </w:tr>
      <w:tr w:rsidR="00CF33D9" w14:paraId="680911FE" w14:textId="77777777">
        <w:tc>
          <w:tcPr>
            <w:tcW w:w="1413" w:type="dxa"/>
            <w:vMerge/>
          </w:tcPr>
          <w:p w14:paraId="680911E3" w14:textId="77777777" w:rsidR="00CF33D9" w:rsidRDefault="00CF33D9">
            <w:pPr>
              <w:widowControl w:val="0"/>
              <w:spacing w:after="0" w:line="276" w:lineRule="auto"/>
              <w:rPr>
                <w:rFonts w:eastAsia="Calibri"/>
                <w:sz w:val="20"/>
                <w:szCs w:val="20"/>
              </w:rPr>
            </w:pPr>
          </w:p>
        </w:tc>
        <w:tc>
          <w:tcPr>
            <w:tcW w:w="2130" w:type="dxa"/>
            <w:vMerge/>
          </w:tcPr>
          <w:p w14:paraId="680911E4" w14:textId="77777777" w:rsidR="00CF33D9" w:rsidRDefault="00CF33D9">
            <w:pPr>
              <w:widowControl w:val="0"/>
              <w:spacing w:after="0" w:line="276" w:lineRule="auto"/>
              <w:rPr>
                <w:rFonts w:eastAsia="Calibri"/>
                <w:sz w:val="20"/>
                <w:szCs w:val="20"/>
              </w:rPr>
            </w:pPr>
          </w:p>
        </w:tc>
        <w:tc>
          <w:tcPr>
            <w:tcW w:w="2588" w:type="dxa"/>
          </w:tcPr>
          <w:p w14:paraId="680911E5" w14:textId="77777777" w:rsidR="00CF33D9" w:rsidRDefault="00E3332A">
            <w:pPr>
              <w:rPr>
                <w:rFonts w:eastAsia="Calibri"/>
                <w:sz w:val="20"/>
                <w:szCs w:val="20"/>
              </w:rPr>
            </w:pPr>
            <w:r>
              <w:rPr>
                <w:rFonts w:eastAsia="Calibri"/>
                <w:color w:val="000000"/>
                <w:sz w:val="20"/>
                <w:szCs w:val="20"/>
              </w:rPr>
              <w:t xml:space="preserve">5.1.2 Communication and Outreach Programme for awareness raising on Sustainable Blue/ocean economy and </w:t>
            </w:r>
            <w:r>
              <w:rPr>
                <w:rFonts w:eastAsia="Calibri"/>
                <w:color w:val="000000"/>
                <w:sz w:val="20"/>
                <w:szCs w:val="20"/>
              </w:rPr>
              <w:lastRenderedPageBreak/>
              <w:t>implementation of SEP and GAP</w:t>
            </w:r>
          </w:p>
        </w:tc>
        <w:tc>
          <w:tcPr>
            <w:tcW w:w="335" w:type="dxa"/>
            <w:tcBorders>
              <w:bottom w:val="single" w:sz="4" w:space="0" w:color="000000"/>
            </w:tcBorders>
            <w:shd w:val="clear" w:color="auto" w:fill="00B0F0"/>
          </w:tcPr>
          <w:p w14:paraId="680911E6"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1E7"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1E8"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1E9"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1EA"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1EB"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1EC"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1ED"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EE"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EF"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F0"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F1"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F2"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F3"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F4"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F5"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F6"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F7"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F8"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F9"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FA"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FB"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FC"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1FD" w14:textId="77777777" w:rsidR="00CF33D9" w:rsidRDefault="00CF33D9">
            <w:pPr>
              <w:rPr>
                <w:rFonts w:eastAsia="Calibri"/>
                <w:sz w:val="20"/>
                <w:szCs w:val="20"/>
              </w:rPr>
            </w:pPr>
          </w:p>
        </w:tc>
      </w:tr>
      <w:tr w:rsidR="00CF33D9" w14:paraId="6809121A" w14:textId="77777777">
        <w:tc>
          <w:tcPr>
            <w:tcW w:w="1413" w:type="dxa"/>
            <w:vMerge/>
          </w:tcPr>
          <w:p w14:paraId="680911FF" w14:textId="77777777" w:rsidR="00CF33D9" w:rsidRDefault="00CF33D9">
            <w:pPr>
              <w:widowControl w:val="0"/>
              <w:spacing w:after="0" w:line="276" w:lineRule="auto"/>
              <w:rPr>
                <w:rFonts w:eastAsia="Calibri"/>
                <w:sz w:val="20"/>
                <w:szCs w:val="20"/>
              </w:rPr>
            </w:pPr>
          </w:p>
        </w:tc>
        <w:tc>
          <w:tcPr>
            <w:tcW w:w="2130" w:type="dxa"/>
            <w:vMerge/>
          </w:tcPr>
          <w:p w14:paraId="68091200" w14:textId="77777777" w:rsidR="00CF33D9" w:rsidRDefault="00CF33D9">
            <w:pPr>
              <w:widowControl w:val="0"/>
              <w:spacing w:after="0" w:line="276" w:lineRule="auto"/>
              <w:rPr>
                <w:rFonts w:eastAsia="Calibri"/>
                <w:sz w:val="20"/>
                <w:szCs w:val="20"/>
              </w:rPr>
            </w:pPr>
          </w:p>
        </w:tc>
        <w:tc>
          <w:tcPr>
            <w:tcW w:w="2588" w:type="dxa"/>
          </w:tcPr>
          <w:p w14:paraId="68091201" w14:textId="77777777" w:rsidR="00CF33D9" w:rsidRDefault="00E3332A">
            <w:pPr>
              <w:rPr>
                <w:rFonts w:eastAsia="Calibri"/>
                <w:sz w:val="20"/>
                <w:szCs w:val="20"/>
              </w:rPr>
            </w:pPr>
            <w:r>
              <w:rPr>
                <w:rFonts w:eastAsia="Calibri"/>
                <w:color w:val="000000"/>
                <w:sz w:val="20"/>
                <w:szCs w:val="20"/>
              </w:rPr>
              <w:t>5.1.3 Environmental and Social Safeguards Management is developed and operationalized</w:t>
            </w:r>
          </w:p>
        </w:tc>
        <w:tc>
          <w:tcPr>
            <w:tcW w:w="335" w:type="dxa"/>
            <w:shd w:val="clear" w:color="auto" w:fill="00B0F0"/>
          </w:tcPr>
          <w:p w14:paraId="68091202" w14:textId="77777777" w:rsidR="00CF33D9" w:rsidRDefault="00CF33D9">
            <w:pPr>
              <w:rPr>
                <w:rFonts w:eastAsia="Calibri"/>
                <w:sz w:val="20"/>
                <w:szCs w:val="20"/>
              </w:rPr>
            </w:pPr>
          </w:p>
        </w:tc>
        <w:tc>
          <w:tcPr>
            <w:tcW w:w="335" w:type="dxa"/>
            <w:shd w:val="clear" w:color="auto" w:fill="00B0F0"/>
          </w:tcPr>
          <w:p w14:paraId="68091203" w14:textId="77777777" w:rsidR="00CF33D9" w:rsidRDefault="00CF33D9">
            <w:pPr>
              <w:rPr>
                <w:rFonts w:eastAsia="Calibri"/>
                <w:sz w:val="20"/>
                <w:szCs w:val="20"/>
              </w:rPr>
            </w:pPr>
          </w:p>
        </w:tc>
        <w:tc>
          <w:tcPr>
            <w:tcW w:w="335" w:type="dxa"/>
            <w:shd w:val="clear" w:color="auto" w:fill="00B0F0"/>
          </w:tcPr>
          <w:p w14:paraId="68091204" w14:textId="77777777" w:rsidR="00CF33D9" w:rsidRDefault="00CF33D9">
            <w:pPr>
              <w:rPr>
                <w:rFonts w:eastAsia="Calibri"/>
                <w:sz w:val="20"/>
                <w:szCs w:val="20"/>
              </w:rPr>
            </w:pPr>
          </w:p>
        </w:tc>
        <w:tc>
          <w:tcPr>
            <w:tcW w:w="335" w:type="dxa"/>
            <w:shd w:val="clear" w:color="auto" w:fill="00B0F0"/>
          </w:tcPr>
          <w:p w14:paraId="68091205" w14:textId="77777777" w:rsidR="00CF33D9" w:rsidRDefault="00CF33D9">
            <w:pPr>
              <w:rPr>
                <w:rFonts w:eastAsia="Calibri"/>
                <w:sz w:val="20"/>
                <w:szCs w:val="20"/>
              </w:rPr>
            </w:pPr>
          </w:p>
        </w:tc>
        <w:tc>
          <w:tcPr>
            <w:tcW w:w="335" w:type="dxa"/>
            <w:shd w:val="clear" w:color="auto" w:fill="00B0F0"/>
          </w:tcPr>
          <w:p w14:paraId="68091206" w14:textId="77777777" w:rsidR="00CF33D9" w:rsidRDefault="00CF33D9">
            <w:pPr>
              <w:rPr>
                <w:rFonts w:eastAsia="Calibri"/>
                <w:sz w:val="20"/>
                <w:szCs w:val="20"/>
              </w:rPr>
            </w:pPr>
          </w:p>
        </w:tc>
        <w:tc>
          <w:tcPr>
            <w:tcW w:w="335" w:type="dxa"/>
            <w:shd w:val="clear" w:color="auto" w:fill="00B0F0"/>
          </w:tcPr>
          <w:p w14:paraId="68091207" w14:textId="77777777" w:rsidR="00CF33D9" w:rsidRDefault="00CF33D9">
            <w:pPr>
              <w:rPr>
                <w:rFonts w:eastAsia="Calibri"/>
                <w:sz w:val="20"/>
                <w:szCs w:val="20"/>
              </w:rPr>
            </w:pPr>
          </w:p>
        </w:tc>
        <w:tc>
          <w:tcPr>
            <w:tcW w:w="335" w:type="dxa"/>
            <w:shd w:val="clear" w:color="auto" w:fill="00B0F0"/>
          </w:tcPr>
          <w:p w14:paraId="68091208" w14:textId="77777777" w:rsidR="00CF33D9" w:rsidRDefault="00CF33D9">
            <w:pPr>
              <w:rPr>
                <w:rFonts w:eastAsia="Calibri"/>
                <w:sz w:val="20"/>
                <w:szCs w:val="20"/>
              </w:rPr>
            </w:pPr>
          </w:p>
        </w:tc>
        <w:tc>
          <w:tcPr>
            <w:tcW w:w="335" w:type="dxa"/>
            <w:shd w:val="clear" w:color="auto" w:fill="00B0F0"/>
          </w:tcPr>
          <w:p w14:paraId="68091209"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20A"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20B"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20C"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20D"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20E"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20F"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210"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211"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212"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213"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214"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215"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216"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217"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218"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219" w14:textId="77777777" w:rsidR="00CF33D9" w:rsidRDefault="00CF33D9">
            <w:pPr>
              <w:rPr>
                <w:rFonts w:eastAsia="Calibri"/>
                <w:sz w:val="20"/>
                <w:szCs w:val="20"/>
              </w:rPr>
            </w:pPr>
          </w:p>
        </w:tc>
      </w:tr>
      <w:tr w:rsidR="00CF33D9" w14:paraId="68091237" w14:textId="77777777">
        <w:tc>
          <w:tcPr>
            <w:tcW w:w="1413" w:type="dxa"/>
            <w:vMerge/>
          </w:tcPr>
          <w:p w14:paraId="6809121B" w14:textId="77777777" w:rsidR="00CF33D9" w:rsidRDefault="00CF33D9">
            <w:pPr>
              <w:widowControl w:val="0"/>
              <w:spacing w:after="0" w:line="276" w:lineRule="auto"/>
              <w:rPr>
                <w:rFonts w:eastAsia="Calibri"/>
                <w:sz w:val="20"/>
                <w:szCs w:val="20"/>
              </w:rPr>
            </w:pPr>
          </w:p>
        </w:tc>
        <w:tc>
          <w:tcPr>
            <w:tcW w:w="2130" w:type="dxa"/>
            <w:vMerge w:val="restart"/>
          </w:tcPr>
          <w:p w14:paraId="6809121C" w14:textId="77777777" w:rsidR="00CF33D9" w:rsidRDefault="00E3332A">
            <w:pPr>
              <w:spacing w:after="0"/>
              <w:rPr>
                <w:rFonts w:eastAsia="Calibri"/>
                <w:color w:val="000000"/>
                <w:sz w:val="20"/>
                <w:szCs w:val="20"/>
              </w:rPr>
            </w:pPr>
            <w:r>
              <w:rPr>
                <w:rFonts w:eastAsia="Calibri"/>
                <w:color w:val="000000"/>
                <w:sz w:val="20"/>
                <w:szCs w:val="20"/>
              </w:rPr>
              <w:t>5.2: The upscaling</w:t>
            </w:r>
            <w:r>
              <w:rPr>
                <w:rFonts w:eastAsia="Calibri"/>
                <w:color w:val="000000"/>
                <w:sz w:val="20"/>
                <w:szCs w:val="20"/>
                <w:highlight w:val="yellow"/>
              </w:rPr>
              <w:t xml:space="preserve"> </w:t>
            </w:r>
            <w:r>
              <w:rPr>
                <w:rFonts w:eastAsia="Calibri"/>
                <w:color w:val="000000"/>
                <w:sz w:val="20"/>
                <w:szCs w:val="20"/>
              </w:rPr>
              <w:t>of sustainable</w:t>
            </w:r>
            <w:r>
              <w:rPr>
                <w:rFonts w:eastAsia="Calibri"/>
                <w:color w:val="000000"/>
                <w:sz w:val="20"/>
                <w:szCs w:val="20"/>
                <w:highlight w:val="yellow"/>
              </w:rPr>
              <w:t xml:space="preserve"> </w:t>
            </w:r>
            <w:r>
              <w:rPr>
                <w:rFonts w:eastAsia="Calibri"/>
                <w:color w:val="000000"/>
                <w:sz w:val="20"/>
                <w:szCs w:val="20"/>
              </w:rPr>
              <w:t>and viable  blue/ocean economy interventions is promoted</w:t>
            </w:r>
            <w:r>
              <w:rPr>
                <w:rFonts w:eastAsia="Calibri"/>
                <w:color w:val="000000"/>
                <w:sz w:val="20"/>
                <w:szCs w:val="20"/>
                <w:highlight w:val="yellow"/>
              </w:rPr>
              <w:t xml:space="preserve"> </w:t>
            </w:r>
          </w:p>
          <w:p w14:paraId="6809121D" w14:textId="77777777" w:rsidR="00CF33D9" w:rsidRDefault="00CF33D9">
            <w:pPr>
              <w:rPr>
                <w:rFonts w:eastAsia="Calibri"/>
                <w:sz w:val="20"/>
                <w:szCs w:val="20"/>
              </w:rPr>
            </w:pPr>
          </w:p>
        </w:tc>
        <w:tc>
          <w:tcPr>
            <w:tcW w:w="2588" w:type="dxa"/>
          </w:tcPr>
          <w:p w14:paraId="6809121E" w14:textId="77777777" w:rsidR="00CF33D9" w:rsidRDefault="00E3332A">
            <w:pPr>
              <w:rPr>
                <w:rFonts w:eastAsia="Calibri"/>
                <w:sz w:val="20"/>
                <w:szCs w:val="20"/>
              </w:rPr>
            </w:pPr>
            <w:r>
              <w:rPr>
                <w:rFonts w:eastAsia="Calibri"/>
                <w:color w:val="000000"/>
                <w:sz w:val="20"/>
                <w:szCs w:val="20"/>
              </w:rPr>
              <w:t>5.2.1: Communications and knowledge products (information packages, tools and approaches) for upscaling developed and shared with beneficiaries via knowledge-sharing platform</w:t>
            </w:r>
          </w:p>
        </w:tc>
        <w:tc>
          <w:tcPr>
            <w:tcW w:w="335" w:type="dxa"/>
          </w:tcPr>
          <w:p w14:paraId="6809121F" w14:textId="77777777" w:rsidR="00CF33D9" w:rsidRDefault="00CF33D9">
            <w:pPr>
              <w:rPr>
                <w:rFonts w:eastAsia="Calibri"/>
                <w:sz w:val="20"/>
                <w:szCs w:val="20"/>
              </w:rPr>
            </w:pPr>
          </w:p>
        </w:tc>
        <w:tc>
          <w:tcPr>
            <w:tcW w:w="335" w:type="dxa"/>
          </w:tcPr>
          <w:p w14:paraId="68091220" w14:textId="77777777" w:rsidR="00CF33D9" w:rsidRDefault="00CF33D9">
            <w:pPr>
              <w:rPr>
                <w:rFonts w:eastAsia="Calibri"/>
                <w:sz w:val="20"/>
                <w:szCs w:val="20"/>
              </w:rPr>
            </w:pPr>
          </w:p>
        </w:tc>
        <w:tc>
          <w:tcPr>
            <w:tcW w:w="335" w:type="dxa"/>
            <w:tcBorders>
              <w:bottom w:val="single" w:sz="4" w:space="0" w:color="000000"/>
            </w:tcBorders>
          </w:tcPr>
          <w:p w14:paraId="68091221" w14:textId="77777777" w:rsidR="00CF33D9" w:rsidRDefault="00CF33D9">
            <w:pPr>
              <w:rPr>
                <w:rFonts w:eastAsia="Calibri"/>
                <w:sz w:val="20"/>
                <w:szCs w:val="20"/>
              </w:rPr>
            </w:pPr>
          </w:p>
        </w:tc>
        <w:tc>
          <w:tcPr>
            <w:tcW w:w="335" w:type="dxa"/>
            <w:tcBorders>
              <w:bottom w:val="single" w:sz="4" w:space="0" w:color="000000"/>
            </w:tcBorders>
          </w:tcPr>
          <w:p w14:paraId="68091222" w14:textId="77777777" w:rsidR="00CF33D9" w:rsidRDefault="00CF33D9">
            <w:pPr>
              <w:rPr>
                <w:rFonts w:eastAsia="Calibri"/>
                <w:sz w:val="20"/>
                <w:szCs w:val="20"/>
              </w:rPr>
            </w:pPr>
          </w:p>
        </w:tc>
        <w:tc>
          <w:tcPr>
            <w:tcW w:w="335" w:type="dxa"/>
            <w:tcBorders>
              <w:bottom w:val="single" w:sz="4" w:space="0" w:color="000000"/>
            </w:tcBorders>
          </w:tcPr>
          <w:p w14:paraId="68091223" w14:textId="77777777" w:rsidR="00CF33D9" w:rsidRDefault="00CF33D9">
            <w:pPr>
              <w:rPr>
                <w:rFonts w:eastAsia="Calibri"/>
                <w:sz w:val="20"/>
                <w:szCs w:val="20"/>
              </w:rPr>
            </w:pPr>
          </w:p>
        </w:tc>
        <w:tc>
          <w:tcPr>
            <w:tcW w:w="335" w:type="dxa"/>
            <w:tcBorders>
              <w:bottom w:val="single" w:sz="4" w:space="0" w:color="000000"/>
            </w:tcBorders>
          </w:tcPr>
          <w:p w14:paraId="68091224" w14:textId="77777777" w:rsidR="00CF33D9" w:rsidRDefault="00CF33D9">
            <w:pPr>
              <w:rPr>
                <w:rFonts w:eastAsia="Calibri"/>
                <w:sz w:val="20"/>
                <w:szCs w:val="20"/>
              </w:rPr>
            </w:pPr>
          </w:p>
        </w:tc>
        <w:tc>
          <w:tcPr>
            <w:tcW w:w="335" w:type="dxa"/>
            <w:tcBorders>
              <w:bottom w:val="single" w:sz="4" w:space="0" w:color="000000"/>
            </w:tcBorders>
          </w:tcPr>
          <w:p w14:paraId="68091225" w14:textId="77777777" w:rsidR="00CF33D9" w:rsidRDefault="00CF33D9">
            <w:pPr>
              <w:rPr>
                <w:rFonts w:eastAsia="Calibri"/>
                <w:sz w:val="20"/>
                <w:szCs w:val="20"/>
              </w:rPr>
            </w:pPr>
          </w:p>
        </w:tc>
        <w:tc>
          <w:tcPr>
            <w:tcW w:w="335" w:type="dxa"/>
            <w:tcBorders>
              <w:bottom w:val="single" w:sz="4" w:space="0" w:color="000000"/>
            </w:tcBorders>
          </w:tcPr>
          <w:p w14:paraId="68091226"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227"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228"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229"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22A"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22B"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22C"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22D"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22E"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22F"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230"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231"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232"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233"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234"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235"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236" w14:textId="77777777" w:rsidR="00CF33D9" w:rsidRDefault="00CF33D9">
            <w:pPr>
              <w:rPr>
                <w:rFonts w:eastAsia="Calibri"/>
                <w:sz w:val="20"/>
                <w:szCs w:val="20"/>
              </w:rPr>
            </w:pPr>
          </w:p>
        </w:tc>
      </w:tr>
      <w:tr w:rsidR="00CF33D9" w14:paraId="68091253" w14:textId="77777777">
        <w:tc>
          <w:tcPr>
            <w:tcW w:w="1413" w:type="dxa"/>
            <w:vMerge/>
          </w:tcPr>
          <w:p w14:paraId="68091238" w14:textId="77777777" w:rsidR="00CF33D9" w:rsidRDefault="00CF33D9">
            <w:pPr>
              <w:widowControl w:val="0"/>
              <w:spacing w:after="0" w:line="276" w:lineRule="auto"/>
              <w:rPr>
                <w:rFonts w:eastAsia="Calibri"/>
                <w:sz w:val="20"/>
                <w:szCs w:val="20"/>
              </w:rPr>
            </w:pPr>
          </w:p>
        </w:tc>
        <w:tc>
          <w:tcPr>
            <w:tcW w:w="2130" w:type="dxa"/>
            <w:vMerge/>
          </w:tcPr>
          <w:p w14:paraId="68091239" w14:textId="77777777" w:rsidR="00CF33D9" w:rsidRDefault="00CF33D9">
            <w:pPr>
              <w:widowControl w:val="0"/>
              <w:spacing w:after="0" w:line="276" w:lineRule="auto"/>
              <w:rPr>
                <w:rFonts w:eastAsia="Calibri"/>
                <w:sz w:val="20"/>
                <w:szCs w:val="20"/>
              </w:rPr>
            </w:pPr>
          </w:p>
        </w:tc>
        <w:tc>
          <w:tcPr>
            <w:tcW w:w="2588" w:type="dxa"/>
          </w:tcPr>
          <w:p w14:paraId="6809123A" w14:textId="77777777" w:rsidR="00CF33D9" w:rsidRDefault="00E3332A">
            <w:pPr>
              <w:rPr>
                <w:rFonts w:eastAsia="Calibri"/>
                <w:sz w:val="20"/>
                <w:szCs w:val="20"/>
              </w:rPr>
            </w:pPr>
            <w:r>
              <w:rPr>
                <w:rFonts w:eastAsia="Calibri"/>
                <w:color w:val="000000"/>
                <w:sz w:val="20"/>
                <w:szCs w:val="20"/>
              </w:rPr>
              <w:t>5.2.2: Sustainable blue/ocean economy practice, knowledge and lessons shared across African LMEs in partnership with IW:LEARN.</w:t>
            </w:r>
          </w:p>
        </w:tc>
        <w:tc>
          <w:tcPr>
            <w:tcW w:w="335" w:type="dxa"/>
            <w:tcBorders>
              <w:bottom w:val="single" w:sz="4" w:space="0" w:color="000000"/>
            </w:tcBorders>
          </w:tcPr>
          <w:p w14:paraId="6809123B" w14:textId="77777777" w:rsidR="00CF33D9" w:rsidRDefault="00CF33D9">
            <w:pPr>
              <w:rPr>
                <w:rFonts w:eastAsia="Calibri"/>
                <w:sz w:val="20"/>
                <w:szCs w:val="20"/>
              </w:rPr>
            </w:pPr>
          </w:p>
        </w:tc>
        <w:tc>
          <w:tcPr>
            <w:tcW w:w="335" w:type="dxa"/>
            <w:tcBorders>
              <w:bottom w:val="single" w:sz="4" w:space="0" w:color="000000"/>
            </w:tcBorders>
          </w:tcPr>
          <w:p w14:paraId="6809123C"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23D"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23E"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23F"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240"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241" w14:textId="77777777" w:rsidR="00CF33D9" w:rsidRDefault="00CF33D9">
            <w:pPr>
              <w:rPr>
                <w:rFonts w:eastAsia="Calibri"/>
                <w:sz w:val="20"/>
                <w:szCs w:val="20"/>
              </w:rPr>
            </w:pPr>
          </w:p>
        </w:tc>
        <w:tc>
          <w:tcPr>
            <w:tcW w:w="335" w:type="dxa"/>
            <w:tcBorders>
              <w:bottom w:val="single" w:sz="4" w:space="0" w:color="000000"/>
            </w:tcBorders>
            <w:shd w:val="clear" w:color="auto" w:fill="00B0F0"/>
          </w:tcPr>
          <w:p w14:paraId="68091242"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243"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244"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245"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246"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247"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248"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249"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24A"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24B"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24C"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24D"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24E"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24F"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250"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251" w14:textId="77777777" w:rsidR="00CF33D9" w:rsidRDefault="00CF33D9">
            <w:pPr>
              <w:rPr>
                <w:rFonts w:eastAsia="Calibri"/>
                <w:sz w:val="20"/>
                <w:szCs w:val="20"/>
              </w:rPr>
            </w:pPr>
          </w:p>
        </w:tc>
        <w:tc>
          <w:tcPr>
            <w:tcW w:w="336" w:type="dxa"/>
            <w:tcBorders>
              <w:bottom w:val="single" w:sz="4" w:space="0" w:color="000000"/>
            </w:tcBorders>
            <w:shd w:val="clear" w:color="auto" w:fill="00B0F0"/>
          </w:tcPr>
          <w:p w14:paraId="68091252" w14:textId="77777777" w:rsidR="00CF33D9" w:rsidRDefault="00CF33D9">
            <w:pPr>
              <w:rPr>
                <w:rFonts w:eastAsia="Calibri"/>
                <w:sz w:val="20"/>
                <w:szCs w:val="20"/>
              </w:rPr>
            </w:pPr>
          </w:p>
        </w:tc>
      </w:tr>
      <w:tr w:rsidR="00CF33D9" w14:paraId="68091271" w14:textId="77777777">
        <w:tc>
          <w:tcPr>
            <w:tcW w:w="1413" w:type="dxa"/>
          </w:tcPr>
          <w:p w14:paraId="68091254" w14:textId="77777777" w:rsidR="00CF33D9" w:rsidRDefault="00E3332A">
            <w:pPr>
              <w:rPr>
                <w:rFonts w:eastAsia="Calibri"/>
                <w:b/>
                <w:sz w:val="20"/>
                <w:szCs w:val="20"/>
              </w:rPr>
            </w:pPr>
            <w:r>
              <w:rPr>
                <w:rFonts w:eastAsia="Calibri"/>
                <w:b/>
                <w:sz w:val="20"/>
                <w:szCs w:val="20"/>
              </w:rPr>
              <w:t xml:space="preserve">Component M&amp;E: </w:t>
            </w:r>
            <w:r>
              <w:rPr>
                <w:rFonts w:eastAsia="Calibri"/>
                <w:color w:val="000000"/>
                <w:sz w:val="20"/>
                <w:szCs w:val="20"/>
              </w:rPr>
              <w:t>M &amp;E strategy guiding project management to achieve delivery of project output</w:t>
            </w:r>
          </w:p>
        </w:tc>
        <w:tc>
          <w:tcPr>
            <w:tcW w:w="2130" w:type="dxa"/>
          </w:tcPr>
          <w:p w14:paraId="68091255" w14:textId="77777777" w:rsidR="00CF33D9" w:rsidRDefault="00E3332A">
            <w:pPr>
              <w:rPr>
                <w:rFonts w:eastAsia="Calibri"/>
                <w:sz w:val="20"/>
                <w:szCs w:val="20"/>
              </w:rPr>
            </w:pPr>
            <w:r>
              <w:rPr>
                <w:rFonts w:eastAsia="Calibri"/>
                <w:b/>
                <w:sz w:val="20"/>
                <w:szCs w:val="20"/>
              </w:rPr>
              <w:t xml:space="preserve">Outcome M&amp;E: </w:t>
            </w:r>
            <w:r>
              <w:rPr>
                <w:rFonts w:eastAsia="Calibri"/>
                <w:color w:val="000000"/>
                <w:sz w:val="20"/>
                <w:szCs w:val="20"/>
              </w:rPr>
              <w:t>M &amp;E strategy guiding project management to achieve delivery of project output</w:t>
            </w:r>
          </w:p>
          <w:p w14:paraId="68091256" w14:textId="77777777" w:rsidR="00CF33D9" w:rsidRDefault="00CF33D9">
            <w:pPr>
              <w:rPr>
                <w:rFonts w:eastAsia="Calibri"/>
                <w:sz w:val="20"/>
                <w:szCs w:val="20"/>
              </w:rPr>
            </w:pPr>
          </w:p>
          <w:p w14:paraId="68091257" w14:textId="77777777" w:rsidR="00CF33D9" w:rsidRDefault="00CF33D9">
            <w:pPr>
              <w:rPr>
                <w:rFonts w:eastAsia="Calibri"/>
                <w:b/>
                <w:sz w:val="20"/>
                <w:szCs w:val="20"/>
              </w:rPr>
            </w:pPr>
          </w:p>
        </w:tc>
        <w:tc>
          <w:tcPr>
            <w:tcW w:w="2588" w:type="dxa"/>
          </w:tcPr>
          <w:p w14:paraId="68091258" w14:textId="77777777" w:rsidR="00CF33D9" w:rsidRDefault="00E3332A">
            <w:pPr>
              <w:rPr>
                <w:rFonts w:eastAsia="Calibri"/>
                <w:b/>
                <w:sz w:val="20"/>
                <w:szCs w:val="20"/>
              </w:rPr>
            </w:pPr>
            <w:r>
              <w:rPr>
                <w:rFonts w:eastAsia="Calibri"/>
                <w:b/>
                <w:sz w:val="20"/>
                <w:szCs w:val="20"/>
              </w:rPr>
              <w:t xml:space="preserve">Output M&amp;E: </w:t>
            </w:r>
            <w:r>
              <w:rPr>
                <w:rFonts w:eastAsia="Calibri"/>
                <w:color w:val="000000"/>
                <w:sz w:val="20"/>
                <w:szCs w:val="20"/>
              </w:rPr>
              <w:t>Monitoring and evaluation developed and implemented to ensure adaptive project management</w:t>
            </w:r>
          </w:p>
        </w:tc>
        <w:tc>
          <w:tcPr>
            <w:tcW w:w="335" w:type="dxa"/>
            <w:shd w:val="clear" w:color="auto" w:fill="00B0F0"/>
          </w:tcPr>
          <w:p w14:paraId="68091259" w14:textId="77777777" w:rsidR="00CF33D9" w:rsidRDefault="00CF33D9">
            <w:pPr>
              <w:rPr>
                <w:rFonts w:eastAsia="Calibri"/>
                <w:sz w:val="20"/>
                <w:szCs w:val="20"/>
              </w:rPr>
            </w:pPr>
          </w:p>
        </w:tc>
        <w:tc>
          <w:tcPr>
            <w:tcW w:w="335" w:type="dxa"/>
            <w:shd w:val="clear" w:color="auto" w:fill="00B0F0"/>
          </w:tcPr>
          <w:p w14:paraId="6809125A" w14:textId="77777777" w:rsidR="00CF33D9" w:rsidRDefault="00CF33D9">
            <w:pPr>
              <w:rPr>
                <w:rFonts w:eastAsia="Calibri"/>
                <w:sz w:val="20"/>
                <w:szCs w:val="20"/>
              </w:rPr>
            </w:pPr>
          </w:p>
        </w:tc>
        <w:tc>
          <w:tcPr>
            <w:tcW w:w="335" w:type="dxa"/>
            <w:shd w:val="clear" w:color="auto" w:fill="00B0F0"/>
          </w:tcPr>
          <w:p w14:paraId="6809125B" w14:textId="77777777" w:rsidR="00CF33D9" w:rsidRDefault="00CF33D9">
            <w:pPr>
              <w:rPr>
                <w:rFonts w:eastAsia="Calibri"/>
                <w:sz w:val="20"/>
                <w:szCs w:val="20"/>
              </w:rPr>
            </w:pPr>
          </w:p>
        </w:tc>
        <w:tc>
          <w:tcPr>
            <w:tcW w:w="335" w:type="dxa"/>
            <w:shd w:val="clear" w:color="auto" w:fill="00B0F0"/>
          </w:tcPr>
          <w:p w14:paraId="6809125C" w14:textId="77777777" w:rsidR="00CF33D9" w:rsidRDefault="00CF33D9">
            <w:pPr>
              <w:rPr>
                <w:rFonts w:eastAsia="Calibri"/>
                <w:sz w:val="20"/>
                <w:szCs w:val="20"/>
              </w:rPr>
            </w:pPr>
          </w:p>
        </w:tc>
        <w:tc>
          <w:tcPr>
            <w:tcW w:w="335" w:type="dxa"/>
            <w:shd w:val="clear" w:color="auto" w:fill="00B0F0"/>
          </w:tcPr>
          <w:p w14:paraId="6809125D" w14:textId="77777777" w:rsidR="00CF33D9" w:rsidRDefault="00CF33D9">
            <w:pPr>
              <w:rPr>
                <w:rFonts w:eastAsia="Calibri"/>
                <w:sz w:val="20"/>
                <w:szCs w:val="20"/>
              </w:rPr>
            </w:pPr>
          </w:p>
        </w:tc>
        <w:tc>
          <w:tcPr>
            <w:tcW w:w="335" w:type="dxa"/>
            <w:shd w:val="clear" w:color="auto" w:fill="00B0F0"/>
          </w:tcPr>
          <w:p w14:paraId="6809125E" w14:textId="77777777" w:rsidR="00CF33D9" w:rsidRDefault="00CF33D9">
            <w:pPr>
              <w:rPr>
                <w:rFonts w:eastAsia="Calibri"/>
                <w:sz w:val="20"/>
                <w:szCs w:val="20"/>
              </w:rPr>
            </w:pPr>
          </w:p>
        </w:tc>
        <w:tc>
          <w:tcPr>
            <w:tcW w:w="335" w:type="dxa"/>
            <w:shd w:val="clear" w:color="auto" w:fill="00B0F0"/>
          </w:tcPr>
          <w:p w14:paraId="6809125F" w14:textId="77777777" w:rsidR="00CF33D9" w:rsidRDefault="00CF33D9">
            <w:pPr>
              <w:rPr>
                <w:rFonts w:eastAsia="Calibri"/>
                <w:sz w:val="20"/>
                <w:szCs w:val="20"/>
              </w:rPr>
            </w:pPr>
          </w:p>
        </w:tc>
        <w:tc>
          <w:tcPr>
            <w:tcW w:w="335" w:type="dxa"/>
            <w:shd w:val="clear" w:color="auto" w:fill="00B0F0"/>
          </w:tcPr>
          <w:p w14:paraId="68091260" w14:textId="77777777" w:rsidR="00CF33D9" w:rsidRDefault="00CF33D9">
            <w:pPr>
              <w:rPr>
                <w:rFonts w:eastAsia="Calibri"/>
                <w:sz w:val="20"/>
                <w:szCs w:val="20"/>
              </w:rPr>
            </w:pPr>
          </w:p>
        </w:tc>
        <w:tc>
          <w:tcPr>
            <w:tcW w:w="336" w:type="dxa"/>
            <w:shd w:val="clear" w:color="auto" w:fill="00B0F0"/>
          </w:tcPr>
          <w:p w14:paraId="68091261" w14:textId="77777777" w:rsidR="00CF33D9" w:rsidRDefault="00CF33D9">
            <w:pPr>
              <w:rPr>
                <w:rFonts w:eastAsia="Calibri"/>
                <w:sz w:val="20"/>
                <w:szCs w:val="20"/>
              </w:rPr>
            </w:pPr>
          </w:p>
        </w:tc>
        <w:tc>
          <w:tcPr>
            <w:tcW w:w="336" w:type="dxa"/>
            <w:shd w:val="clear" w:color="auto" w:fill="00B0F0"/>
          </w:tcPr>
          <w:p w14:paraId="68091262" w14:textId="77777777" w:rsidR="00CF33D9" w:rsidRDefault="00CF33D9">
            <w:pPr>
              <w:rPr>
                <w:rFonts w:eastAsia="Calibri"/>
                <w:sz w:val="20"/>
                <w:szCs w:val="20"/>
              </w:rPr>
            </w:pPr>
          </w:p>
        </w:tc>
        <w:tc>
          <w:tcPr>
            <w:tcW w:w="336" w:type="dxa"/>
            <w:shd w:val="clear" w:color="auto" w:fill="00B0F0"/>
          </w:tcPr>
          <w:p w14:paraId="68091263" w14:textId="77777777" w:rsidR="00CF33D9" w:rsidRDefault="00CF33D9">
            <w:pPr>
              <w:rPr>
                <w:rFonts w:eastAsia="Calibri"/>
                <w:sz w:val="20"/>
                <w:szCs w:val="20"/>
              </w:rPr>
            </w:pPr>
          </w:p>
        </w:tc>
        <w:tc>
          <w:tcPr>
            <w:tcW w:w="336" w:type="dxa"/>
            <w:shd w:val="clear" w:color="auto" w:fill="00B0F0"/>
          </w:tcPr>
          <w:p w14:paraId="68091264" w14:textId="77777777" w:rsidR="00CF33D9" w:rsidRDefault="00CF33D9">
            <w:pPr>
              <w:rPr>
                <w:rFonts w:eastAsia="Calibri"/>
                <w:sz w:val="20"/>
                <w:szCs w:val="20"/>
              </w:rPr>
            </w:pPr>
          </w:p>
        </w:tc>
        <w:tc>
          <w:tcPr>
            <w:tcW w:w="336" w:type="dxa"/>
            <w:shd w:val="clear" w:color="auto" w:fill="00B0F0"/>
          </w:tcPr>
          <w:p w14:paraId="68091265" w14:textId="77777777" w:rsidR="00CF33D9" w:rsidRDefault="00CF33D9">
            <w:pPr>
              <w:rPr>
                <w:rFonts w:eastAsia="Calibri"/>
                <w:sz w:val="20"/>
                <w:szCs w:val="20"/>
              </w:rPr>
            </w:pPr>
          </w:p>
        </w:tc>
        <w:tc>
          <w:tcPr>
            <w:tcW w:w="336" w:type="dxa"/>
            <w:shd w:val="clear" w:color="auto" w:fill="00B0F0"/>
          </w:tcPr>
          <w:p w14:paraId="68091266" w14:textId="77777777" w:rsidR="00CF33D9" w:rsidRDefault="00CF33D9">
            <w:pPr>
              <w:rPr>
                <w:rFonts w:eastAsia="Calibri"/>
                <w:sz w:val="20"/>
                <w:szCs w:val="20"/>
              </w:rPr>
            </w:pPr>
          </w:p>
        </w:tc>
        <w:tc>
          <w:tcPr>
            <w:tcW w:w="336" w:type="dxa"/>
            <w:shd w:val="clear" w:color="auto" w:fill="00B0F0"/>
          </w:tcPr>
          <w:p w14:paraId="68091267" w14:textId="77777777" w:rsidR="00CF33D9" w:rsidRDefault="00CF33D9">
            <w:pPr>
              <w:rPr>
                <w:rFonts w:eastAsia="Calibri"/>
                <w:sz w:val="20"/>
                <w:szCs w:val="20"/>
              </w:rPr>
            </w:pPr>
          </w:p>
        </w:tc>
        <w:tc>
          <w:tcPr>
            <w:tcW w:w="336" w:type="dxa"/>
            <w:shd w:val="clear" w:color="auto" w:fill="00B0F0"/>
          </w:tcPr>
          <w:p w14:paraId="68091268" w14:textId="77777777" w:rsidR="00CF33D9" w:rsidRDefault="00CF33D9">
            <w:pPr>
              <w:rPr>
                <w:rFonts w:eastAsia="Calibri"/>
                <w:sz w:val="20"/>
                <w:szCs w:val="20"/>
              </w:rPr>
            </w:pPr>
          </w:p>
        </w:tc>
        <w:tc>
          <w:tcPr>
            <w:tcW w:w="336" w:type="dxa"/>
            <w:shd w:val="clear" w:color="auto" w:fill="00B0F0"/>
          </w:tcPr>
          <w:p w14:paraId="68091269" w14:textId="77777777" w:rsidR="00CF33D9" w:rsidRDefault="00CF33D9">
            <w:pPr>
              <w:rPr>
                <w:rFonts w:eastAsia="Calibri"/>
                <w:sz w:val="20"/>
                <w:szCs w:val="20"/>
              </w:rPr>
            </w:pPr>
          </w:p>
        </w:tc>
        <w:tc>
          <w:tcPr>
            <w:tcW w:w="336" w:type="dxa"/>
            <w:shd w:val="clear" w:color="auto" w:fill="00B0F0"/>
          </w:tcPr>
          <w:p w14:paraId="6809126A" w14:textId="77777777" w:rsidR="00CF33D9" w:rsidRDefault="00CF33D9">
            <w:pPr>
              <w:rPr>
                <w:rFonts w:eastAsia="Calibri"/>
                <w:sz w:val="20"/>
                <w:szCs w:val="20"/>
              </w:rPr>
            </w:pPr>
          </w:p>
        </w:tc>
        <w:tc>
          <w:tcPr>
            <w:tcW w:w="336" w:type="dxa"/>
            <w:shd w:val="clear" w:color="auto" w:fill="00B0F0"/>
          </w:tcPr>
          <w:p w14:paraId="6809126B" w14:textId="77777777" w:rsidR="00CF33D9" w:rsidRDefault="00CF33D9">
            <w:pPr>
              <w:rPr>
                <w:rFonts w:eastAsia="Calibri"/>
                <w:sz w:val="20"/>
                <w:szCs w:val="20"/>
              </w:rPr>
            </w:pPr>
          </w:p>
        </w:tc>
        <w:tc>
          <w:tcPr>
            <w:tcW w:w="336" w:type="dxa"/>
            <w:shd w:val="clear" w:color="auto" w:fill="00B0F0"/>
          </w:tcPr>
          <w:p w14:paraId="6809126C" w14:textId="77777777" w:rsidR="00CF33D9" w:rsidRDefault="00CF33D9">
            <w:pPr>
              <w:rPr>
                <w:rFonts w:eastAsia="Calibri"/>
                <w:sz w:val="20"/>
                <w:szCs w:val="20"/>
              </w:rPr>
            </w:pPr>
          </w:p>
        </w:tc>
        <w:tc>
          <w:tcPr>
            <w:tcW w:w="336" w:type="dxa"/>
            <w:shd w:val="clear" w:color="auto" w:fill="00B0F0"/>
          </w:tcPr>
          <w:p w14:paraId="6809126D" w14:textId="77777777" w:rsidR="00CF33D9" w:rsidRDefault="00CF33D9">
            <w:pPr>
              <w:rPr>
                <w:rFonts w:eastAsia="Calibri"/>
                <w:sz w:val="20"/>
                <w:szCs w:val="20"/>
              </w:rPr>
            </w:pPr>
          </w:p>
        </w:tc>
        <w:tc>
          <w:tcPr>
            <w:tcW w:w="336" w:type="dxa"/>
            <w:shd w:val="clear" w:color="auto" w:fill="00B0F0"/>
          </w:tcPr>
          <w:p w14:paraId="6809126E" w14:textId="77777777" w:rsidR="00CF33D9" w:rsidRDefault="00CF33D9">
            <w:pPr>
              <w:rPr>
                <w:rFonts w:eastAsia="Calibri"/>
                <w:sz w:val="20"/>
                <w:szCs w:val="20"/>
              </w:rPr>
            </w:pPr>
          </w:p>
        </w:tc>
        <w:tc>
          <w:tcPr>
            <w:tcW w:w="336" w:type="dxa"/>
            <w:shd w:val="clear" w:color="auto" w:fill="00B0F0"/>
          </w:tcPr>
          <w:p w14:paraId="6809126F" w14:textId="77777777" w:rsidR="00CF33D9" w:rsidRDefault="00CF33D9">
            <w:pPr>
              <w:rPr>
                <w:rFonts w:eastAsia="Calibri"/>
                <w:sz w:val="20"/>
                <w:szCs w:val="20"/>
              </w:rPr>
            </w:pPr>
          </w:p>
        </w:tc>
        <w:tc>
          <w:tcPr>
            <w:tcW w:w="336" w:type="dxa"/>
            <w:shd w:val="clear" w:color="auto" w:fill="00B0F0"/>
          </w:tcPr>
          <w:p w14:paraId="68091270" w14:textId="77777777" w:rsidR="00CF33D9" w:rsidRDefault="00CF33D9">
            <w:pPr>
              <w:rPr>
                <w:rFonts w:eastAsia="Calibri"/>
                <w:sz w:val="20"/>
                <w:szCs w:val="20"/>
              </w:rPr>
            </w:pPr>
          </w:p>
        </w:tc>
      </w:tr>
    </w:tbl>
    <w:p w14:paraId="68091272" w14:textId="77777777" w:rsidR="00CF33D9" w:rsidRDefault="00CF33D9">
      <w:pPr>
        <w:jc w:val="both"/>
        <w:rPr>
          <w:rFonts w:ascii="Calibri" w:eastAsia="Calibri" w:hAnsi="Calibri" w:cs="Calibri"/>
          <w:sz w:val="20"/>
          <w:szCs w:val="20"/>
        </w:rPr>
      </w:pPr>
    </w:p>
    <w:p w14:paraId="68091273" w14:textId="77777777" w:rsidR="00CF33D9" w:rsidRDefault="00CF33D9">
      <w:pPr>
        <w:rPr>
          <w:rFonts w:ascii="Calibri" w:eastAsia="Calibri" w:hAnsi="Calibri" w:cs="Calibri"/>
          <w:sz w:val="20"/>
          <w:szCs w:val="20"/>
        </w:rPr>
      </w:pPr>
    </w:p>
    <w:p w14:paraId="68091274" w14:textId="77777777" w:rsidR="00CF33D9" w:rsidRDefault="00CF33D9">
      <w:pPr>
        <w:rPr>
          <w:rFonts w:ascii="Calibri" w:eastAsia="Calibri" w:hAnsi="Calibri" w:cs="Calibri"/>
          <w:sz w:val="20"/>
          <w:szCs w:val="20"/>
        </w:rPr>
        <w:sectPr w:rsidR="00CF33D9">
          <w:pgSz w:w="15840" w:h="12240" w:orient="landscape"/>
          <w:pgMar w:top="720" w:right="720" w:bottom="720" w:left="720" w:header="720" w:footer="720" w:gutter="0"/>
          <w:cols w:space="720"/>
          <w:titlePg/>
        </w:sectPr>
      </w:pPr>
    </w:p>
    <w:p w14:paraId="68091275" w14:textId="77777777" w:rsidR="00CF33D9" w:rsidRDefault="00E3332A">
      <w:pPr>
        <w:pStyle w:val="Heading2"/>
        <w:ind w:firstLine="720"/>
        <w:rPr>
          <w:rFonts w:ascii="Calibri" w:hAnsi="Calibri" w:cs="Calibri"/>
          <w:szCs w:val="20"/>
        </w:rPr>
      </w:pPr>
      <w:bookmarkStart w:id="35" w:name="_Toc169739173"/>
      <w:r>
        <w:rPr>
          <w:rFonts w:ascii="Calibri" w:hAnsi="Calibri" w:cs="Calibri"/>
          <w:szCs w:val="20"/>
        </w:rPr>
        <w:lastRenderedPageBreak/>
        <w:t>Annex 4: UNDP Social and Environmental Screening Procedure (SESP)</w:t>
      </w:r>
      <w:bookmarkEnd w:id="35"/>
    </w:p>
    <w:p w14:paraId="68091276" w14:textId="77777777" w:rsidR="00CF33D9" w:rsidRDefault="00CF33D9">
      <w:pPr>
        <w:rPr>
          <w:rFonts w:ascii="Calibri" w:eastAsia="Calibri" w:hAnsi="Calibri" w:cs="Calibri"/>
          <w:sz w:val="20"/>
          <w:szCs w:val="20"/>
        </w:rPr>
      </w:pPr>
    </w:p>
    <w:p w14:paraId="68091277" w14:textId="77777777" w:rsidR="00CF33D9" w:rsidRDefault="00CF33D9">
      <w:pPr>
        <w:rPr>
          <w:rFonts w:ascii="Calibri" w:hAnsi="Calibri" w:cs="Calibri"/>
          <w:sz w:val="20"/>
          <w:szCs w:val="20"/>
        </w:rPr>
      </w:pPr>
      <w:bookmarkStart w:id="36" w:name="_TOC_250002"/>
      <w:bookmarkStart w:id="37" w:name="_heading=h.3hv69ve" w:colFirst="0" w:colLast="0"/>
      <w:bookmarkEnd w:id="36"/>
      <w:bookmarkEnd w:id="37"/>
    </w:p>
    <w:p w14:paraId="68091278" w14:textId="77777777" w:rsidR="00CF33D9" w:rsidRDefault="00E3332A">
      <w:pPr>
        <w:pStyle w:val="BodyText"/>
        <w:rPr>
          <w:rFonts w:ascii="Calibri" w:hAnsi="Calibri" w:cs="Calibri"/>
          <w:szCs w:val="20"/>
        </w:rPr>
      </w:pPr>
      <w:r>
        <w:rPr>
          <w:rFonts w:ascii="Calibri" w:hAnsi="Calibri" w:cs="Calibri"/>
          <w:color w:val="345A89"/>
          <w:szCs w:val="20"/>
        </w:rPr>
        <w:t>UNDP Social and Environmental Screening Template (v. July 2022)</w:t>
      </w:r>
    </w:p>
    <w:p w14:paraId="68091279" w14:textId="77777777" w:rsidR="00CF33D9" w:rsidRDefault="00E3332A">
      <w:pPr>
        <w:ind w:left="100" w:right="445"/>
        <w:rPr>
          <w:rFonts w:ascii="Calibri" w:hAnsi="Calibri" w:cs="Calibri"/>
          <w:i/>
          <w:sz w:val="20"/>
          <w:szCs w:val="20"/>
        </w:rPr>
      </w:pPr>
      <w:r>
        <w:rPr>
          <w:rFonts w:ascii="Calibri" w:hAnsi="Calibri" w:cs="Calibri"/>
          <w:i/>
          <w:sz w:val="20"/>
          <w:szCs w:val="20"/>
        </w:rPr>
        <w:t xml:space="preserve">The completed template, which constitutes the Social and Environmental Screening Report, must be included as an annex to the Project Document at the design stage. Note: this template will be converted into an online tool. The online version will guide users through the process and will embed relevant guidance. </w:t>
      </w:r>
    </w:p>
    <w:p w14:paraId="6809127A" w14:textId="77777777" w:rsidR="00CF33D9" w:rsidRDefault="00CF33D9">
      <w:pPr>
        <w:pStyle w:val="BodyText"/>
        <w:spacing w:before="3"/>
        <w:rPr>
          <w:rFonts w:ascii="Calibri" w:hAnsi="Calibri" w:cs="Calibri"/>
          <w:i w:val="0"/>
          <w:szCs w:val="20"/>
        </w:rPr>
      </w:pPr>
    </w:p>
    <w:p w14:paraId="6809127B" w14:textId="77777777" w:rsidR="00CF33D9" w:rsidRDefault="00E3332A">
      <w:pPr>
        <w:rPr>
          <w:rFonts w:ascii="Calibri" w:hAnsi="Calibri" w:cs="Calibri"/>
          <w:b/>
          <w:bCs/>
          <w:color w:val="ACB9CA" w:themeColor="text2" w:themeTint="66"/>
          <w:sz w:val="20"/>
          <w:szCs w:val="20"/>
        </w:rPr>
      </w:pPr>
      <w:r>
        <w:rPr>
          <w:rFonts w:ascii="Calibri" w:hAnsi="Calibri" w:cs="Calibri"/>
          <w:b/>
          <w:bCs/>
          <w:color w:val="ACB9CA" w:themeColor="text2" w:themeTint="66"/>
          <w:sz w:val="20"/>
          <w:szCs w:val="20"/>
        </w:rPr>
        <w:t>Project Information</w:t>
      </w:r>
    </w:p>
    <w:p w14:paraId="6809127C" w14:textId="77777777" w:rsidR="00CF33D9" w:rsidRDefault="00CF33D9">
      <w:pPr>
        <w:pStyle w:val="BodyText"/>
        <w:spacing w:after="1"/>
        <w:rPr>
          <w:rFonts w:ascii="Calibri" w:hAnsi="Calibri" w:cs="Calibri"/>
          <w:b/>
          <w:szCs w:val="20"/>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047"/>
        <w:gridCol w:w="9202"/>
      </w:tblGrid>
      <w:tr w:rsidR="00CF33D9" w14:paraId="6809127F" w14:textId="77777777">
        <w:trPr>
          <w:trHeight w:val="244"/>
        </w:trPr>
        <w:tc>
          <w:tcPr>
            <w:tcW w:w="4047" w:type="dxa"/>
            <w:shd w:val="clear" w:color="auto" w:fill="C5D9F0"/>
          </w:tcPr>
          <w:p w14:paraId="6809127D" w14:textId="77777777" w:rsidR="00CF33D9" w:rsidRDefault="00E3332A">
            <w:pPr>
              <w:pStyle w:val="TableParagraph"/>
              <w:spacing w:before="1" w:line="223" w:lineRule="exact"/>
              <w:ind w:left="107"/>
              <w:rPr>
                <w:b/>
                <w:i/>
                <w:sz w:val="20"/>
                <w:szCs w:val="20"/>
              </w:rPr>
            </w:pPr>
            <w:r>
              <w:rPr>
                <w:b/>
                <w:i/>
                <w:sz w:val="20"/>
                <w:szCs w:val="20"/>
              </w:rPr>
              <w:t>Project Information</w:t>
            </w:r>
          </w:p>
        </w:tc>
        <w:tc>
          <w:tcPr>
            <w:tcW w:w="9202" w:type="dxa"/>
            <w:shd w:val="clear" w:color="auto" w:fill="C5D9F0"/>
          </w:tcPr>
          <w:p w14:paraId="6809127E" w14:textId="77777777" w:rsidR="00CF33D9" w:rsidRDefault="00CF33D9">
            <w:pPr>
              <w:pStyle w:val="TableParagraph"/>
              <w:rPr>
                <w:sz w:val="20"/>
                <w:szCs w:val="20"/>
              </w:rPr>
            </w:pPr>
          </w:p>
        </w:tc>
      </w:tr>
      <w:tr w:rsidR="00CF33D9" w14:paraId="68091282" w14:textId="77777777">
        <w:trPr>
          <w:trHeight w:val="288"/>
        </w:trPr>
        <w:tc>
          <w:tcPr>
            <w:tcW w:w="4047" w:type="dxa"/>
          </w:tcPr>
          <w:p w14:paraId="68091280" w14:textId="77777777" w:rsidR="00CF33D9" w:rsidRDefault="00E3332A">
            <w:pPr>
              <w:pStyle w:val="TableParagraph"/>
              <w:tabs>
                <w:tab w:val="left" w:pos="468"/>
              </w:tabs>
              <w:ind w:left="107"/>
              <w:rPr>
                <w:sz w:val="20"/>
                <w:szCs w:val="20"/>
              </w:rPr>
            </w:pPr>
            <w:r>
              <w:rPr>
                <w:sz w:val="20"/>
                <w:szCs w:val="20"/>
              </w:rPr>
              <w:t>1.</w:t>
            </w:r>
            <w:r>
              <w:rPr>
                <w:sz w:val="20"/>
                <w:szCs w:val="20"/>
              </w:rPr>
              <w:tab/>
              <w:t>Project</w:t>
            </w:r>
            <w:r>
              <w:rPr>
                <w:spacing w:val="-1"/>
                <w:sz w:val="20"/>
                <w:szCs w:val="20"/>
              </w:rPr>
              <w:t xml:space="preserve"> </w:t>
            </w:r>
            <w:r>
              <w:rPr>
                <w:sz w:val="20"/>
                <w:szCs w:val="20"/>
              </w:rPr>
              <w:t>Title</w:t>
            </w:r>
          </w:p>
        </w:tc>
        <w:tc>
          <w:tcPr>
            <w:tcW w:w="9202" w:type="dxa"/>
            <w:vAlign w:val="center"/>
          </w:tcPr>
          <w:p w14:paraId="68091281" w14:textId="77777777" w:rsidR="00CF33D9" w:rsidRDefault="00E3332A">
            <w:pPr>
              <w:pStyle w:val="TableParagraph"/>
              <w:ind w:left="107"/>
              <w:rPr>
                <w:sz w:val="20"/>
                <w:szCs w:val="20"/>
              </w:rPr>
            </w:pPr>
            <w:r>
              <w:rPr>
                <w:sz w:val="20"/>
                <w:szCs w:val="20"/>
              </w:rPr>
              <w:t>Mainstreaming climate-resilient blue economy in the BCLME Region (BCLME IV Project)</w:t>
            </w:r>
          </w:p>
        </w:tc>
      </w:tr>
      <w:tr w:rsidR="00CF33D9" w14:paraId="68091285" w14:textId="77777777">
        <w:trPr>
          <w:trHeight w:val="287"/>
        </w:trPr>
        <w:tc>
          <w:tcPr>
            <w:tcW w:w="4047" w:type="dxa"/>
          </w:tcPr>
          <w:p w14:paraId="68091283" w14:textId="77777777" w:rsidR="00CF33D9" w:rsidRDefault="00E3332A">
            <w:pPr>
              <w:pStyle w:val="TableParagraph"/>
              <w:tabs>
                <w:tab w:val="left" w:pos="468"/>
              </w:tabs>
              <w:ind w:left="107"/>
              <w:rPr>
                <w:sz w:val="20"/>
                <w:szCs w:val="20"/>
              </w:rPr>
            </w:pPr>
            <w:r>
              <w:rPr>
                <w:sz w:val="20"/>
                <w:szCs w:val="20"/>
              </w:rPr>
              <w:t>2.</w:t>
            </w:r>
            <w:r>
              <w:rPr>
                <w:sz w:val="20"/>
                <w:szCs w:val="20"/>
              </w:rPr>
              <w:tab/>
              <w:t>Project Number (i.e. Atlas project ID,</w:t>
            </w:r>
            <w:r>
              <w:rPr>
                <w:spacing w:val="-6"/>
                <w:sz w:val="20"/>
                <w:szCs w:val="20"/>
              </w:rPr>
              <w:t xml:space="preserve"> </w:t>
            </w:r>
            <w:r>
              <w:rPr>
                <w:sz w:val="20"/>
                <w:szCs w:val="20"/>
              </w:rPr>
              <w:t>PIMS+)</w:t>
            </w:r>
          </w:p>
        </w:tc>
        <w:tc>
          <w:tcPr>
            <w:tcW w:w="9202" w:type="dxa"/>
            <w:vAlign w:val="center"/>
          </w:tcPr>
          <w:p w14:paraId="68091284" w14:textId="77777777" w:rsidR="00CF33D9" w:rsidRDefault="00E3332A">
            <w:pPr>
              <w:pStyle w:val="TableParagraph"/>
              <w:ind w:left="107"/>
              <w:rPr>
                <w:sz w:val="20"/>
                <w:szCs w:val="20"/>
              </w:rPr>
            </w:pPr>
            <w:r>
              <w:rPr>
                <w:sz w:val="20"/>
                <w:szCs w:val="20"/>
              </w:rPr>
              <w:t>6732</w:t>
            </w:r>
          </w:p>
        </w:tc>
      </w:tr>
      <w:tr w:rsidR="00CF33D9" w14:paraId="68091288" w14:textId="77777777">
        <w:trPr>
          <w:trHeight w:val="287"/>
        </w:trPr>
        <w:tc>
          <w:tcPr>
            <w:tcW w:w="4047" w:type="dxa"/>
          </w:tcPr>
          <w:p w14:paraId="68091286" w14:textId="77777777" w:rsidR="00CF33D9" w:rsidRDefault="00E3332A">
            <w:pPr>
              <w:pStyle w:val="TableParagraph"/>
              <w:tabs>
                <w:tab w:val="left" w:pos="468"/>
              </w:tabs>
              <w:ind w:left="107"/>
              <w:rPr>
                <w:sz w:val="20"/>
                <w:szCs w:val="20"/>
              </w:rPr>
            </w:pPr>
            <w:r>
              <w:rPr>
                <w:sz w:val="20"/>
                <w:szCs w:val="20"/>
              </w:rPr>
              <w:t>3.</w:t>
            </w:r>
            <w:r>
              <w:rPr>
                <w:sz w:val="20"/>
                <w:szCs w:val="20"/>
              </w:rPr>
              <w:tab/>
              <w:t>Location</w:t>
            </w:r>
            <w:r>
              <w:rPr>
                <w:spacing w:val="-2"/>
                <w:sz w:val="20"/>
                <w:szCs w:val="20"/>
              </w:rPr>
              <w:t xml:space="preserve"> </w:t>
            </w:r>
            <w:r>
              <w:rPr>
                <w:sz w:val="20"/>
                <w:szCs w:val="20"/>
              </w:rPr>
              <w:t>(Global/Region/Country)</w:t>
            </w:r>
          </w:p>
        </w:tc>
        <w:tc>
          <w:tcPr>
            <w:tcW w:w="9202" w:type="dxa"/>
            <w:vAlign w:val="center"/>
          </w:tcPr>
          <w:p w14:paraId="68091287" w14:textId="77777777" w:rsidR="00CF33D9" w:rsidRDefault="00E3332A">
            <w:pPr>
              <w:pStyle w:val="TableParagraph"/>
              <w:ind w:left="107"/>
              <w:rPr>
                <w:sz w:val="20"/>
                <w:szCs w:val="20"/>
                <w:lang w:val="it-IT"/>
              </w:rPr>
            </w:pPr>
            <w:r>
              <w:rPr>
                <w:sz w:val="20"/>
                <w:szCs w:val="20"/>
                <w:lang w:val="it-IT"/>
              </w:rPr>
              <w:t>Regional (Angola, Namibia, South Africa)</w:t>
            </w:r>
          </w:p>
        </w:tc>
      </w:tr>
      <w:tr w:rsidR="00CF33D9" w14:paraId="6809128B" w14:textId="77777777">
        <w:trPr>
          <w:trHeight w:val="290"/>
        </w:trPr>
        <w:tc>
          <w:tcPr>
            <w:tcW w:w="4047" w:type="dxa"/>
          </w:tcPr>
          <w:p w14:paraId="68091289" w14:textId="77777777" w:rsidR="00CF33D9" w:rsidRDefault="00E3332A">
            <w:pPr>
              <w:pStyle w:val="TableParagraph"/>
              <w:tabs>
                <w:tab w:val="left" w:pos="468"/>
              </w:tabs>
              <w:ind w:left="107"/>
              <w:rPr>
                <w:sz w:val="20"/>
                <w:szCs w:val="20"/>
              </w:rPr>
            </w:pPr>
            <w:r>
              <w:rPr>
                <w:sz w:val="20"/>
                <w:szCs w:val="20"/>
              </w:rPr>
              <w:t>4.</w:t>
            </w:r>
            <w:r>
              <w:rPr>
                <w:sz w:val="20"/>
                <w:szCs w:val="20"/>
              </w:rPr>
              <w:tab/>
              <w:t>Project stage (Design or</w:t>
            </w:r>
            <w:r>
              <w:rPr>
                <w:spacing w:val="-5"/>
                <w:sz w:val="20"/>
                <w:szCs w:val="20"/>
              </w:rPr>
              <w:t xml:space="preserve"> </w:t>
            </w:r>
            <w:r>
              <w:rPr>
                <w:sz w:val="20"/>
                <w:szCs w:val="20"/>
              </w:rPr>
              <w:t>Implementation)</w:t>
            </w:r>
          </w:p>
        </w:tc>
        <w:tc>
          <w:tcPr>
            <w:tcW w:w="9202" w:type="dxa"/>
            <w:vAlign w:val="center"/>
          </w:tcPr>
          <w:p w14:paraId="6809128A" w14:textId="77777777" w:rsidR="00CF33D9" w:rsidRDefault="00E3332A">
            <w:pPr>
              <w:pStyle w:val="TableParagraph"/>
              <w:ind w:left="107"/>
              <w:rPr>
                <w:sz w:val="20"/>
                <w:szCs w:val="20"/>
              </w:rPr>
            </w:pPr>
            <w:r>
              <w:rPr>
                <w:sz w:val="20"/>
                <w:szCs w:val="20"/>
              </w:rPr>
              <w:t>Design</w:t>
            </w:r>
          </w:p>
        </w:tc>
      </w:tr>
      <w:tr w:rsidR="00CF33D9" w14:paraId="6809128E" w14:textId="77777777">
        <w:trPr>
          <w:trHeight w:val="287"/>
        </w:trPr>
        <w:tc>
          <w:tcPr>
            <w:tcW w:w="4047" w:type="dxa"/>
          </w:tcPr>
          <w:p w14:paraId="6809128C" w14:textId="77777777" w:rsidR="00CF33D9" w:rsidRDefault="00E3332A">
            <w:pPr>
              <w:pStyle w:val="TableParagraph"/>
              <w:tabs>
                <w:tab w:val="left" w:pos="468"/>
              </w:tabs>
              <w:ind w:left="107"/>
              <w:rPr>
                <w:sz w:val="20"/>
                <w:szCs w:val="20"/>
              </w:rPr>
            </w:pPr>
            <w:r>
              <w:rPr>
                <w:sz w:val="20"/>
                <w:szCs w:val="20"/>
              </w:rPr>
              <w:t>5.</w:t>
            </w:r>
            <w:r>
              <w:rPr>
                <w:sz w:val="20"/>
                <w:szCs w:val="20"/>
              </w:rPr>
              <w:tab/>
              <w:t>Date</w:t>
            </w:r>
          </w:p>
        </w:tc>
        <w:tc>
          <w:tcPr>
            <w:tcW w:w="9202" w:type="dxa"/>
            <w:vAlign w:val="center"/>
          </w:tcPr>
          <w:p w14:paraId="6809128D" w14:textId="77777777" w:rsidR="00CF33D9" w:rsidRDefault="00E3332A">
            <w:pPr>
              <w:pStyle w:val="TableParagraph"/>
              <w:ind w:left="107"/>
              <w:rPr>
                <w:sz w:val="20"/>
                <w:szCs w:val="20"/>
              </w:rPr>
            </w:pPr>
            <w:r>
              <w:rPr>
                <w:sz w:val="20"/>
                <w:szCs w:val="20"/>
              </w:rPr>
              <w:t>1 May 2024</w:t>
            </w:r>
          </w:p>
        </w:tc>
      </w:tr>
    </w:tbl>
    <w:p w14:paraId="6809128F" w14:textId="77777777" w:rsidR="00CF33D9" w:rsidRDefault="00CF33D9">
      <w:pPr>
        <w:pStyle w:val="BodyText"/>
        <w:rPr>
          <w:rFonts w:ascii="Calibri" w:hAnsi="Calibri" w:cs="Calibri"/>
          <w:b/>
          <w:szCs w:val="20"/>
        </w:rPr>
      </w:pPr>
    </w:p>
    <w:p w14:paraId="68091290" w14:textId="77777777" w:rsidR="00CF33D9" w:rsidRDefault="00E3332A">
      <w:pPr>
        <w:spacing w:before="150"/>
        <w:ind w:left="460"/>
        <w:rPr>
          <w:rFonts w:ascii="Calibri" w:hAnsi="Calibri" w:cs="Calibri"/>
          <w:b/>
          <w:sz w:val="20"/>
          <w:szCs w:val="20"/>
        </w:rPr>
      </w:pPr>
      <w:r>
        <w:rPr>
          <w:rFonts w:ascii="Calibri" w:hAnsi="Calibri" w:cs="Calibri"/>
          <w:b/>
          <w:color w:val="4F81BC"/>
          <w:sz w:val="20"/>
          <w:szCs w:val="20"/>
        </w:rPr>
        <w:t>Part A. Integrating Programming Principles to Strengthen Social and Environmental Sustainability</w:t>
      </w:r>
    </w:p>
    <w:p w14:paraId="68091291" w14:textId="77777777" w:rsidR="00CF33D9" w:rsidRDefault="00CF33D9">
      <w:pPr>
        <w:pStyle w:val="BodyText"/>
        <w:spacing w:before="1"/>
        <w:rPr>
          <w:rFonts w:ascii="Calibri" w:hAnsi="Calibri" w:cs="Calibri"/>
          <w:b/>
          <w:szCs w:val="20"/>
        </w:rPr>
      </w:pPr>
    </w:p>
    <w:tbl>
      <w:tblPr>
        <w:tblW w:w="0" w:type="auto"/>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410"/>
      </w:tblGrid>
      <w:tr w:rsidR="00CF33D9" w14:paraId="68091293" w14:textId="77777777">
        <w:trPr>
          <w:trHeight w:val="448"/>
        </w:trPr>
        <w:tc>
          <w:tcPr>
            <w:tcW w:w="13410" w:type="dxa"/>
            <w:shd w:val="clear" w:color="auto" w:fill="0E233D"/>
          </w:tcPr>
          <w:p w14:paraId="68091292" w14:textId="77777777" w:rsidR="00CF33D9" w:rsidRDefault="00E3332A">
            <w:pPr>
              <w:pStyle w:val="TableParagraph"/>
              <w:spacing w:before="102"/>
              <w:ind w:left="107"/>
              <w:rPr>
                <w:b/>
                <w:sz w:val="20"/>
                <w:szCs w:val="20"/>
              </w:rPr>
            </w:pPr>
            <w:r>
              <w:rPr>
                <w:b/>
                <w:color w:val="FFFFFF"/>
                <w:sz w:val="20"/>
                <w:szCs w:val="20"/>
              </w:rPr>
              <w:t>QUESTION 1: How Does the Project Integrate the Programming Principles in Order to Strengthen Social and Environmental Sustainability?</w:t>
            </w:r>
          </w:p>
        </w:tc>
      </w:tr>
      <w:tr w:rsidR="00CF33D9" w14:paraId="68091295" w14:textId="77777777">
        <w:trPr>
          <w:trHeight w:val="340"/>
        </w:trPr>
        <w:tc>
          <w:tcPr>
            <w:tcW w:w="13410" w:type="dxa"/>
            <w:shd w:val="clear" w:color="auto" w:fill="C5D9F0"/>
          </w:tcPr>
          <w:p w14:paraId="68091294" w14:textId="77777777" w:rsidR="00CF33D9" w:rsidRDefault="00E3332A">
            <w:pPr>
              <w:pStyle w:val="TableParagraph"/>
              <w:spacing w:before="61"/>
              <w:ind w:left="107"/>
              <w:rPr>
                <w:b/>
                <w:i/>
                <w:sz w:val="20"/>
                <w:szCs w:val="20"/>
              </w:rPr>
            </w:pPr>
            <w:r>
              <w:rPr>
                <w:b/>
                <w:i/>
                <w:sz w:val="20"/>
                <w:szCs w:val="20"/>
              </w:rPr>
              <w:t>Briefly describe in the space below how the project mainstreams the human rights-based approach</w:t>
            </w:r>
          </w:p>
        </w:tc>
      </w:tr>
      <w:tr w:rsidR="00CF33D9" w14:paraId="6809129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13"/>
        </w:trPr>
        <w:tc>
          <w:tcPr>
            <w:tcW w:w="13410" w:type="dxa"/>
          </w:tcPr>
          <w:p w14:paraId="68091296" w14:textId="77777777" w:rsidR="00CF33D9" w:rsidRDefault="00E3332A">
            <w:pPr>
              <w:pStyle w:val="TableParagraph"/>
              <w:spacing w:before="111"/>
              <w:ind w:left="107"/>
              <w:jc w:val="both"/>
              <w:rPr>
                <w:rFonts w:eastAsia="Times New Roman"/>
                <w:iCs/>
                <w:sz w:val="20"/>
                <w:szCs w:val="20"/>
              </w:rPr>
            </w:pPr>
            <w:r>
              <w:rPr>
                <w:rFonts w:eastAsia="Times New Roman"/>
                <w:iCs/>
                <w:sz w:val="20"/>
                <w:szCs w:val="20"/>
              </w:rPr>
              <w:t>The project is designed and will be implemented in line with the UNDP Social and Environmental Standards, which reinforce UNDP’s overarching “leave no one behind” principal approach to all UNDP programming, ensuring the full integration of human rights, gender equality and women’s empowerment, sustainability, resilience and accountability. Inclusive and equitable stakeholder participation and respect for human rights, including non-discrimination, will underpin all aspects of the project’s design and implementation.  The project will build and strengthen the implementing partners’ capacity to protect, respect, and promote human rights. This project aims to mainstream the development of climate-resilient blue economies in implementing the Strategic Action Programme of the Benguela Current Large Marine Ecosystem. Achieving this objective will be transformative as it will leverage the existing blue economy policy initiatives in each country, which has brought all maritime sectors together through consultative and inclusive processes to develop strategies for the sea (Angola), a national blue economy policy (Namibia), and a master plan for the oceans economy (South Africa). Using participatory methodologies, activity 1.4.1.1 will analyze critical constraints affecting the sustainable exploitation of non-living marine resources (NLMR) so that policies and measures can be developed to mitigate the risks and impacts on critical habitats and biodiversity from NLMR extractive activities (including vulnerable coastal habitats, mangroves, etc.). Since access to and use of biodiversity provide the essential foundations upon which local and traditional livelihoods are based – and its degradation impinges directly on people’s well-being, the project aims at developing viable, innovative, and sustainable economies and resilient ecosystems. Activity 4.2.2.2 aims to develop viable options through blue carbon finance mechanisms to drive climate mitigation and resilience through the conservation and restoration of nature. Therefore, the project has significant social and human rights benefits, which will positively affect the overall well-being of communities living in the project landscape.</w:t>
            </w:r>
          </w:p>
        </w:tc>
      </w:tr>
      <w:tr w:rsidR="00CF33D9" w14:paraId="6809129B" w14:textId="77777777">
        <w:trPr>
          <w:trHeight w:val="297"/>
        </w:trPr>
        <w:tc>
          <w:tcPr>
            <w:tcW w:w="13410" w:type="dxa"/>
            <w:shd w:val="clear" w:color="auto" w:fill="C5D9F0"/>
          </w:tcPr>
          <w:p w14:paraId="68091298" w14:textId="77777777" w:rsidR="00CF33D9" w:rsidRDefault="00E3332A">
            <w:pPr>
              <w:pStyle w:val="TableParagraph"/>
              <w:spacing w:before="1"/>
              <w:ind w:left="107"/>
              <w:rPr>
                <w:b/>
                <w:i/>
                <w:sz w:val="20"/>
                <w:szCs w:val="20"/>
              </w:rPr>
            </w:pPr>
            <w:r>
              <w:rPr>
                <w:b/>
                <w:i/>
                <w:sz w:val="20"/>
                <w:szCs w:val="20"/>
              </w:rPr>
              <w:t>Briefly describe in the space below how the project is likely to improve gender equality and women’s empowerment</w:t>
            </w:r>
          </w:p>
          <w:p w14:paraId="68091299" w14:textId="77777777" w:rsidR="00CF33D9" w:rsidRDefault="00CF33D9">
            <w:pPr>
              <w:jc w:val="right"/>
              <w:rPr>
                <w:rFonts w:ascii="Calibri" w:hAnsi="Calibri" w:cs="Calibri"/>
                <w:sz w:val="20"/>
                <w:szCs w:val="20"/>
                <w:lang w:val="en-US" w:eastAsia="en-US" w:bidi="en-US"/>
              </w:rPr>
            </w:pPr>
          </w:p>
          <w:p w14:paraId="6809129A" w14:textId="77777777" w:rsidR="00CF33D9" w:rsidRDefault="00CF33D9">
            <w:pPr>
              <w:rPr>
                <w:rFonts w:ascii="Calibri" w:hAnsi="Calibri" w:cs="Calibri"/>
                <w:sz w:val="20"/>
                <w:szCs w:val="20"/>
                <w:lang w:val="en-US" w:eastAsia="en-US" w:bidi="en-US"/>
              </w:rPr>
            </w:pPr>
          </w:p>
        </w:tc>
      </w:tr>
      <w:tr w:rsidR="00CF33D9" w14:paraId="680912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440"/>
        </w:trPr>
        <w:tc>
          <w:tcPr>
            <w:tcW w:w="13410" w:type="dxa"/>
          </w:tcPr>
          <w:p w14:paraId="6809129C" w14:textId="77777777" w:rsidR="00CF33D9" w:rsidRDefault="00E3332A">
            <w:pPr>
              <w:pStyle w:val="TableParagraph"/>
              <w:spacing w:before="111"/>
              <w:ind w:left="107"/>
              <w:jc w:val="both"/>
              <w:rPr>
                <w:rFonts w:eastAsia="Times New Roman"/>
                <w:iCs/>
                <w:sz w:val="20"/>
                <w:szCs w:val="20"/>
              </w:rPr>
            </w:pPr>
            <w:r>
              <w:rPr>
                <w:rFonts w:eastAsia="Times New Roman"/>
                <w:iCs/>
                <w:sz w:val="20"/>
                <w:szCs w:val="20"/>
              </w:rPr>
              <w:lastRenderedPageBreak/>
              <w:t xml:space="preserve">The project is designed to support the equal participation of women and other vulnerable populations in decision-making about the use of natural resources, and to empower women to benefit equitably from the benefits that will accrue from this project. Activity 2.1.3.3 considers the monitoring and assessment of the benefits of certified sea products with a gender-inclusive dimension to ensure gender equality. Women and youth play strong roles in local level economic activities and especially in fish and seafood value chains. Activity 2.2.2.1 will identify the needs of stakeholders considering gender aspects in the building of sustainable and climate resilient value chains and the identification of key stakeholders for the development of capacity building and training programme will include gender-responsive selection criteria. Angola, Namibia, and South Africa are signatories to international, regional, and national frameworks in promoting gender equality. The frameworks commit governments to promoting gender equality and to eradicating the injustices of the past. The adoption and localization of these frameworks at a national level illustrate a strong political commitment to the promotion of gender equality in each BCC signatory country. </w:t>
            </w:r>
          </w:p>
          <w:p w14:paraId="6809129D" w14:textId="77777777" w:rsidR="00CF33D9" w:rsidRDefault="00E3332A">
            <w:pPr>
              <w:pStyle w:val="TableParagraph"/>
              <w:spacing w:before="111"/>
              <w:ind w:left="107"/>
              <w:jc w:val="both"/>
              <w:rPr>
                <w:rFonts w:eastAsia="Times New Roman"/>
                <w:iCs/>
                <w:sz w:val="20"/>
                <w:szCs w:val="20"/>
              </w:rPr>
            </w:pPr>
            <w:r>
              <w:rPr>
                <w:rFonts w:eastAsia="Times New Roman"/>
                <w:iCs/>
                <w:sz w:val="20"/>
                <w:szCs w:val="20"/>
              </w:rPr>
              <w:t xml:space="preserve">A detailed gender analysis has been conducted to determine the role of women in local level activities and especially in fish and seafood value chains, including barriers they face in participating in such processes, challenges faced in deriving benefits from a project of this nature, and documenting the specific impacts of resource degradation, unsustainable use and management of the BCLME on women and other vulnerable populations. The project’s pilot sites will offer an opportunity to develop gender responsive approaches and to mainstream gender in blue economy strategies. Finally, Activity 5.2.1.3 considers the implementation of a Gender Action Plan (GAP) that will be aligned with the UNDP Gender guidelines to ensure gender equality and women’s empowerment throughout the implementation of project’s activities. </w:t>
            </w:r>
          </w:p>
          <w:p w14:paraId="6809129E" w14:textId="77777777" w:rsidR="00CF33D9" w:rsidRDefault="00E3332A">
            <w:pPr>
              <w:pStyle w:val="TableParagraph"/>
              <w:spacing w:before="111"/>
              <w:jc w:val="both"/>
              <w:rPr>
                <w:rFonts w:eastAsia="Times New Roman"/>
                <w:iCs/>
                <w:sz w:val="20"/>
                <w:szCs w:val="20"/>
              </w:rPr>
            </w:pPr>
            <w:r>
              <w:rPr>
                <w:rFonts w:eastAsia="Times New Roman"/>
                <w:iCs/>
                <w:sz w:val="20"/>
                <w:szCs w:val="20"/>
              </w:rPr>
              <w:t xml:space="preserve"> </w:t>
            </w:r>
          </w:p>
        </w:tc>
      </w:tr>
      <w:tr w:rsidR="00CF33D9" w14:paraId="680912A1" w14:textId="77777777">
        <w:trPr>
          <w:trHeight w:val="304"/>
        </w:trPr>
        <w:tc>
          <w:tcPr>
            <w:tcW w:w="13410" w:type="dxa"/>
            <w:shd w:val="clear" w:color="auto" w:fill="C5D9F0"/>
          </w:tcPr>
          <w:p w14:paraId="680912A0" w14:textId="77777777" w:rsidR="00CF33D9" w:rsidRDefault="00E3332A">
            <w:pPr>
              <w:pStyle w:val="TableParagraph"/>
              <w:spacing w:before="1"/>
              <w:ind w:left="107"/>
              <w:rPr>
                <w:b/>
                <w:i/>
                <w:sz w:val="20"/>
                <w:szCs w:val="20"/>
              </w:rPr>
            </w:pPr>
            <w:r>
              <w:rPr>
                <w:b/>
                <w:i/>
                <w:sz w:val="20"/>
                <w:szCs w:val="20"/>
              </w:rPr>
              <w:t>Briefly describe in the space below how the project mainstreams sustainability and resilience</w:t>
            </w:r>
          </w:p>
        </w:tc>
      </w:tr>
      <w:tr w:rsidR="00CF33D9" w14:paraId="680912A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68"/>
        </w:trPr>
        <w:tc>
          <w:tcPr>
            <w:tcW w:w="13410" w:type="dxa"/>
          </w:tcPr>
          <w:p w14:paraId="680912A2" w14:textId="77777777" w:rsidR="00CF33D9" w:rsidRDefault="00E3332A">
            <w:pPr>
              <w:pStyle w:val="TableParagraph"/>
              <w:spacing w:before="111"/>
              <w:ind w:left="107"/>
              <w:jc w:val="both"/>
              <w:rPr>
                <w:rFonts w:eastAsia="Times New Roman"/>
                <w:iCs/>
                <w:sz w:val="20"/>
                <w:szCs w:val="20"/>
              </w:rPr>
            </w:pPr>
            <w:r>
              <w:rPr>
                <w:rFonts w:eastAsia="Times New Roman"/>
                <w:iCs/>
                <w:sz w:val="20"/>
                <w:szCs w:val="20"/>
              </w:rPr>
              <w:t>The project is focused on climate-resilient ecosystem restoration plans for the selected MPAs and coastal ecosystems (Activity 1.2.2.3) and will also promote awareness raising and information dissemination on the community-based climate resilient ecosystem intervention to motivate the community population (Activity 1.2.2.1). In addition, through output 2.1.1 the project will strengthen bilateral agreements for joint sustainable and climate resilient management of transboundary fish stocks to curb IUU fishing. Environmental sustainability is at the heart of the proposed project and one of the most important results to be delivered by projects financed by the Global Environment Facility. The stated objective of this project is to mainstream the development of climate resilient blue economies in the implementation of the Strategic Action Programme of the Benguela Current Large Marine Ecosystem. The project will also have a strong focus on the needs of stakeholders at local communities to build sustainable and climate resilient value chains (Activity 2.2.21). Reduced vulnerability, especially of local communities to climate variability and climate-related risks, is central to the implementation of the project. The Project will ensure environmental sustainability by strengthening policy and legislative frameworks to support marine pollution prevention and control, leading to more harmonized pollution control arrangements (Output 3.1.1).</w:t>
            </w:r>
          </w:p>
        </w:tc>
      </w:tr>
      <w:tr w:rsidR="00CF33D9" w14:paraId="680912A5" w14:textId="77777777">
        <w:trPr>
          <w:trHeight w:val="338"/>
        </w:trPr>
        <w:tc>
          <w:tcPr>
            <w:tcW w:w="13410" w:type="dxa"/>
            <w:shd w:val="clear" w:color="auto" w:fill="C5DAF0"/>
          </w:tcPr>
          <w:p w14:paraId="680912A4" w14:textId="77777777" w:rsidR="00CF33D9" w:rsidRDefault="00E3332A">
            <w:pPr>
              <w:pStyle w:val="TableParagraph"/>
              <w:spacing w:before="62"/>
              <w:ind w:left="107"/>
              <w:rPr>
                <w:b/>
                <w:i/>
                <w:sz w:val="20"/>
                <w:szCs w:val="20"/>
              </w:rPr>
            </w:pPr>
            <w:r>
              <w:rPr>
                <w:b/>
                <w:i/>
                <w:sz w:val="20"/>
                <w:szCs w:val="20"/>
              </w:rPr>
              <w:t>Briefly describe in the space below how the project strengthens accountability to stakeholders</w:t>
            </w:r>
          </w:p>
        </w:tc>
      </w:tr>
      <w:tr w:rsidR="00CF33D9" w14:paraId="680912A7" w14:textId="77777777">
        <w:trPr>
          <w:trHeight w:val="441"/>
        </w:trPr>
        <w:tc>
          <w:tcPr>
            <w:tcW w:w="13410" w:type="dxa"/>
          </w:tcPr>
          <w:p w14:paraId="680912A6" w14:textId="77777777" w:rsidR="00CF33D9" w:rsidRDefault="00E3332A">
            <w:pPr>
              <w:pStyle w:val="TableParagraph"/>
              <w:spacing w:before="111"/>
              <w:ind w:left="107" w:right="180"/>
              <w:jc w:val="both"/>
              <w:rPr>
                <w:rFonts w:eastAsia="Times New Roman"/>
                <w:iCs/>
                <w:sz w:val="20"/>
                <w:szCs w:val="20"/>
              </w:rPr>
            </w:pPr>
            <w:bookmarkStart w:id="38" w:name="_Hlk161749033"/>
            <w:r>
              <w:rPr>
                <w:rFonts w:eastAsia="Times New Roman"/>
                <w:iCs/>
                <w:sz w:val="20"/>
                <w:szCs w:val="20"/>
              </w:rPr>
              <w:t>The project design aims to ensure full accountability for project activities in the three countries</w:t>
            </w:r>
            <w:bookmarkEnd w:id="38"/>
            <w:r>
              <w:rPr>
                <w:rFonts w:eastAsia="Times New Roman"/>
                <w:iCs/>
                <w:sz w:val="20"/>
                <w:szCs w:val="20"/>
              </w:rPr>
              <w:t xml:space="preserve">. Stakeholder participation and consultation, including vulnerable groups, is not only a component of project design but will be implemented as a guiding principle throughput the project’s implementation and mainstreamed into the BCLME governance principles promoted by the project. Consultations will ensure that both women and men are able to fully participate and voice their needs, concerns and interests. A comprehensive Stakeholder Engagement Plan will be developed during the implementation phase. The Project developed a Grievance Redress Mechanism (GRM), which will be accessible to project stakeholders and the PMU will ensure that all grievances are addressed in a timely and acceptable manner in line with the UNDP SES. The details of the GRM are included in the SEP and ESMF. UNDP’s Accountability Mechanism, which includes the Social and Environmental Compliance Unit (SECU) and Stakeholder Response Mechanism (SRM) will also serve as an additional layer of grievance redress and empower stakeholders to push for accountability. </w:t>
            </w:r>
            <w:r>
              <w:rPr>
                <w:sz w:val="20"/>
                <w:szCs w:val="20"/>
              </w:rPr>
              <w:t>The project will ensure transparency by disclosing all the relevant project information to project stakeholders as needed.</w:t>
            </w:r>
          </w:p>
        </w:tc>
      </w:tr>
    </w:tbl>
    <w:p w14:paraId="680912A8" w14:textId="77777777" w:rsidR="00CF33D9" w:rsidRDefault="00CF33D9">
      <w:pPr>
        <w:rPr>
          <w:rFonts w:ascii="Calibri" w:hAnsi="Calibri" w:cs="Calibri"/>
          <w:sz w:val="20"/>
          <w:szCs w:val="20"/>
        </w:rPr>
        <w:sectPr w:rsidR="00CF33D9">
          <w:headerReference w:type="even" r:id="rId45"/>
          <w:headerReference w:type="default" r:id="rId46"/>
          <w:footerReference w:type="even" r:id="rId47"/>
          <w:footerReference w:type="default" r:id="rId48"/>
          <w:headerReference w:type="first" r:id="rId49"/>
          <w:footerReference w:type="first" r:id="rId50"/>
          <w:pgSz w:w="15840" w:h="12240" w:orient="landscape"/>
          <w:pgMar w:top="1140" w:right="1020" w:bottom="920" w:left="1340" w:header="0" w:footer="720" w:gutter="0"/>
          <w:cols w:space="720"/>
        </w:sectPr>
      </w:pPr>
    </w:p>
    <w:p w14:paraId="680912A9" w14:textId="77777777" w:rsidR="00CF33D9" w:rsidRDefault="00E3332A">
      <w:pPr>
        <w:spacing w:before="40"/>
        <w:ind w:left="460"/>
        <w:rPr>
          <w:rFonts w:ascii="Calibri" w:hAnsi="Calibri" w:cs="Calibri"/>
          <w:b/>
          <w:sz w:val="20"/>
          <w:szCs w:val="20"/>
        </w:rPr>
      </w:pPr>
      <w:r>
        <w:rPr>
          <w:rFonts w:ascii="Calibri" w:hAnsi="Calibri" w:cs="Calibri"/>
          <w:b/>
          <w:color w:val="4F81BC"/>
          <w:sz w:val="20"/>
          <w:szCs w:val="20"/>
        </w:rPr>
        <w:lastRenderedPageBreak/>
        <w:t xml:space="preserve">Part B. Identifying and Managing Social and Environmental </w:t>
      </w:r>
      <w:r>
        <w:rPr>
          <w:rFonts w:ascii="Calibri" w:hAnsi="Calibri" w:cs="Calibri"/>
          <w:b/>
          <w:color w:val="4F81BC"/>
          <w:sz w:val="20"/>
          <w:szCs w:val="20"/>
          <w:u w:val="single" w:color="4F81BC"/>
        </w:rPr>
        <w:t>Risks</w:t>
      </w:r>
    </w:p>
    <w:p w14:paraId="680912AA" w14:textId="77777777" w:rsidR="00CF33D9" w:rsidRDefault="00CF33D9">
      <w:pPr>
        <w:pStyle w:val="BodyText"/>
        <w:spacing w:after="1"/>
        <w:rPr>
          <w:rFonts w:ascii="Calibri" w:hAnsi="Calibri" w:cs="Calibri"/>
          <w:b/>
          <w:szCs w:val="20"/>
        </w:rPr>
      </w:pPr>
    </w:p>
    <w:tbl>
      <w:tblPr>
        <w:tblW w:w="1360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253"/>
        <w:gridCol w:w="1170"/>
        <w:gridCol w:w="1350"/>
        <w:gridCol w:w="1913"/>
        <w:gridCol w:w="697"/>
        <w:gridCol w:w="450"/>
        <w:gridCol w:w="2700"/>
        <w:gridCol w:w="1075"/>
      </w:tblGrid>
      <w:tr w:rsidR="00CF33D9" w14:paraId="680912B0" w14:textId="77777777">
        <w:trPr>
          <w:cantSplit/>
          <w:trHeight w:val="1170"/>
        </w:trPr>
        <w:tc>
          <w:tcPr>
            <w:tcW w:w="4253" w:type="dxa"/>
            <w:shd w:val="clear" w:color="auto" w:fill="0E233D"/>
          </w:tcPr>
          <w:p w14:paraId="680912AB" w14:textId="77777777" w:rsidR="00CF33D9" w:rsidRDefault="00E3332A">
            <w:pPr>
              <w:pStyle w:val="TableParagraph"/>
              <w:spacing w:before="1"/>
              <w:ind w:left="107" w:right="334" w:firstLine="12"/>
              <w:rPr>
                <w:b/>
                <w:sz w:val="20"/>
                <w:szCs w:val="20"/>
              </w:rPr>
            </w:pPr>
            <w:r>
              <w:rPr>
                <w:b/>
                <w:color w:val="FFFFFF"/>
                <w:sz w:val="20"/>
                <w:szCs w:val="20"/>
              </w:rPr>
              <w:t>QUESTION 2: What are the Potential Social and Environmental Risks?</w:t>
            </w:r>
          </w:p>
          <w:p w14:paraId="680912AC" w14:textId="77777777" w:rsidR="00CF33D9" w:rsidRDefault="00E3332A">
            <w:pPr>
              <w:pStyle w:val="TableParagraph"/>
              <w:ind w:left="107" w:right="796" w:firstLine="12"/>
              <w:rPr>
                <w:i/>
                <w:sz w:val="20"/>
                <w:szCs w:val="20"/>
              </w:rPr>
            </w:pPr>
            <w:r>
              <w:rPr>
                <w:i/>
                <w:color w:val="FFFFFF"/>
                <w:sz w:val="20"/>
                <w:szCs w:val="20"/>
              </w:rPr>
              <w:t>Note: Complete SESP Attachment 1 before responding to Question 2.</w:t>
            </w:r>
          </w:p>
        </w:tc>
        <w:tc>
          <w:tcPr>
            <w:tcW w:w="5130" w:type="dxa"/>
            <w:gridSpan w:val="4"/>
            <w:shd w:val="clear" w:color="auto" w:fill="0E233D"/>
          </w:tcPr>
          <w:p w14:paraId="680912AD" w14:textId="77777777" w:rsidR="00CF33D9" w:rsidRDefault="00E3332A">
            <w:pPr>
              <w:pStyle w:val="TableParagraph"/>
              <w:spacing w:before="1"/>
              <w:ind w:left="105" w:right="443" w:firstLine="12"/>
              <w:rPr>
                <w:b/>
                <w:sz w:val="20"/>
                <w:szCs w:val="20"/>
              </w:rPr>
            </w:pPr>
            <w:r>
              <w:rPr>
                <w:b/>
                <w:color w:val="FFFFFF"/>
                <w:sz w:val="20"/>
                <w:szCs w:val="20"/>
              </w:rPr>
              <w:t>QUESTION 3: What is the level of significance of the potential social and environmental risks?</w:t>
            </w:r>
          </w:p>
          <w:p w14:paraId="680912AE" w14:textId="77777777" w:rsidR="00CF33D9" w:rsidRDefault="00E3332A">
            <w:pPr>
              <w:pStyle w:val="TableParagraph"/>
              <w:ind w:left="105" w:right="131"/>
              <w:rPr>
                <w:i/>
                <w:sz w:val="20"/>
                <w:szCs w:val="20"/>
              </w:rPr>
            </w:pPr>
            <w:r>
              <w:rPr>
                <w:i/>
                <w:color w:val="FFFFFF"/>
                <w:sz w:val="20"/>
                <w:szCs w:val="20"/>
              </w:rPr>
              <w:t>Note: Respond to Questions 4 and 5below before proceeding to Question 5</w:t>
            </w:r>
          </w:p>
        </w:tc>
        <w:tc>
          <w:tcPr>
            <w:tcW w:w="4225" w:type="dxa"/>
            <w:gridSpan w:val="3"/>
            <w:shd w:val="clear" w:color="auto" w:fill="0E233D"/>
          </w:tcPr>
          <w:p w14:paraId="680912AF" w14:textId="77777777" w:rsidR="00CF33D9" w:rsidRDefault="00E3332A">
            <w:pPr>
              <w:pStyle w:val="TableParagraph"/>
              <w:spacing w:before="1"/>
              <w:ind w:left="90" w:right="203"/>
              <w:rPr>
                <w:b/>
                <w:sz w:val="20"/>
                <w:szCs w:val="20"/>
              </w:rPr>
            </w:pPr>
            <w:r>
              <w:rPr>
                <w:b/>
                <w:color w:val="FFFFFF"/>
                <w:sz w:val="20"/>
                <w:szCs w:val="20"/>
              </w:rPr>
              <w:t>QUESTION 6: Describe the assessment and management measures for each risk rated Moderate, Substantial or High</w:t>
            </w:r>
          </w:p>
        </w:tc>
      </w:tr>
      <w:tr w:rsidR="00CF33D9" w14:paraId="680912B8" w14:textId="77777777">
        <w:trPr>
          <w:cantSplit/>
          <w:trHeight w:val="1099"/>
        </w:trPr>
        <w:tc>
          <w:tcPr>
            <w:tcW w:w="4253" w:type="dxa"/>
            <w:shd w:val="clear" w:color="auto" w:fill="C5D9F0"/>
          </w:tcPr>
          <w:p w14:paraId="680912B1" w14:textId="77777777" w:rsidR="00CF33D9" w:rsidRDefault="00E3332A">
            <w:pPr>
              <w:pStyle w:val="TableParagraph"/>
              <w:spacing w:before="1"/>
              <w:ind w:left="107"/>
              <w:rPr>
                <w:b/>
                <w:i/>
                <w:sz w:val="20"/>
                <w:szCs w:val="20"/>
              </w:rPr>
            </w:pPr>
            <w:r>
              <w:rPr>
                <w:b/>
                <w:i/>
                <w:sz w:val="20"/>
                <w:szCs w:val="20"/>
              </w:rPr>
              <w:t>Risk Description</w:t>
            </w:r>
          </w:p>
          <w:p w14:paraId="680912B2" w14:textId="77777777" w:rsidR="00CF33D9" w:rsidRDefault="00E3332A">
            <w:pPr>
              <w:pStyle w:val="TableParagraph"/>
              <w:spacing w:before="1"/>
              <w:ind w:left="107"/>
              <w:rPr>
                <w:b/>
                <w:i/>
                <w:sz w:val="20"/>
                <w:szCs w:val="20"/>
              </w:rPr>
            </w:pPr>
            <w:r>
              <w:rPr>
                <w:b/>
                <w:i/>
                <w:sz w:val="20"/>
                <w:szCs w:val="20"/>
              </w:rPr>
              <w:t>(broken down by event, cause, impact)</w:t>
            </w:r>
          </w:p>
        </w:tc>
        <w:tc>
          <w:tcPr>
            <w:tcW w:w="1170" w:type="dxa"/>
            <w:shd w:val="clear" w:color="auto" w:fill="C5D9F0"/>
          </w:tcPr>
          <w:p w14:paraId="680912B3" w14:textId="77777777" w:rsidR="00CF33D9" w:rsidRDefault="00E3332A">
            <w:pPr>
              <w:pStyle w:val="TableParagraph"/>
              <w:spacing w:before="1"/>
              <w:ind w:left="105" w:right="116"/>
              <w:rPr>
                <w:b/>
                <w:i/>
                <w:sz w:val="20"/>
                <w:szCs w:val="20"/>
              </w:rPr>
            </w:pPr>
            <w:r>
              <w:rPr>
                <w:b/>
                <w:i/>
                <w:sz w:val="20"/>
                <w:szCs w:val="20"/>
              </w:rPr>
              <w:t>Impact and Likelihood (1-5)</w:t>
            </w:r>
          </w:p>
        </w:tc>
        <w:tc>
          <w:tcPr>
            <w:tcW w:w="1350" w:type="dxa"/>
            <w:shd w:val="clear" w:color="auto" w:fill="C5D9F0"/>
          </w:tcPr>
          <w:p w14:paraId="680912B4" w14:textId="77777777" w:rsidR="00CF33D9" w:rsidRDefault="00E3332A">
            <w:pPr>
              <w:pStyle w:val="TableParagraph"/>
              <w:spacing w:before="1"/>
              <w:ind w:left="105" w:right="144"/>
              <w:rPr>
                <w:b/>
                <w:i/>
                <w:sz w:val="20"/>
                <w:szCs w:val="20"/>
              </w:rPr>
            </w:pPr>
            <w:r>
              <w:rPr>
                <w:b/>
                <w:i/>
                <w:sz w:val="20"/>
                <w:szCs w:val="20"/>
              </w:rPr>
              <w:t>Significance (Low, Moderate Substantial,</w:t>
            </w:r>
          </w:p>
          <w:p w14:paraId="680912B5" w14:textId="77777777" w:rsidR="00CF33D9" w:rsidRDefault="00E3332A">
            <w:pPr>
              <w:pStyle w:val="TableParagraph"/>
              <w:spacing w:line="199" w:lineRule="exact"/>
              <w:ind w:left="105"/>
              <w:rPr>
                <w:b/>
                <w:i/>
                <w:sz w:val="20"/>
                <w:szCs w:val="20"/>
              </w:rPr>
            </w:pPr>
            <w:r>
              <w:rPr>
                <w:b/>
                <w:i/>
                <w:sz w:val="20"/>
                <w:szCs w:val="20"/>
              </w:rPr>
              <w:t>High)</w:t>
            </w:r>
          </w:p>
        </w:tc>
        <w:tc>
          <w:tcPr>
            <w:tcW w:w="2610" w:type="dxa"/>
            <w:gridSpan w:val="2"/>
            <w:shd w:val="clear" w:color="auto" w:fill="C5D9F0"/>
          </w:tcPr>
          <w:p w14:paraId="680912B6" w14:textId="77777777" w:rsidR="00CF33D9" w:rsidRDefault="00E3332A">
            <w:pPr>
              <w:pStyle w:val="TableParagraph"/>
              <w:spacing w:before="1"/>
              <w:ind w:left="107"/>
              <w:rPr>
                <w:b/>
                <w:i/>
                <w:sz w:val="20"/>
                <w:szCs w:val="20"/>
              </w:rPr>
            </w:pPr>
            <w:r>
              <w:rPr>
                <w:b/>
                <w:i/>
                <w:sz w:val="20"/>
                <w:szCs w:val="20"/>
              </w:rPr>
              <w:t>Comments (optional)</w:t>
            </w:r>
          </w:p>
        </w:tc>
        <w:tc>
          <w:tcPr>
            <w:tcW w:w="4225" w:type="dxa"/>
            <w:gridSpan w:val="3"/>
            <w:shd w:val="clear" w:color="auto" w:fill="C5D9F0"/>
          </w:tcPr>
          <w:p w14:paraId="680912B7" w14:textId="77777777" w:rsidR="00CF33D9" w:rsidRDefault="00E3332A">
            <w:pPr>
              <w:pStyle w:val="TableParagraph"/>
              <w:spacing w:before="1"/>
              <w:ind w:left="90" w:right="316"/>
              <w:rPr>
                <w:b/>
                <w:i/>
                <w:sz w:val="20"/>
                <w:szCs w:val="20"/>
              </w:rPr>
            </w:pPr>
            <w:r>
              <w:rPr>
                <w:b/>
                <w:i/>
                <w:sz w:val="20"/>
                <w:szCs w:val="20"/>
              </w:rPr>
              <w:t>Description of assessment and management measures for risks rated as Moderate, Substantial or High</w:t>
            </w:r>
          </w:p>
        </w:tc>
      </w:tr>
      <w:tr w:rsidR="00CF33D9" w14:paraId="680912C8" w14:textId="77777777">
        <w:trPr>
          <w:cantSplit/>
          <w:trHeight w:val="438"/>
        </w:trPr>
        <w:tc>
          <w:tcPr>
            <w:tcW w:w="4253" w:type="dxa"/>
          </w:tcPr>
          <w:p w14:paraId="680912B9" w14:textId="77777777" w:rsidR="00CF33D9" w:rsidRDefault="00E3332A">
            <w:pPr>
              <w:pStyle w:val="TableParagraph"/>
              <w:ind w:left="107"/>
              <w:rPr>
                <w:b/>
                <w:bCs/>
                <w:sz w:val="20"/>
                <w:szCs w:val="20"/>
              </w:rPr>
            </w:pPr>
            <w:r>
              <w:rPr>
                <w:b/>
                <w:bCs/>
                <w:sz w:val="20"/>
                <w:szCs w:val="20"/>
              </w:rPr>
              <w:t xml:space="preserve">Risk 1 </w:t>
            </w:r>
          </w:p>
          <w:p w14:paraId="680912BA" w14:textId="77777777" w:rsidR="00CF33D9" w:rsidRDefault="00E3332A">
            <w:pPr>
              <w:pStyle w:val="TableParagraph"/>
              <w:ind w:left="107"/>
              <w:rPr>
                <w:sz w:val="20"/>
                <w:szCs w:val="20"/>
              </w:rPr>
            </w:pPr>
            <w:r>
              <w:rPr>
                <w:sz w:val="20"/>
                <w:szCs w:val="20"/>
              </w:rPr>
              <w:t xml:space="preserve">Project activities under output 1.2.1, targeted to the development of community-based tourism in and around selected MPAs and coastal ecosystems in Namibia, could lead to an increase in soil and water pollution, impacting on local, regional and transboundary habitats, including on sensitive habitats (KBAs) and protected areas. </w:t>
            </w:r>
          </w:p>
          <w:p w14:paraId="680912BB" w14:textId="77777777" w:rsidR="00CF33D9" w:rsidRDefault="00CF33D9">
            <w:pPr>
              <w:pStyle w:val="TableParagraph"/>
              <w:rPr>
                <w:sz w:val="20"/>
                <w:szCs w:val="20"/>
              </w:rPr>
            </w:pPr>
          </w:p>
          <w:p w14:paraId="680912BC" w14:textId="77777777" w:rsidR="00CF33D9" w:rsidRDefault="00E3332A">
            <w:pPr>
              <w:pStyle w:val="TableParagraph"/>
              <w:rPr>
                <w:sz w:val="20"/>
                <w:szCs w:val="20"/>
              </w:rPr>
            </w:pPr>
            <w:r>
              <w:rPr>
                <w:sz w:val="20"/>
                <w:szCs w:val="20"/>
              </w:rPr>
              <w:t xml:space="preserve">Standard 1 Biodiversity Conservation and Sustainable Natural Resource Management </w:t>
            </w:r>
          </w:p>
          <w:p w14:paraId="680912BD" w14:textId="77777777" w:rsidR="00CF33D9" w:rsidRDefault="00E3332A">
            <w:pPr>
              <w:pStyle w:val="TableParagraph"/>
              <w:rPr>
                <w:sz w:val="20"/>
                <w:szCs w:val="20"/>
              </w:rPr>
            </w:pPr>
            <w:r>
              <w:rPr>
                <w:sz w:val="20"/>
                <w:szCs w:val="20"/>
              </w:rPr>
              <w:t>1.1, 1.2.</w:t>
            </w:r>
          </w:p>
          <w:p w14:paraId="680912BE" w14:textId="77777777" w:rsidR="00CF33D9" w:rsidRDefault="00CF33D9">
            <w:pPr>
              <w:pStyle w:val="TableParagraph"/>
              <w:ind w:left="107"/>
              <w:rPr>
                <w:bCs/>
                <w:sz w:val="20"/>
                <w:szCs w:val="20"/>
              </w:rPr>
            </w:pPr>
          </w:p>
        </w:tc>
        <w:tc>
          <w:tcPr>
            <w:tcW w:w="1170" w:type="dxa"/>
          </w:tcPr>
          <w:p w14:paraId="680912BF" w14:textId="77777777" w:rsidR="00CF33D9" w:rsidRDefault="00E3332A">
            <w:pPr>
              <w:pStyle w:val="TableParagraph"/>
              <w:ind w:left="107"/>
              <w:rPr>
                <w:sz w:val="20"/>
                <w:szCs w:val="20"/>
              </w:rPr>
            </w:pPr>
            <w:r>
              <w:rPr>
                <w:sz w:val="20"/>
                <w:szCs w:val="20"/>
              </w:rPr>
              <w:t>I = 4</w:t>
            </w:r>
          </w:p>
          <w:p w14:paraId="680912C0" w14:textId="77777777" w:rsidR="00CF33D9" w:rsidRDefault="00E3332A">
            <w:pPr>
              <w:pStyle w:val="TableParagraph"/>
              <w:ind w:left="107"/>
              <w:rPr>
                <w:sz w:val="20"/>
                <w:szCs w:val="20"/>
              </w:rPr>
            </w:pPr>
            <w:r>
              <w:rPr>
                <w:sz w:val="20"/>
                <w:szCs w:val="20"/>
              </w:rPr>
              <w:t>L = 3</w:t>
            </w:r>
          </w:p>
        </w:tc>
        <w:tc>
          <w:tcPr>
            <w:tcW w:w="1350" w:type="dxa"/>
          </w:tcPr>
          <w:p w14:paraId="680912C1" w14:textId="77777777" w:rsidR="00CF33D9" w:rsidRDefault="00E3332A">
            <w:pPr>
              <w:pStyle w:val="TableParagraph"/>
              <w:ind w:left="107"/>
              <w:rPr>
                <w:sz w:val="20"/>
                <w:szCs w:val="20"/>
              </w:rPr>
            </w:pPr>
            <w:r>
              <w:rPr>
                <w:sz w:val="20"/>
                <w:szCs w:val="20"/>
              </w:rPr>
              <w:t>Substantial</w:t>
            </w:r>
          </w:p>
        </w:tc>
        <w:tc>
          <w:tcPr>
            <w:tcW w:w="2610" w:type="dxa"/>
            <w:gridSpan w:val="2"/>
          </w:tcPr>
          <w:p w14:paraId="680912C2" w14:textId="77777777" w:rsidR="00CF33D9" w:rsidRDefault="00E3332A">
            <w:pPr>
              <w:pStyle w:val="TableParagraph"/>
              <w:ind w:left="107"/>
              <w:rPr>
                <w:sz w:val="20"/>
                <w:szCs w:val="20"/>
              </w:rPr>
            </w:pPr>
            <w:r>
              <w:rPr>
                <w:sz w:val="20"/>
                <w:szCs w:val="20"/>
              </w:rPr>
              <w:t xml:space="preserve">Community-based tourism that can lead to degradation of coastal resources, increase in pollution, solid waste and littering, discharges into the sea and can exacerbate the vulnerability of coastal areas. Solid waste and littering can degrade the physical appearance of the water and shoreline and cause the death of marine animals. In addition, the construction of tourism-related facilities often leads to increased sewage pollution. Changes in salinity and siltation can have wide-ranging impacts on coastal environments. </w:t>
            </w:r>
          </w:p>
        </w:tc>
        <w:tc>
          <w:tcPr>
            <w:tcW w:w="4225" w:type="dxa"/>
            <w:gridSpan w:val="3"/>
          </w:tcPr>
          <w:p w14:paraId="680912C3" w14:textId="77777777" w:rsidR="00CF33D9" w:rsidRDefault="00E3332A">
            <w:pPr>
              <w:pStyle w:val="TableParagraph"/>
              <w:ind w:left="107"/>
              <w:rPr>
                <w:sz w:val="20"/>
                <w:szCs w:val="20"/>
              </w:rPr>
            </w:pPr>
            <w:r>
              <w:rPr>
                <w:sz w:val="20"/>
                <w:szCs w:val="20"/>
              </w:rPr>
              <w:t xml:space="preserve">A </w:t>
            </w:r>
            <w:r>
              <w:rPr>
                <w:b/>
                <w:bCs/>
                <w:sz w:val="20"/>
                <w:szCs w:val="20"/>
              </w:rPr>
              <w:t>scoped Environmental and Social Impact Assessment (ESIA)</w:t>
            </w:r>
            <w:r>
              <w:rPr>
                <w:sz w:val="20"/>
                <w:szCs w:val="20"/>
              </w:rPr>
              <w:t xml:space="preserve"> will be included in activity 1.2.1.2 to ensure that the analysis of environmental feasibility considers all environmental and social impacts that activities under output 1.2.1 could pose for Key Biodiversity Areas in Namibia. ESIA should include appropriate assessments regarding pollution and resource use based on a scoping study of project risks and impacts. </w:t>
            </w:r>
          </w:p>
          <w:p w14:paraId="680912C4" w14:textId="77777777" w:rsidR="00CF33D9" w:rsidRDefault="00CF33D9">
            <w:pPr>
              <w:pStyle w:val="TableParagraph"/>
              <w:ind w:left="107"/>
              <w:rPr>
                <w:sz w:val="20"/>
                <w:szCs w:val="20"/>
              </w:rPr>
            </w:pPr>
          </w:p>
          <w:p w14:paraId="680912C5" w14:textId="77777777" w:rsidR="00CF33D9" w:rsidRDefault="00E3332A">
            <w:pPr>
              <w:pStyle w:val="TableParagraph"/>
              <w:ind w:left="107"/>
              <w:rPr>
                <w:sz w:val="20"/>
                <w:szCs w:val="20"/>
              </w:rPr>
            </w:pPr>
            <w:r>
              <w:rPr>
                <w:sz w:val="20"/>
                <w:szCs w:val="20"/>
              </w:rPr>
              <w:t xml:space="preserve">The scoped ESIA will include specialized biodiversity studies to confirm the level of risk to biodiversity and ecosystem services in the KBAs, overlapping with areas where community-based tourism will be promoted. An </w:t>
            </w:r>
            <w:r>
              <w:rPr>
                <w:b/>
                <w:bCs/>
                <w:sz w:val="20"/>
                <w:szCs w:val="20"/>
              </w:rPr>
              <w:t>Environmental and Social Management Plan (ESMP)</w:t>
            </w:r>
            <w:r>
              <w:rPr>
                <w:sz w:val="20"/>
                <w:szCs w:val="20"/>
              </w:rPr>
              <w:t xml:space="preserve">, and a more specific </w:t>
            </w:r>
            <w:r>
              <w:rPr>
                <w:b/>
                <w:bCs/>
                <w:sz w:val="20"/>
                <w:szCs w:val="20"/>
              </w:rPr>
              <w:t>Biodiversity Action Plan</w:t>
            </w:r>
            <w:r>
              <w:rPr>
                <w:sz w:val="20"/>
                <w:szCs w:val="20"/>
              </w:rPr>
              <w:t xml:space="preserve"> included in the ESMP will establish the measures to manage the biodiversity risks in or near the protected areas and other critical habitats. The ESMP will also include the management and monitoring actions.</w:t>
            </w:r>
          </w:p>
          <w:p w14:paraId="680912C6" w14:textId="77777777" w:rsidR="00CF33D9" w:rsidRDefault="00CF33D9">
            <w:pPr>
              <w:pStyle w:val="TableParagraph"/>
              <w:ind w:left="107"/>
              <w:rPr>
                <w:sz w:val="20"/>
                <w:szCs w:val="20"/>
              </w:rPr>
            </w:pPr>
          </w:p>
          <w:p w14:paraId="680912C7" w14:textId="77777777" w:rsidR="00CF33D9" w:rsidRDefault="00CF33D9">
            <w:pPr>
              <w:pStyle w:val="TableParagraph"/>
              <w:rPr>
                <w:sz w:val="20"/>
                <w:szCs w:val="20"/>
              </w:rPr>
            </w:pPr>
          </w:p>
        </w:tc>
      </w:tr>
      <w:tr w:rsidR="00CF33D9" w14:paraId="680912D9" w14:textId="77777777">
        <w:trPr>
          <w:cantSplit/>
          <w:trHeight w:val="217"/>
        </w:trPr>
        <w:tc>
          <w:tcPr>
            <w:tcW w:w="4253" w:type="dxa"/>
          </w:tcPr>
          <w:p w14:paraId="680912C9" w14:textId="77777777" w:rsidR="00CF33D9" w:rsidRDefault="00E3332A">
            <w:pPr>
              <w:pStyle w:val="TableParagraph"/>
              <w:spacing w:line="198" w:lineRule="exact"/>
              <w:ind w:left="107"/>
              <w:rPr>
                <w:b/>
                <w:bCs/>
                <w:color w:val="000000"/>
                <w:sz w:val="20"/>
                <w:szCs w:val="20"/>
              </w:rPr>
            </w:pPr>
            <w:r>
              <w:rPr>
                <w:b/>
                <w:bCs/>
                <w:color w:val="000000"/>
                <w:sz w:val="20"/>
                <w:szCs w:val="20"/>
              </w:rPr>
              <w:lastRenderedPageBreak/>
              <w:t>Risk 2</w:t>
            </w:r>
          </w:p>
          <w:p w14:paraId="680912CA" w14:textId="77777777" w:rsidR="00CF33D9" w:rsidRDefault="00E3332A">
            <w:pPr>
              <w:pStyle w:val="TableParagraph"/>
              <w:spacing w:line="198" w:lineRule="exact"/>
              <w:ind w:left="119"/>
              <w:rPr>
                <w:color w:val="000000"/>
                <w:sz w:val="20"/>
                <w:szCs w:val="20"/>
              </w:rPr>
            </w:pPr>
            <w:r>
              <w:rPr>
                <w:color w:val="000000"/>
                <w:sz w:val="20"/>
                <w:szCs w:val="20"/>
              </w:rPr>
              <w:t xml:space="preserve">Policy and legal framework amendments/updates (1.1.3; 1.4.2; 3.1.1.2; 1.4.1.2; 3.1.1; and 4.1.1) could </w:t>
            </w:r>
            <w:r>
              <w:rPr>
                <w:b/>
                <w:bCs/>
                <w:color w:val="000000"/>
                <w:sz w:val="20"/>
                <w:szCs w:val="20"/>
              </w:rPr>
              <w:t>exclude affected stakeholders/constituents, including vulnerable groups, from participating in policy decisions</w:t>
            </w:r>
            <w:r>
              <w:rPr>
                <w:color w:val="000000"/>
                <w:sz w:val="20"/>
                <w:szCs w:val="20"/>
              </w:rPr>
              <w:t xml:space="preserve"> that could impact on their lands, territories, and resources, increasing their vulnerability to climate change.</w:t>
            </w:r>
          </w:p>
          <w:p w14:paraId="680912CB" w14:textId="77777777" w:rsidR="00CF33D9" w:rsidRDefault="00CF33D9">
            <w:pPr>
              <w:pStyle w:val="TableParagraph"/>
              <w:spacing w:line="198" w:lineRule="exact"/>
              <w:rPr>
                <w:color w:val="000000"/>
                <w:sz w:val="20"/>
                <w:szCs w:val="20"/>
              </w:rPr>
            </w:pPr>
          </w:p>
          <w:p w14:paraId="680912CC" w14:textId="77777777" w:rsidR="00CF33D9" w:rsidRDefault="00E3332A">
            <w:pPr>
              <w:pStyle w:val="TableParagraph"/>
              <w:ind w:left="107"/>
              <w:rPr>
                <w:bCs/>
                <w:sz w:val="20"/>
                <w:szCs w:val="20"/>
              </w:rPr>
            </w:pPr>
            <w:r>
              <w:rPr>
                <w:bCs/>
                <w:sz w:val="20"/>
                <w:szCs w:val="20"/>
              </w:rPr>
              <w:t>Principle Leave No One Behind</w:t>
            </w:r>
          </w:p>
          <w:p w14:paraId="680912CD" w14:textId="77777777" w:rsidR="00CF33D9" w:rsidRDefault="00E3332A">
            <w:pPr>
              <w:pStyle w:val="TableParagraph"/>
              <w:ind w:left="107"/>
              <w:rPr>
                <w:bCs/>
                <w:sz w:val="20"/>
                <w:szCs w:val="20"/>
              </w:rPr>
            </w:pPr>
            <w:r>
              <w:rPr>
                <w:bCs/>
                <w:sz w:val="20"/>
                <w:szCs w:val="20"/>
              </w:rPr>
              <w:t>P4</w:t>
            </w:r>
          </w:p>
          <w:p w14:paraId="680912CE" w14:textId="77777777" w:rsidR="00CF33D9" w:rsidRDefault="00CF33D9">
            <w:pPr>
              <w:pStyle w:val="TableParagraph"/>
              <w:ind w:left="107"/>
              <w:rPr>
                <w:bCs/>
                <w:sz w:val="20"/>
                <w:szCs w:val="20"/>
              </w:rPr>
            </w:pPr>
          </w:p>
          <w:p w14:paraId="680912CF" w14:textId="77777777" w:rsidR="00CF33D9" w:rsidRDefault="00CF33D9">
            <w:pPr>
              <w:pStyle w:val="TableParagraph"/>
              <w:spacing w:line="198" w:lineRule="exact"/>
              <w:rPr>
                <w:b/>
                <w:bCs/>
                <w:color w:val="000000"/>
                <w:sz w:val="20"/>
                <w:szCs w:val="20"/>
              </w:rPr>
            </w:pPr>
          </w:p>
        </w:tc>
        <w:tc>
          <w:tcPr>
            <w:tcW w:w="1170" w:type="dxa"/>
          </w:tcPr>
          <w:p w14:paraId="680912D0" w14:textId="77777777" w:rsidR="00CF33D9" w:rsidRDefault="00E3332A">
            <w:pPr>
              <w:pStyle w:val="TableParagraph"/>
              <w:ind w:left="107"/>
              <w:rPr>
                <w:sz w:val="20"/>
                <w:szCs w:val="20"/>
              </w:rPr>
            </w:pPr>
            <w:r>
              <w:rPr>
                <w:sz w:val="20"/>
                <w:szCs w:val="20"/>
              </w:rPr>
              <w:t>I = 4</w:t>
            </w:r>
          </w:p>
          <w:p w14:paraId="680912D1" w14:textId="77777777" w:rsidR="00CF33D9" w:rsidRDefault="00E3332A">
            <w:pPr>
              <w:pStyle w:val="TableParagraph"/>
              <w:ind w:left="107"/>
              <w:rPr>
                <w:sz w:val="20"/>
                <w:szCs w:val="20"/>
              </w:rPr>
            </w:pPr>
            <w:r>
              <w:rPr>
                <w:sz w:val="20"/>
                <w:szCs w:val="20"/>
              </w:rPr>
              <w:t>L = 3</w:t>
            </w:r>
          </w:p>
        </w:tc>
        <w:tc>
          <w:tcPr>
            <w:tcW w:w="1350" w:type="dxa"/>
          </w:tcPr>
          <w:p w14:paraId="680912D2" w14:textId="77777777" w:rsidR="00CF33D9" w:rsidRDefault="00E3332A">
            <w:pPr>
              <w:pStyle w:val="TableParagraph"/>
              <w:ind w:left="107"/>
              <w:rPr>
                <w:sz w:val="20"/>
                <w:szCs w:val="20"/>
              </w:rPr>
            </w:pPr>
            <w:r>
              <w:rPr>
                <w:sz w:val="20"/>
                <w:szCs w:val="20"/>
              </w:rPr>
              <w:t>Substantial</w:t>
            </w:r>
          </w:p>
        </w:tc>
        <w:tc>
          <w:tcPr>
            <w:tcW w:w="2610" w:type="dxa"/>
            <w:gridSpan w:val="2"/>
          </w:tcPr>
          <w:p w14:paraId="680912D3" w14:textId="77777777" w:rsidR="00CF33D9" w:rsidRDefault="00CF33D9">
            <w:pPr>
              <w:pStyle w:val="TableParagraph"/>
              <w:ind w:left="107"/>
              <w:rPr>
                <w:color w:val="FF0000"/>
                <w:sz w:val="20"/>
                <w:szCs w:val="20"/>
              </w:rPr>
            </w:pPr>
          </w:p>
        </w:tc>
        <w:tc>
          <w:tcPr>
            <w:tcW w:w="4225" w:type="dxa"/>
            <w:gridSpan w:val="3"/>
          </w:tcPr>
          <w:p w14:paraId="680912D4" w14:textId="77777777" w:rsidR="00CF33D9" w:rsidRDefault="00E3332A">
            <w:pPr>
              <w:pStyle w:val="TableParagraph"/>
              <w:spacing w:line="198" w:lineRule="exact"/>
              <w:ind w:left="119"/>
              <w:rPr>
                <w:color w:val="000000"/>
                <w:sz w:val="20"/>
                <w:szCs w:val="20"/>
              </w:rPr>
            </w:pPr>
            <w:r>
              <w:rPr>
                <w:color w:val="000000"/>
                <w:sz w:val="20"/>
                <w:szCs w:val="20"/>
              </w:rPr>
              <w:t xml:space="preserve">The potential E&amp;S effects of the policy and legal frameworks of selected MPAs and coastal ecosystems of global importance will be assessed with </w:t>
            </w:r>
            <w:r>
              <w:rPr>
                <w:b/>
                <w:bCs/>
                <w:color w:val="000000"/>
                <w:sz w:val="20"/>
                <w:szCs w:val="20"/>
              </w:rPr>
              <w:t>Strategic Environmental and Social Assessment (SESA)</w:t>
            </w:r>
            <w:r>
              <w:rPr>
                <w:color w:val="000000"/>
                <w:sz w:val="20"/>
                <w:szCs w:val="20"/>
              </w:rPr>
              <w:t>, which will integrate analytic and participatory components. The information amassed in the TDA will be part of the SESA’s situation analysis, from which E&amp;S issues will be identified. Together with stakeholders, E&amp;S priorities will be selected and the institutional and organizational capacity to attend the priorities will be assessed. SESA recommendations will include policy options to improve MPAs governance and sustainability.</w:t>
            </w:r>
          </w:p>
          <w:p w14:paraId="680912D5" w14:textId="77777777" w:rsidR="00CF33D9" w:rsidRDefault="00CF33D9">
            <w:pPr>
              <w:pStyle w:val="TableParagraph"/>
              <w:spacing w:line="198" w:lineRule="exact"/>
              <w:ind w:left="119"/>
              <w:rPr>
                <w:color w:val="000000"/>
                <w:sz w:val="20"/>
                <w:szCs w:val="20"/>
              </w:rPr>
            </w:pPr>
          </w:p>
          <w:p w14:paraId="680912D6" w14:textId="77777777" w:rsidR="00CF33D9" w:rsidRDefault="00E3332A">
            <w:pPr>
              <w:ind w:left="113"/>
              <w:rPr>
                <w:rFonts w:ascii="Calibri" w:hAnsi="Calibri" w:cs="Calibri"/>
                <w:color w:val="000000"/>
                <w:sz w:val="20"/>
                <w:szCs w:val="20"/>
              </w:rPr>
            </w:pPr>
            <w:r>
              <w:rPr>
                <w:rFonts w:ascii="Calibri" w:hAnsi="Calibri" w:cs="Calibri"/>
                <w:color w:val="000000"/>
                <w:sz w:val="20"/>
                <w:szCs w:val="20"/>
              </w:rPr>
              <w:t>*Standard 6 has been triggered on a precautionary basis. Although no Indigenous peoples were identified in the</w:t>
            </w:r>
            <w:r>
              <w:rPr>
                <w:rStyle w:val="apple-converted-space"/>
                <w:rFonts w:ascii="Calibri" w:hAnsi="Calibri" w:cs="Calibri"/>
                <w:color w:val="000000"/>
                <w:sz w:val="20"/>
                <w:szCs w:val="20"/>
              </w:rPr>
              <w:t> </w:t>
            </w:r>
            <w:r>
              <w:rPr>
                <w:rFonts w:ascii="Calibri" w:hAnsi="Calibri" w:cs="Calibri"/>
                <w:b/>
                <w:bCs/>
                <w:color w:val="000000"/>
                <w:sz w:val="20"/>
                <w:szCs w:val="20"/>
              </w:rPr>
              <w:t>Stakeholder Analysis</w:t>
            </w:r>
            <w:r>
              <w:rPr>
                <w:rFonts w:ascii="Calibri" w:hAnsi="Calibri" w:cs="Calibri"/>
                <w:color w:val="000000"/>
                <w:sz w:val="20"/>
                <w:szCs w:val="20"/>
              </w:rPr>
              <w:t xml:space="preserve"> during PPG, a deeper analysis will be carried out before the project’s Inception. If Indigenous peoples are identified in the project’s area, in this analysis, an </w:t>
            </w:r>
            <w:r>
              <w:rPr>
                <w:rFonts w:ascii="Calibri" w:hAnsi="Calibri" w:cs="Calibri"/>
                <w:b/>
                <w:bCs/>
                <w:color w:val="000000"/>
                <w:sz w:val="20"/>
                <w:szCs w:val="20"/>
              </w:rPr>
              <w:t>Indigenous Peoples Planning Framework (IPPF) and Indigenous Peoples Plan (IPP)</w:t>
            </w:r>
            <w:r>
              <w:rPr>
                <w:rFonts w:ascii="Calibri" w:hAnsi="Calibri" w:cs="Calibri"/>
                <w:color w:val="000000"/>
                <w:sz w:val="20"/>
                <w:szCs w:val="20"/>
              </w:rPr>
              <w:t> will be included in the ESMF.</w:t>
            </w:r>
          </w:p>
          <w:p w14:paraId="680912D7" w14:textId="77777777" w:rsidR="00CF33D9" w:rsidRDefault="00CF33D9">
            <w:pPr>
              <w:pStyle w:val="TableParagraph"/>
              <w:spacing w:line="198" w:lineRule="exact"/>
              <w:ind w:left="119"/>
              <w:rPr>
                <w:color w:val="000000"/>
                <w:sz w:val="20"/>
                <w:szCs w:val="20"/>
              </w:rPr>
            </w:pPr>
          </w:p>
          <w:p w14:paraId="680912D8" w14:textId="77777777" w:rsidR="00CF33D9" w:rsidRDefault="00CF33D9">
            <w:pPr>
              <w:pStyle w:val="TableParagraph"/>
              <w:spacing w:line="198" w:lineRule="exact"/>
              <w:rPr>
                <w:sz w:val="20"/>
                <w:szCs w:val="20"/>
              </w:rPr>
            </w:pPr>
          </w:p>
        </w:tc>
      </w:tr>
      <w:tr w:rsidR="00CF33D9" w14:paraId="680912E8" w14:textId="77777777">
        <w:trPr>
          <w:cantSplit/>
          <w:trHeight w:val="217"/>
        </w:trPr>
        <w:tc>
          <w:tcPr>
            <w:tcW w:w="4253" w:type="dxa"/>
          </w:tcPr>
          <w:p w14:paraId="680912DA" w14:textId="77777777" w:rsidR="00CF33D9" w:rsidRDefault="00E3332A">
            <w:pPr>
              <w:pStyle w:val="TableParagraph"/>
              <w:spacing w:line="198" w:lineRule="exact"/>
              <w:ind w:left="90"/>
              <w:rPr>
                <w:b/>
                <w:bCs/>
                <w:color w:val="000000"/>
                <w:sz w:val="20"/>
                <w:szCs w:val="20"/>
              </w:rPr>
            </w:pPr>
            <w:r>
              <w:rPr>
                <w:b/>
                <w:bCs/>
                <w:color w:val="000000"/>
                <w:sz w:val="20"/>
                <w:szCs w:val="20"/>
              </w:rPr>
              <w:t xml:space="preserve">Risk 3  </w:t>
            </w:r>
          </w:p>
          <w:p w14:paraId="680912DB" w14:textId="77777777" w:rsidR="00CF33D9" w:rsidRDefault="00E3332A">
            <w:pPr>
              <w:pStyle w:val="TableParagraph"/>
              <w:spacing w:line="198" w:lineRule="exact"/>
              <w:ind w:left="90"/>
              <w:rPr>
                <w:color w:val="000000"/>
                <w:sz w:val="20"/>
                <w:szCs w:val="20"/>
              </w:rPr>
            </w:pPr>
            <w:r>
              <w:rPr>
                <w:color w:val="000000"/>
                <w:sz w:val="20"/>
                <w:szCs w:val="20"/>
              </w:rPr>
              <w:t xml:space="preserve">Certification requirements for fish and seafood products (Activity 2.1.3.3), as well as the market growth strategy and action plan (Activity 2.2.1.2) could lead to the </w:t>
            </w:r>
            <w:r>
              <w:rPr>
                <w:b/>
                <w:bCs/>
                <w:color w:val="000000"/>
                <w:sz w:val="20"/>
                <w:szCs w:val="20"/>
              </w:rPr>
              <w:t>exclusion of small-scale fisher groups (including women)</w:t>
            </w:r>
            <w:r>
              <w:rPr>
                <w:color w:val="000000"/>
                <w:sz w:val="20"/>
                <w:szCs w:val="20"/>
              </w:rPr>
              <w:t xml:space="preserve"> that don’t have the capacity to keep up with these requirements, leading to greater segregation and poverty levels. </w:t>
            </w:r>
          </w:p>
          <w:p w14:paraId="680912DC" w14:textId="77777777" w:rsidR="00CF33D9" w:rsidRDefault="00CF33D9">
            <w:pPr>
              <w:pStyle w:val="TableParagraph"/>
              <w:spacing w:line="198" w:lineRule="exact"/>
              <w:ind w:left="90"/>
              <w:rPr>
                <w:color w:val="000000"/>
                <w:sz w:val="20"/>
                <w:szCs w:val="20"/>
              </w:rPr>
            </w:pPr>
          </w:p>
          <w:p w14:paraId="680912DD" w14:textId="77777777" w:rsidR="00CF33D9" w:rsidRDefault="00E3332A">
            <w:pPr>
              <w:pStyle w:val="TableParagraph"/>
              <w:ind w:left="90"/>
              <w:rPr>
                <w:sz w:val="20"/>
                <w:szCs w:val="20"/>
              </w:rPr>
            </w:pPr>
            <w:r>
              <w:rPr>
                <w:sz w:val="20"/>
                <w:szCs w:val="20"/>
              </w:rPr>
              <w:t>Principle Leave No One Behind</w:t>
            </w:r>
          </w:p>
          <w:p w14:paraId="680912DE" w14:textId="77777777" w:rsidR="00CF33D9" w:rsidRDefault="00E3332A">
            <w:pPr>
              <w:pStyle w:val="TableParagraph"/>
              <w:ind w:left="90"/>
              <w:rPr>
                <w:sz w:val="20"/>
                <w:szCs w:val="20"/>
              </w:rPr>
            </w:pPr>
            <w:r>
              <w:rPr>
                <w:sz w:val="20"/>
                <w:szCs w:val="20"/>
              </w:rPr>
              <w:t>P5</w:t>
            </w:r>
          </w:p>
          <w:p w14:paraId="680912DF" w14:textId="77777777" w:rsidR="00CF33D9" w:rsidRDefault="00CF33D9">
            <w:pPr>
              <w:pStyle w:val="TableParagraph"/>
              <w:ind w:left="107"/>
              <w:rPr>
                <w:color w:val="000000"/>
                <w:sz w:val="20"/>
                <w:szCs w:val="20"/>
              </w:rPr>
            </w:pPr>
          </w:p>
        </w:tc>
        <w:tc>
          <w:tcPr>
            <w:tcW w:w="1170" w:type="dxa"/>
          </w:tcPr>
          <w:p w14:paraId="680912E0" w14:textId="77777777" w:rsidR="00CF33D9" w:rsidRDefault="00E3332A">
            <w:pPr>
              <w:pStyle w:val="TableParagraph"/>
              <w:ind w:left="107"/>
              <w:rPr>
                <w:sz w:val="20"/>
                <w:szCs w:val="20"/>
              </w:rPr>
            </w:pPr>
            <w:r>
              <w:rPr>
                <w:sz w:val="20"/>
                <w:szCs w:val="20"/>
              </w:rPr>
              <w:t>I = 4</w:t>
            </w:r>
          </w:p>
          <w:p w14:paraId="680912E1" w14:textId="77777777" w:rsidR="00CF33D9" w:rsidRDefault="00E3332A">
            <w:pPr>
              <w:pStyle w:val="TableParagraph"/>
              <w:ind w:left="107"/>
              <w:rPr>
                <w:sz w:val="20"/>
                <w:szCs w:val="20"/>
              </w:rPr>
            </w:pPr>
            <w:r>
              <w:rPr>
                <w:sz w:val="20"/>
                <w:szCs w:val="20"/>
              </w:rPr>
              <w:t>L = 3</w:t>
            </w:r>
          </w:p>
        </w:tc>
        <w:tc>
          <w:tcPr>
            <w:tcW w:w="1350" w:type="dxa"/>
          </w:tcPr>
          <w:p w14:paraId="680912E2" w14:textId="77777777" w:rsidR="00CF33D9" w:rsidRDefault="00E3332A">
            <w:pPr>
              <w:pStyle w:val="TableParagraph"/>
              <w:jc w:val="center"/>
              <w:rPr>
                <w:sz w:val="20"/>
                <w:szCs w:val="20"/>
              </w:rPr>
            </w:pPr>
            <w:r>
              <w:rPr>
                <w:sz w:val="20"/>
                <w:szCs w:val="20"/>
              </w:rPr>
              <w:t>Substantial</w:t>
            </w:r>
          </w:p>
        </w:tc>
        <w:tc>
          <w:tcPr>
            <w:tcW w:w="2610" w:type="dxa"/>
            <w:gridSpan w:val="2"/>
          </w:tcPr>
          <w:p w14:paraId="680912E3" w14:textId="77777777" w:rsidR="00CF33D9" w:rsidRDefault="00CF33D9">
            <w:pPr>
              <w:pStyle w:val="TableParagraph"/>
              <w:ind w:left="107"/>
              <w:rPr>
                <w:sz w:val="20"/>
                <w:szCs w:val="20"/>
              </w:rPr>
            </w:pPr>
          </w:p>
        </w:tc>
        <w:tc>
          <w:tcPr>
            <w:tcW w:w="4225" w:type="dxa"/>
            <w:gridSpan w:val="3"/>
          </w:tcPr>
          <w:p w14:paraId="680912E4" w14:textId="77777777" w:rsidR="00CF33D9" w:rsidRDefault="00E3332A">
            <w:pPr>
              <w:pStyle w:val="TableParagraph"/>
              <w:ind w:left="107" w:right="139"/>
              <w:rPr>
                <w:sz w:val="20"/>
                <w:szCs w:val="20"/>
              </w:rPr>
            </w:pPr>
            <w:r>
              <w:rPr>
                <w:sz w:val="20"/>
                <w:szCs w:val="20"/>
              </w:rPr>
              <w:t xml:space="preserve">As part of the </w:t>
            </w:r>
            <w:r>
              <w:rPr>
                <w:b/>
                <w:bCs/>
                <w:sz w:val="20"/>
                <w:szCs w:val="20"/>
              </w:rPr>
              <w:t>SESA,</w:t>
            </w:r>
            <w:r>
              <w:rPr>
                <w:sz w:val="20"/>
                <w:szCs w:val="20"/>
              </w:rPr>
              <w:t xml:space="preserve"> a Distributional Analysis</w:t>
            </w:r>
            <w:r>
              <w:rPr>
                <w:color w:val="4D5156"/>
                <w:sz w:val="20"/>
                <w:szCs w:val="20"/>
                <w:shd w:val="clear" w:color="auto" w:fill="FFFFFF"/>
              </w:rPr>
              <w:t xml:space="preserve"> </w:t>
            </w:r>
            <w:r>
              <w:rPr>
                <w:sz w:val="20"/>
                <w:szCs w:val="20"/>
              </w:rPr>
              <w:t>will be carried out to better understand and assess how the certification requirements could affect small-scale fishers (men and women). Based on this analysis, the SESA will include options to mitigate potential inequalities will be established.</w:t>
            </w:r>
          </w:p>
          <w:p w14:paraId="680912E5" w14:textId="77777777" w:rsidR="00CF33D9" w:rsidRDefault="00CF33D9">
            <w:pPr>
              <w:pStyle w:val="TableParagraph"/>
              <w:ind w:left="107" w:right="139"/>
              <w:jc w:val="both"/>
              <w:rPr>
                <w:sz w:val="20"/>
                <w:szCs w:val="20"/>
              </w:rPr>
            </w:pPr>
          </w:p>
          <w:p w14:paraId="680912E6" w14:textId="77777777" w:rsidR="00CF33D9" w:rsidRDefault="00CF33D9">
            <w:pPr>
              <w:pStyle w:val="TableParagraph"/>
              <w:ind w:left="107" w:right="139"/>
              <w:jc w:val="both"/>
              <w:rPr>
                <w:sz w:val="20"/>
                <w:szCs w:val="20"/>
              </w:rPr>
            </w:pPr>
          </w:p>
          <w:p w14:paraId="680912E7" w14:textId="77777777" w:rsidR="00CF33D9" w:rsidRDefault="00CF33D9">
            <w:pPr>
              <w:pStyle w:val="TableParagraph"/>
              <w:ind w:left="107" w:right="139"/>
              <w:jc w:val="both"/>
              <w:rPr>
                <w:sz w:val="20"/>
                <w:szCs w:val="20"/>
              </w:rPr>
            </w:pPr>
          </w:p>
        </w:tc>
      </w:tr>
      <w:tr w:rsidR="00CF33D9" w14:paraId="680912F9" w14:textId="77777777">
        <w:trPr>
          <w:cantSplit/>
          <w:trHeight w:val="438"/>
        </w:trPr>
        <w:tc>
          <w:tcPr>
            <w:tcW w:w="4253" w:type="dxa"/>
          </w:tcPr>
          <w:p w14:paraId="680912E9" w14:textId="77777777" w:rsidR="00CF33D9" w:rsidRDefault="00E3332A">
            <w:pPr>
              <w:ind w:firstLine="142"/>
              <w:rPr>
                <w:rFonts w:ascii="Calibri" w:hAnsi="Calibri" w:cs="Calibri"/>
                <w:color w:val="000000"/>
                <w:sz w:val="20"/>
                <w:szCs w:val="20"/>
              </w:rPr>
            </w:pPr>
            <w:r>
              <w:rPr>
                <w:rFonts w:ascii="Calibri" w:hAnsi="Calibri" w:cs="Calibri"/>
                <w:b/>
                <w:bCs/>
                <w:color w:val="000000"/>
                <w:sz w:val="20"/>
                <w:szCs w:val="20"/>
              </w:rPr>
              <w:lastRenderedPageBreak/>
              <w:t>Risk 4 </w:t>
            </w:r>
          </w:p>
          <w:p w14:paraId="680912EA" w14:textId="77777777" w:rsidR="00CF33D9" w:rsidRDefault="00E3332A">
            <w:pPr>
              <w:ind w:left="142"/>
              <w:rPr>
                <w:rFonts w:ascii="Calibri" w:hAnsi="Calibri" w:cs="Calibri"/>
                <w:color w:val="000000"/>
                <w:sz w:val="20"/>
                <w:szCs w:val="20"/>
              </w:rPr>
            </w:pPr>
            <w:r>
              <w:rPr>
                <w:rFonts w:ascii="Calibri" w:hAnsi="Calibri" w:cs="Calibri"/>
                <w:color w:val="000000"/>
                <w:sz w:val="20"/>
                <w:szCs w:val="20"/>
              </w:rPr>
              <w:t>Enhancing management plans of selected MPAs (Activity 1.1.2); implementing sustainable and climate-resilient mariculture opportunities and exploitation of other living marine resources (2.1.2.3); and implementing alternative livelihoods linked to pollution management activities (Activity 3.2.1.1 [coastal pilot in South Africa] and 3.2.1.3) could restrict access to resources and cause</w:t>
            </w:r>
            <w:r>
              <w:rPr>
                <w:rStyle w:val="apple-converted-space"/>
                <w:rFonts w:ascii="Calibri" w:hAnsi="Calibri" w:cs="Calibri"/>
                <w:color w:val="000000"/>
                <w:sz w:val="20"/>
                <w:szCs w:val="20"/>
              </w:rPr>
              <w:t> </w:t>
            </w:r>
            <w:r>
              <w:rPr>
                <w:rFonts w:ascii="Calibri" w:hAnsi="Calibri" w:cs="Calibri"/>
                <w:b/>
                <w:bCs/>
                <w:color w:val="000000"/>
                <w:sz w:val="20"/>
                <w:szCs w:val="20"/>
              </w:rPr>
              <w:t>economic displacement</w:t>
            </w:r>
            <w:r>
              <w:rPr>
                <w:rFonts w:ascii="Calibri" w:hAnsi="Calibri" w:cs="Calibri"/>
                <w:color w:val="000000"/>
                <w:sz w:val="20"/>
                <w:szCs w:val="20"/>
              </w:rPr>
              <w:t xml:space="preserve">, impacting on the the subsistence economies of communities, including vulnerable groups.. </w:t>
            </w:r>
          </w:p>
          <w:p w14:paraId="680912EB" w14:textId="77777777" w:rsidR="00CF33D9" w:rsidRDefault="00E3332A">
            <w:pPr>
              <w:ind w:firstLine="142"/>
              <w:rPr>
                <w:rFonts w:ascii="Calibri" w:hAnsi="Calibri" w:cs="Calibri"/>
                <w:color w:val="000000"/>
                <w:sz w:val="20"/>
                <w:szCs w:val="20"/>
              </w:rPr>
            </w:pPr>
            <w:r>
              <w:rPr>
                <w:rFonts w:ascii="Calibri" w:hAnsi="Calibri" w:cs="Calibri"/>
                <w:color w:val="000000"/>
                <w:sz w:val="20"/>
                <w:szCs w:val="20"/>
              </w:rPr>
              <w:t>Standard 5: Displacement and Resettlement</w:t>
            </w:r>
          </w:p>
          <w:p w14:paraId="680912EC" w14:textId="77777777" w:rsidR="00CF33D9" w:rsidRDefault="00E3332A">
            <w:pPr>
              <w:ind w:firstLine="142"/>
              <w:rPr>
                <w:rFonts w:ascii="Calibri" w:hAnsi="Calibri" w:cs="Calibri"/>
                <w:color w:val="000000"/>
                <w:sz w:val="20"/>
                <w:szCs w:val="20"/>
              </w:rPr>
            </w:pPr>
            <w:r>
              <w:rPr>
                <w:rFonts w:ascii="Calibri" w:hAnsi="Calibri" w:cs="Calibri"/>
                <w:color w:val="000000"/>
                <w:sz w:val="20"/>
                <w:szCs w:val="20"/>
              </w:rPr>
              <w:t>5.2</w:t>
            </w:r>
          </w:p>
          <w:p w14:paraId="680912ED" w14:textId="77777777" w:rsidR="00CF33D9" w:rsidRDefault="00CF33D9">
            <w:pPr>
              <w:ind w:firstLine="142"/>
              <w:rPr>
                <w:rFonts w:ascii="Calibri" w:hAnsi="Calibri" w:cs="Calibri"/>
                <w:sz w:val="20"/>
                <w:szCs w:val="20"/>
              </w:rPr>
            </w:pPr>
          </w:p>
        </w:tc>
        <w:tc>
          <w:tcPr>
            <w:tcW w:w="1170" w:type="dxa"/>
          </w:tcPr>
          <w:p w14:paraId="680912EE" w14:textId="77777777" w:rsidR="00CF33D9" w:rsidRDefault="00E3332A">
            <w:pPr>
              <w:pStyle w:val="TableParagraph"/>
              <w:ind w:left="107"/>
              <w:rPr>
                <w:sz w:val="20"/>
                <w:szCs w:val="20"/>
              </w:rPr>
            </w:pPr>
            <w:r>
              <w:rPr>
                <w:sz w:val="20"/>
                <w:szCs w:val="20"/>
              </w:rPr>
              <w:t>I = 4</w:t>
            </w:r>
          </w:p>
          <w:p w14:paraId="680912EF" w14:textId="77777777" w:rsidR="00CF33D9" w:rsidRDefault="00E3332A">
            <w:pPr>
              <w:pStyle w:val="TableParagraph"/>
              <w:ind w:left="107"/>
              <w:rPr>
                <w:sz w:val="20"/>
                <w:szCs w:val="20"/>
              </w:rPr>
            </w:pPr>
            <w:r>
              <w:rPr>
                <w:sz w:val="20"/>
                <w:szCs w:val="20"/>
              </w:rPr>
              <w:t>L = 3</w:t>
            </w:r>
          </w:p>
        </w:tc>
        <w:tc>
          <w:tcPr>
            <w:tcW w:w="1350" w:type="dxa"/>
          </w:tcPr>
          <w:p w14:paraId="680912F0" w14:textId="77777777" w:rsidR="00CF33D9" w:rsidRDefault="00E3332A">
            <w:pPr>
              <w:pStyle w:val="TableParagraph"/>
              <w:ind w:left="107"/>
              <w:rPr>
                <w:sz w:val="20"/>
                <w:szCs w:val="20"/>
              </w:rPr>
            </w:pPr>
            <w:r>
              <w:rPr>
                <w:sz w:val="20"/>
                <w:szCs w:val="20"/>
              </w:rPr>
              <w:t>Substantial</w:t>
            </w:r>
          </w:p>
        </w:tc>
        <w:tc>
          <w:tcPr>
            <w:tcW w:w="2610" w:type="dxa"/>
            <w:gridSpan w:val="2"/>
          </w:tcPr>
          <w:p w14:paraId="680912F1" w14:textId="77777777" w:rsidR="00CF33D9" w:rsidRDefault="00CF33D9">
            <w:pPr>
              <w:pStyle w:val="TableParagraph"/>
              <w:ind w:left="107"/>
              <w:rPr>
                <w:sz w:val="20"/>
                <w:szCs w:val="20"/>
              </w:rPr>
            </w:pPr>
          </w:p>
        </w:tc>
        <w:tc>
          <w:tcPr>
            <w:tcW w:w="4225" w:type="dxa"/>
            <w:gridSpan w:val="3"/>
          </w:tcPr>
          <w:p w14:paraId="680912F2" w14:textId="77777777" w:rsidR="00CF33D9" w:rsidRDefault="00E3332A">
            <w:pPr>
              <w:ind w:left="113"/>
              <w:rPr>
                <w:rFonts w:ascii="Calibri" w:hAnsi="Calibri" w:cs="Calibri"/>
                <w:color w:val="000000"/>
                <w:sz w:val="20"/>
                <w:szCs w:val="20"/>
              </w:rPr>
            </w:pPr>
            <w:r>
              <w:rPr>
                <w:rFonts w:ascii="Calibri" w:hAnsi="Calibri" w:cs="Calibri"/>
                <w:b/>
                <w:bCs/>
                <w:color w:val="000000"/>
                <w:sz w:val="20"/>
                <w:szCs w:val="20"/>
              </w:rPr>
              <w:t>ESIA/ESMP</w:t>
            </w:r>
            <w:r>
              <w:rPr>
                <w:rStyle w:val="apple-converted-space"/>
                <w:rFonts w:ascii="Calibri" w:hAnsi="Calibri" w:cs="Calibri"/>
                <w:color w:val="000000"/>
                <w:sz w:val="20"/>
                <w:szCs w:val="20"/>
              </w:rPr>
              <w:t> </w:t>
            </w:r>
            <w:r>
              <w:rPr>
                <w:rFonts w:ascii="Calibri" w:hAnsi="Calibri" w:cs="Calibri"/>
                <w:color w:val="000000"/>
                <w:sz w:val="20"/>
                <w:szCs w:val="20"/>
              </w:rPr>
              <w:t>will be developed once the final decision on the selected sites and demonstration activities is reached during the inception phase. The baseline study of the ESIA will identify the individuals who would be adversely affected by these project activities, not only in terms of their traditional subsistence practices but also in terms of their traditional knowledge and use of ritual space in the restricted areas.</w:t>
            </w:r>
          </w:p>
          <w:p w14:paraId="680912F3" w14:textId="77777777" w:rsidR="00CF33D9" w:rsidRDefault="00E3332A">
            <w:pPr>
              <w:rPr>
                <w:rFonts w:ascii="Calibri" w:hAnsi="Calibri" w:cs="Calibri"/>
                <w:color w:val="000000"/>
                <w:sz w:val="20"/>
                <w:szCs w:val="20"/>
              </w:rPr>
            </w:pPr>
            <w:r>
              <w:rPr>
                <w:rFonts w:ascii="Calibri" w:hAnsi="Calibri" w:cs="Calibri"/>
                <w:color w:val="000000"/>
                <w:sz w:val="20"/>
                <w:szCs w:val="20"/>
              </w:rPr>
              <w:t> </w:t>
            </w:r>
          </w:p>
          <w:p w14:paraId="680912F4" w14:textId="77777777" w:rsidR="00CF33D9" w:rsidRDefault="00E3332A">
            <w:pPr>
              <w:ind w:left="113"/>
              <w:rPr>
                <w:rFonts w:ascii="Calibri" w:hAnsi="Calibri" w:cs="Calibri"/>
                <w:color w:val="000000"/>
                <w:sz w:val="20"/>
                <w:szCs w:val="20"/>
              </w:rPr>
            </w:pPr>
            <w:r>
              <w:rPr>
                <w:rFonts w:ascii="Calibri" w:hAnsi="Calibri" w:cs="Calibri"/>
                <w:color w:val="000000"/>
                <w:sz w:val="20"/>
                <w:szCs w:val="20"/>
              </w:rPr>
              <w:t>*Standard 6 has been triggered on a precautionary basis. Although no Indigenous peoples were identified in the</w:t>
            </w:r>
            <w:r>
              <w:rPr>
                <w:rStyle w:val="apple-converted-space"/>
                <w:rFonts w:ascii="Calibri" w:hAnsi="Calibri" w:cs="Calibri"/>
                <w:color w:val="000000"/>
                <w:sz w:val="20"/>
                <w:szCs w:val="20"/>
              </w:rPr>
              <w:t> </w:t>
            </w:r>
            <w:r>
              <w:rPr>
                <w:rFonts w:ascii="Calibri" w:hAnsi="Calibri" w:cs="Calibri"/>
                <w:b/>
                <w:bCs/>
                <w:color w:val="000000"/>
                <w:sz w:val="20"/>
                <w:szCs w:val="20"/>
              </w:rPr>
              <w:t>Stakeholder Analysis</w:t>
            </w:r>
            <w:r>
              <w:rPr>
                <w:rFonts w:ascii="Calibri" w:hAnsi="Calibri" w:cs="Calibri"/>
                <w:color w:val="000000"/>
                <w:sz w:val="20"/>
                <w:szCs w:val="20"/>
              </w:rPr>
              <w:t xml:space="preserve"> during PPG, a deeper analysis will be carried out before the project’s Inception. If Indigenous peoples are identified in the project’s area, in this analysis, an </w:t>
            </w:r>
            <w:r>
              <w:rPr>
                <w:rFonts w:ascii="Calibri" w:hAnsi="Calibri" w:cs="Calibri"/>
                <w:b/>
                <w:bCs/>
                <w:color w:val="000000"/>
                <w:sz w:val="20"/>
                <w:szCs w:val="20"/>
              </w:rPr>
              <w:t>Indigenous Peoples Planning Framework (IPPF) and Indigenous Peoples Plan (IPP)</w:t>
            </w:r>
            <w:r>
              <w:rPr>
                <w:rFonts w:ascii="Calibri" w:hAnsi="Calibri" w:cs="Calibri"/>
                <w:color w:val="000000"/>
                <w:sz w:val="20"/>
                <w:szCs w:val="20"/>
              </w:rPr>
              <w:t> will be included in the ESMF.</w:t>
            </w:r>
          </w:p>
          <w:p w14:paraId="680912F5" w14:textId="77777777" w:rsidR="00CF33D9" w:rsidRDefault="00E3332A">
            <w:pPr>
              <w:rPr>
                <w:rFonts w:ascii="Calibri" w:hAnsi="Calibri" w:cs="Calibri"/>
                <w:color w:val="000000"/>
                <w:sz w:val="20"/>
                <w:szCs w:val="20"/>
              </w:rPr>
            </w:pPr>
            <w:r>
              <w:rPr>
                <w:rFonts w:ascii="Calibri" w:hAnsi="Calibri" w:cs="Calibri"/>
                <w:color w:val="000000"/>
                <w:sz w:val="20"/>
                <w:szCs w:val="20"/>
              </w:rPr>
              <w:t> </w:t>
            </w:r>
          </w:p>
          <w:p w14:paraId="680912F6" w14:textId="77777777" w:rsidR="00CF33D9" w:rsidRDefault="00E3332A">
            <w:pPr>
              <w:ind w:left="113"/>
              <w:rPr>
                <w:rFonts w:ascii="Calibri" w:hAnsi="Calibri" w:cs="Calibri"/>
                <w:color w:val="000000"/>
                <w:sz w:val="20"/>
                <w:szCs w:val="20"/>
              </w:rPr>
            </w:pPr>
            <w:r>
              <w:rPr>
                <w:rFonts w:ascii="Calibri" w:hAnsi="Calibri" w:cs="Calibri"/>
                <w:color w:val="000000"/>
                <w:sz w:val="20"/>
                <w:szCs w:val="20"/>
              </w:rPr>
              <w:t>In cases where restrictions to access resources within MPA are planned, a</w:t>
            </w:r>
            <w:r>
              <w:rPr>
                <w:rStyle w:val="apple-converted-space"/>
                <w:rFonts w:ascii="Calibri" w:hAnsi="Calibri" w:cs="Calibri"/>
                <w:color w:val="000000"/>
                <w:sz w:val="20"/>
                <w:szCs w:val="20"/>
              </w:rPr>
              <w:t> </w:t>
            </w:r>
            <w:r>
              <w:rPr>
                <w:rFonts w:ascii="Calibri" w:hAnsi="Calibri" w:cs="Calibri"/>
                <w:b/>
                <w:bCs/>
                <w:color w:val="000000"/>
                <w:sz w:val="20"/>
                <w:szCs w:val="20"/>
              </w:rPr>
              <w:t>Process Framework</w:t>
            </w:r>
            <w:r>
              <w:rPr>
                <w:rFonts w:ascii="Calibri" w:hAnsi="Calibri" w:cs="Calibri"/>
                <w:color w:val="000000"/>
                <w:sz w:val="20"/>
                <w:szCs w:val="20"/>
              </w:rPr>
              <w:t> will be implemented to establish dialogue and negotiation with local communities. The PF will be the basis for preparing a</w:t>
            </w:r>
            <w:r>
              <w:rPr>
                <w:rStyle w:val="apple-converted-space"/>
                <w:rFonts w:ascii="Calibri" w:hAnsi="Calibri" w:cs="Calibri"/>
                <w:color w:val="000000"/>
                <w:sz w:val="20"/>
                <w:szCs w:val="20"/>
              </w:rPr>
              <w:t> </w:t>
            </w:r>
            <w:r>
              <w:rPr>
                <w:rFonts w:ascii="Calibri" w:hAnsi="Calibri" w:cs="Calibri"/>
                <w:b/>
                <w:bCs/>
                <w:color w:val="000000"/>
                <w:sz w:val="20"/>
                <w:szCs w:val="20"/>
              </w:rPr>
              <w:t>Livelihood Action Plan (LAP)</w:t>
            </w:r>
            <w:r>
              <w:rPr>
                <w:rFonts w:ascii="Calibri" w:hAnsi="Calibri" w:cs="Calibri"/>
                <w:color w:val="000000"/>
                <w:sz w:val="20"/>
                <w:szCs w:val="20"/>
              </w:rPr>
              <w:t>. Economic displacement outside MPAs will be managed through a LAP. The LAP will include compensation packages for affected individuals, ensuring the same or better income and livelihood status.</w:t>
            </w:r>
          </w:p>
          <w:p w14:paraId="680912F7" w14:textId="77777777" w:rsidR="00CF33D9" w:rsidRDefault="00E3332A">
            <w:pPr>
              <w:ind w:left="113"/>
              <w:rPr>
                <w:rFonts w:ascii="Calibri" w:hAnsi="Calibri" w:cs="Calibri"/>
                <w:color w:val="000000"/>
                <w:sz w:val="20"/>
                <w:szCs w:val="20"/>
              </w:rPr>
            </w:pPr>
            <w:r>
              <w:rPr>
                <w:rFonts w:ascii="Calibri" w:hAnsi="Calibri" w:cs="Calibri"/>
                <w:color w:val="000000"/>
                <w:sz w:val="20"/>
                <w:szCs w:val="20"/>
              </w:rPr>
              <w:t>To understand and assess these potential impacts on the intangible cultural component further, an</w:t>
            </w:r>
            <w:r>
              <w:rPr>
                <w:rStyle w:val="apple-converted-space"/>
                <w:rFonts w:ascii="Calibri" w:hAnsi="Calibri" w:cs="Calibri"/>
                <w:color w:val="000000"/>
                <w:sz w:val="20"/>
                <w:szCs w:val="20"/>
              </w:rPr>
              <w:t> </w:t>
            </w:r>
            <w:r>
              <w:rPr>
                <w:rFonts w:ascii="Calibri" w:hAnsi="Calibri" w:cs="Calibri"/>
                <w:b/>
                <w:bCs/>
                <w:color w:val="000000"/>
                <w:sz w:val="20"/>
                <w:szCs w:val="20"/>
              </w:rPr>
              <w:t>intangible Cultural Heritage Impact Assessment (CHIA)</w:t>
            </w:r>
            <w:r>
              <w:rPr>
                <w:rFonts w:ascii="Calibri" w:hAnsi="Calibri" w:cs="Calibri"/>
                <w:color w:val="000000"/>
                <w:sz w:val="20"/>
                <w:szCs w:val="20"/>
              </w:rPr>
              <w:t> will be carried out. The</w:t>
            </w:r>
            <w:r>
              <w:rPr>
                <w:rStyle w:val="apple-converted-space"/>
                <w:rFonts w:ascii="Calibri" w:hAnsi="Calibri" w:cs="Calibri"/>
                <w:color w:val="000000"/>
                <w:sz w:val="20"/>
                <w:szCs w:val="20"/>
              </w:rPr>
              <w:t> </w:t>
            </w:r>
            <w:r>
              <w:rPr>
                <w:rFonts w:ascii="Calibri" w:hAnsi="Calibri" w:cs="Calibri"/>
                <w:b/>
                <w:bCs/>
                <w:color w:val="000000"/>
                <w:sz w:val="20"/>
                <w:szCs w:val="20"/>
              </w:rPr>
              <w:t>Cultural Heritage Management Plan (CHMP)</w:t>
            </w:r>
            <w:r>
              <w:rPr>
                <w:rStyle w:val="apple-converted-space"/>
                <w:rFonts w:ascii="Calibri" w:hAnsi="Calibri" w:cs="Calibri"/>
                <w:b/>
                <w:bCs/>
                <w:color w:val="000000"/>
                <w:sz w:val="20"/>
                <w:szCs w:val="20"/>
              </w:rPr>
              <w:t> </w:t>
            </w:r>
            <w:r>
              <w:rPr>
                <w:rFonts w:ascii="Calibri" w:hAnsi="Calibri" w:cs="Calibri"/>
                <w:color w:val="000000"/>
                <w:sz w:val="20"/>
                <w:szCs w:val="20"/>
              </w:rPr>
              <w:t>will include the appropriate management measures.</w:t>
            </w:r>
          </w:p>
          <w:p w14:paraId="680912F8" w14:textId="77777777" w:rsidR="00CF33D9" w:rsidRDefault="00CF33D9">
            <w:pPr>
              <w:pStyle w:val="TableParagraph"/>
              <w:rPr>
                <w:sz w:val="20"/>
                <w:szCs w:val="20"/>
              </w:rPr>
            </w:pPr>
          </w:p>
        </w:tc>
      </w:tr>
      <w:tr w:rsidR="00CF33D9" w14:paraId="6809130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4253" w:type="dxa"/>
          </w:tcPr>
          <w:p w14:paraId="680912FA" w14:textId="77777777" w:rsidR="00CF33D9" w:rsidRDefault="00E3332A">
            <w:pPr>
              <w:pStyle w:val="TableParagraph"/>
              <w:rPr>
                <w:b/>
                <w:bCs/>
                <w:sz w:val="20"/>
                <w:szCs w:val="20"/>
              </w:rPr>
            </w:pPr>
            <w:r>
              <w:rPr>
                <w:b/>
                <w:bCs/>
                <w:sz w:val="20"/>
                <w:szCs w:val="20"/>
              </w:rPr>
              <w:lastRenderedPageBreak/>
              <w:t xml:space="preserve">Risk 5  </w:t>
            </w:r>
          </w:p>
          <w:p w14:paraId="680912FB" w14:textId="77777777" w:rsidR="00CF33D9" w:rsidRDefault="00E3332A">
            <w:pPr>
              <w:pStyle w:val="TableParagraph"/>
              <w:rPr>
                <w:sz w:val="20"/>
                <w:szCs w:val="20"/>
              </w:rPr>
            </w:pPr>
            <w:r>
              <w:rPr>
                <w:sz w:val="20"/>
                <w:szCs w:val="20"/>
              </w:rPr>
              <w:t xml:space="preserve">The identification of the best suitable option for management plans of selected MPAs (Activity 1.2.2.1), the establishment of a multinational transboundary committee (Activity 2.1.1.2), the drafting of bilateral agreements (2.1.1.3) and the development of Blue Carbon finance mechanisms (Output 4.2.3) could lead to the </w:t>
            </w:r>
            <w:r>
              <w:rPr>
                <w:b/>
                <w:bCs/>
                <w:sz w:val="20"/>
                <w:szCs w:val="20"/>
              </w:rPr>
              <w:t>exclusion of vulnerable groups</w:t>
            </w:r>
            <w:r>
              <w:rPr>
                <w:sz w:val="20"/>
                <w:szCs w:val="20"/>
              </w:rPr>
              <w:t xml:space="preserve">, preventing them from accessing the project’s benefits. </w:t>
            </w:r>
          </w:p>
          <w:p w14:paraId="680912FC" w14:textId="77777777" w:rsidR="00CF33D9" w:rsidRDefault="00CF33D9">
            <w:pPr>
              <w:pStyle w:val="TableParagraph"/>
              <w:rPr>
                <w:sz w:val="20"/>
                <w:szCs w:val="20"/>
              </w:rPr>
            </w:pPr>
            <w:bookmarkStart w:id="39" w:name="_Hlk90348472"/>
          </w:p>
          <w:p w14:paraId="680912FD" w14:textId="77777777" w:rsidR="00CF33D9" w:rsidRDefault="00E3332A">
            <w:pPr>
              <w:pStyle w:val="TableParagraph"/>
              <w:ind w:left="-18"/>
              <w:rPr>
                <w:sz w:val="20"/>
                <w:szCs w:val="20"/>
              </w:rPr>
            </w:pPr>
            <w:r>
              <w:rPr>
                <w:sz w:val="20"/>
                <w:szCs w:val="20"/>
              </w:rPr>
              <w:t>Principle: Accountability</w:t>
            </w:r>
          </w:p>
          <w:p w14:paraId="680912FE" w14:textId="77777777" w:rsidR="00CF33D9" w:rsidRDefault="00E3332A">
            <w:pPr>
              <w:pStyle w:val="TableParagraph"/>
              <w:rPr>
                <w:sz w:val="20"/>
                <w:szCs w:val="20"/>
              </w:rPr>
            </w:pPr>
            <w:r>
              <w:rPr>
                <w:sz w:val="20"/>
                <w:szCs w:val="20"/>
              </w:rPr>
              <w:t>P.13</w:t>
            </w:r>
          </w:p>
          <w:bookmarkEnd w:id="39"/>
          <w:p w14:paraId="680912FF" w14:textId="77777777" w:rsidR="00CF33D9" w:rsidRDefault="00CF33D9">
            <w:pPr>
              <w:pStyle w:val="TableParagraph"/>
              <w:ind w:left="107"/>
              <w:rPr>
                <w:b/>
                <w:bCs/>
                <w:sz w:val="20"/>
                <w:szCs w:val="20"/>
                <w:lang w:val="fr-FR"/>
              </w:rPr>
            </w:pPr>
          </w:p>
        </w:tc>
        <w:tc>
          <w:tcPr>
            <w:tcW w:w="1170" w:type="dxa"/>
          </w:tcPr>
          <w:p w14:paraId="68091300" w14:textId="77777777" w:rsidR="00CF33D9" w:rsidRDefault="00E3332A">
            <w:pPr>
              <w:pStyle w:val="TableParagraph"/>
              <w:ind w:left="107"/>
              <w:rPr>
                <w:sz w:val="20"/>
                <w:szCs w:val="20"/>
              </w:rPr>
            </w:pPr>
            <w:r>
              <w:rPr>
                <w:sz w:val="20"/>
                <w:szCs w:val="20"/>
              </w:rPr>
              <w:t>I = 3</w:t>
            </w:r>
          </w:p>
          <w:p w14:paraId="68091301" w14:textId="77777777" w:rsidR="00CF33D9" w:rsidRDefault="00E3332A">
            <w:pPr>
              <w:pStyle w:val="TableParagraph"/>
              <w:ind w:left="107"/>
              <w:rPr>
                <w:sz w:val="20"/>
                <w:szCs w:val="20"/>
              </w:rPr>
            </w:pPr>
            <w:r>
              <w:rPr>
                <w:sz w:val="20"/>
                <w:szCs w:val="20"/>
              </w:rPr>
              <w:t>L = 3</w:t>
            </w:r>
          </w:p>
        </w:tc>
        <w:tc>
          <w:tcPr>
            <w:tcW w:w="1350" w:type="dxa"/>
          </w:tcPr>
          <w:p w14:paraId="68091302" w14:textId="77777777" w:rsidR="00CF33D9" w:rsidRDefault="00E3332A">
            <w:pPr>
              <w:pStyle w:val="TableParagraph"/>
              <w:ind w:left="107"/>
              <w:rPr>
                <w:sz w:val="20"/>
                <w:szCs w:val="20"/>
              </w:rPr>
            </w:pPr>
            <w:r>
              <w:rPr>
                <w:sz w:val="20"/>
                <w:szCs w:val="20"/>
              </w:rPr>
              <w:t>Moderate</w:t>
            </w:r>
          </w:p>
        </w:tc>
        <w:tc>
          <w:tcPr>
            <w:tcW w:w="2610" w:type="dxa"/>
            <w:gridSpan w:val="2"/>
          </w:tcPr>
          <w:p w14:paraId="68091303" w14:textId="77777777" w:rsidR="00CF33D9" w:rsidRDefault="00CF33D9">
            <w:pPr>
              <w:pStyle w:val="TableParagraph"/>
              <w:ind w:left="107"/>
              <w:rPr>
                <w:sz w:val="20"/>
                <w:szCs w:val="20"/>
              </w:rPr>
            </w:pPr>
          </w:p>
          <w:p w14:paraId="68091304" w14:textId="77777777" w:rsidR="00CF33D9" w:rsidRDefault="00CF33D9">
            <w:pPr>
              <w:pStyle w:val="TableParagraph"/>
              <w:ind w:left="107"/>
              <w:rPr>
                <w:sz w:val="20"/>
                <w:szCs w:val="20"/>
              </w:rPr>
            </w:pPr>
          </w:p>
        </w:tc>
        <w:tc>
          <w:tcPr>
            <w:tcW w:w="4225" w:type="dxa"/>
            <w:gridSpan w:val="3"/>
          </w:tcPr>
          <w:p w14:paraId="68091305" w14:textId="77777777" w:rsidR="00CF33D9" w:rsidRDefault="00E3332A">
            <w:pPr>
              <w:pStyle w:val="TableParagraph"/>
              <w:ind w:left="107"/>
              <w:rPr>
                <w:sz w:val="20"/>
                <w:szCs w:val="20"/>
              </w:rPr>
            </w:pPr>
            <w:r>
              <w:rPr>
                <w:sz w:val="20"/>
                <w:szCs w:val="20"/>
              </w:rPr>
              <w:t xml:space="preserve">During the PPG phase a </w:t>
            </w:r>
            <w:r>
              <w:rPr>
                <w:b/>
                <w:bCs/>
                <w:sz w:val="20"/>
                <w:szCs w:val="20"/>
              </w:rPr>
              <w:t>Stakeholder Engagement Plan (SEP)</w:t>
            </w:r>
            <w:r>
              <w:rPr>
                <w:sz w:val="20"/>
                <w:szCs w:val="20"/>
              </w:rPr>
              <w:t xml:space="preserve"> was developed, which includes means of disclosure of information in a format that is understandable, culturally sensitive, and gender responsive. The </w:t>
            </w:r>
            <w:r>
              <w:rPr>
                <w:b/>
                <w:bCs/>
                <w:sz w:val="20"/>
                <w:szCs w:val="20"/>
              </w:rPr>
              <w:t>Comprehensive SEP</w:t>
            </w:r>
            <w:r>
              <w:rPr>
                <w:sz w:val="20"/>
                <w:szCs w:val="20"/>
              </w:rPr>
              <w:t xml:space="preserve"> will be updated during implementation, which will ensure that vulnerable groups participate in these project activities. A more detailed description of the principles and approach of the Comprehensive SEP is included in the ESMF.</w:t>
            </w:r>
          </w:p>
          <w:p w14:paraId="68091306" w14:textId="77777777" w:rsidR="00CF33D9" w:rsidRDefault="00CF33D9">
            <w:pPr>
              <w:pStyle w:val="TableParagraph"/>
              <w:ind w:left="107"/>
              <w:jc w:val="both"/>
              <w:rPr>
                <w:sz w:val="20"/>
                <w:szCs w:val="20"/>
              </w:rPr>
            </w:pPr>
          </w:p>
          <w:p w14:paraId="68091307" w14:textId="77777777" w:rsidR="00CF33D9" w:rsidRDefault="00E3332A">
            <w:pPr>
              <w:pStyle w:val="TableParagraph"/>
              <w:ind w:left="107"/>
              <w:jc w:val="both"/>
              <w:rPr>
                <w:sz w:val="20"/>
                <w:szCs w:val="20"/>
              </w:rPr>
            </w:pPr>
            <w:r>
              <w:rPr>
                <w:sz w:val="20"/>
                <w:szCs w:val="20"/>
              </w:rPr>
              <w:t>.</w:t>
            </w:r>
          </w:p>
          <w:p w14:paraId="68091308" w14:textId="77777777" w:rsidR="00CF33D9" w:rsidRDefault="00CF33D9">
            <w:pPr>
              <w:pStyle w:val="TableParagraph"/>
              <w:jc w:val="both"/>
              <w:rPr>
                <w:sz w:val="20"/>
                <w:szCs w:val="20"/>
              </w:rPr>
            </w:pPr>
          </w:p>
        </w:tc>
      </w:tr>
      <w:tr w:rsidR="00CF33D9" w14:paraId="68091316" w14:textId="77777777">
        <w:trPr>
          <w:cantSplit/>
          <w:trHeight w:val="217"/>
        </w:trPr>
        <w:tc>
          <w:tcPr>
            <w:tcW w:w="4253" w:type="dxa"/>
          </w:tcPr>
          <w:p w14:paraId="6809130A" w14:textId="77777777" w:rsidR="00CF33D9" w:rsidRDefault="00E3332A">
            <w:pPr>
              <w:pStyle w:val="TableParagraph"/>
              <w:spacing w:line="198" w:lineRule="exact"/>
              <w:ind w:left="107"/>
              <w:rPr>
                <w:b/>
                <w:bCs/>
                <w:color w:val="000000"/>
                <w:sz w:val="20"/>
                <w:szCs w:val="20"/>
              </w:rPr>
            </w:pPr>
            <w:r>
              <w:rPr>
                <w:b/>
                <w:bCs/>
                <w:color w:val="000000"/>
                <w:sz w:val="20"/>
                <w:szCs w:val="20"/>
              </w:rPr>
              <w:t>Risk 6</w:t>
            </w:r>
          </w:p>
          <w:p w14:paraId="6809130B" w14:textId="77777777" w:rsidR="00CF33D9" w:rsidRDefault="00E3332A">
            <w:pPr>
              <w:pStyle w:val="TableParagraph"/>
              <w:spacing w:line="198" w:lineRule="exact"/>
              <w:ind w:left="107"/>
              <w:rPr>
                <w:color w:val="000000"/>
                <w:sz w:val="20"/>
                <w:szCs w:val="20"/>
              </w:rPr>
            </w:pPr>
            <w:r>
              <w:rPr>
                <w:color w:val="000000"/>
                <w:sz w:val="20"/>
                <w:szCs w:val="20"/>
              </w:rPr>
              <w:t xml:space="preserve">Completing feasibility studies for the development and financing of new technologies for pollution control at the community level, including improvements in domestic and industrial wastewater treatment; plastic collection, recycling and re-use; and, agricultural runoff (Activity 3.2.1.2) could </w:t>
            </w:r>
            <w:r>
              <w:rPr>
                <w:b/>
                <w:bCs/>
                <w:color w:val="000000"/>
                <w:sz w:val="20"/>
                <w:szCs w:val="20"/>
              </w:rPr>
              <w:t>exclude women</w:t>
            </w:r>
            <w:r>
              <w:rPr>
                <w:color w:val="000000"/>
                <w:sz w:val="20"/>
                <w:szCs w:val="20"/>
              </w:rPr>
              <w:t xml:space="preserve"> from participating in this activity, leading to less effective waste management practices and the persistence of pollution at the community level</w:t>
            </w:r>
          </w:p>
          <w:p w14:paraId="6809130C" w14:textId="77777777" w:rsidR="00CF33D9" w:rsidRDefault="00CF33D9">
            <w:pPr>
              <w:pStyle w:val="TableParagraph"/>
              <w:spacing w:line="198" w:lineRule="exact"/>
              <w:ind w:left="107"/>
              <w:rPr>
                <w:color w:val="000000"/>
                <w:sz w:val="20"/>
                <w:szCs w:val="20"/>
              </w:rPr>
            </w:pPr>
          </w:p>
          <w:p w14:paraId="6809130D" w14:textId="77777777" w:rsidR="00CF33D9" w:rsidRDefault="00E3332A">
            <w:pPr>
              <w:pStyle w:val="TableParagraph"/>
              <w:ind w:left="107"/>
              <w:rPr>
                <w:sz w:val="20"/>
                <w:szCs w:val="20"/>
              </w:rPr>
            </w:pPr>
            <w:r>
              <w:rPr>
                <w:sz w:val="20"/>
                <w:szCs w:val="20"/>
              </w:rPr>
              <w:t>Gender Equality and Women’s empowerment</w:t>
            </w:r>
          </w:p>
          <w:p w14:paraId="6809130E" w14:textId="77777777" w:rsidR="00CF33D9" w:rsidRDefault="00E3332A">
            <w:pPr>
              <w:pStyle w:val="TableParagraph"/>
              <w:ind w:left="107"/>
              <w:rPr>
                <w:sz w:val="20"/>
                <w:szCs w:val="20"/>
              </w:rPr>
            </w:pPr>
            <w:r>
              <w:rPr>
                <w:sz w:val="20"/>
                <w:szCs w:val="20"/>
              </w:rPr>
              <w:t>P.10</w:t>
            </w:r>
          </w:p>
          <w:p w14:paraId="6809130F" w14:textId="77777777" w:rsidR="00CF33D9" w:rsidRDefault="00CF33D9">
            <w:pPr>
              <w:pStyle w:val="TableParagraph"/>
              <w:ind w:left="107"/>
              <w:rPr>
                <w:color w:val="000000"/>
                <w:sz w:val="20"/>
                <w:szCs w:val="20"/>
              </w:rPr>
            </w:pPr>
          </w:p>
        </w:tc>
        <w:tc>
          <w:tcPr>
            <w:tcW w:w="1170" w:type="dxa"/>
          </w:tcPr>
          <w:p w14:paraId="68091310" w14:textId="77777777" w:rsidR="00CF33D9" w:rsidRDefault="00E3332A">
            <w:pPr>
              <w:pStyle w:val="TableParagraph"/>
              <w:ind w:left="107"/>
              <w:rPr>
                <w:sz w:val="20"/>
                <w:szCs w:val="20"/>
              </w:rPr>
            </w:pPr>
            <w:r>
              <w:rPr>
                <w:sz w:val="20"/>
                <w:szCs w:val="20"/>
              </w:rPr>
              <w:t>I = 3</w:t>
            </w:r>
          </w:p>
          <w:p w14:paraId="68091311" w14:textId="77777777" w:rsidR="00CF33D9" w:rsidRDefault="00E3332A">
            <w:pPr>
              <w:pStyle w:val="TableParagraph"/>
              <w:ind w:left="107"/>
              <w:rPr>
                <w:sz w:val="20"/>
                <w:szCs w:val="20"/>
              </w:rPr>
            </w:pPr>
            <w:r>
              <w:rPr>
                <w:sz w:val="20"/>
                <w:szCs w:val="20"/>
              </w:rPr>
              <w:t>L = 3</w:t>
            </w:r>
          </w:p>
        </w:tc>
        <w:tc>
          <w:tcPr>
            <w:tcW w:w="1350" w:type="dxa"/>
          </w:tcPr>
          <w:p w14:paraId="68091312" w14:textId="77777777" w:rsidR="00CF33D9" w:rsidRDefault="00E3332A">
            <w:pPr>
              <w:pStyle w:val="TableParagraph"/>
              <w:ind w:left="107"/>
              <w:rPr>
                <w:sz w:val="20"/>
                <w:szCs w:val="20"/>
              </w:rPr>
            </w:pPr>
            <w:r>
              <w:rPr>
                <w:sz w:val="20"/>
                <w:szCs w:val="20"/>
              </w:rPr>
              <w:t>Moderate</w:t>
            </w:r>
          </w:p>
        </w:tc>
        <w:tc>
          <w:tcPr>
            <w:tcW w:w="2610" w:type="dxa"/>
            <w:gridSpan w:val="2"/>
          </w:tcPr>
          <w:p w14:paraId="68091313" w14:textId="77777777" w:rsidR="00CF33D9" w:rsidRDefault="00CF33D9">
            <w:pPr>
              <w:pStyle w:val="TableParagraph"/>
              <w:ind w:left="107"/>
              <w:rPr>
                <w:sz w:val="20"/>
                <w:szCs w:val="20"/>
              </w:rPr>
            </w:pPr>
          </w:p>
        </w:tc>
        <w:tc>
          <w:tcPr>
            <w:tcW w:w="4225" w:type="dxa"/>
            <w:gridSpan w:val="3"/>
          </w:tcPr>
          <w:p w14:paraId="68091314" w14:textId="77777777" w:rsidR="00CF33D9" w:rsidRDefault="00E3332A">
            <w:pPr>
              <w:pStyle w:val="TableParagraph"/>
              <w:spacing w:line="198" w:lineRule="exact"/>
              <w:ind w:left="66"/>
              <w:rPr>
                <w:color w:val="000000"/>
                <w:sz w:val="20"/>
                <w:szCs w:val="20"/>
              </w:rPr>
            </w:pPr>
            <w:r>
              <w:rPr>
                <w:color w:val="000000"/>
                <w:sz w:val="20"/>
                <w:szCs w:val="20"/>
              </w:rPr>
              <w:t xml:space="preserve">During the PPG phase a </w:t>
            </w:r>
            <w:r>
              <w:rPr>
                <w:b/>
                <w:bCs/>
                <w:color w:val="000000"/>
                <w:sz w:val="20"/>
                <w:szCs w:val="20"/>
              </w:rPr>
              <w:t>Gender Analysis and Gender Action Plan (GAP)</w:t>
            </w:r>
            <w:r>
              <w:rPr>
                <w:color w:val="000000"/>
                <w:sz w:val="20"/>
                <w:szCs w:val="20"/>
              </w:rPr>
              <w:t xml:space="preserve"> have been developed to ensure that women’s needs are considered, and specific measures are undertaken to mainstream gender within project’s activities. During project implementation, the GAP will ensure women and men have equal access to resources, services, and capacity development.</w:t>
            </w:r>
          </w:p>
          <w:p w14:paraId="68091315" w14:textId="77777777" w:rsidR="00CF33D9" w:rsidRDefault="00CF33D9">
            <w:pPr>
              <w:pStyle w:val="TableParagraph"/>
              <w:spacing w:line="198" w:lineRule="exact"/>
              <w:ind w:left="119"/>
              <w:rPr>
                <w:color w:val="000000"/>
                <w:sz w:val="20"/>
                <w:szCs w:val="20"/>
              </w:rPr>
            </w:pPr>
          </w:p>
        </w:tc>
      </w:tr>
      <w:tr w:rsidR="00CF33D9" w14:paraId="68091324" w14:textId="77777777">
        <w:trPr>
          <w:cantSplit/>
          <w:trHeight w:val="217"/>
        </w:trPr>
        <w:tc>
          <w:tcPr>
            <w:tcW w:w="4253" w:type="dxa"/>
          </w:tcPr>
          <w:p w14:paraId="68091317" w14:textId="77777777" w:rsidR="00CF33D9" w:rsidRDefault="00E3332A">
            <w:pPr>
              <w:pStyle w:val="TableParagraph"/>
              <w:rPr>
                <w:b/>
                <w:bCs/>
                <w:color w:val="000000"/>
                <w:sz w:val="20"/>
                <w:szCs w:val="20"/>
                <w:lang w:val="en-GB"/>
              </w:rPr>
            </w:pPr>
            <w:r>
              <w:rPr>
                <w:b/>
                <w:bCs/>
                <w:color w:val="000000"/>
                <w:sz w:val="20"/>
                <w:szCs w:val="20"/>
                <w:lang w:val="en-GB"/>
              </w:rPr>
              <w:t>Risk 7</w:t>
            </w:r>
          </w:p>
          <w:p w14:paraId="68091318" w14:textId="77777777" w:rsidR="00CF33D9" w:rsidRDefault="00E3332A">
            <w:pPr>
              <w:pStyle w:val="TableParagraph"/>
              <w:rPr>
                <w:color w:val="000000"/>
                <w:sz w:val="20"/>
                <w:szCs w:val="20"/>
                <w:lang w:val="en-GB"/>
              </w:rPr>
            </w:pPr>
            <w:r>
              <w:rPr>
                <w:color w:val="000000"/>
                <w:sz w:val="20"/>
                <w:szCs w:val="20"/>
                <w:lang w:val="en-GB"/>
              </w:rPr>
              <w:t xml:space="preserve">The implementation of market growth strategies and action plans in mariculture and exploitation of other living marine resources at national levels (all three countries) (Output 2.1.2; Activities 2.2.1.2 and 2.2.1.5) could unintentionally involve </w:t>
            </w:r>
            <w:r>
              <w:rPr>
                <w:b/>
                <w:bCs/>
                <w:color w:val="000000"/>
                <w:sz w:val="20"/>
                <w:szCs w:val="20"/>
                <w:lang w:val="en-GB"/>
              </w:rPr>
              <w:t>child labour</w:t>
            </w:r>
            <w:r>
              <w:rPr>
                <w:color w:val="000000"/>
                <w:sz w:val="20"/>
                <w:szCs w:val="20"/>
                <w:lang w:val="en-GB"/>
              </w:rPr>
              <w:t>.</w:t>
            </w:r>
          </w:p>
          <w:p w14:paraId="68091319" w14:textId="77777777" w:rsidR="00CF33D9" w:rsidRDefault="00CF33D9">
            <w:pPr>
              <w:pStyle w:val="TableParagraph"/>
              <w:rPr>
                <w:color w:val="000000"/>
                <w:sz w:val="20"/>
                <w:szCs w:val="20"/>
                <w:lang w:val="en-GB"/>
              </w:rPr>
            </w:pPr>
          </w:p>
          <w:p w14:paraId="6809131A" w14:textId="77777777" w:rsidR="00CF33D9" w:rsidRDefault="00E3332A">
            <w:pPr>
              <w:pStyle w:val="TableParagraph"/>
              <w:rPr>
                <w:color w:val="000000"/>
                <w:sz w:val="20"/>
                <w:szCs w:val="20"/>
                <w:lang w:val="en-GB"/>
              </w:rPr>
            </w:pPr>
            <w:r>
              <w:rPr>
                <w:color w:val="000000"/>
                <w:sz w:val="20"/>
                <w:szCs w:val="20"/>
                <w:lang w:val="en-GB"/>
              </w:rPr>
              <w:t>Labour and Working Conditions</w:t>
            </w:r>
          </w:p>
          <w:p w14:paraId="6809131B" w14:textId="77777777" w:rsidR="00CF33D9" w:rsidRDefault="00E3332A">
            <w:pPr>
              <w:pStyle w:val="TableParagraph"/>
              <w:rPr>
                <w:color w:val="000000"/>
                <w:sz w:val="20"/>
                <w:szCs w:val="20"/>
                <w:lang w:val="en-GB"/>
              </w:rPr>
            </w:pPr>
            <w:r>
              <w:rPr>
                <w:color w:val="000000"/>
                <w:sz w:val="20"/>
                <w:szCs w:val="20"/>
                <w:lang w:val="en-GB"/>
              </w:rPr>
              <w:t>7.3</w:t>
            </w:r>
          </w:p>
          <w:p w14:paraId="6809131C" w14:textId="77777777" w:rsidR="00CF33D9" w:rsidRDefault="00CF33D9">
            <w:pPr>
              <w:pStyle w:val="TableParagraph"/>
              <w:spacing w:line="198" w:lineRule="exact"/>
              <w:rPr>
                <w:color w:val="000000"/>
                <w:sz w:val="20"/>
                <w:szCs w:val="20"/>
              </w:rPr>
            </w:pPr>
          </w:p>
          <w:p w14:paraId="6809131D" w14:textId="77777777" w:rsidR="00CF33D9" w:rsidRDefault="00CF33D9">
            <w:pPr>
              <w:pStyle w:val="TableParagraph"/>
              <w:spacing w:line="198" w:lineRule="exact"/>
              <w:ind w:left="107"/>
              <w:rPr>
                <w:color w:val="000000"/>
                <w:sz w:val="20"/>
                <w:szCs w:val="20"/>
                <w:lang w:val="en-GB"/>
              </w:rPr>
            </w:pPr>
          </w:p>
        </w:tc>
        <w:tc>
          <w:tcPr>
            <w:tcW w:w="1170" w:type="dxa"/>
          </w:tcPr>
          <w:p w14:paraId="6809131E" w14:textId="77777777" w:rsidR="00CF33D9" w:rsidRDefault="00E3332A">
            <w:pPr>
              <w:pStyle w:val="TableParagraph"/>
              <w:ind w:left="107"/>
              <w:rPr>
                <w:sz w:val="20"/>
                <w:szCs w:val="20"/>
              </w:rPr>
            </w:pPr>
            <w:r>
              <w:rPr>
                <w:sz w:val="20"/>
                <w:szCs w:val="20"/>
              </w:rPr>
              <w:t>I = 4</w:t>
            </w:r>
          </w:p>
          <w:p w14:paraId="6809131F" w14:textId="77777777" w:rsidR="00CF33D9" w:rsidRDefault="00E3332A">
            <w:pPr>
              <w:pStyle w:val="TableParagraph"/>
              <w:ind w:left="107"/>
              <w:rPr>
                <w:sz w:val="20"/>
                <w:szCs w:val="20"/>
              </w:rPr>
            </w:pPr>
            <w:r>
              <w:rPr>
                <w:sz w:val="20"/>
                <w:szCs w:val="20"/>
              </w:rPr>
              <w:t>L =3</w:t>
            </w:r>
          </w:p>
        </w:tc>
        <w:tc>
          <w:tcPr>
            <w:tcW w:w="1350" w:type="dxa"/>
          </w:tcPr>
          <w:p w14:paraId="68091320" w14:textId="77777777" w:rsidR="00CF33D9" w:rsidRDefault="00E3332A">
            <w:pPr>
              <w:pStyle w:val="TableParagraph"/>
              <w:ind w:left="107"/>
              <w:rPr>
                <w:sz w:val="20"/>
                <w:szCs w:val="20"/>
              </w:rPr>
            </w:pPr>
            <w:r>
              <w:rPr>
                <w:sz w:val="20"/>
                <w:szCs w:val="20"/>
              </w:rPr>
              <w:t>Substantial</w:t>
            </w:r>
          </w:p>
        </w:tc>
        <w:tc>
          <w:tcPr>
            <w:tcW w:w="2610" w:type="dxa"/>
            <w:gridSpan w:val="2"/>
          </w:tcPr>
          <w:p w14:paraId="68091321" w14:textId="77777777" w:rsidR="00CF33D9" w:rsidRDefault="00E3332A">
            <w:pPr>
              <w:pStyle w:val="TableParagraph"/>
              <w:ind w:left="107"/>
              <w:rPr>
                <w:sz w:val="20"/>
                <w:szCs w:val="20"/>
              </w:rPr>
            </w:pPr>
            <w:r>
              <w:rPr>
                <w:sz w:val="20"/>
                <w:szCs w:val="20"/>
              </w:rPr>
              <w:t>There is a high incidence of child labour in the fisheries in all three countries. Although there are specific laws and regulations prohibiting child labour, there are significant gaps in its prevention and protection.</w:t>
            </w:r>
          </w:p>
        </w:tc>
        <w:tc>
          <w:tcPr>
            <w:tcW w:w="4225" w:type="dxa"/>
            <w:gridSpan w:val="3"/>
          </w:tcPr>
          <w:p w14:paraId="68091322" w14:textId="77777777" w:rsidR="00CF33D9" w:rsidRDefault="00E3332A">
            <w:pPr>
              <w:pStyle w:val="TableParagraph"/>
              <w:spacing w:line="198" w:lineRule="exact"/>
              <w:ind w:left="66"/>
              <w:rPr>
                <w:color w:val="000000"/>
                <w:sz w:val="20"/>
                <w:szCs w:val="20"/>
                <w:lang w:val="en-GB"/>
              </w:rPr>
            </w:pPr>
            <w:r>
              <w:rPr>
                <w:color w:val="000000"/>
                <w:sz w:val="20"/>
                <w:szCs w:val="20"/>
                <w:lang w:val="en-GB"/>
              </w:rPr>
              <w:t xml:space="preserve">To address this </w:t>
            </w:r>
            <w:r>
              <w:rPr>
                <w:b/>
                <w:bCs/>
                <w:color w:val="000000"/>
                <w:sz w:val="20"/>
                <w:szCs w:val="20"/>
                <w:lang w:val="en-GB"/>
              </w:rPr>
              <w:t>contextual risk</w:t>
            </w:r>
            <w:r>
              <w:rPr>
                <w:color w:val="000000"/>
                <w:sz w:val="20"/>
                <w:szCs w:val="20"/>
                <w:lang w:val="en-GB"/>
              </w:rPr>
              <w:t xml:space="preserve">, the project </w:t>
            </w:r>
            <w:r>
              <w:rPr>
                <w:b/>
                <w:bCs/>
                <w:color w:val="000000"/>
                <w:sz w:val="20"/>
                <w:szCs w:val="20"/>
                <w:lang w:val="en-GB"/>
              </w:rPr>
              <w:t>will monitor</w:t>
            </w:r>
            <w:r>
              <w:rPr>
                <w:color w:val="000000"/>
                <w:sz w:val="20"/>
                <w:szCs w:val="20"/>
                <w:lang w:val="en-GB"/>
              </w:rPr>
              <w:t xml:space="preserve"> the project activities that could involve child labour, establishing verification mechanisms to comply with national laws and regulations, as well as with ILO Convention No 138.</w:t>
            </w:r>
          </w:p>
          <w:p w14:paraId="68091323" w14:textId="77777777" w:rsidR="00CF33D9" w:rsidRDefault="00CF33D9">
            <w:pPr>
              <w:pStyle w:val="TableParagraph"/>
              <w:spacing w:line="198" w:lineRule="exact"/>
              <w:ind w:left="66"/>
              <w:rPr>
                <w:color w:val="000000"/>
                <w:sz w:val="20"/>
                <w:szCs w:val="20"/>
                <w:lang w:val="en-GB"/>
              </w:rPr>
            </w:pPr>
          </w:p>
        </w:tc>
      </w:tr>
      <w:tr w:rsidR="00CF33D9" w14:paraId="68091330" w14:textId="77777777">
        <w:trPr>
          <w:cantSplit/>
          <w:trHeight w:val="217"/>
        </w:trPr>
        <w:tc>
          <w:tcPr>
            <w:tcW w:w="4253" w:type="dxa"/>
          </w:tcPr>
          <w:p w14:paraId="68091325" w14:textId="77777777" w:rsidR="00CF33D9" w:rsidRDefault="00E3332A">
            <w:pPr>
              <w:pStyle w:val="TableParagraph"/>
              <w:spacing w:line="198" w:lineRule="exact"/>
              <w:ind w:left="107"/>
              <w:rPr>
                <w:b/>
                <w:bCs/>
                <w:color w:val="000000"/>
                <w:sz w:val="20"/>
                <w:szCs w:val="20"/>
              </w:rPr>
            </w:pPr>
            <w:r>
              <w:rPr>
                <w:b/>
                <w:bCs/>
                <w:color w:val="000000"/>
                <w:sz w:val="20"/>
                <w:szCs w:val="20"/>
              </w:rPr>
              <w:lastRenderedPageBreak/>
              <w:t>Risk 8</w:t>
            </w:r>
          </w:p>
          <w:p w14:paraId="68091326" w14:textId="77777777" w:rsidR="00CF33D9" w:rsidRDefault="00E3332A">
            <w:pPr>
              <w:pStyle w:val="TableParagraph"/>
              <w:spacing w:line="198" w:lineRule="exact"/>
              <w:ind w:left="107"/>
              <w:rPr>
                <w:sz w:val="20"/>
                <w:szCs w:val="20"/>
              </w:rPr>
            </w:pPr>
            <w:r>
              <w:rPr>
                <w:sz w:val="20"/>
                <w:szCs w:val="20"/>
              </w:rPr>
              <w:t xml:space="preserve">Bilateral agreements for joint sustainable management of transboundary fish stock (Cape horse mackerel, Cape hakes) could affect the EBSA zoning (Namibia and Angola), </w:t>
            </w:r>
            <w:r>
              <w:rPr>
                <w:b/>
                <w:bCs/>
                <w:sz w:val="20"/>
                <w:szCs w:val="20"/>
              </w:rPr>
              <w:t>impacting negatively on other species’ habitats</w:t>
            </w:r>
            <w:r>
              <w:rPr>
                <w:sz w:val="20"/>
                <w:szCs w:val="20"/>
              </w:rPr>
              <w:t xml:space="preserve">, other country’s sustainable coastal development; the marine ecosystem, and/or other fish stock availability. </w:t>
            </w:r>
          </w:p>
          <w:p w14:paraId="68091327" w14:textId="77777777" w:rsidR="00CF33D9" w:rsidRDefault="00CF33D9">
            <w:pPr>
              <w:pStyle w:val="TableParagraph"/>
              <w:spacing w:line="198" w:lineRule="exact"/>
              <w:ind w:left="107"/>
              <w:rPr>
                <w:sz w:val="20"/>
                <w:szCs w:val="20"/>
              </w:rPr>
            </w:pPr>
          </w:p>
          <w:p w14:paraId="68091328" w14:textId="77777777" w:rsidR="00CF33D9" w:rsidRDefault="00E3332A">
            <w:pPr>
              <w:pStyle w:val="TableParagraph"/>
              <w:ind w:left="107"/>
              <w:rPr>
                <w:sz w:val="20"/>
                <w:szCs w:val="20"/>
              </w:rPr>
            </w:pPr>
            <w:r>
              <w:rPr>
                <w:sz w:val="20"/>
                <w:szCs w:val="20"/>
              </w:rPr>
              <w:t>Standard 1: Biodiversity Conservation and Sustainable Natural Resource Management</w:t>
            </w:r>
          </w:p>
          <w:p w14:paraId="68091329" w14:textId="77777777" w:rsidR="00CF33D9" w:rsidRDefault="00E3332A">
            <w:pPr>
              <w:pStyle w:val="TableParagraph"/>
              <w:ind w:left="107"/>
              <w:rPr>
                <w:sz w:val="20"/>
                <w:szCs w:val="20"/>
              </w:rPr>
            </w:pPr>
            <w:r>
              <w:rPr>
                <w:sz w:val="20"/>
                <w:szCs w:val="20"/>
              </w:rPr>
              <w:t>1.1, 1.3, 1.14</w:t>
            </w:r>
          </w:p>
          <w:p w14:paraId="6809132A" w14:textId="77777777" w:rsidR="00CF33D9" w:rsidRDefault="00CF33D9">
            <w:pPr>
              <w:pStyle w:val="TableParagraph"/>
              <w:ind w:left="107"/>
              <w:rPr>
                <w:sz w:val="20"/>
                <w:szCs w:val="20"/>
              </w:rPr>
            </w:pPr>
          </w:p>
        </w:tc>
        <w:tc>
          <w:tcPr>
            <w:tcW w:w="1170" w:type="dxa"/>
          </w:tcPr>
          <w:p w14:paraId="6809132B" w14:textId="77777777" w:rsidR="00CF33D9" w:rsidRDefault="00E3332A">
            <w:pPr>
              <w:pStyle w:val="TableParagraph"/>
              <w:ind w:left="107"/>
              <w:rPr>
                <w:sz w:val="20"/>
                <w:szCs w:val="20"/>
              </w:rPr>
            </w:pPr>
            <w:r>
              <w:rPr>
                <w:sz w:val="20"/>
                <w:szCs w:val="20"/>
              </w:rPr>
              <w:t>I = 3</w:t>
            </w:r>
          </w:p>
          <w:p w14:paraId="6809132C" w14:textId="77777777" w:rsidR="00CF33D9" w:rsidRDefault="00E3332A">
            <w:pPr>
              <w:pStyle w:val="TableParagraph"/>
              <w:ind w:left="107"/>
              <w:rPr>
                <w:sz w:val="20"/>
                <w:szCs w:val="20"/>
              </w:rPr>
            </w:pPr>
            <w:r>
              <w:rPr>
                <w:sz w:val="20"/>
                <w:szCs w:val="20"/>
              </w:rPr>
              <w:t>L = 3</w:t>
            </w:r>
          </w:p>
        </w:tc>
        <w:tc>
          <w:tcPr>
            <w:tcW w:w="1350" w:type="dxa"/>
          </w:tcPr>
          <w:p w14:paraId="6809132D" w14:textId="77777777" w:rsidR="00CF33D9" w:rsidRDefault="00E3332A">
            <w:pPr>
              <w:pStyle w:val="TableParagraph"/>
              <w:ind w:left="107"/>
              <w:rPr>
                <w:sz w:val="20"/>
                <w:szCs w:val="20"/>
              </w:rPr>
            </w:pPr>
            <w:r>
              <w:rPr>
                <w:sz w:val="20"/>
                <w:szCs w:val="20"/>
              </w:rPr>
              <w:t>Moderate</w:t>
            </w:r>
          </w:p>
        </w:tc>
        <w:tc>
          <w:tcPr>
            <w:tcW w:w="2610" w:type="dxa"/>
            <w:gridSpan w:val="2"/>
          </w:tcPr>
          <w:p w14:paraId="6809132E" w14:textId="77777777" w:rsidR="00CF33D9" w:rsidRDefault="00E3332A">
            <w:pPr>
              <w:pStyle w:val="TableParagraph"/>
              <w:ind w:left="107"/>
              <w:rPr>
                <w:sz w:val="20"/>
                <w:szCs w:val="20"/>
              </w:rPr>
            </w:pPr>
            <w:r>
              <w:rPr>
                <w:sz w:val="20"/>
                <w:szCs w:val="20"/>
              </w:rPr>
              <w:t xml:space="preserve">Artisanal fishing and coastal development have been identified among other relevant pressures and activities present in the Angola/ Namibia EBSA. Namibe is one of the proposed pilot site (transboundary site) and project demonstration area. </w:t>
            </w:r>
          </w:p>
        </w:tc>
        <w:tc>
          <w:tcPr>
            <w:tcW w:w="4225" w:type="dxa"/>
            <w:gridSpan w:val="3"/>
          </w:tcPr>
          <w:p w14:paraId="6809132F" w14:textId="77777777" w:rsidR="00CF33D9" w:rsidRDefault="00E3332A">
            <w:pPr>
              <w:pStyle w:val="TableParagraph"/>
              <w:ind w:left="107" w:right="281"/>
              <w:rPr>
                <w:sz w:val="20"/>
                <w:szCs w:val="20"/>
              </w:rPr>
            </w:pPr>
            <w:r>
              <w:rPr>
                <w:sz w:val="20"/>
                <w:szCs w:val="20"/>
              </w:rPr>
              <w:t xml:space="preserve">A </w:t>
            </w:r>
            <w:r>
              <w:rPr>
                <w:b/>
                <w:bCs/>
                <w:sz w:val="20"/>
                <w:szCs w:val="20"/>
              </w:rPr>
              <w:t>targeted assessment</w:t>
            </w:r>
            <w:r>
              <w:rPr>
                <w:sz w:val="20"/>
                <w:szCs w:val="20"/>
              </w:rPr>
              <w:t xml:space="preserve"> for activity 2.1.1.1 will be incorporated into a </w:t>
            </w:r>
            <w:r>
              <w:rPr>
                <w:b/>
                <w:bCs/>
                <w:sz w:val="20"/>
                <w:szCs w:val="20"/>
              </w:rPr>
              <w:t>scoped ESIA</w:t>
            </w:r>
            <w:r>
              <w:rPr>
                <w:sz w:val="20"/>
                <w:szCs w:val="20"/>
              </w:rPr>
              <w:t xml:space="preserve"> that will focus on the potential negative and cumulative environmental and social impacts for joint management of transboundary fish stock (Cape horse mackerel; Cape hakes). Upon completion of the scoped ESIA, the project will develop an </w:t>
            </w:r>
            <w:r>
              <w:rPr>
                <w:b/>
                <w:bCs/>
                <w:sz w:val="20"/>
                <w:szCs w:val="20"/>
              </w:rPr>
              <w:t>ESMP</w:t>
            </w:r>
            <w:r>
              <w:rPr>
                <w:sz w:val="20"/>
                <w:szCs w:val="20"/>
              </w:rPr>
              <w:t xml:space="preserve"> that will layout the measures to prevent transboundary negative impacts on fish stock availability. </w:t>
            </w:r>
          </w:p>
        </w:tc>
      </w:tr>
      <w:tr w:rsidR="00CF33D9" w14:paraId="6809133D" w14:textId="77777777">
        <w:trPr>
          <w:cantSplit/>
          <w:trHeight w:val="217"/>
        </w:trPr>
        <w:tc>
          <w:tcPr>
            <w:tcW w:w="4253" w:type="dxa"/>
          </w:tcPr>
          <w:p w14:paraId="68091331" w14:textId="77777777" w:rsidR="00CF33D9" w:rsidRDefault="00E3332A">
            <w:pPr>
              <w:pStyle w:val="TableParagraph"/>
              <w:spacing w:line="198" w:lineRule="exact"/>
              <w:ind w:left="107"/>
              <w:rPr>
                <w:b/>
                <w:bCs/>
                <w:color w:val="000000"/>
                <w:sz w:val="20"/>
                <w:szCs w:val="20"/>
              </w:rPr>
            </w:pPr>
            <w:r>
              <w:rPr>
                <w:b/>
                <w:bCs/>
                <w:color w:val="000000"/>
                <w:sz w:val="20"/>
                <w:szCs w:val="20"/>
              </w:rPr>
              <w:t>Risk 9</w:t>
            </w:r>
          </w:p>
          <w:p w14:paraId="68091332" w14:textId="77777777" w:rsidR="00CF33D9" w:rsidRDefault="00E3332A">
            <w:pPr>
              <w:pStyle w:val="TableParagraph"/>
              <w:spacing w:line="198" w:lineRule="exact"/>
              <w:ind w:left="90"/>
              <w:rPr>
                <w:color w:val="000000"/>
                <w:sz w:val="20"/>
                <w:szCs w:val="20"/>
              </w:rPr>
            </w:pPr>
            <w:r>
              <w:rPr>
                <w:b/>
                <w:bCs/>
                <w:color w:val="000000"/>
                <w:sz w:val="20"/>
                <w:szCs w:val="20"/>
              </w:rPr>
              <w:t>Climate change</w:t>
            </w:r>
            <w:r>
              <w:rPr>
                <w:color w:val="000000"/>
                <w:sz w:val="20"/>
                <w:szCs w:val="20"/>
              </w:rPr>
              <w:t xml:space="preserve"> (floods, natural disasters, etc.) on near-shore ecosystems, could potentially affect the provision of eco-tourism services (Output 1.2.1), worsening the economic situation and livelihoods of the communities involved. </w:t>
            </w:r>
          </w:p>
          <w:p w14:paraId="68091333" w14:textId="77777777" w:rsidR="00CF33D9" w:rsidRDefault="00CF33D9">
            <w:pPr>
              <w:pStyle w:val="TableParagraph"/>
              <w:spacing w:line="198" w:lineRule="exact"/>
              <w:ind w:left="107"/>
              <w:rPr>
                <w:color w:val="000000"/>
                <w:sz w:val="20"/>
                <w:szCs w:val="20"/>
              </w:rPr>
            </w:pPr>
          </w:p>
          <w:p w14:paraId="68091334" w14:textId="77777777" w:rsidR="00CF33D9" w:rsidRDefault="00CF33D9">
            <w:pPr>
              <w:pStyle w:val="TableParagraph"/>
              <w:spacing w:line="198" w:lineRule="exact"/>
              <w:ind w:left="107"/>
              <w:rPr>
                <w:color w:val="000000"/>
                <w:sz w:val="20"/>
                <w:szCs w:val="20"/>
              </w:rPr>
            </w:pPr>
          </w:p>
          <w:p w14:paraId="68091335" w14:textId="77777777" w:rsidR="00CF33D9" w:rsidRDefault="00E3332A">
            <w:pPr>
              <w:pStyle w:val="TableParagraph"/>
              <w:spacing w:line="198" w:lineRule="exact"/>
              <w:ind w:left="107"/>
              <w:rPr>
                <w:sz w:val="20"/>
                <w:szCs w:val="20"/>
              </w:rPr>
            </w:pPr>
            <w:r>
              <w:rPr>
                <w:sz w:val="20"/>
                <w:szCs w:val="20"/>
              </w:rPr>
              <w:t>Standard 2: Climate Change and Disaster Risks</w:t>
            </w:r>
          </w:p>
          <w:p w14:paraId="68091336" w14:textId="77777777" w:rsidR="00CF33D9" w:rsidRDefault="00E3332A">
            <w:pPr>
              <w:pStyle w:val="TableParagraph"/>
              <w:spacing w:line="198" w:lineRule="exact"/>
              <w:ind w:left="107"/>
              <w:rPr>
                <w:color w:val="000000"/>
                <w:sz w:val="20"/>
                <w:szCs w:val="20"/>
              </w:rPr>
            </w:pPr>
            <w:r>
              <w:rPr>
                <w:color w:val="000000"/>
                <w:sz w:val="20"/>
                <w:szCs w:val="20"/>
              </w:rPr>
              <w:t>2.2</w:t>
            </w:r>
          </w:p>
        </w:tc>
        <w:tc>
          <w:tcPr>
            <w:tcW w:w="1170" w:type="dxa"/>
          </w:tcPr>
          <w:p w14:paraId="68091337" w14:textId="77777777" w:rsidR="00CF33D9" w:rsidRDefault="00E3332A">
            <w:pPr>
              <w:pStyle w:val="TableParagraph"/>
              <w:ind w:left="107"/>
              <w:rPr>
                <w:sz w:val="20"/>
                <w:szCs w:val="20"/>
              </w:rPr>
            </w:pPr>
            <w:r>
              <w:rPr>
                <w:sz w:val="20"/>
                <w:szCs w:val="20"/>
              </w:rPr>
              <w:t>I = 4</w:t>
            </w:r>
          </w:p>
          <w:p w14:paraId="68091338" w14:textId="77777777" w:rsidR="00CF33D9" w:rsidRDefault="00E3332A">
            <w:pPr>
              <w:pStyle w:val="TableParagraph"/>
              <w:ind w:left="107"/>
              <w:rPr>
                <w:sz w:val="20"/>
                <w:szCs w:val="20"/>
              </w:rPr>
            </w:pPr>
            <w:r>
              <w:rPr>
                <w:sz w:val="20"/>
                <w:szCs w:val="20"/>
              </w:rPr>
              <w:t>L = 3</w:t>
            </w:r>
          </w:p>
        </w:tc>
        <w:tc>
          <w:tcPr>
            <w:tcW w:w="1350" w:type="dxa"/>
          </w:tcPr>
          <w:p w14:paraId="68091339" w14:textId="77777777" w:rsidR="00CF33D9" w:rsidRDefault="00E3332A">
            <w:pPr>
              <w:pStyle w:val="TableParagraph"/>
              <w:ind w:left="107"/>
              <w:rPr>
                <w:sz w:val="20"/>
                <w:szCs w:val="20"/>
              </w:rPr>
            </w:pPr>
            <w:r>
              <w:rPr>
                <w:sz w:val="20"/>
                <w:szCs w:val="20"/>
              </w:rPr>
              <w:t>Moderate</w:t>
            </w:r>
          </w:p>
        </w:tc>
        <w:tc>
          <w:tcPr>
            <w:tcW w:w="2610" w:type="dxa"/>
            <w:gridSpan w:val="2"/>
          </w:tcPr>
          <w:p w14:paraId="6809133A" w14:textId="77777777" w:rsidR="00CF33D9" w:rsidRDefault="00CF33D9">
            <w:pPr>
              <w:pStyle w:val="TableParagraph"/>
              <w:ind w:left="107"/>
              <w:rPr>
                <w:color w:val="FF0000"/>
                <w:sz w:val="20"/>
                <w:szCs w:val="20"/>
              </w:rPr>
            </w:pPr>
          </w:p>
        </w:tc>
        <w:tc>
          <w:tcPr>
            <w:tcW w:w="4225" w:type="dxa"/>
            <w:gridSpan w:val="3"/>
          </w:tcPr>
          <w:p w14:paraId="6809133B" w14:textId="77777777" w:rsidR="00CF33D9" w:rsidRDefault="00E3332A">
            <w:pPr>
              <w:pStyle w:val="TableParagraph"/>
              <w:ind w:left="107" w:right="139"/>
              <w:rPr>
                <w:sz w:val="20"/>
                <w:szCs w:val="20"/>
              </w:rPr>
            </w:pPr>
            <w:r>
              <w:rPr>
                <w:sz w:val="20"/>
                <w:szCs w:val="20"/>
              </w:rPr>
              <w:t xml:space="preserve">To address this </w:t>
            </w:r>
            <w:r>
              <w:rPr>
                <w:b/>
                <w:bCs/>
                <w:sz w:val="20"/>
                <w:szCs w:val="20"/>
              </w:rPr>
              <w:t>contextual risk</w:t>
            </w:r>
            <w:r>
              <w:rPr>
                <w:sz w:val="20"/>
                <w:szCs w:val="20"/>
              </w:rPr>
              <w:t xml:space="preserve">, potentially affecting project activities, the project will implement climate change resilient management, </w:t>
            </w:r>
            <w:r>
              <w:rPr>
                <w:b/>
                <w:bCs/>
                <w:sz w:val="20"/>
                <w:szCs w:val="20"/>
              </w:rPr>
              <w:t>monitoring climate change trends</w:t>
            </w:r>
            <w:r>
              <w:rPr>
                <w:sz w:val="20"/>
                <w:szCs w:val="20"/>
              </w:rPr>
              <w:t xml:space="preserve">, allowing activities, such as the promotion of community-based tourism, to be climate-resilient socio-economic development  The </w:t>
            </w:r>
            <w:r>
              <w:rPr>
                <w:b/>
                <w:bCs/>
                <w:sz w:val="20"/>
                <w:szCs w:val="20"/>
              </w:rPr>
              <w:t>SEP</w:t>
            </w:r>
            <w:r>
              <w:rPr>
                <w:sz w:val="20"/>
                <w:szCs w:val="20"/>
              </w:rPr>
              <w:t xml:space="preserve"> that has been developed in the PPG phase will serve as the basis for the consultation (Activity 1.2.1.3) to develop a climate-resilient community-based tourism plan for MPAs and coastal ecosystems. </w:t>
            </w:r>
          </w:p>
          <w:p w14:paraId="6809133C" w14:textId="77777777" w:rsidR="00CF33D9" w:rsidRDefault="00CF33D9">
            <w:pPr>
              <w:pStyle w:val="TableParagraph"/>
              <w:ind w:left="107" w:right="139"/>
              <w:jc w:val="both"/>
              <w:rPr>
                <w:sz w:val="20"/>
                <w:szCs w:val="20"/>
              </w:rPr>
            </w:pPr>
          </w:p>
        </w:tc>
      </w:tr>
      <w:tr w:rsidR="00CF33D9" w14:paraId="68091349" w14:textId="77777777">
        <w:trPr>
          <w:cantSplit/>
          <w:trHeight w:val="217"/>
        </w:trPr>
        <w:tc>
          <w:tcPr>
            <w:tcW w:w="4253" w:type="dxa"/>
          </w:tcPr>
          <w:p w14:paraId="6809133E" w14:textId="77777777" w:rsidR="00CF33D9" w:rsidRDefault="00E3332A">
            <w:pPr>
              <w:pStyle w:val="TableParagraph"/>
              <w:spacing w:line="198" w:lineRule="exact"/>
              <w:ind w:left="107"/>
              <w:rPr>
                <w:b/>
                <w:bCs/>
                <w:color w:val="000000"/>
                <w:sz w:val="20"/>
                <w:szCs w:val="20"/>
              </w:rPr>
            </w:pPr>
            <w:r>
              <w:rPr>
                <w:b/>
                <w:bCs/>
                <w:color w:val="000000"/>
                <w:sz w:val="20"/>
                <w:szCs w:val="20"/>
              </w:rPr>
              <w:t>Risk 10</w:t>
            </w:r>
          </w:p>
          <w:p w14:paraId="6809133F" w14:textId="77777777" w:rsidR="00CF33D9" w:rsidRDefault="00E3332A">
            <w:pPr>
              <w:pStyle w:val="TableParagraph"/>
              <w:spacing w:line="198" w:lineRule="exact"/>
              <w:ind w:left="107"/>
              <w:rPr>
                <w:color w:val="000000"/>
                <w:sz w:val="20"/>
                <w:szCs w:val="20"/>
              </w:rPr>
            </w:pPr>
            <w:r>
              <w:rPr>
                <w:color w:val="000000"/>
                <w:sz w:val="20"/>
                <w:szCs w:val="20"/>
              </w:rPr>
              <w:t xml:space="preserve">The introduction of mariculture (Activity 2.1.2.1), which is associated not only with food production but also with the production of raw materials for cosmetics, medicines, and food activities, among others, could lead to effluents and excretions that can further </w:t>
            </w:r>
            <w:r>
              <w:rPr>
                <w:b/>
                <w:bCs/>
                <w:color w:val="000000"/>
                <w:sz w:val="20"/>
                <w:szCs w:val="20"/>
              </w:rPr>
              <w:t>pollute ocean waters</w:t>
            </w:r>
            <w:r>
              <w:rPr>
                <w:color w:val="000000"/>
                <w:sz w:val="20"/>
                <w:szCs w:val="20"/>
              </w:rPr>
              <w:t>.</w:t>
            </w:r>
          </w:p>
          <w:p w14:paraId="68091340" w14:textId="77777777" w:rsidR="00CF33D9" w:rsidRDefault="00CF33D9">
            <w:pPr>
              <w:pStyle w:val="TableParagraph"/>
              <w:spacing w:line="198" w:lineRule="exact"/>
              <w:ind w:left="107"/>
              <w:rPr>
                <w:color w:val="000000"/>
                <w:sz w:val="20"/>
                <w:szCs w:val="20"/>
              </w:rPr>
            </w:pPr>
          </w:p>
          <w:p w14:paraId="68091341" w14:textId="77777777" w:rsidR="00CF33D9" w:rsidRDefault="00E3332A">
            <w:pPr>
              <w:pStyle w:val="TableParagraph"/>
              <w:ind w:left="107"/>
              <w:rPr>
                <w:sz w:val="20"/>
                <w:szCs w:val="20"/>
              </w:rPr>
            </w:pPr>
            <w:r>
              <w:rPr>
                <w:sz w:val="20"/>
                <w:szCs w:val="20"/>
              </w:rPr>
              <w:t>Standard 8: Pollution Prevention and Resource Efficiency</w:t>
            </w:r>
          </w:p>
          <w:p w14:paraId="68091342" w14:textId="77777777" w:rsidR="00CF33D9" w:rsidRDefault="00E3332A">
            <w:pPr>
              <w:pStyle w:val="TableParagraph"/>
              <w:ind w:left="107"/>
              <w:rPr>
                <w:sz w:val="20"/>
                <w:szCs w:val="20"/>
              </w:rPr>
            </w:pPr>
            <w:r>
              <w:rPr>
                <w:sz w:val="20"/>
                <w:szCs w:val="20"/>
              </w:rPr>
              <w:t>8.1, 8.2</w:t>
            </w:r>
          </w:p>
          <w:p w14:paraId="68091343" w14:textId="77777777" w:rsidR="00CF33D9" w:rsidRDefault="00CF33D9">
            <w:pPr>
              <w:pStyle w:val="TableParagraph"/>
              <w:ind w:left="107"/>
              <w:rPr>
                <w:sz w:val="20"/>
                <w:szCs w:val="20"/>
              </w:rPr>
            </w:pPr>
          </w:p>
        </w:tc>
        <w:tc>
          <w:tcPr>
            <w:tcW w:w="1170" w:type="dxa"/>
          </w:tcPr>
          <w:p w14:paraId="68091344" w14:textId="77777777" w:rsidR="00CF33D9" w:rsidRDefault="00E3332A">
            <w:pPr>
              <w:pStyle w:val="TableParagraph"/>
              <w:ind w:left="107"/>
              <w:rPr>
                <w:sz w:val="20"/>
                <w:szCs w:val="20"/>
              </w:rPr>
            </w:pPr>
            <w:r>
              <w:rPr>
                <w:sz w:val="20"/>
                <w:szCs w:val="20"/>
              </w:rPr>
              <w:t>I = 3</w:t>
            </w:r>
          </w:p>
          <w:p w14:paraId="68091345" w14:textId="77777777" w:rsidR="00CF33D9" w:rsidRDefault="00E3332A">
            <w:pPr>
              <w:pStyle w:val="TableParagraph"/>
              <w:ind w:left="107"/>
              <w:rPr>
                <w:sz w:val="20"/>
                <w:szCs w:val="20"/>
              </w:rPr>
            </w:pPr>
            <w:r>
              <w:rPr>
                <w:sz w:val="20"/>
                <w:szCs w:val="20"/>
              </w:rPr>
              <w:t>L = 3</w:t>
            </w:r>
          </w:p>
        </w:tc>
        <w:tc>
          <w:tcPr>
            <w:tcW w:w="1350" w:type="dxa"/>
          </w:tcPr>
          <w:p w14:paraId="68091346" w14:textId="77777777" w:rsidR="00CF33D9" w:rsidRDefault="00E3332A">
            <w:pPr>
              <w:pStyle w:val="TableParagraph"/>
              <w:ind w:left="107"/>
              <w:rPr>
                <w:sz w:val="20"/>
                <w:szCs w:val="20"/>
              </w:rPr>
            </w:pPr>
            <w:r>
              <w:rPr>
                <w:sz w:val="20"/>
                <w:szCs w:val="20"/>
              </w:rPr>
              <w:t>Substantial</w:t>
            </w:r>
          </w:p>
        </w:tc>
        <w:tc>
          <w:tcPr>
            <w:tcW w:w="2610" w:type="dxa"/>
            <w:gridSpan w:val="2"/>
          </w:tcPr>
          <w:p w14:paraId="68091347" w14:textId="77777777" w:rsidR="00CF33D9" w:rsidRDefault="00CF33D9">
            <w:pPr>
              <w:pStyle w:val="TableParagraph"/>
              <w:ind w:left="107"/>
              <w:rPr>
                <w:sz w:val="20"/>
                <w:szCs w:val="20"/>
              </w:rPr>
            </w:pPr>
          </w:p>
        </w:tc>
        <w:tc>
          <w:tcPr>
            <w:tcW w:w="4225" w:type="dxa"/>
            <w:gridSpan w:val="3"/>
          </w:tcPr>
          <w:p w14:paraId="68091348" w14:textId="77777777" w:rsidR="00CF33D9" w:rsidRDefault="00E3332A">
            <w:pPr>
              <w:pStyle w:val="TableParagraph"/>
              <w:spacing w:line="198" w:lineRule="exact"/>
              <w:ind w:left="119"/>
              <w:rPr>
                <w:color w:val="000000"/>
                <w:sz w:val="20"/>
                <w:szCs w:val="20"/>
              </w:rPr>
            </w:pPr>
            <w:r>
              <w:rPr>
                <w:color w:val="000000"/>
                <w:sz w:val="20"/>
                <w:szCs w:val="20"/>
              </w:rPr>
              <w:t xml:space="preserve">A </w:t>
            </w:r>
            <w:r>
              <w:rPr>
                <w:b/>
                <w:bCs/>
                <w:color w:val="000000"/>
                <w:sz w:val="20"/>
                <w:szCs w:val="20"/>
              </w:rPr>
              <w:t>scoped ESIA</w:t>
            </w:r>
            <w:r>
              <w:rPr>
                <w:color w:val="000000"/>
                <w:sz w:val="20"/>
                <w:szCs w:val="20"/>
              </w:rPr>
              <w:t xml:space="preserve"> will be developed in each country where mariculture is introduced to assess the potential negative environmental and social impacts of mariculture. The </w:t>
            </w:r>
            <w:r>
              <w:rPr>
                <w:b/>
                <w:bCs/>
                <w:color w:val="000000"/>
                <w:sz w:val="20"/>
                <w:szCs w:val="20"/>
              </w:rPr>
              <w:t>ESMP</w:t>
            </w:r>
            <w:r>
              <w:rPr>
                <w:color w:val="000000"/>
                <w:sz w:val="20"/>
                <w:szCs w:val="20"/>
              </w:rPr>
              <w:t xml:space="preserve"> will establish mitigation measures to ensure proper waste management associates with these activities. </w:t>
            </w:r>
          </w:p>
        </w:tc>
      </w:tr>
      <w:tr w:rsidR="00CF33D9" w14:paraId="6809134C" w14:textId="77777777">
        <w:trPr>
          <w:cantSplit/>
          <w:trHeight w:val="594"/>
        </w:trPr>
        <w:tc>
          <w:tcPr>
            <w:tcW w:w="4253" w:type="dxa"/>
            <w:vMerge w:val="restart"/>
          </w:tcPr>
          <w:p w14:paraId="6809134A" w14:textId="77777777" w:rsidR="00CF33D9" w:rsidRDefault="00CF33D9">
            <w:pPr>
              <w:pStyle w:val="TableParagraph"/>
              <w:rPr>
                <w:sz w:val="20"/>
                <w:szCs w:val="20"/>
              </w:rPr>
            </w:pPr>
          </w:p>
        </w:tc>
        <w:tc>
          <w:tcPr>
            <w:tcW w:w="9355" w:type="dxa"/>
            <w:gridSpan w:val="7"/>
            <w:shd w:val="clear" w:color="auto" w:fill="0E233D"/>
          </w:tcPr>
          <w:p w14:paraId="6809134B" w14:textId="77777777" w:rsidR="00CF33D9" w:rsidRDefault="00E3332A">
            <w:pPr>
              <w:pStyle w:val="TableParagraph"/>
              <w:spacing w:before="1"/>
              <w:ind w:left="105"/>
              <w:rPr>
                <w:b/>
                <w:sz w:val="20"/>
                <w:szCs w:val="20"/>
              </w:rPr>
            </w:pPr>
            <w:r>
              <w:rPr>
                <w:b/>
                <w:color w:val="FFFFFF"/>
                <w:sz w:val="20"/>
                <w:szCs w:val="20"/>
              </w:rPr>
              <w:t>QUESTION 4: What is the overall project risk categorization?</w:t>
            </w:r>
          </w:p>
        </w:tc>
      </w:tr>
      <w:tr w:rsidR="00CF33D9" w14:paraId="6809134F" w14:textId="77777777">
        <w:trPr>
          <w:cantSplit/>
          <w:trHeight w:val="124"/>
        </w:trPr>
        <w:tc>
          <w:tcPr>
            <w:tcW w:w="4253" w:type="dxa"/>
            <w:vMerge/>
            <w:tcBorders>
              <w:top w:val="nil"/>
            </w:tcBorders>
          </w:tcPr>
          <w:p w14:paraId="6809134D" w14:textId="77777777" w:rsidR="00CF33D9" w:rsidRDefault="00CF33D9">
            <w:pPr>
              <w:rPr>
                <w:rFonts w:ascii="Calibri" w:hAnsi="Calibri" w:cs="Calibri"/>
                <w:sz w:val="20"/>
                <w:szCs w:val="20"/>
              </w:rPr>
            </w:pPr>
          </w:p>
        </w:tc>
        <w:tc>
          <w:tcPr>
            <w:tcW w:w="9355" w:type="dxa"/>
            <w:gridSpan w:val="7"/>
          </w:tcPr>
          <w:p w14:paraId="6809134E" w14:textId="77777777" w:rsidR="00CF33D9" w:rsidRDefault="00CF33D9">
            <w:pPr>
              <w:pStyle w:val="TableParagraph"/>
              <w:rPr>
                <w:sz w:val="20"/>
                <w:szCs w:val="20"/>
              </w:rPr>
            </w:pPr>
          </w:p>
        </w:tc>
      </w:tr>
      <w:tr w:rsidR="00CF33D9" w14:paraId="68091354" w14:textId="77777777">
        <w:trPr>
          <w:cantSplit/>
          <w:trHeight w:val="266"/>
        </w:trPr>
        <w:tc>
          <w:tcPr>
            <w:tcW w:w="4253" w:type="dxa"/>
            <w:vMerge/>
            <w:tcBorders>
              <w:top w:val="nil"/>
            </w:tcBorders>
          </w:tcPr>
          <w:p w14:paraId="68091350" w14:textId="77777777" w:rsidR="00CF33D9" w:rsidRDefault="00CF33D9">
            <w:pPr>
              <w:rPr>
                <w:rFonts w:ascii="Calibri" w:hAnsi="Calibri" w:cs="Calibri"/>
                <w:sz w:val="20"/>
                <w:szCs w:val="20"/>
              </w:rPr>
            </w:pPr>
          </w:p>
        </w:tc>
        <w:tc>
          <w:tcPr>
            <w:tcW w:w="4433" w:type="dxa"/>
            <w:gridSpan w:val="3"/>
          </w:tcPr>
          <w:p w14:paraId="68091351" w14:textId="77777777" w:rsidR="00CF33D9" w:rsidRDefault="00E3332A">
            <w:pPr>
              <w:pStyle w:val="TableParagraph"/>
              <w:spacing w:before="1"/>
              <w:ind w:right="97"/>
              <w:jc w:val="right"/>
              <w:rPr>
                <w:b/>
                <w:i/>
                <w:sz w:val="20"/>
                <w:szCs w:val="20"/>
              </w:rPr>
            </w:pPr>
            <w:r>
              <w:rPr>
                <w:b/>
                <w:i/>
                <w:sz w:val="20"/>
                <w:szCs w:val="20"/>
              </w:rPr>
              <w:t>Low Risk</w:t>
            </w:r>
          </w:p>
        </w:tc>
        <w:tc>
          <w:tcPr>
            <w:tcW w:w="697" w:type="dxa"/>
          </w:tcPr>
          <w:p w14:paraId="68091352" w14:textId="77777777" w:rsidR="00CF33D9" w:rsidRDefault="00E3332A">
            <w:pPr>
              <w:pStyle w:val="TableParagraph"/>
              <w:spacing w:line="246" w:lineRule="exact"/>
              <w:ind w:left="105"/>
              <w:rPr>
                <w:b/>
                <w:sz w:val="20"/>
                <w:szCs w:val="20"/>
              </w:rPr>
            </w:pPr>
            <w:r>
              <w:rPr>
                <w:b/>
                <w:w w:val="99"/>
                <w:sz w:val="20"/>
                <w:szCs w:val="20"/>
              </w:rPr>
              <w:t>☐</w:t>
            </w:r>
          </w:p>
        </w:tc>
        <w:tc>
          <w:tcPr>
            <w:tcW w:w="4225" w:type="dxa"/>
            <w:gridSpan w:val="3"/>
          </w:tcPr>
          <w:p w14:paraId="68091353" w14:textId="77777777" w:rsidR="00CF33D9" w:rsidRDefault="00CF33D9">
            <w:pPr>
              <w:pStyle w:val="TableParagraph"/>
              <w:ind w:left="107"/>
              <w:rPr>
                <w:sz w:val="20"/>
                <w:szCs w:val="20"/>
              </w:rPr>
            </w:pPr>
          </w:p>
        </w:tc>
      </w:tr>
      <w:tr w:rsidR="00CF33D9" w14:paraId="68091359" w14:textId="77777777">
        <w:trPr>
          <w:cantSplit/>
          <w:trHeight w:val="266"/>
        </w:trPr>
        <w:tc>
          <w:tcPr>
            <w:tcW w:w="4253" w:type="dxa"/>
            <w:vMerge/>
            <w:tcBorders>
              <w:top w:val="nil"/>
            </w:tcBorders>
          </w:tcPr>
          <w:p w14:paraId="68091355" w14:textId="77777777" w:rsidR="00CF33D9" w:rsidRDefault="00CF33D9">
            <w:pPr>
              <w:rPr>
                <w:rFonts w:ascii="Calibri" w:hAnsi="Calibri" w:cs="Calibri"/>
                <w:sz w:val="20"/>
                <w:szCs w:val="20"/>
              </w:rPr>
            </w:pPr>
          </w:p>
        </w:tc>
        <w:tc>
          <w:tcPr>
            <w:tcW w:w="4433" w:type="dxa"/>
            <w:gridSpan w:val="3"/>
          </w:tcPr>
          <w:p w14:paraId="68091356" w14:textId="77777777" w:rsidR="00CF33D9" w:rsidRDefault="00E3332A">
            <w:pPr>
              <w:pStyle w:val="TableParagraph"/>
              <w:spacing w:before="1"/>
              <w:ind w:right="100"/>
              <w:jc w:val="right"/>
              <w:rPr>
                <w:b/>
                <w:i/>
                <w:sz w:val="20"/>
                <w:szCs w:val="20"/>
              </w:rPr>
            </w:pPr>
            <w:r>
              <w:rPr>
                <w:b/>
                <w:i/>
                <w:sz w:val="20"/>
                <w:szCs w:val="20"/>
              </w:rPr>
              <w:t>Moderate Risk</w:t>
            </w:r>
          </w:p>
        </w:tc>
        <w:tc>
          <w:tcPr>
            <w:tcW w:w="697" w:type="dxa"/>
          </w:tcPr>
          <w:p w14:paraId="68091357" w14:textId="77777777" w:rsidR="00CF33D9" w:rsidRDefault="00E3332A">
            <w:pPr>
              <w:pStyle w:val="TableParagraph"/>
              <w:spacing w:line="246" w:lineRule="exact"/>
              <w:ind w:left="105"/>
              <w:rPr>
                <w:b/>
                <w:sz w:val="20"/>
                <w:szCs w:val="20"/>
              </w:rPr>
            </w:pPr>
            <w:r>
              <w:rPr>
                <w:b/>
                <w:w w:val="99"/>
                <w:sz w:val="20"/>
                <w:szCs w:val="20"/>
              </w:rPr>
              <w:t>☐</w:t>
            </w:r>
          </w:p>
        </w:tc>
        <w:tc>
          <w:tcPr>
            <w:tcW w:w="4225" w:type="dxa"/>
            <w:gridSpan w:val="3"/>
          </w:tcPr>
          <w:p w14:paraId="68091358" w14:textId="77777777" w:rsidR="00CF33D9" w:rsidRDefault="00CF33D9">
            <w:pPr>
              <w:pStyle w:val="TableParagraph"/>
              <w:ind w:left="107"/>
              <w:rPr>
                <w:sz w:val="20"/>
                <w:szCs w:val="20"/>
              </w:rPr>
            </w:pPr>
          </w:p>
        </w:tc>
      </w:tr>
      <w:tr w:rsidR="00CF33D9" w14:paraId="6809135E" w14:textId="77777777">
        <w:trPr>
          <w:cantSplit/>
          <w:trHeight w:val="266"/>
        </w:trPr>
        <w:tc>
          <w:tcPr>
            <w:tcW w:w="4253" w:type="dxa"/>
            <w:vMerge/>
            <w:tcBorders>
              <w:top w:val="nil"/>
            </w:tcBorders>
          </w:tcPr>
          <w:p w14:paraId="6809135A" w14:textId="77777777" w:rsidR="00CF33D9" w:rsidRDefault="00CF33D9">
            <w:pPr>
              <w:rPr>
                <w:rFonts w:ascii="Calibri" w:hAnsi="Calibri" w:cs="Calibri"/>
                <w:sz w:val="20"/>
                <w:szCs w:val="20"/>
              </w:rPr>
            </w:pPr>
          </w:p>
        </w:tc>
        <w:tc>
          <w:tcPr>
            <w:tcW w:w="4433" w:type="dxa"/>
            <w:gridSpan w:val="3"/>
          </w:tcPr>
          <w:p w14:paraId="6809135B" w14:textId="77777777" w:rsidR="00CF33D9" w:rsidRDefault="00E3332A">
            <w:pPr>
              <w:pStyle w:val="TableParagraph"/>
              <w:spacing w:before="1"/>
              <w:ind w:right="96"/>
              <w:jc w:val="right"/>
              <w:rPr>
                <w:b/>
                <w:i/>
                <w:sz w:val="20"/>
                <w:szCs w:val="20"/>
              </w:rPr>
            </w:pPr>
            <w:r>
              <w:rPr>
                <w:b/>
                <w:i/>
                <w:sz w:val="20"/>
                <w:szCs w:val="20"/>
              </w:rPr>
              <w:t>Substantial Risk</w:t>
            </w:r>
          </w:p>
        </w:tc>
        <w:tc>
          <w:tcPr>
            <w:tcW w:w="697" w:type="dxa"/>
          </w:tcPr>
          <w:p w14:paraId="6809135C" w14:textId="77777777" w:rsidR="00CF33D9" w:rsidRDefault="00E3332A">
            <w:pPr>
              <w:pStyle w:val="TableParagraph"/>
              <w:spacing w:line="246" w:lineRule="exact"/>
              <w:ind w:left="105"/>
              <w:rPr>
                <w:b/>
                <w:sz w:val="20"/>
                <w:szCs w:val="20"/>
              </w:rPr>
            </w:pPr>
            <w:r>
              <w:rPr>
                <w:b/>
                <w:w w:val="99"/>
                <w:sz w:val="20"/>
                <w:szCs w:val="20"/>
              </w:rPr>
              <w:sym w:font="Wingdings" w:char="F078"/>
            </w:r>
          </w:p>
        </w:tc>
        <w:tc>
          <w:tcPr>
            <w:tcW w:w="4225" w:type="dxa"/>
            <w:gridSpan w:val="3"/>
          </w:tcPr>
          <w:p w14:paraId="6809135D" w14:textId="77777777" w:rsidR="00CF33D9" w:rsidRDefault="00E3332A">
            <w:pPr>
              <w:pStyle w:val="TableParagraph"/>
              <w:ind w:left="107"/>
              <w:rPr>
                <w:sz w:val="20"/>
                <w:szCs w:val="20"/>
              </w:rPr>
            </w:pPr>
            <w:r>
              <w:rPr>
                <w:sz w:val="20"/>
                <w:szCs w:val="20"/>
              </w:rPr>
              <w:t xml:space="preserve">Ten potential risks have been identified for this project, six of which are assessed as SUBSTANTIAL and four as MODERATE. As a result, this project is rated overall as a SUBSTANTIAL risk project. During the PPG, an ESMF, Stakeholder Engagement Plan and Gender Action Plan have been prepared to meet SES requirements. </w:t>
            </w:r>
          </w:p>
        </w:tc>
      </w:tr>
      <w:tr w:rsidR="00CF33D9" w14:paraId="68091363" w14:textId="77777777">
        <w:trPr>
          <w:cantSplit/>
          <w:trHeight w:val="265"/>
        </w:trPr>
        <w:tc>
          <w:tcPr>
            <w:tcW w:w="4253" w:type="dxa"/>
            <w:vMerge/>
            <w:tcBorders>
              <w:top w:val="nil"/>
            </w:tcBorders>
          </w:tcPr>
          <w:p w14:paraId="6809135F" w14:textId="77777777" w:rsidR="00CF33D9" w:rsidRDefault="00CF33D9">
            <w:pPr>
              <w:rPr>
                <w:rFonts w:ascii="Calibri" w:hAnsi="Calibri" w:cs="Calibri"/>
                <w:sz w:val="20"/>
                <w:szCs w:val="20"/>
              </w:rPr>
            </w:pPr>
          </w:p>
        </w:tc>
        <w:tc>
          <w:tcPr>
            <w:tcW w:w="4433" w:type="dxa"/>
            <w:gridSpan w:val="3"/>
          </w:tcPr>
          <w:p w14:paraId="68091360" w14:textId="77777777" w:rsidR="00CF33D9" w:rsidRDefault="00E3332A">
            <w:pPr>
              <w:pStyle w:val="TableParagraph"/>
              <w:spacing w:before="1"/>
              <w:ind w:right="99"/>
              <w:jc w:val="right"/>
              <w:rPr>
                <w:b/>
                <w:i/>
                <w:sz w:val="20"/>
                <w:szCs w:val="20"/>
              </w:rPr>
            </w:pPr>
            <w:r>
              <w:rPr>
                <w:b/>
                <w:i/>
                <w:sz w:val="20"/>
                <w:szCs w:val="20"/>
              </w:rPr>
              <w:t>High Risk</w:t>
            </w:r>
          </w:p>
        </w:tc>
        <w:tc>
          <w:tcPr>
            <w:tcW w:w="697" w:type="dxa"/>
          </w:tcPr>
          <w:p w14:paraId="68091361" w14:textId="77777777" w:rsidR="00CF33D9" w:rsidRDefault="00E3332A">
            <w:pPr>
              <w:pStyle w:val="TableParagraph"/>
              <w:spacing w:line="246" w:lineRule="exact"/>
              <w:ind w:left="105"/>
              <w:rPr>
                <w:b/>
                <w:sz w:val="20"/>
                <w:szCs w:val="20"/>
              </w:rPr>
            </w:pPr>
            <w:r>
              <w:rPr>
                <w:b/>
                <w:w w:val="99"/>
                <w:sz w:val="20"/>
                <w:szCs w:val="20"/>
              </w:rPr>
              <w:t>☐</w:t>
            </w:r>
          </w:p>
        </w:tc>
        <w:tc>
          <w:tcPr>
            <w:tcW w:w="4225" w:type="dxa"/>
            <w:gridSpan w:val="3"/>
          </w:tcPr>
          <w:p w14:paraId="68091362" w14:textId="77777777" w:rsidR="00CF33D9" w:rsidRDefault="00CF33D9">
            <w:pPr>
              <w:pStyle w:val="TableParagraph"/>
              <w:ind w:left="107"/>
              <w:rPr>
                <w:sz w:val="20"/>
                <w:szCs w:val="20"/>
              </w:rPr>
            </w:pPr>
          </w:p>
        </w:tc>
      </w:tr>
      <w:tr w:rsidR="00CF33D9" w14:paraId="68091366" w14:textId="77777777">
        <w:trPr>
          <w:cantSplit/>
          <w:trHeight w:val="782"/>
        </w:trPr>
        <w:tc>
          <w:tcPr>
            <w:tcW w:w="4253" w:type="dxa"/>
            <w:vMerge w:val="restart"/>
          </w:tcPr>
          <w:p w14:paraId="68091364" w14:textId="77777777" w:rsidR="00CF33D9" w:rsidRDefault="00CF33D9">
            <w:pPr>
              <w:pStyle w:val="TableParagraph"/>
              <w:rPr>
                <w:sz w:val="20"/>
                <w:szCs w:val="20"/>
              </w:rPr>
            </w:pPr>
          </w:p>
        </w:tc>
        <w:tc>
          <w:tcPr>
            <w:tcW w:w="9355" w:type="dxa"/>
            <w:gridSpan w:val="7"/>
            <w:shd w:val="clear" w:color="auto" w:fill="0E233D"/>
          </w:tcPr>
          <w:p w14:paraId="68091365" w14:textId="77777777" w:rsidR="00CF33D9" w:rsidRDefault="00E3332A">
            <w:pPr>
              <w:pStyle w:val="TableParagraph"/>
              <w:spacing w:before="147"/>
              <w:ind w:left="3946" w:right="198" w:hanging="3728"/>
              <w:rPr>
                <w:b/>
                <w:sz w:val="20"/>
                <w:szCs w:val="20"/>
              </w:rPr>
            </w:pPr>
            <w:r>
              <w:rPr>
                <w:b/>
                <w:color w:val="FFFFFF"/>
                <w:sz w:val="20"/>
                <w:szCs w:val="20"/>
              </w:rPr>
              <w:t>QUESTION 5: Based on the identified risks and risk categorization, what requirements of the SES are triggered? (check all that apply)</w:t>
            </w:r>
          </w:p>
        </w:tc>
      </w:tr>
      <w:tr w:rsidR="00CF33D9" w14:paraId="68091369" w14:textId="77777777">
        <w:trPr>
          <w:cantSplit/>
          <w:trHeight w:val="220"/>
        </w:trPr>
        <w:tc>
          <w:tcPr>
            <w:tcW w:w="4253" w:type="dxa"/>
            <w:vMerge/>
            <w:tcBorders>
              <w:top w:val="nil"/>
            </w:tcBorders>
          </w:tcPr>
          <w:p w14:paraId="68091367" w14:textId="77777777" w:rsidR="00CF33D9" w:rsidRDefault="00CF33D9">
            <w:pPr>
              <w:rPr>
                <w:rFonts w:ascii="Calibri" w:hAnsi="Calibri" w:cs="Calibri"/>
                <w:sz w:val="20"/>
                <w:szCs w:val="20"/>
              </w:rPr>
            </w:pPr>
          </w:p>
        </w:tc>
        <w:tc>
          <w:tcPr>
            <w:tcW w:w="9355" w:type="dxa"/>
            <w:gridSpan w:val="7"/>
          </w:tcPr>
          <w:p w14:paraId="68091368" w14:textId="77777777" w:rsidR="00CF33D9" w:rsidRDefault="00E3332A">
            <w:pPr>
              <w:pStyle w:val="TableParagraph"/>
              <w:spacing w:before="1" w:line="199" w:lineRule="exact"/>
              <w:ind w:left="105"/>
              <w:rPr>
                <w:sz w:val="20"/>
                <w:szCs w:val="20"/>
              </w:rPr>
            </w:pPr>
            <w:r>
              <w:rPr>
                <w:sz w:val="20"/>
                <w:szCs w:val="20"/>
              </w:rPr>
              <w:t>Question only required for Moderate, Substantial and High Risk projects</w:t>
            </w:r>
          </w:p>
        </w:tc>
      </w:tr>
      <w:tr w:rsidR="00CF33D9" w14:paraId="68091372" w14:textId="77777777">
        <w:trPr>
          <w:cantSplit/>
          <w:trHeight w:val="659"/>
        </w:trPr>
        <w:tc>
          <w:tcPr>
            <w:tcW w:w="4253" w:type="dxa"/>
            <w:vMerge/>
            <w:tcBorders>
              <w:top w:val="nil"/>
            </w:tcBorders>
          </w:tcPr>
          <w:p w14:paraId="6809136A" w14:textId="77777777" w:rsidR="00CF33D9" w:rsidRDefault="00CF33D9">
            <w:pPr>
              <w:rPr>
                <w:rFonts w:ascii="Calibri" w:hAnsi="Calibri" w:cs="Calibri"/>
                <w:sz w:val="20"/>
                <w:szCs w:val="20"/>
              </w:rPr>
            </w:pPr>
          </w:p>
        </w:tc>
        <w:tc>
          <w:tcPr>
            <w:tcW w:w="4433" w:type="dxa"/>
            <w:gridSpan w:val="3"/>
          </w:tcPr>
          <w:p w14:paraId="6809136B" w14:textId="77777777" w:rsidR="00CF33D9" w:rsidRDefault="00CF33D9">
            <w:pPr>
              <w:pStyle w:val="TableParagraph"/>
              <w:spacing w:before="12"/>
              <w:rPr>
                <w:b/>
                <w:sz w:val="20"/>
                <w:szCs w:val="20"/>
              </w:rPr>
            </w:pPr>
          </w:p>
          <w:p w14:paraId="6809136C" w14:textId="77777777" w:rsidR="00CF33D9" w:rsidRDefault="00E3332A">
            <w:pPr>
              <w:pStyle w:val="TableParagraph"/>
              <w:ind w:left="105"/>
              <w:rPr>
                <w:b/>
                <w:i/>
                <w:sz w:val="20"/>
                <w:szCs w:val="20"/>
              </w:rPr>
            </w:pPr>
            <w:r>
              <w:rPr>
                <w:b/>
                <w:i/>
                <w:sz w:val="20"/>
                <w:szCs w:val="20"/>
                <w:u w:val="single"/>
              </w:rPr>
              <w:t>Is assessment required? (check if “yes”)</w:t>
            </w:r>
          </w:p>
        </w:tc>
        <w:tc>
          <w:tcPr>
            <w:tcW w:w="697" w:type="dxa"/>
          </w:tcPr>
          <w:p w14:paraId="6809136D" w14:textId="77777777" w:rsidR="00CF33D9" w:rsidRDefault="00E3332A">
            <w:pPr>
              <w:pStyle w:val="TableParagraph"/>
              <w:spacing w:before="196"/>
              <w:ind w:left="105"/>
              <w:rPr>
                <w:b/>
                <w:sz w:val="20"/>
                <w:szCs w:val="20"/>
              </w:rPr>
            </w:pPr>
            <w:r>
              <w:rPr>
                <w:b/>
                <w:w w:val="99"/>
                <w:sz w:val="20"/>
                <w:szCs w:val="20"/>
              </w:rPr>
              <w:sym w:font="Wingdings" w:char="F078"/>
            </w:r>
          </w:p>
        </w:tc>
        <w:tc>
          <w:tcPr>
            <w:tcW w:w="450" w:type="dxa"/>
          </w:tcPr>
          <w:p w14:paraId="6809136E" w14:textId="77777777" w:rsidR="00CF33D9" w:rsidRDefault="00CF33D9">
            <w:pPr>
              <w:pStyle w:val="TableParagraph"/>
              <w:rPr>
                <w:sz w:val="20"/>
                <w:szCs w:val="20"/>
              </w:rPr>
            </w:pPr>
          </w:p>
        </w:tc>
        <w:tc>
          <w:tcPr>
            <w:tcW w:w="2700" w:type="dxa"/>
          </w:tcPr>
          <w:p w14:paraId="6809136F" w14:textId="77777777" w:rsidR="00CF33D9" w:rsidRDefault="00CF33D9">
            <w:pPr>
              <w:pStyle w:val="TableParagraph"/>
              <w:rPr>
                <w:sz w:val="20"/>
                <w:szCs w:val="20"/>
              </w:rPr>
            </w:pPr>
          </w:p>
        </w:tc>
        <w:tc>
          <w:tcPr>
            <w:tcW w:w="1075" w:type="dxa"/>
          </w:tcPr>
          <w:p w14:paraId="68091370" w14:textId="77777777" w:rsidR="00CF33D9" w:rsidRDefault="00E3332A">
            <w:pPr>
              <w:pStyle w:val="TableParagraph"/>
              <w:ind w:left="103" w:right="326"/>
              <w:rPr>
                <w:b/>
                <w:i/>
                <w:sz w:val="20"/>
                <w:szCs w:val="20"/>
              </w:rPr>
            </w:pPr>
            <w:r>
              <w:rPr>
                <w:b/>
                <w:i/>
                <w:sz w:val="20"/>
                <w:szCs w:val="20"/>
              </w:rPr>
              <w:t>Status? (completed,</w:t>
            </w:r>
          </w:p>
          <w:p w14:paraId="68091371" w14:textId="77777777" w:rsidR="00CF33D9" w:rsidRDefault="00E3332A">
            <w:pPr>
              <w:pStyle w:val="TableParagraph"/>
              <w:spacing w:before="1" w:line="199" w:lineRule="exact"/>
              <w:ind w:left="103"/>
              <w:rPr>
                <w:b/>
                <w:i/>
                <w:sz w:val="20"/>
                <w:szCs w:val="20"/>
              </w:rPr>
            </w:pPr>
            <w:r>
              <w:rPr>
                <w:b/>
                <w:i/>
                <w:sz w:val="20"/>
                <w:szCs w:val="20"/>
              </w:rPr>
              <w:t>planned)</w:t>
            </w:r>
          </w:p>
        </w:tc>
      </w:tr>
      <w:tr w:rsidR="00CF33D9" w14:paraId="68091379" w14:textId="77777777">
        <w:trPr>
          <w:cantSplit/>
          <w:trHeight w:val="265"/>
        </w:trPr>
        <w:tc>
          <w:tcPr>
            <w:tcW w:w="4253" w:type="dxa"/>
            <w:vMerge/>
            <w:tcBorders>
              <w:top w:val="nil"/>
            </w:tcBorders>
          </w:tcPr>
          <w:p w14:paraId="68091373" w14:textId="77777777" w:rsidR="00CF33D9" w:rsidRDefault="00CF33D9">
            <w:pPr>
              <w:rPr>
                <w:rFonts w:ascii="Calibri" w:hAnsi="Calibri" w:cs="Calibri"/>
                <w:sz w:val="20"/>
                <w:szCs w:val="20"/>
              </w:rPr>
            </w:pPr>
          </w:p>
        </w:tc>
        <w:tc>
          <w:tcPr>
            <w:tcW w:w="4433" w:type="dxa"/>
            <w:gridSpan w:val="3"/>
            <w:vMerge w:val="restart"/>
          </w:tcPr>
          <w:p w14:paraId="68091374" w14:textId="77777777" w:rsidR="00CF33D9" w:rsidRDefault="00E3332A">
            <w:pPr>
              <w:pStyle w:val="TableParagraph"/>
              <w:spacing w:line="219" w:lineRule="exact"/>
              <w:ind w:left="1469"/>
              <w:rPr>
                <w:i/>
                <w:sz w:val="20"/>
                <w:szCs w:val="20"/>
              </w:rPr>
            </w:pPr>
            <w:r>
              <w:rPr>
                <w:i/>
                <w:sz w:val="20"/>
                <w:szCs w:val="20"/>
              </w:rPr>
              <w:t>if yes, indicate overall type and status</w:t>
            </w:r>
          </w:p>
        </w:tc>
        <w:tc>
          <w:tcPr>
            <w:tcW w:w="697" w:type="dxa"/>
          </w:tcPr>
          <w:p w14:paraId="68091375" w14:textId="77777777" w:rsidR="00CF33D9" w:rsidRDefault="00CF33D9">
            <w:pPr>
              <w:pStyle w:val="TableParagraph"/>
              <w:rPr>
                <w:sz w:val="20"/>
                <w:szCs w:val="20"/>
              </w:rPr>
            </w:pPr>
          </w:p>
        </w:tc>
        <w:tc>
          <w:tcPr>
            <w:tcW w:w="450" w:type="dxa"/>
          </w:tcPr>
          <w:p w14:paraId="68091376" w14:textId="77777777" w:rsidR="00CF33D9" w:rsidRDefault="00E3332A">
            <w:pPr>
              <w:pStyle w:val="TableParagraph"/>
              <w:spacing w:line="246" w:lineRule="exact"/>
              <w:ind w:left="114"/>
              <w:rPr>
                <w:b/>
                <w:sz w:val="20"/>
                <w:szCs w:val="20"/>
              </w:rPr>
            </w:pPr>
            <w:r>
              <w:rPr>
                <w:b/>
                <w:w w:val="99"/>
                <w:sz w:val="20"/>
                <w:szCs w:val="20"/>
              </w:rPr>
              <w:sym w:font="Wingdings" w:char="F078"/>
            </w:r>
          </w:p>
        </w:tc>
        <w:tc>
          <w:tcPr>
            <w:tcW w:w="2700" w:type="dxa"/>
          </w:tcPr>
          <w:p w14:paraId="68091377" w14:textId="77777777" w:rsidR="00CF33D9" w:rsidRDefault="00E3332A">
            <w:pPr>
              <w:pStyle w:val="TableParagraph"/>
              <w:spacing w:line="219" w:lineRule="exact"/>
              <w:ind w:left="106"/>
              <w:rPr>
                <w:sz w:val="20"/>
                <w:szCs w:val="20"/>
              </w:rPr>
            </w:pPr>
            <w:r>
              <w:rPr>
                <w:sz w:val="20"/>
                <w:szCs w:val="20"/>
              </w:rPr>
              <w:t>Targeted assessment(s)</w:t>
            </w:r>
          </w:p>
        </w:tc>
        <w:tc>
          <w:tcPr>
            <w:tcW w:w="1075" w:type="dxa"/>
          </w:tcPr>
          <w:p w14:paraId="68091378" w14:textId="77777777" w:rsidR="00CF33D9" w:rsidRDefault="00E3332A">
            <w:pPr>
              <w:pStyle w:val="TableParagraph"/>
              <w:rPr>
                <w:sz w:val="20"/>
                <w:szCs w:val="20"/>
              </w:rPr>
            </w:pPr>
            <w:r>
              <w:rPr>
                <w:sz w:val="20"/>
                <w:szCs w:val="20"/>
              </w:rPr>
              <w:t>Completed, gender analysis, stakeholder analysis</w:t>
            </w:r>
          </w:p>
        </w:tc>
      </w:tr>
      <w:tr w:rsidR="00CF33D9" w14:paraId="68091381" w14:textId="77777777">
        <w:trPr>
          <w:cantSplit/>
          <w:trHeight w:val="439"/>
        </w:trPr>
        <w:tc>
          <w:tcPr>
            <w:tcW w:w="4253" w:type="dxa"/>
            <w:vMerge/>
            <w:tcBorders>
              <w:top w:val="nil"/>
            </w:tcBorders>
          </w:tcPr>
          <w:p w14:paraId="6809137A" w14:textId="77777777" w:rsidR="00CF33D9" w:rsidRDefault="00CF33D9">
            <w:pPr>
              <w:rPr>
                <w:rFonts w:ascii="Calibri" w:hAnsi="Calibri" w:cs="Calibri"/>
                <w:sz w:val="20"/>
                <w:szCs w:val="20"/>
              </w:rPr>
            </w:pPr>
          </w:p>
        </w:tc>
        <w:tc>
          <w:tcPr>
            <w:tcW w:w="4433" w:type="dxa"/>
            <w:gridSpan w:val="3"/>
            <w:vMerge/>
          </w:tcPr>
          <w:p w14:paraId="6809137B" w14:textId="77777777" w:rsidR="00CF33D9" w:rsidRDefault="00CF33D9">
            <w:pPr>
              <w:rPr>
                <w:rFonts w:ascii="Calibri" w:hAnsi="Calibri" w:cs="Calibri"/>
                <w:sz w:val="20"/>
                <w:szCs w:val="20"/>
              </w:rPr>
            </w:pPr>
          </w:p>
        </w:tc>
        <w:tc>
          <w:tcPr>
            <w:tcW w:w="697" w:type="dxa"/>
          </w:tcPr>
          <w:p w14:paraId="6809137C" w14:textId="77777777" w:rsidR="00CF33D9" w:rsidRDefault="00CF33D9">
            <w:pPr>
              <w:pStyle w:val="TableParagraph"/>
              <w:rPr>
                <w:sz w:val="20"/>
                <w:szCs w:val="20"/>
              </w:rPr>
            </w:pPr>
          </w:p>
        </w:tc>
        <w:tc>
          <w:tcPr>
            <w:tcW w:w="450" w:type="dxa"/>
          </w:tcPr>
          <w:p w14:paraId="6809137D" w14:textId="77777777" w:rsidR="00CF33D9" w:rsidRDefault="00E3332A">
            <w:pPr>
              <w:pStyle w:val="TableParagraph"/>
              <w:ind w:left="114"/>
              <w:rPr>
                <w:b/>
                <w:sz w:val="20"/>
                <w:szCs w:val="20"/>
              </w:rPr>
            </w:pPr>
            <w:r>
              <w:rPr>
                <w:b/>
                <w:w w:val="99"/>
                <w:sz w:val="20"/>
                <w:szCs w:val="20"/>
              </w:rPr>
              <w:sym w:font="Wingdings" w:char="F078"/>
            </w:r>
          </w:p>
        </w:tc>
        <w:tc>
          <w:tcPr>
            <w:tcW w:w="2700" w:type="dxa"/>
          </w:tcPr>
          <w:p w14:paraId="6809137E" w14:textId="77777777" w:rsidR="00CF33D9" w:rsidRDefault="00E3332A">
            <w:pPr>
              <w:pStyle w:val="TableParagraph"/>
              <w:spacing w:line="219" w:lineRule="exact"/>
              <w:ind w:left="106"/>
              <w:rPr>
                <w:sz w:val="20"/>
                <w:szCs w:val="20"/>
              </w:rPr>
            </w:pPr>
            <w:r>
              <w:rPr>
                <w:sz w:val="20"/>
                <w:szCs w:val="20"/>
              </w:rPr>
              <w:t>Scoped Environmental and Social</w:t>
            </w:r>
          </w:p>
          <w:p w14:paraId="6809137F" w14:textId="77777777" w:rsidR="00CF33D9" w:rsidRDefault="00E3332A">
            <w:pPr>
              <w:pStyle w:val="TableParagraph"/>
              <w:spacing w:before="1" w:line="199" w:lineRule="exact"/>
              <w:ind w:left="106"/>
              <w:rPr>
                <w:sz w:val="20"/>
                <w:szCs w:val="20"/>
              </w:rPr>
            </w:pPr>
            <w:r>
              <w:rPr>
                <w:sz w:val="20"/>
                <w:szCs w:val="20"/>
              </w:rPr>
              <w:t>Impact Assessment (Scoped ESIA)</w:t>
            </w:r>
          </w:p>
        </w:tc>
        <w:tc>
          <w:tcPr>
            <w:tcW w:w="1075" w:type="dxa"/>
          </w:tcPr>
          <w:p w14:paraId="68091380" w14:textId="77777777" w:rsidR="00CF33D9" w:rsidRDefault="00E3332A">
            <w:pPr>
              <w:pStyle w:val="TableParagraph"/>
              <w:spacing w:line="219" w:lineRule="exact"/>
              <w:ind w:left="106"/>
              <w:rPr>
                <w:sz w:val="20"/>
                <w:szCs w:val="20"/>
              </w:rPr>
            </w:pPr>
            <w:r>
              <w:rPr>
                <w:sz w:val="20"/>
                <w:szCs w:val="20"/>
              </w:rPr>
              <w:t>Planned (implementation phase when area of influence is identified)</w:t>
            </w:r>
          </w:p>
        </w:tc>
      </w:tr>
      <w:tr w:rsidR="00CF33D9" w14:paraId="6809138A" w14:textId="77777777">
        <w:trPr>
          <w:cantSplit/>
          <w:trHeight w:val="858"/>
        </w:trPr>
        <w:tc>
          <w:tcPr>
            <w:tcW w:w="4253" w:type="dxa"/>
            <w:vMerge/>
            <w:tcBorders>
              <w:top w:val="nil"/>
            </w:tcBorders>
          </w:tcPr>
          <w:p w14:paraId="68091382" w14:textId="77777777" w:rsidR="00CF33D9" w:rsidRDefault="00CF33D9">
            <w:pPr>
              <w:rPr>
                <w:rFonts w:ascii="Calibri" w:hAnsi="Calibri" w:cs="Calibri"/>
                <w:sz w:val="20"/>
                <w:szCs w:val="20"/>
              </w:rPr>
            </w:pPr>
          </w:p>
        </w:tc>
        <w:tc>
          <w:tcPr>
            <w:tcW w:w="4433" w:type="dxa"/>
            <w:gridSpan w:val="3"/>
            <w:vMerge/>
          </w:tcPr>
          <w:p w14:paraId="68091383" w14:textId="77777777" w:rsidR="00CF33D9" w:rsidRDefault="00CF33D9">
            <w:pPr>
              <w:rPr>
                <w:rFonts w:ascii="Calibri" w:hAnsi="Calibri" w:cs="Calibri"/>
                <w:sz w:val="20"/>
                <w:szCs w:val="20"/>
              </w:rPr>
            </w:pPr>
          </w:p>
        </w:tc>
        <w:tc>
          <w:tcPr>
            <w:tcW w:w="697" w:type="dxa"/>
            <w:vMerge w:val="restart"/>
          </w:tcPr>
          <w:p w14:paraId="68091384" w14:textId="77777777" w:rsidR="00CF33D9" w:rsidRDefault="00CF33D9">
            <w:pPr>
              <w:pStyle w:val="TableParagraph"/>
              <w:rPr>
                <w:sz w:val="20"/>
                <w:szCs w:val="20"/>
              </w:rPr>
            </w:pPr>
          </w:p>
        </w:tc>
        <w:tc>
          <w:tcPr>
            <w:tcW w:w="450" w:type="dxa"/>
            <w:vMerge w:val="restart"/>
          </w:tcPr>
          <w:p w14:paraId="68091385" w14:textId="77777777" w:rsidR="00CF33D9" w:rsidRDefault="00E3332A">
            <w:pPr>
              <w:pStyle w:val="TableParagraph"/>
              <w:ind w:left="114"/>
              <w:rPr>
                <w:b/>
                <w:sz w:val="20"/>
                <w:szCs w:val="20"/>
              </w:rPr>
            </w:pPr>
            <w:r>
              <w:rPr>
                <w:b/>
                <w:w w:val="99"/>
                <w:sz w:val="20"/>
                <w:szCs w:val="20"/>
              </w:rPr>
              <w:sym w:font="Wingdings" w:char="F078"/>
            </w:r>
          </w:p>
        </w:tc>
        <w:tc>
          <w:tcPr>
            <w:tcW w:w="2700" w:type="dxa"/>
            <w:tcBorders>
              <w:bottom w:val="single" w:sz="4" w:space="0" w:color="auto"/>
            </w:tcBorders>
          </w:tcPr>
          <w:p w14:paraId="68091386" w14:textId="77777777" w:rsidR="00CF33D9" w:rsidRDefault="00E3332A">
            <w:pPr>
              <w:pStyle w:val="TableParagraph"/>
              <w:spacing w:line="199" w:lineRule="exact"/>
              <w:ind w:left="106"/>
              <w:rPr>
                <w:sz w:val="20"/>
                <w:szCs w:val="20"/>
              </w:rPr>
            </w:pPr>
            <w:r>
              <w:rPr>
                <w:sz w:val="20"/>
                <w:szCs w:val="20"/>
              </w:rPr>
              <w:t>Strategic Environmental and Social Assessment (SESA)</w:t>
            </w:r>
          </w:p>
          <w:p w14:paraId="68091387" w14:textId="77777777" w:rsidR="00CF33D9" w:rsidRDefault="00CF33D9">
            <w:pPr>
              <w:pStyle w:val="TableParagraph"/>
              <w:spacing w:line="199" w:lineRule="exact"/>
              <w:rPr>
                <w:sz w:val="20"/>
                <w:szCs w:val="20"/>
              </w:rPr>
            </w:pPr>
          </w:p>
          <w:p w14:paraId="68091388" w14:textId="77777777" w:rsidR="00CF33D9" w:rsidRDefault="00CF33D9">
            <w:pPr>
              <w:pStyle w:val="TableParagraph"/>
              <w:spacing w:line="199" w:lineRule="exact"/>
              <w:ind w:left="106"/>
              <w:rPr>
                <w:sz w:val="20"/>
                <w:szCs w:val="20"/>
              </w:rPr>
            </w:pPr>
          </w:p>
        </w:tc>
        <w:tc>
          <w:tcPr>
            <w:tcW w:w="1075" w:type="dxa"/>
            <w:tcBorders>
              <w:bottom w:val="single" w:sz="4" w:space="0" w:color="auto"/>
            </w:tcBorders>
          </w:tcPr>
          <w:p w14:paraId="68091389" w14:textId="77777777" w:rsidR="00CF33D9" w:rsidRDefault="00E3332A">
            <w:pPr>
              <w:pStyle w:val="TableParagraph"/>
              <w:spacing w:line="219" w:lineRule="exact"/>
              <w:ind w:left="106"/>
              <w:rPr>
                <w:sz w:val="20"/>
                <w:szCs w:val="20"/>
              </w:rPr>
            </w:pPr>
            <w:r>
              <w:rPr>
                <w:sz w:val="20"/>
                <w:szCs w:val="20"/>
              </w:rPr>
              <w:t>Planned (implementation phase)</w:t>
            </w:r>
          </w:p>
        </w:tc>
      </w:tr>
      <w:tr w:rsidR="00CF33D9" w14:paraId="68091391" w14:textId="77777777">
        <w:trPr>
          <w:cantSplit/>
          <w:trHeight w:val="522"/>
        </w:trPr>
        <w:tc>
          <w:tcPr>
            <w:tcW w:w="4253" w:type="dxa"/>
            <w:vMerge/>
            <w:tcBorders>
              <w:top w:val="nil"/>
            </w:tcBorders>
          </w:tcPr>
          <w:p w14:paraId="6809138B" w14:textId="77777777" w:rsidR="00CF33D9" w:rsidRDefault="00CF33D9">
            <w:pPr>
              <w:rPr>
                <w:rFonts w:ascii="Calibri" w:hAnsi="Calibri" w:cs="Calibri"/>
                <w:sz w:val="20"/>
                <w:szCs w:val="20"/>
              </w:rPr>
            </w:pPr>
          </w:p>
        </w:tc>
        <w:tc>
          <w:tcPr>
            <w:tcW w:w="4433" w:type="dxa"/>
            <w:gridSpan w:val="3"/>
            <w:vMerge/>
          </w:tcPr>
          <w:p w14:paraId="6809138C" w14:textId="77777777" w:rsidR="00CF33D9" w:rsidRDefault="00CF33D9">
            <w:pPr>
              <w:rPr>
                <w:rFonts w:ascii="Calibri" w:hAnsi="Calibri" w:cs="Calibri"/>
                <w:sz w:val="20"/>
                <w:szCs w:val="20"/>
              </w:rPr>
            </w:pPr>
          </w:p>
        </w:tc>
        <w:tc>
          <w:tcPr>
            <w:tcW w:w="697" w:type="dxa"/>
            <w:vMerge/>
          </w:tcPr>
          <w:p w14:paraId="6809138D" w14:textId="77777777" w:rsidR="00CF33D9" w:rsidRDefault="00CF33D9">
            <w:pPr>
              <w:pStyle w:val="TableParagraph"/>
              <w:rPr>
                <w:sz w:val="20"/>
                <w:szCs w:val="20"/>
              </w:rPr>
            </w:pPr>
          </w:p>
        </w:tc>
        <w:tc>
          <w:tcPr>
            <w:tcW w:w="450" w:type="dxa"/>
            <w:vMerge/>
          </w:tcPr>
          <w:p w14:paraId="6809138E" w14:textId="77777777" w:rsidR="00CF33D9" w:rsidRDefault="00CF33D9">
            <w:pPr>
              <w:pStyle w:val="TableParagraph"/>
              <w:ind w:left="114"/>
              <w:rPr>
                <w:b/>
                <w:w w:val="99"/>
                <w:sz w:val="20"/>
                <w:szCs w:val="20"/>
              </w:rPr>
            </w:pPr>
          </w:p>
        </w:tc>
        <w:tc>
          <w:tcPr>
            <w:tcW w:w="2700" w:type="dxa"/>
            <w:tcBorders>
              <w:top w:val="single" w:sz="4" w:space="0" w:color="auto"/>
            </w:tcBorders>
          </w:tcPr>
          <w:p w14:paraId="6809138F" w14:textId="77777777" w:rsidR="00CF33D9" w:rsidRDefault="00E3332A">
            <w:pPr>
              <w:pStyle w:val="TableParagraph"/>
              <w:spacing w:line="199" w:lineRule="exact"/>
              <w:ind w:left="106"/>
              <w:rPr>
                <w:sz w:val="20"/>
                <w:szCs w:val="20"/>
              </w:rPr>
            </w:pPr>
            <w:r>
              <w:rPr>
                <w:sz w:val="20"/>
                <w:szCs w:val="20"/>
              </w:rPr>
              <w:t>Cultural Heritage Impact Assessment (CHIA)</w:t>
            </w:r>
          </w:p>
        </w:tc>
        <w:tc>
          <w:tcPr>
            <w:tcW w:w="1075" w:type="dxa"/>
            <w:tcBorders>
              <w:top w:val="single" w:sz="4" w:space="0" w:color="auto"/>
            </w:tcBorders>
          </w:tcPr>
          <w:p w14:paraId="68091390" w14:textId="77777777" w:rsidR="00CF33D9" w:rsidRDefault="00E3332A">
            <w:pPr>
              <w:pStyle w:val="TableParagraph"/>
              <w:spacing w:line="219" w:lineRule="exact"/>
              <w:ind w:left="106"/>
              <w:rPr>
                <w:sz w:val="20"/>
                <w:szCs w:val="20"/>
              </w:rPr>
            </w:pPr>
            <w:r>
              <w:rPr>
                <w:sz w:val="20"/>
                <w:szCs w:val="20"/>
              </w:rPr>
              <w:t>Planned (implementation phase when demonstration sites are confirmed)</w:t>
            </w:r>
          </w:p>
        </w:tc>
      </w:tr>
      <w:tr w:rsidR="00CF33D9" w14:paraId="68091397" w14:textId="77777777">
        <w:trPr>
          <w:cantSplit/>
          <w:trHeight w:val="265"/>
        </w:trPr>
        <w:tc>
          <w:tcPr>
            <w:tcW w:w="4253" w:type="dxa"/>
            <w:vMerge/>
            <w:tcBorders>
              <w:top w:val="nil"/>
            </w:tcBorders>
          </w:tcPr>
          <w:p w14:paraId="68091392" w14:textId="77777777" w:rsidR="00CF33D9" w:rsidRDefault="00CF33D9">
            <w:pPr>
              <w:rPr>
                <w:rFonts w:ascii="Calibri" w:hAnsi="Calibri" w:cs="Calibri"/>
                <w:sz w:val="20"/>
                <w:szCs w:val="20"/>
              </w:rPr>
            </w:pPr>
          </w:p>
        </w:tc>
        <w:tc>
          <w:tcPr>
            <w:tcW w:w="4433" w:type="dxa"/>
            <w:gridSpan w:val="3"/>
          </w:tcPr>
          <w:p w14:paraId="68091393" w14:textId="77777777" w:rsidR="00CF33D9" w:rsidRDefault="00E3332A">
            <w:pPr>
              <w:pStyle w:val="TableParagraph"/>
              <w:spacing w:before="23"/>
              <w:ind w:left="105"/>
              <w:rPr>
                <w:b/>
                <w:i/>
                <w:sz w:val="20"/>
                <w:szCs w:val="20"/>
              </w:rPr>
            </w:pPr>
            <w:r>
              <w:rPr>
                <w:b/>
                <w:i/>
                <w:sz w:val="20"/>
                <w:szCs w:val="20"/>
              </w:rPr>
              <w:t>Are management plans required? (check if “yes)</w:t>
            </w:r>
          </w:p>
        </w:tc>
        <w:tc>
          <w:tcPr>
            <w:tcW w:w="697" w:type="dxa"/>
          </w:tcPr>
          <w:p w14:paraId="68091394" w14:textId="77777777" w:rsidR="00CF33D9" w:rsidRDefault="00E3332A">
            <w:pPr>
              <w:pStyle w:val="TableParagraph"/>
              <w:spacing w:line="246" w:lineRule="exact"/>
              <w:ind w:left="105"/>
              <w:rPr>
                <w:b/>
                <w:sz w:val="20"/>
                <w:szCs w:val="20"/>
              </w:rPr>
            </w:pPr>
            <w:r>
              <w:rPr>
                <w:b/>
                <w:w w:val="99"/>
                <w:sz w:val="20"/>
                <w:szCs w:val="20"/>
              </w:rPr>
              <w:sym w:font="Wingdings" w:char="F078"/>
            </w:r>
          </w:p>
        </w:tc>
        <w:tc>
          <w:tcPr>
            <w:tcW w:w="450" w:type="dxa"/>
          </w:tcPr>
          <w:p w14:paraId="68091395" w14:textId="77777777" w:rsidR="00CF33D9" w:rsidRDefault="00CF33D9">
            <w:pPr>
              <w:pStyle w:val="TableParagraph"/>
              <w:rPr>
                <w:sz w:val="20"/>
                <w:szCs w:val="20"/>
              </w:rPr>
            </w:pPr>
          </w:p>
        </w:tc>
        <w:tc>
          <w:tcPr>
            <w:tcW w:w="3775" w:type="dxa"/>
            <w:gridSpan w:val="2"/>
          </w:tcPr>
          <w:p w14:paraId="68091396" w14:textId="77777777" w:rsidR="00CF33D9" w:rsidRDefault="00CF33D9">
            <w:pPr>
              <w:pStyle w:val="TableParagraph"/>
              <w:rPr>
                <w:sz w:val="20"/>
                <w:szCs w:val="20"/>
              </w:rPr>
            </w:pPr>
          </w:p>
        </w:tc>
      </w:tr>
      <w:tr w:rsidR="00CF33D9" w14:paraId="6809139E" w14:textId="77777777">
        <w:trPr>
          <w:cantSplit/>
          <w:trHeight w:val="260"/>
        </w:trPr>
        <w:tc>
          <w:tcPr>
            <w:tcW w:w="4253" w:type="dxa"/>
            <w:vMerge/>
            <w:tcBorders>
              <w:top w:val="nil"/>
              <w:bottom w:val="nil"/>
            </w:tcBorders>
          </w:tcPr>
          <w:p w14:paraId="68091398" w14:textId="77777777" w:rsidR="00CF33D9" w:rsidRDefault="00CF33D9">
            <w:pPr>
              <w:rPr>
                <w:rFonts w:ascii="Calibri" w:hAnsi="Calibri" w:cs="Calibri"/>
                <w:sz w:val="20"/>
                <w:szCs w:val="20"/>
              </w:rPr>
            </w:pPr>
          </w:p>
        </w:tc>
        <w:tc>
          <w:tcPr>
            <w:tcW w:w="4433" w:type="dxa"/>
            <w:gridSpan w:val="3"/>
          </w:tcPr>
          <w:p w14:paraId="68091399" w14:textId="77777777" w:rsidR="00CF33D9" w:rsidRDefault="00E3332A">
            <w:pPr>
              <w:pStyle w:val="TableParagraph"/>
              <w:spacing w:before="1"/>
              <w:ind w:left="2268"/>
              <w:rPr>
                <w:i/>
                <w:sz w:val="20"/>
                <w:szCs w:val="20"/>
              </w:rPr>
            </w:pPr>
            <w:r>
              <w:rPr>
                <w:i/>
                <w:sz w:val="20"/>
                <w:szCs w:val="20"/>
              </w:rPr>
              <w:t>If yes, indicate overall type</w:t>
            </w:r>
          </w:p>
        </w:tc>
        <w:tc>
          <w:tcPr>
            <w:tcW w:w="697" w:type="dxa"/>
          </w:tcPr>
          <w:p w14:paraId="6809139A" w14:textId="77777777" w:rsidR="00CF33D9" w:rsidRDefault="00CF33D9">
            <w:pPr>
              <w:pStyle w:val="TableParagraph"/>
              <w:rPr>
                <w:sz w:val="20"/>
                <w:szCs w:val="20"/>
              </w:rPr>
            </w:pPr>
          </w:p>
        </w:tc>
        <w:tc>
          <w:tcPr>
            <w:tcW w:w="450" w:type="dxa"/>
          </w:tcPr>
          <w:p w14:paraId="6809139B" w14:textId="77777777" w:rsidR="00CF33D9" w:rsidRDefault="00E3332A">
            <w:pPr>
              <w:pStyle w:val="TableParagraph"/>
              <w:ind w:left="114"/>
              <w:rPr>
                <w:b/>
                <w:sz w:val="20"/>
                <w:szCs w:val="20"/>
              </w:rPr>
            </w:pPr>
            <w:r>
              <w:rPr>
                <w:b/>
                <w:w w:val="99"/>
                <w:sz w:val="20"/>
                <w:szCs w:val="20"/>
              </w:rPr>
              <w:sym w:font="Wingdings" w:char="F078"/>
            </w:r>
          </w:p>
        </w:tc>
        <w:tc>
          <w:tcPr>
            <w:tcW w:w="2700" w:type="dxa"/>
          </w:tcPr>
          <w:p w14:paraId="6809139C" w14:textId="77777777" w:rsidR="00CF33D9" w:rsidRDefault="00E3332A">
            <w:pPr>
              <w:pStyle w:val="TableParagraph"/>
              <w:spacing w:before="1"/>
              <w:ind w:left="106" w:right="202"/>
              <w:rPr>
                <w:sz w:val="20"/>
                <w:szCs w:val="20"/>
              </w:rPr>
            </w:pPr>
            <w:r>
              <w:rPr>
                <w:sz w:val="20"/>
                <w:szCs w:val="20"/>
              </w:rPr>
              <w:t>Gender Action Plan</w:t>
            </w:r>
          </w:p>
        </w:tc>
        <w:tc>
          <w:tcPr>
            <w:tcW w:w="1075" w:type="dxa"/>
          </w:tcPr>
          <w:p w14:paraId="6809139D" w14:textId="77777777" w:rsidR="00CF33D9" w:rsidRDefault="00E3332A">
            <w:pPr>
              <w:pStyle w:val="TableParagraph"/>
              <w:spacing w:line="219" w:lineRule="exact"/>
              <w:ind w:left="106"/>
              <w:rPr>
                <w:sz w:val="20"/>
                <w:szCs w:val="20"/>
              </w:rPr>
            </w:pPr>
            <w:r>
              <w:rPr>
                <w:sz w:val="20"/>
                <w:szCs w:val="20"/>
              </w:rPr>
              <w:t>Completed</w:t>
            </w:r>
          </w:p>
        </w:tc>
      </w:tr>
      <w:tr w:rsidR="00CF33D9" w14:paraId="680913A5" w14:textId="77777777">
        <w:trPr>
          <w:cantSplit/>
          <w:trHeight w:val="260"/>
        </w:trPr>
        <w:tc>
          <w:tcPr>
            <w:tcW w:w="4253" w:type="dxa"/>
            <w:tcBorders>
              <w:top w:val="nil"/>
              <w:bottom w:val="nil"/>
            </w:tcBorders>
          </w:tcPr>
          <w:p w14:paraId="6809139F" w14:textId="77777777" w:rsidR="00CF33D9" w:rsidRDefault="00CF33D9">
            <w:pPr>
              <w:rPr>
                <w:rFonts w:ascii="Calibri" w:hAnsi="Calibri" w:cs="Calibri"/>
                <w:sz w:val="20"/>
                <w:szCs w:val="20"/>
              </w:rPr>
            </w:pPr>
          </w:p>
        </w:tc>
        <w:tc>
          <w:tcPr>
            <w:tcW w:w="4433" w:type="dxa"/>
            <w:gridSpan w:val="3"/>
          </w:tcPr>
          <w:p w14:paraId="680913A0" w14:textId="77777777" w:rsidR="00CF33D9" w:rsidRDefault="00CF33D9">
            <w:pPr>
              <w:pStyle w:val="TableParagraph"/>
              <w:spacing w:before="1"/>
              <w:ind w:left="2268"/>
              <w:rPr>
                <w:i/>
                <w:sz w:val="20"/>
                <w:szCs w:val="20"/>
              </w:rPr>
            </w:pPr>
          </w:p>
        </w:tc>
        <w:tc>
          <w:tcPr>
            <w:tcW w:w="697" w:type="dxa"/>
          </w:tcPr>
          <w:p w14:paraId="680913A1" w14:textId="77777777" w:rsidR="00CF33D9" w:rsidRDefault="00CF33D9">
            <w:pPr>
              <w:pStyle w:val="TableParagraph"/>
              <w:rPr>
                <w:sz w:val="20"/>
                <w:szCs w:val="20"/>
              </w:rPr>
            </w:pPr>
          </w:p>
        </w:tc>
        <w:tc>
          <w:tcPr>
            <w:tcW w:w="450" w:type="dxa"/>
          </w:tcPr>
          <w:p w14:paraId="680913A2" w14:textId="77777777" w:rsidR="00CF33D9" w:rsidRDefault="00E3332A">
            <w:pPr>
              <w:pStyle w:val="TableParagraph"/>
              <w:ind w:left="114"/>
              <w:rPr>
                <w:b/>
                <w:w w:val="99"/>
                <w:sz w:val="20"/>
                <w:szCs w:val="20"/>
              </w:rPr>
            </w:pPr>
            <w:r>
              <w:rPr>
                <w:b/>
                <w:w w:val="99"/>
                <w:sz w:val="20"/>
                <w:szCs w:val="20"/>
              </w:rPr>
              <w:sym w:font="Wingdings" w:char="F078"/>
            </w:r>
          </w:p>
        </w:tc>
        <w:tc>
          <w:tcPr>
            <w:tcW w:w="2700" w:type="dxa"/>
          </w:tcPr>
          <w:p w14:paraId="680913A3" w14:textId="77777777" w:rsidR="00CF33D9" w:rsidRDefault="00E3332A">
            <w:pPr>
              <w:pStyle w:val="TableParagraph"/>
              <w:spacing w:before="1"/>
              <w:ind w:left="106" w:right="202"/>
              <w:rPr>
                <w:sz w:val="20"/>
                <w:szCs w:val="20"/>
              </w:rPr>
            </w:pPr>
            <w:r>
              <w:rPr>
                <w:sz w:val="20"/>
                <w:szCs w:val="20"/>
              </w:rPr>
              <w:t>Stakeholder Engagement Plan</w:t>
            </w:r>
          </w:p>
        </w:tc>
        <w:tc>
          <w:tcPr>
            <w:tcW w:w="1075" w:type="dxa"/>
          </w:tcPr>
          <w:p w14:paraId="680913A4" w14:textId="77777777" w:rsidR="00CF33D9" w:rsidRDefault="00E3332A">
            <w:pPr>
              <w:pStyle w:val="TableParagraph"/>
              <w:spacing w:line="219" w:lineRule="exact"/>
              <w:ind w:left="106"/>
              <w:rPr>
                <w:sz w:val="20"/>
                <w:szCs w:val="20"/>
              </w:rPr>
            </w:pPr>
            <w:r>
              <w:rPr>
                <w:sz w:val="20"/>
                <w:szCs w:val="20"/>
              </w:rPr>
              <w:t>Completed</w:t>
            </w:r>
          </w:p>
        </w:tc>
      </w:tr>
      <w:tr w:rsidR="00CF33D9" w14:paraId="680913AC" w14:textId="77777777">
        <w:trPr>
          <w:cantSplit/>
          <w:trHeight w:val="260"/>
        </w:trPr>
        <w:tc>
          <w:tcPr>
            <w:tcW w:w="4253" w:type="dxa"/>
            <w:tcBorders>
              <w:top w:val="nil"/>
              <w:bottom w:val="nil"/>
            </w:tcBorders>
          </w:tcPr>
          <w:p w14:paraId="680913A6" w14:textId="77777777" w:rsidR="00CF33D9" w:rsidRDefault="00CF33D9">
            <w:pPr>
              <w:rPr>
                <w:rFonts w:ascii="Calibri" w:hAnsi="Calibri" w:cs="Calibri"/>
                <w:sz w:val="20"/>
                <w:szCs w:val="20"/>
              </w:rPr>
            </w:pPr>
          </w:p>
        </w:tc>
        <w:tc>
          <w:tcPr>
            <w:tcW w:w="4433" w:type="dxa"/>
            <w:gridSpan w:val="3"/>
          </w:tcPr>
          <w:p w14:paraId="680913A7" w14:textId="77777777" w:rsidR="00CF33D9" w:rsidRDefault="00CF33D9">
            <w:pPr>
              <w:pStyle w:val="TableParagraph"/>
              <w:spacing w:before="1"/>
              <w:ind w:left="2268"/>
              <w:rPr>
                <w:i/>
                <w:sz w:val="20"/>
                <w:szCs w:val="20"/>
              </w:rPr>
            </w:pPr>
          </w:p>
        </w:tc>
        <w:tc>
          <w:tcPr>
            <w:tcW w:w="697" w:type="dxa"/>
          </w:tcPr>
          <w:p w14:paraId="680913A8" w14:textId="77777777" w:rsidR="00CF33D9" w:rsidRDefault="00CF33D9">
            <w:pPr>
              <w:pStyle w:val="TableParagraph"/>
              <w:rPr>
                <w:sz w:val="20"/>
                <w:szCs w:val="20"/>
              </w:rPr>
            </w:pPr>
          </w:p>
        </w:tc>
        <w:tc>
          <w:tcPr>
            <w:tcW w:w="450" w:type="dxa"/>
          </w:tcPr>
          <w:p w14:paraId="680913A9" w14:textId="77777777" w:rsidR="00CF33D9" w:rsidRDefault="00E3332A">
            <w:pPr>
              <w:pStyle w:val="TableParagraph"/>
              <w:ind w:left="114"/>
              <w:rPr>
                <w:b/>
                <w:w w:val="99"/>
                <w:sz w:val="20"/>
                <w:szCs w:val="20"/>
              </w:rPr>
            </w:pPr>
            <w:r>
              <w:rPr>
                <w:b/>
                <w:w w:val="99"/>
                <w:sz w:val="20"/>
                <w:szCs w:val="20"/>
              </w:rPr>
              <w:sym w:font="Wingdings" w:char="F078"/>
            </w:r>
          </w:p>
        </w:tc>
        <w:tc>
          <w:tcPr>
            <w:tcW w:w="2700" w:type="dxa"/>
          </w:tcPr>
          <w:p w14:paraId="680913AA" w14:textId="77777777" w:rsidR="00CF33D9" w:rsidRDefault="00E3332A">
            <w:pPr>
              <w:pStyle w:val="TableParagraph"/>
              <w:spacing w:before="1"/>
              <w:ind w:left="109" w:right="93"/>
              <w:rPr>
                <w:sz w:val="20"/>
                <w:szCs w:val="20"/>
              </w:rPr>
            </w:pPr>
            <w:r>
              <w:rPr>
                <w:sz w:val="20"/>
                <w:szCs w:val="20"/>
              </w:rPr>
              <w:t>Environmental and Social Management Plan (ESMP)</w:t>
            </w:r>
          </w:p>
        </w:tc>
        <w:tc>
          <w:tcPr>
            <w:tcW w:w="1075" w:type="dxa"/>
          </w:tcPr>
          <w:p w14:paraId="680913AB" w14:textId="77777777" w:rsidR="00CF33D9" w:rsidRDefault="00E3332A">
            <w:pPr>
              <w:pStyle w:val="TableParagraph"/>
              <w:spacing w:line="219" w:lineRule="exact"/>
              <w:ind w:left="106"/>
              <w:rPr>
                <w:sz w:val="20"/>
                <w:szCs w:val="20"/>
              </w:rPr>
            </w:pPr>
            <w:r>
              <w:rPr>
                <w:sz w:val="20"/>
                <w:szCs w:val="20"/>
              </w:rPr>
              <w:t>Planned (implementation phase when area of influence is identified)</w:t>
            </w:r>
          </w:p>
        </w:tc>
      </w:tr>
      <w:tr w:rsidR="00CF33D9" w14:paraId="680913B3" w14:textId="77777777">
        <w:trPr>
          <w:cantSplit/>
          <w:trHeight w:val="66"/>
        </w:trPr>
        <w:tc>
          <w:tcPr>
            <w:tcW w:w="4253" w:type="dxa"/>
            <w:tcBorders>
              <w:top w:val="nil"/>
              <w:bottom w:val="nil"/>
            </w:tcBorders>
          </w:tcPr>
          <w:p w14:paraId="680913AD" w14:textId="77777777" w:rsidR="00CF33D9" w:rsidRDefault="00CF33D9">
            <w:pPr>
              <w:rPr>
                <w:rFonts w:ascii="Calibri" w:hAnsi="Calibri" w:cs="Calibri"/>
                <w:sz w:val="20"/>
                <w:szCs w:val="20"/>
              </w:rPr>
            </w:pPr>
          </w:p>
        </w:tc>
        <w:tc>
          <w:tcPr>
            <w:tcW w:w="4433" w:type="dxa"/>
            <w:gridSpan w:val="3"/>
          </w:tcPr>
          <w:p w14:paraId="680913AE" w14:textId="77777777" w:rsidR="00CF33D9" w:rsidRDefault="00CF33D9">
            <w:pPr>
              <w:pStyle w:val="TableParagraph"/>
              <w:spacing w:before="1"/>
              <w:ind w:left="2268"/>
              <w:rPr>
                <w:i/>
                <w:sz w:val="20"/>
                <w:szCs w:val="20"/>
              </w:rPr>
            </w:pPr>
          </w:p>
        </w:tc>
        <w:tc>
          <w:tcPr>
            <w:tcW w:w="697" w:type="dxa"/>
          </w:tcPr>
          <w:p w14:paraId="680913AF" w14:textId="77777777" w:rsidR="00CF33D9" w:rsidRDefault="00CF33D9">
            <w:pPr>
              <w:pStyle w:val="TableParagraph"/>
              <w:rPr>
                <w:sz w:val="20"/>
                <w:szCs w:val="20"/>
              </w:rPr>
            </w:pPr>
          </w:p>
        </w:tc>
        <w:tc>
          <w:tcPr>
            <w:tcW w:w="450" w:type="dxa"/>
          </w:tcPr>
          <w:p w14:paraId="680913B0" w14:textId="77777777" w:rsidR="00CF33D9" w:rsidRDefault="00E3332A">
            <w:pPr>
              <w:pStyle w:val="TableParagraph"/>
              <w:ind w:left="114"/>
              <w:rPr>
                <w:b/>
                <w:w w:val="99"/>
                <w:sz w:val="20"/>
                <w:szCs w:val="20"/>
              </w:rPr>
            </w:pPr>
            <w:r>
              <w:rPr>
                <w:b/>
                <w:w w:val="99"/>
                <w:sz w:val="20"/>
                <w:szCs w:val="20"/>
              </w:rPr>
              <w:sym w:font="Wingdings" w:char="F078"/>
            </w:r>
          </w:p>
        </w:tc>
        <w:tc>
          <w:tcPr>
            <w:tcW w:w="2700" w:type="dxa"/>
          </w:tcPr>
          <w:p w14:paraId="680913B1" w14:textId="77777777" w:rsidR="00CF33D9" w:rsidRDefault="00E3332A">
            <w:pPr>
              <w:pStyle w:val="TableParagraph"/>
              <w:spacing w:before="1"/>
              <w:ind w:left="96" w:right="202"/>
              <w:rPr>
                <w:sz w:val="20"/>
                <w:szCs w:val="20"/>
              </w:rPr>
            </w:pPr>
            <w:r>
              <w:rPr>
                <w:sz w:val="20"/>
                <w:szCs w:val="20"/>
              </w:rPr>
              <w:t>Environmental and Social Management Framework (ESMF)</w:t>
            </w:r>
          </w:p>
        </w:tc>
        <w:tc>
          <w:tcPr>
            <w:tcW w:w="1075" w:type="dxa"/>
          </w:tcPr>
          <w:p w14:paraId="680913B2" w14:textId="77777777" w:rsidR="00CF33D9" w:rsidRDefault="00E3332A">
            <w:pPr>
              <w:pStyle w:val="TableParagraph"/>
              <w:spacing w:line="219" w:lineRule="exact"/>
              <w:ind w:left="106"/>
              <w:rPr>
                <w:sz w:val="20"/>
                <w:szCs w:val="20"/>
              </w:rPr>
            </w:pPr>
            <w:r>
              <w:rPr>
                <w:sz w:val="20"/>
                <w:szCs w:val="20"/>
              </w:rPr>
              <w:t>Completed</w:t>
            </w:r>
          </w:p>
        </w:tc>
      </w:tr>
      <w:tr w:rsidR="00CF33D9" w14:paraId="680913BA" w14:textId="77777777">
        <w:trPr>
          <w:cantSplit/>
          <w:trHeight w:val="66"/>
        </w:trPr>
        <w:tc>
          <w:tcPr>
            <w:tcW w:w="4253" w:type="dxa"/>
            <w:tcBorders>
              <w:top w:val="nil"/>
              <w:bottom w:val="nil"/>
            </w:tcBorders>
          </w:tcPr>
          <w:p w14:paraId="680913B4" w14:textId="77777777" w:rsidR="00CF33D9" w:rsidRDefault="00CF33D9">
            <w:pPr>
              <w:rPr>
                <w:rFonts w:ascii="Calibri" w:hAnsi="Calibri" w:cs="Calibri"/>
                <w:sz w:val="20"/>
                <w:szCs w:val="20"/>
              </w:rPr>
            </w:pPr>
          </w:p>
        </w:tc>
        <w:tc>
          <w:tcPr>
            <w:tcW w:w="4433" w:type="dxa"/>
            <w:gridSpan w:val="3"/>
          </w:tcPr>
          <w:p w14:paraId="680913B5" w14:textId="77777777" w:rsidR="00CF33D9" w:rsidRDefault="00CF33D9">
            <w:pPr>
              <w:pStyle w:val="TableParagraph"/>
              <w:spacing w:before="1"/>
              <w:ind w:left="2268"/>
              <w:rPr>
                <w:i/>
                <w:sz w:val="20"/>
                <w:szCs w:val="20"/>
              </w:rPr>
            </w:pPr>
          </w:p>
        </w:tc>
        <w:tc>
          <w:tcPr>
            <w:tcW w:w="697" w:type="dxa"/>
          </w:tcPr>
          <w:p w14:paraId="680913B6" w14:textId="77777777" w:rsidR="00CF33D9" w:rsidRDefault="00CF33D9">
            <w:pPr>
              <w:pStyle w:val="TableParagraph"/>
              <w:rPr>
                <w:sz w:val="20"/>
                <w:szCs w:val="20"/>
              </w:rPr>
            </w:pPr>
          </w:p>
        </w:tc>
        <w:tc>
          <w:tcPr>
            <w:tcW w:w="450" w:type="dxa"/>
          </w:tcPr>
          <w:p w14:paraId="680913B7" w14:textId="77777777" w:rsidR="00CF33D9" w:rsidRDefault="00E3332A">
            <w:pPr>
              <w:pStyle w:val="TableParagraph"/>
              <w:ind w:left="114"/>
              <w:rPr>
                <w:b/>
                <w:w w:val="99"/>
                <w:sz w:val="20"/>
                <w:szCs w:val="20"/>
              </w:rPr>
            </w:pPr>
            <w:r>
              <w:rPr>
                <w:b/>
                <w:w w:val="99"/>
                <w:sz w:val="20"/>
                <w:szCs w:val="20"/>
              </w:rPr>
              <w:sym w:font="Wingdings" w:char="F078"/>
            </w:r>
          </w:p>
        </w:tc>
        <w:tc>
          <w:tcPr>
            <w:tcW w:w="2700" w:type="dxa"/>
          </w:tcPr>
          <w:p w14:paraId="680913B8" w14:textId="77777777" w:rsidR="00CF33D9" w:rsidRDefault="00E3332A">
            <w:pPr>
              <w:pStyle w:val="TableParagraph"/>
              <w:spacing w:before="1"/>
              <w:ind w:left="106" w:right="202"/>
              <w:rPr>
                <w:sz w:val="20"/>
                <w:szCs w:val="20"/>
              </w:rPr>
            </w:pPr>
            <w:r>
              <w:rPr>
                <w:sz w:val="20"/>
                <w:szCs w:val="20"/>
              </w:rPr>
              <w:t>Process Framework (PF)</w:t>
            </w:r>
          </w:p>
        </w:tc>
        <w:tc>
          <w:tcPr>
            <w:tcW w:w="1075" w:type="dxa"/>
          </w:tcPr>
          <w:p w14:paraId="680913B9" w14:textId="77777777" w:rsidR="00CF33D9" w:rsidRDefault="00E3332A">
            <w:pPr>
              <w:pStyle w:val="TableParagraph"/>
              <w:spacing w:line="219" w:lineRule="exact"/>
              <w:ind w:left="106"/>
              <w:rPr>
                <w:sz w:val="20"/>
                <w:szCs w:val="20"/>
              </w:rPr>
            </w:pPr>
            <w:r>
              <w:rPr>
                <w:sz w:val="20"/>
                <w:szCs w:val="20"/>
              </w:rPr>
              <w:t>Planned (implementation phase)</w:t>
            </w:r>
          </w:p>
        </w:tc>
      </w:tr>
      <w:tr w:rsidR="00CF33D9" w14:paraId="680913C1" w14:textId="77777777">
        <w:trPr>
          <w:cantSplit/>
          <w:trHeight w:val="66"/>
        </w:trPr>
        <w:tc>
          <w:tcPr>
            <w:tcW w:w="4253" w:type="dxa"/>
            <w:tcBorders>
              <w:top w:val="nil"/>
              <w:bottom w:val="nil"/>
            </w:tcBorders>
          </w:tcPr>
          <w:p w14:paraId="680913BB" w14:textId="77777777" w:rsidR="00CF33D9" w:rsidRDefault="00CF33D9">
            <w:pPr>
              <w:rPr>
                <w:rFonts w:ascii="Calibri" w:hAnsi="Calibri" w:cs="Calibri"/>
                <w:sz w:val="20"/>
                <w:szCs w:val="20"/>
              </w:rPr>
            </w:pPr>
          </w:p>
        </w:tc>
        <w:tc>
          <w:tcPr>
            <w:tcW w:w="4433" w:type="dxa"/>
            <w:gridSpan w:val="3"/>
          </w:tcPr>
          <w:p w14:paraId="680913BC" w14:textId="77777777" w:rsidR="00CF33D9" w:rsidRDefault="00CF33D9">
            <w:pPr>
              <w:pStyle w:val="TableParagraph"/>
              <w:spacing w:before="1"/>
              <w:ind w:left="2268"/>
              <w:rPr>
                <w:i/>
                <w:sz w:val="20"/>
                <w:szCs w:val="20"/>
              </w:rPr>
            </w:pPr>
          </w:p>
        </w:tc>
        <w:tc>
          <w:tcPr>
            <w:tcW w:w="697" w:type="dxa"/>
          </w:tcPr>
          <w:p w14:paraId="680913BD" w14:textId="77777777" w:rsidR="00CF33D9" w:rsidRDefault="00CF33D9">
            <w:pPr>
              <w:pStyle w:val="TableParagraph"/>
              <w:rPr>
                <w:sz w:val="20"/>
                <w:szCs w:val="20"/>
              </w:rPr>
            </w:pPr>
          </w:p>
        </w:tc>
        <w:tc>
          <w:tcPr>
            <w:tcW w:w="450" w:type="dxa"/>
          </w:tcPr>
          <w:p w14:paraId="680913BE" w14:textId="77777777" w:rsidR="00CF33D9" w:rsidRDefault="00E3332A">
            <w:pPr>
              <w:pStyle w:val="TableParagraph"/>
              <w:ind w:left="114"/>
              <w:rPr>
                <w:b/>
                <w:w w:val="99"/>
                <w:sz w:val="20"/>
                <w:szCs w:val="20"/>
              </w:rPr>
            </w:pPr>
            <w:r>
              <w:rPr>
                <w:b/>
                <w:w w:val="99"/>
                <w:sz w:val="20"/>
                <w:szCs w:val="20"/>
              </w:rPr>
              <w:sym w:font="Wingdings" w:char="F078"/>
            </w:r>
          </w:p>
        </w:tc>
        <w:tc>
          <w:tcPr>
            <w:tcW w:w="2700" w:type="dxa"/>
          </w:tcPr>
          <w:p w14:paraId="680913BF" w14:textId="77777777" w:rsidR="00CF33D9" w:rsidRDefault="00E3332A">
            <w:pPr>
              <w:pStyle w:val="TableParagraph"/>
              <w:spacing w:before="1"/>
              <w:ind w:left="106" w:right="202"/>
              <w:rPr>
                <w:sz w:val="20"/>
                <w:szCs w:val="20"/>
              </w:rPr>
            </w:pPr>
            <w:r>
              <w:rPr>
                <w:sz w:val="20"/>
                <w:szCs w:val="20"/>
              </w:rPr>
              <w:t>Livelihoods Action Framework (LAF)</w:t>
            </w:r>
          </w:p>
        </w:tc>
        <w:tc>
          <w:tcPr>
            <w:tcW w:w="1075" w:type="dxa"/>
          </w:tcPr>
          <w:p w14:paraId="680913C0" w14:textId="77777777" w:rsidR="00CF33D9" w:rsidRDefault="00E3332A">
            <w:pPr>
              <w:pStyle w:val="TableParagraph"/>
              <w:spacing w:line="219" w:lineRule="exact"/>
              <w:ind w:left="106"/>
              <w:rPr>
                <w:sz w:val="20"/>
                <w:szCs w:val="20"/>
              </w:rPr>
            </w:pPr>
            <w:r>
              <w:rPr>
                <w:sz w:val="20"/>
                <w:szCs w:val="20"/>
              </w:rPr>
              <w:t>Planned (Inception phase when demonstration sites are confirmed)</w:t>
            </w:r>
          </w:p>
        </w:tc>
      </w:tr>
      <w:tr w:rsidR="00CF33D9" w14:paraId="680913C8" w14:textId="77777777">
        <w:trPr>
          <w:cantSplit/>
          <w:trHeight w:val="66"/>
        </w:trPr>
        <w:tc>
          <w:tcPr>
            <w:tcW w:w="4253" w:type="dxa"/>
            <w:tcBorders>
              <w:top w:val="nil"/>
              <w:bottom w:val="nil"/>
            </w:tcBorders>
          </w:tcPr>
          <w:p w14:paraId="680913C2" w14:textId="77777777" w:rsidR="00CF33D9" w:rsidRDefault="00CF33D9">
            <w:pPr>
              <w:rPr>
                <w:rFonts w:ascii="Calibri" w:hAnsi="Calibri" w:cs="Calibri"/>
                <w:sz w:val="20"/>
                <w:szCs w:val="20"/>
              </w:rPr>
            </w:pPr>
          </w:p>
        </w:tc>
        <w:tc>
          <w:tcPr>
            <w:tcW w:w="4433" w:type="dxa"/>
            <w:gridSpan w:val="3"/>
          </w:tcPr>
          <w:p w14:paraId="680913C3" w14:textId="77777777" w:rsidR="00CF33D9" w:rsidRDefault="00CF33D9">
            <w:pPr>
              <w:pStyle w:val="TableParagraph"/>
              <w:spacing w:before="1"/>
              <w:ind w:left="2268"/>
              <w:rPr>
                <w:i/>
                <w:sz w:val="20"/>
                <w:szCs w:val="20"/>
              </w:rPr>
            </w:pPr>
          </w:p>
        </w:tc>
        <w:tc>
          <w:tcPr>
            <w:tcW w:w="697" w:type="dxa"/>
          </w:tcPr>
          <w:p w14:paraId="680913C4" w14:textId="77777777" w:rsidR="00CF33D9" w:rsidRDefault="00CF33D9">
            <w:pPr>
              <w:pStyle w:val="TableParagraph"/>
              <w:rPr>
                <w:sz w:val="20"/>
                <w:szCs w:val="20"/>
              </w:rPr>
            </w:pPr>
          </w:p>
        </w:tc>
        <w:tc>
          <w:tcPr>
            <w:tcW w:w="450" w:type="dxa"/>
          </w:tcPr>
          <w:p w14:paraId="680913C5" w14:textId="77777777" w:rsidR="00CF33D9" w:rsidRDefault="00E3332A">
            <w:pPr>
              <w:pStyle w:val="TableParagraph"/>
              <w:ind w:left="114"/>
              <w:rPr>
                <w:b/>
                <w:w w:val="99"/>
                <w:sz w:val="20"/>
                <w:szCs w:val="20"/>
              </w:rPr>
            </w:pPr>
            <w:r>
              <w:rPr>
                <w:b/>
                <w:w w:val="99"/>
                <w:sz w:val="20"/>
                <w:szCs w:val="20"/>
              </w:rPr>
              <w:sym w:font="Wingdings" w:char="F078"/>
            </w:r>
          </w:p>
        </w:tc>
        <w:tc>
          <w:tcPr>
            <w:tcW w:w="2700" w:type="dxa"/>
          </w:tcPr>
          <w:p w14:paraId="680913C6" w14:textId="77777777" w:rsidR="00CF33D9" w:rsidRDefault="00E3332A">
            <w:pPr>
              <w:pStyle w:val="TableParagraph"/>
              <w:spacing w:before="1"/>
              <w:ind w:left="106" w:right="202"/>
              <w:rPr>
                <w:sz w:val="20"/>
                <w:szCs w:val="20"/>
              </w:rPr>
            </w:pPr>
            <w:r>
              <w:rPr>
                <w:sz w:val="20"/>
                <w:szCs w:val="20"/>
              </w:rPr>
              <w:t>Livelihood Action Plan (LAP)</w:t>
            </w:r>
          </w:p>
        </w:tc>
        <w:tc>
          <w:tcPr>
            <w:tcW w:w="1075" w:type="dxa"/>
          </w:tcPr>
          <w:p w14:paraId="680913C7" w14:textId="77777777" w:rsidR="00CF33D9" w:rsidRDefault="00E3332A">
            <w:pPr>
              <w:pStyle w:val="TableParagraph"/>
              <w:spacing w:line="219" w:lineRule="exact"/>
              <w:ind w:left="106"/>
              <w:rPr>
                <w:sz w:val="20"/>
                <w:szCs w:val="20"/>
              </w:rPr>
            </w:pPr>
            <w:r>
              <w:rPr>
                <w:sz w:val="20"/>
                <w:szCs w:val="20"/>
              </w:rPr>
              <w:t>Planned (implementation phase when demonstration sites are confirmed)</w:t>
            </w:r>
          </w:p>
        </w:tc>
      </w:tr>
      <w:tr w:rsidR="00CF33D9" w14:paraId="680913CF" w14:textId="77777777">
        <w:trPr>
          <w:cantSplit/>
          <w:trHeight w:val="66"/>
        </w:trPr>
        <w:tc>
          <w:tcPr>
            <w:tcW w:w="4253" w:type="dxa"/>
            <w:tcBorders>
              <w:top w:val="nil"/>
              <w:bottom w:val="nil"/>
            </w:tcBorders>
          </w:tcPr>
          <w:p w14:paraId="680913C9" w14:textId="77777777" w:rsidR="00CF33D9" w:rsidRDefault="00CF33D9">
            <w:pPr>
              <w:rPr>
                <w:rFonts w:ascii="Calibri" w:hAnsi="Calibri" w:cs="Calibri"/>
                <w:sz w:val="20"/>
                <w:szCs w:val="20"/>
              </w:rPr>
            </w:pPr>
          </w:p>
        </w:tc>
        <w:tc>
          <w:tcPr>
            <w:tcW w:w="4433" w:type="dxa"/>
            <w:gridSpan w:val="3"/>
          </w:tcPr>
          <w:p w14:paraId="680913CA" w14:textId="77777777" w:rsidR="00CF33D9" w:rsidRDefault="00CF33D9">
            <w:pPr>
              <w:pStyle w:val="TableParagraph"/>
              <w:spacing w:before="1"/>
              <w:ind w:left="2268"/>
              <w:rPr>
                <w:i/>
                <w:sz w:val="20"/>
                <w:szCs w:val="20"/>
              </w:rPr>
            </w:pPr>
          </w:p>
        </w:tc>
        <w:tc>
          <w:tcPr>
            <w:tcW w:w="697" w:type="dxa"/>
          </w:tcPr>
          <w:p w14:paraId="680913CB" w14:textId="77777777" w:rsidR="00CF33D9" w:rsidRDefault="00CF33D9">
            <w:pPr>
              <w:pStyle w:val="TableParagraph"/>
              <w:rPr>
                <w:sz w:val="20"/>
                <w:szCs w:val="20"/>
              </w:rPr>
            </w:pPr>
          </w:p>
        </w:tc>
        <w:tc>
          <w:tcPr>
            <w:tcW w:w="450" w:type="dxa"/>
          </w:tcPr>
          <w:p w14:paraId="680913CC" w14:textId="77777777" w:rsidR="00CF33D9" w:rsidRDefault="00E3332A">
            <w:pPr>
              <w:pStyle w:val="TableParagraph"/>
              <w:ind w:left="114"/>
              <w:rPr>
                <w:b/>
                <w:w w:val="99"/>
                <w:sz w:val="20"/>
                <w:szCs w:val="20"/>
              </w:rPr>
            </w:pPr>
            <w:r>
              <w:rPr>
                <w:b/>
                <w:w w:val="99"/>
                <w:sz w:val="20"/>
                <w:szCs w:val="20"/>
              </w:rPr>
              <w:sym w:font="Wingdings" w:char="F078"/>
            </w:r>
          </w:p>
        </w:tc>
        <w:tc>
          <w:tcPr>
            <w:tcW w:w="2700" w:type="dxa"/>
          </w:tcPr>
          <w:p w14:paraId="680913CD" w14:textId="77777777" w:rsidR="00CF33D9" w:rsidRDefault="00E3332A">
            <w:pPr>
              <w:pStyle w:val="TableParagraph"/>
              <w:spacing w:before="1"/>
              <w:ind w:left="106" w:right="202"/>
              <w:rPr>
                <w:sz w:val="20"/>
                <w:szCs w:val="20"/>
              </w:rPr>
            </w:pPr>
            <w:r>
              <w:rPr>
                <w:sz w:val="20"/>
                <w:szCs w:val="20"/>
              </w:rPr>
              <w:t>Indigenous Peoples Plan Framework (IPPF)</w:t>
            </w:r>
          </w:p>
        </w:tc>
        <w:tc>
          <w:tcPr>
            <w:tcW w:w="1075" w:type="dxa"/>
          </w:tcPr>
          <w:p w14:paraId="680913CE" w14:textId="77777777" w:rsidR="00CF33D9" w:rsidRDefault="00E3332A">
            <w:pPr>
              <w:pStyle w:val="TableParagraph"/>
              <w:spacing w:line="219" w:lineRule="exact"/>
              <w:ind w:left="106"/>
              <w:rPr>
                <w:sz w:val="20"/>
                <w:szCs w:val="20"/>
              </w:rPr>
            </w:pPr>
            <w:r>
              <w:rPr>
                <w:sz w:val="20"/>
                <w:szCs w:val="20"/>
              </w:rPr>
              <w:t>Planned (Inception phase if presence of IPs is confirmed when demonstration sites are confirmed)</w:t>
            </w:r>
          </w:p>
        </w:tc>
      </w:tr>
      <w:tr w:rsidR="00CF33D9" w14:paraId="680913D6" w14:textId="77777777">
        <w:trPr>
          <w:cantSplit/>
          <w:trHeight w:val="66"/>
        </w:trPr>
        <w:tc>
          <w:tcPr>
            <w:tcW w:w="4253" w:type="dxa"/>
            <w:tcBorders>
              <w:top w:val="nil"/>
              <w:bottom w:val="nil"/>
            </w:tcBorders>
          </w:tcPr>
          <w:p w14:paraId="680913D0" w14:textId="77777777" w:rsidR="00CF33D9" w:rsidRDefault="00CF33D9">
            <w:pPr>
              <w:rPr>
                <w:rFonts w:ascii="Calibri" w:hAnsi="Calibri" w:cs="Calibri"/>
                <w:sz w:val="20"/>
                <w:szCs w:val="20"/>
              </w:rPr>
            </w:pPr>
          </w:p>
        </w:tc>
        <w:tc>
          <w:tcPr>
            <w:tcW w:w="4433" w:type="dxa"/>
            <w:gridSpan w:val="3"/>
          </w:tcPr>
          <w:p w14:paraId="680913D1" w14:textId="77777777" w:rsidR="00CF33D9" w:rsidRDefault="00CF33D9">
            <w:pPr>
              <w:pStyle w:val="TableParagraph"/>
              <w:spacing w:before="1"/>
              <w:ind w:left="2268"/>
              <w:rPr>
                <w:i/>
                <w:sz w:val="20"/>
                <w:szCs w:val="20"/>
              </w:rPr>
            </w:pPr>
          </w:p>
        </w:tc>
        <w:tc>
          <w:tcPr>
            <w:tcW w:w="697" w:type="dxa"/>
          </w:tcPr>
          <w:p w14:paraId="680913D2" w14:textId="77777777" w:rsidR="00CF33D9" w:rsidRDefault="00CF33D9">
            <w:pPr>
              <w:pStyle w:val="TableParagraph"/>
              <w:rPr>
                <w:sz w:val="20"/>
                <w:szCs w:val="20"/>
              </w:rPr>
            </w:pPr>
          </w:p>
        </w:tc>
        <w:tc>
          <w:tcPr>
            <w:tcW w:w="450" w:type="dxa"/>
          </w:tcPr>
          <w:p w14:paraId="680913D3" w14:textId="77777777" w:rsidR="00CF33D9" w:rsidRDefault="00E3332A">
            <w:pPr>
              <w:pStyle w:val="TableParagraph"/>
              <w:ind w:left="114"/>
              <w:rPr>
                <w:b/>
                <w:w w:val="99"/>
                <w:sz w:val="20"/>
                <w:szCs w:val="20"/>
              </w:rPr>
            </w:pPr>
            <w:r>
              <w:rPr>
                <w:b/>
                <w:w w:val="99"/>
                <w:sz w:val="20"/>
                <w:szCs w:val="20"/>
              </w:rPr>
              <w:sym w:font="Wingdings" w:char="F078"/>
            </w:r>
          </w:p>
        </w:tc>
        <w:tc>
          <w:tcPr>
            <w:tcW w:w="2700" w:type="dxa"/>
          </w:tcPr>
          <w:p w14:paraId="680913D4" w14:textId="77777777" w:rsidR="00CF33D9" w:rsidRDefault="00E3332A">
            <w:pPr>
              <w:pStyle w:val="TableParagraph"/>
              <w:spacing w:before="1"/>
              <w:ind w:left="106" w:right="202"/>
              <w:rPr>
                <w:sz w:val="20"/>
                <w:szCs w:val="20"/>
              </w:rPr>
            </w:pPr>
            <w:r>
              <w:rPr>
                <w:sz w:val="20"/>
                <w:szCs w:val="20"/>
              </w:rPr>
              <w:t>Indigenous Peoples Plan (IPP)</w:t>
            </w:r>
          </w:p>
        </w:tc>
        <w:tc>
          <w:tcPr>
            <w:tcW w:w="1075" w:type="dxa"/>
          </w:tcPr>
          <w:p w14:paraId="680913D5" w14:textId="77777777" w:rsidR="00CF33D9" w:rsidRDefault="00E3332A">
            <w:pPr>
              <w:pStyle w:val="TableParagraph"/>
              <w:spacing w:line="219" w:lineRule="exact"/>
              <w:ind w:left="106"/>
              <w:rPr>
                <w:sz w:val="20"/>
                <w:szCs w:val="20"/>
              </w:rPr>
            </w:pPr>
            <w:r>
              <w:rPr>
                <w:sz w:val="20"/>
                <w:szCs w:val="20"/>
              </w:rPr>
              <w:t>Planned (implementation phase if presence of IPs is confirmed when demonstration sites are confirmed)</w:t>
            </w:r>
          </w:p>
        </w:tc>
      </w:tr>
      <w:tr w:rsidR="00CF33D9" w14:paraId="680913DD" w14:textId="77777777">
        <w:trPr>
          <w:cantSplit/>
          <w:trHeight w:val="66"/>
        </w:trPr>
        <w:tc>
          <w:tcPr>
            <w:tcW w:w="4253" w:type="dxa"/>
            <w:tcBorders>
              <w:top w:val="nil"/>
              <w:bottom w:val="nil"/>
            </w:tcBorders>
          </w:tcPr>
          <w:p w14:paraId="680913D7" w14:textId="77777777" w:rsidR="00CF33D9" w:rsidRDefault="00CF33D9">
            <w:pPr>
              <w:rPr>
                <w:rFonts w:ascii="Calibri" w:hAnsi="Calibri" w:cs="Calibri"/>
                <w:sz w:val="20"/>
                <w:szCs w:val="20"/>
              </w:rPr>
            </w:pPr>
          </w:p>
        </w:tc>
        <w:tc>
          <w:tcPr>
            <w:tcW w:w="4433" w:type="dxa"/>
            <w:gridSpan w:val="3"/>
          </w:tcPr>
          <w:p w14:paraId="680913D8" w14:textId="77777777" w:rsidR="00CF33D9" w:rsidRDefault="00CF33D9">
            <w:pPr>
              <w:pStyle w:val="TableParagraph"/>
              <w:spacing w:before="1"/>
              <w:ind w:left="2268"/>
              <w:rPr>
                <w:i/>
                <w:sz w:val="20"/>
                <w:szCs w:val="20"/>
              </w:rPr>
            </w:pPr>
          </w:p>
        </w:tc>
        <w:tc>
          <w:tcPr>
            <w:tcW w:w="697" w:type="dxa"/>
          </w:tcPr>
          <w:p w14:paraId="680913D9" w14:textId="77777777" w:rsidR="00CF33D9" w:rsidRDefault="00CF33D9">
            <w:pPr>
              <w:pStyle w:val="TableParagraph"/>
              <w:rPr>
                <w:sz w:val="20"/>
                <w:szCs w:val="20"/>
              </w:rPr>
            </w:pPr>
          </w:p>
        </w:tc>
        <w:tc>
          <w:tcPr>
            <w:tcW w:w="450" w:type="dxa"/>
          </w:tcPr>
          <w:p w14:paraId="680913DA" w14:textId="77777777" w:rsidR="00CF33D9" w:rsidRDefault="00E3332A">
            <w:pPr>
              <w:pStyle w:val="TableParagraph"/>
              <w:ind w:left="114"/>
              <w:rPr>
                <w:b/>
                <w:w w:val="99"/>
                <w:sz w:val="20"/>
                <w:szCs w:val="20"/>
              </w:rPr>
            </w:pPr>
            <w:r>
              <w:rPr>
                <w:b/>
                <w:w w:val="99"/>
                <w:sz w:val="20"/>
                <w:szCs w:val="20"/>
              </w:rPr>
              <w:sym w:font="Wingdings" w:char="F078"/>
            </w:r>
          </w:p>
        </w:tc>
        <w:tc>
          <w:tcPr>
            <w:tcW w:w="2700" w:type="dxa"/>
          </w:tcPr>
          <w:p w14:paraId="680913DB" w14:textId="77777777" w:rsidR="00CF33D9" w:rsidRDefault="00E3332A">
            <w:pPr>
              <w:pStyle w:val="TableParagraph"/>
              <w:spacing w:before="1"/>
              <w:ind w:left="106" w:right="202"/>
              <w:rPr>
                <w:sz w:val="20"/>
                <w:szCs w:val="20"/>
              </w:rPr>
            </w:pPr>
            <w:r>
              <w:rPr>
                <w:sz w:val="20"/>
                <w:szCs w:val="20"/>
              </w:rPr>
              <w:t>Biodiversity Action Plan (BAP)</w:t>
            </w:r>
          </w:p>
        </w:tc>
        <w:tc>
          <w:tcPr>
            <w:tcW w:w="1075" w:type="dxa"/>
          </w:tcPr>
          <w:p w14:paraId="680913DC" w14:textId="77777777" w:rsidR="00CF33D9" w:rsidRDefault="00E3332A">
            <w:pPr>
              <w:pStyle w:val="TableParagraph"/>
              <w:spacing w:line="219" w:lineRule="exact"/>
              <w:ind w:left="106"/>
              <w:rPr>
                <w:sz w:val="20"/>
                <w:szCs w:val="20"/>
              </w:rPr>
            </w:pPr>
            <w:r>
              <w:rPr>
                <w:sz w:val="20"/>
                <w:szCs w:val="20"/>
              </w:rPr>
              <w:t>Planned (implementation phase when intervention sites are confirmed)</w:t>
            </w:r>
          </w:p>
        </w:tc>
      </w:tr>
      <w:tr w:rsidR="00CF33D9" w14:paraId="680913E4" w14:textId="77777777">
        <w:trPr>
          <w:cantSplit/>
          <w:trHeight w:val="66"/>
        </w:trPr>
        <w:tc>
          <w:tcPr>
            <w:tcW w:w="4253" w:type="dxa"/>
            <w:tcBorders>
              <w:top w:val="nil"/>
            </w:tcBorders>
          </w:tcPr>
          <w:p w14:paraId="680913DE" w14:textId="77777777" w:rsidR="00CF33D9" w:rsidRDefault="00CF33D9">
            <w:pPr>
              <w:rPr>
                <w:rFonts w:ascii="Calibri" w:hAnsi="Calibri" w:cs="Calibri"/>
                <w:sz w:val="20"/>
                <w:szCs w:val="20"/>
              </w:rPr>
            </w:pPr>
          </w:p>
        </w:tc>
        <w:tc>
          <w:tcPr>
            <w:tcW w:w="4433" w:type="dxa"/>
            <w:gridSpan w:val="3"/>
          </w:tcPr>
          <w:p w14:paraId="680913DF" w14:textId="77777777" w:rsidR="00CF33D9" w:rsidRDefault="00CF33D9">
            <w:pPr>
              <w:pStyle w:val="TableParagraph"/>
              <w:spacing w:before="1"/>
              <w:ind w:left="2268"/>
              <w:rPr>
                <w:i/>
                <w:sz w:val="20"/>
                <w:szCs w:val="20"/>
              </w:rPr>
            </w:pPr>
          </w:p>
        </w:tc>
        <w:tc>
          <w:tcPr>
            <w:tcW w:w="697" w:type="dxa"/>
          </w:tcPr>
          <w:p w14:paraId="680913E0" w14:textId="77777777" w:rsidR="00CF33D9" w:rsidRDefault="00CF33D9">
            <w:pPr>
              <w:pStyle w:val="TableParagraph"/>
              <w:rPr>
                <w:sz w:val="20"/>
                <w:szCs w:val="20"/>
              </w:rPr>
            </w:pPr>
          </w:p>
        </w:tc>
        <w:tc>
          <w:tcPr>
            <w:tcW w:w="450" w:type="dxa"/>
          </w:tcPr>
          <w:p w14:paraId="680913E1" w14:textId="77777777" w:rsidR="00CF33D9" w:rsidRDefault="00E3332A">
            <w:pPr>
              <w:pStyle w:val="TableParagraph"/>
              <w:ind w:left="114"/>
              <w:rPr>
                <w:b/>
                <w:w w:val="99"/>
                <w:sz w:val="20"/>
                <w:szCs w:val="20"/>
              </w:rPr>
            </w:pPr>
            <w:r>
              <w:rPr>
                <w:b/>
                <w:w w:val="99"/>
                <w:sz w:val="20"/>
                <w:szCs w:val="20"/>
              </w:rPr>
              <w:sym w:font="Wingdings" w:char="F078"/>
            </w:r>
          </w:p>
        </w:tc>
        <w:tc>
          <w:tcPr>
            <w:tcW w:w="2700" w:type="dxa"/>
          </w:tcPr>
          <w:p w14:paraId="680913E2" w14:textId="77777777" w:rsidR="00CF33D9" w:rsidRDefault="00E3332A">
            <w:pPr>
              <w:pStyle w:val="TableParagraph"/>
              <w:spacing w:before="1"/>
              <w:ind w:left="106" w:right="202"/>
              <w:rPr>
                <w:sz w:val="20"/>
                <w:szCs w:val="20"/>
              </w:rPr>
            </w:pPr>
            <w:r>
              <w:rPr>
                <w:sz w:val="20"/>
                <w:szCs w:val="20"/>
              </w:rPr>
              <w:t>Cultural Heritage Management Plan (CHMP)</w:t>
            </w:r>
          </w:p>
        </w:tc>
        <w:tc>
          <w:tcPr>
            <w:tcW w:w="1075" w:type="dxa"/>
          </w:tcPr>
          <w:p w14:paraId="680913E3" w14:textId="77777777" w:rsidR="00CF33D9" w:rsidRDefault="00E3332A">
            <w:pPr>
              <w:pStyle w:val="TableParagraph"/>
              <w:spacing w:line="219" w:lineRule="exact"/>
              <w:ind w:left="106"/>
              <w:rPr>
                <w:sz w:val="20"/>
                <w:szCs w:val="20"/>
              </w:rPr>
            </w:pPr>
            <w:r>
              <w:rPr>
                <w:sz w:val="20"/>
                <w:szCs w:val="20"/>
              </w:rPr>
              <w:t>Planned (implementation phase when demonstration sites are confirmed)</w:t>
            </w:r>
          </w:p>
        </w:tc>
      </w:tr>
    </w:tbl>
    <w:p w14:paraId="680913E5" w14:textId="77777777" w:rsidR="00CF33D9" w:rsidRDefault="00CF33D9">
      <w:pPr>
        <w:rPr>
          <w:rFonts w:ascii="Calibri" w:hAnsi="Calibri" w:cs="Calibri"/>
          <w:sz w:val="20"/>
          <w:szCs w:val="20"/>
        </w:rPr>
        <w:sectPr w:rsidR="00CF33D9">
          <w:pgSz w:w="15840" w:h="12240" w:orient="landscape"/>
          <w:pgMar w:top="1040" w:right="1020" w:bottom="920" w:left="1340" w:header="0" w:footer="720"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07"/>
        <w:gridCol w:w="4320"/>
        <w:gridCol w:w="561"/>
        <w:gridCol w:w="4748"/>
      </w:tblGrid>
      <w:tr w:rsidR="00CF33D9" w14:paraId="680913EA" w14:textId="77777777">
        <w:trPr>
          <w:trHeight w:val="522"/>
        </w:trPr>
        <w:tc>
          <w:tcPr>
            <w:tcW w:w="3507" w:type="dxa"/>
            <w:vMerge w:val="restart"/>
            <w:tcBorders>
              <w:top w:val="nil"/>
            </w:tcBorders>
          </w:tcPr>
          <w:p w14:paraId="680913E6" w14:textId="77777777" w:rsidR="00CF33D9" w:rsidRDefault="00CF33D9">
            <w:pPr>
              <w:rPr>
                <w:rFonts w:ascii="Calibri" w:hAnsi="Calibri" w:cs="Calibri"/>
                <w:sz w:val="20"/>
                <w:szCs w:val="20"/>
              </w:rPr>
            </w:pPr>
          </w:p>
        </w:tc>
        <w:tc>
          <w:tcPr>
            <w:tcW w:w="4320" w:type="dxa"/>
          </w:tcPr>
          <w:p w14:paraId="680913E7" w14:textId="77777777" w:rsidR="00CF33D9" w:rsidRDefault="00E3332A">
            <w:pPr>
              <w:pStyle w:val="TableParagraph"/>
              <w:spacing w:before="1"/>
              <w:ind w:left="105" w:right="429"/>
              <w:rPr>
                <w:b/>
                <w:i/>
                <w:sz w:val="20"/>
                <w:szCs w:val="20"/>
              </w:rPr>
            </w:pPr>
            <w:r>
              <w:rPr>
                <w:b/>
                <w:i/>
                <w:sz w:val="20"/>
                <w:szCs w:val="20"/>
              </w:rPr>
              <w:t xml:space="preserve">Based on identified </w:t>
            </w:r>
            <w:r>
              <w:rPr>
                <w:b/>
                <w:i/>
                <w:sz w:val="20"/>
                <w:szCs w:val="20"/>
                <w:u w:val="single"/>
              </w:rPr>
              <w:t>risks</w:t>
            </w:r>
            <w:r>
              <w:rPr>
                <w:b/>
                <w:i/>
                <w:sz w:val="20"/>
                <w:szCs w:val="20"/>
              </w:rPr>
              <w:t>, which Principles/Project- level Standards triggered?</w:t>
            </w:r>
          </w:p>
        </w:tc>
        <w:tc>
          <w:tcPr>
            <w:tcW w:w="561" w:type="dxa"/>
          </w:tcPr>
          <w:p w14:paraId="680913E8" w14:textId="77777777" w:rsidR="00CF33D9" w:rsidRDefault="00CF33D9">
            <w:pPr>
              <w:pStyle w:val="TableParagraph"/>
              <w:rPr>
                <w:sz w:val="20"/>
                <w:szCs w:val="20"/>
              </w:rPr>
            </w:pPr>
          </w:p>
        </w:tc>
        <w:tc>
          <w:tcPr>
            <w:tcW w:w="4748" w:type="dxa"/>
          </w:tcPr>
          <w:p w14:paraId="680913E9" w14:textId="77777777" w:rsidR="00CF33D9" w:rsidRDefault="00E3332A">
            <w:pPr>
              <w:pStyle w:val="TableParagraph"/>
              <w:spacing w:before="152"/>
              <w:ind w:left="1424"/>
              <w:rPr>
                <w:b/>
                <w:sz w:val="20"/>
                <w:szCs w:val="20"/>
              </w:rPr>
            </w:pPr>
            <w:r>
              <w:rPr>
                <w:b/>
                <w:sz w:val="20"/>
                <w:szCs w:val="20"/>
              </w:rPr>
              <w:t>Comments (not required)</w:t>
            </w:r>
          </w:p>
        </w:tc>
      </w:tr>
      <w:tr w:rsidR="00CF33D9" w14:paraId="680913EF" w14:textId="77777777">
        <w:trPr>
          <w:trHeight w:val="217"/>
        </w:trPr>
        <w:tc>
          <w:tcPr>
            <w:tcW w:w="3507" w:type="dxa"/>
            <w:vMerge/>
            <w:tcBorders>
              <w:top w:val="nil"/>
            </w:tcBorders>
          </w:tcPr>
          <w:p w14:paraId="680913EB" w14:textId="77777777" w:rsidR="00CF33D9" w:rsidRDefault="00CF33D9">
            <w:pPr>
              <w:rPr>
                <w:rFonts w:ascii="Calibri" w:hAnsi="Calibri" w:cs="Calibri"/>
                <w:sz w:val="20"/>
                <w:szCs w:val="20"/>
              </w:rPr>
            </w:pPr>
          </w:p>
        </w:tc>
        <w:tc>
          <w:tcPr>
            <w:tcW w:w="4320" w:type="dxa"/>
          </w:tcPr>
          <w:p w14:paraId="680913EC" w14:textId="77777777" w:rsidR="00CF33D9" w:rsidRDefault="00E3332A">
            <w:pPr>
              <w:pStyle w:val="TableParagraph"/>
              <w:spacing w:line="198" w:lineRule="exact"/>
              <w:ind w:left="105"/>
              <w:rPr>
                <w:b/>
                <w:i/>
                <w:sz w:val="20"/>
                <w:szCs w:val="20"/>
              </w:rPr>
            </w:pPr>
            <w:r>
              <w:rPr>
                <w:b/>
                <w:i/>
                <w:sz w:val="20"/>
                <w:szCs w:val="20"/>
              </w:rPr>
              <w:t>Overarching Principle: Leave No One Behind</w:t>
            </w:r>
          </w:p>
        </w:tc>
        <w:tc>
          <w:tcPr>
            <w:tcW w:w="561" w:type="dxa"/>
          </w:tcPr>
          <w:p w14:paraId="680913ED" w14:textId="77777777" w:rsidR="00CF33D9" w:rsidRDefault="00CF33D9">
            <w:pPr>
              <w:pStyle w:val="TableParagraph"/>
              <w:rPr>
                <w:sz w:val="20"/>
                <w:szCs w:val="20"/>
              </w:rPr>
            </w:pPr>
          </w:p>
        </w:tc>
        <w:tc>
          <w:tcPr>
            <w:tcW w:w="4748" w:type="dxa"/>
          </w:tcPr>
          <w:p w14:paraId="680913EE" w14:textId="77777777" w:rsidR="00CF33D9" w:rsidRDefault="00CF33D9">
            <w:pPr>
              <w:pStyle w:val="TableParagraph"/>
              <w:rPr>
                <w:sz w:val="20"/>
                <w:szCs w:val="20"/>
              </w:rPr>
            </w:pPr>
          </w:p>
        </w:tc>
      </w:tr>
      <w:tr w:rsidR="00CF33D9" w14:paraId="680913F4" w14:textId="77777777">
        <w:trPr>
          <w:trHeight w:val="287"/>
        </w:trPr>
        <w:tc>
          <w:tcPr>
            <w:tcW w:w="3507" w:type="dxa"/>
            <w:vMerge/>
            <w:tcBorders>
              <w:top w:val="nil"/>
            </w:tcBorders>
          </w:tcPr>
          <w:p w14:paraId="680913F0" w14:textId="77777777" w:rsidR="00CF33D9" w:rsidRDefault="00CF33D9">
            <w:pPr>
              <w:rPr>
                <w:rFonts w:ascii="Calibri" w:hAnsi="Calibri" w:cs="Calibri"/>
                <w:sz w:val="20"/>
                <w:szCs w:val="20"/>
              </w:rPr>
            </w:pPr>
          </w:p>
        </w:tc>
        <w:tc>
          <w:tcPr>
            <w:tcW w:w="4320" w:type="dxa"/>
          </w:tcPr>
          <w:p w14:paraId="680913F1" w14:textId="77777777" w:rsidR="00CF33D9" w:rsidRDefault="00E3332A">
            <w:pPr>
              <w:pStyle w:val="TableParagraph"/>
              <w:spacing w:before="35"/>
              <w:ind w:left="475"/>
              <w:rPr>
                <w:b/>
                <w:i/>
                <w:sz w:val="20"/>
                <w:szCs w:val="20"/>
              </w:rPr>
            </w:pPr>
            <w:r>
              <w:rPr>
                <w:b/>
                <w:i/>
                <w:sz w:val="20"/>
                <w:szCs w:val="20"/>
              </w:rPr>
              <w:t>Human Rights</w:t>
            </w:r>
          </w:p>
        </w:tc>
        <w:tc>
          <w:tcPr>
            <w:tcW w:w="561" w:type="dxa"/>
          </w:tcPr>
          <w:p w14:paraId="680913F2" w14:textId="77777777" w:rsidR="00CF33D9" w:rsidRDefault="00E3332A">
            <w:pPr>
              <w:pStyle w:val="TableParagraph"/>
              <w:spacing w:before="12" w:line="256" w:lineRule="exact"/>
              <w:ind w:left="106"/>
              <w:rPr>
                <w:b/>
                <w:sz w:val="20"/>
                <w:szCs w:val="20"/>
              </w:rPr>
            </w:pPr>
            <w:r>
              <w:rPr>
                <w:b/>
                <w:w w:val="99"/>
                <w:sz w:val="20"/>
                <w:szCs w:val="20"/>
              </w:rPr>
              <w:sym w:font="Wingdings" w:char="F078"/>
            </w:r>
          </w:p>
        </w:tc>
        <w:tc>
          <w:tcPr>
            <w:tcW w:w="4748" w:type="dxa"/>
          </w:tcPr>
          <w:p w14:paraId="680913F3" w14:textId="77777777" w:rsidR="00CF33D9" w:rsidRDefault="00CF33D9">
            <w:pPr>
              <w:pStyle w:val="TableParagraph"/>
              <w:rPr>
                <w:sz w:val="20"/>
                <w:szCs w:val="20"/>
              </w:rPr>
            </w:pPr>
          </w:p>
        </w:tc>
      </w:tr>
      <w:tr w:rsidR="00CF33D9" w14:paraId="680913F9" w14:textId="77777777">
        <w:trPr>
          <w:trHeight w:val="266"/>
        </w:trPr>
        <w:tc>
          <w:tcPr>
            <w:tcW w:w="3507" w:type="dxa"/>
            <w:vMerge/>
            <w:tcBorders>
              <w:top w:val="nil"/>
            </w:tcBorders>
          </w:tcPr>
          <w:p w14:paraId="680913F5" w14:textId="77777777" w:rsidR="00CF33D9" w:rsidRDefault="00CF33D9">
            <w:pPr>
              <w:rPr>
                <w:rFonts w:ascii="Calibri" w:hAnsi="Calibri" w:cs="Calibri"/>
                <w:sz w:val="20"/>
                <w:szCs w:val="20"/>
              </w:rPr>
            </w:pPr>
          </w:p>
        </w:tc>
        <w:tc>
          <w:tcPr>
            <w:tcW w:w="4320" w:type="dxa"/>
          </w:tcPr>
          <w:p w14:paraId="680913F6" w14:textId="77777777" w:rsidR="00CF33D9" w:rsidRDefault="00E3332A">
            <w:pPr>
              <w:pStyle w:val="TableParagraph"/>
              <w:spacing w:before="23"/>
              <w:ind w:left="475"/>
              <w:rPr>
                <w:b/>
                <w:i/>
                <w:sz w:val="20"/>
                <w:szCs w:val="20"/>
              </w:rPr>
            </w:pPr>
            <w:r>
              <w:rPr>
                <w:b/>
                <w:i/>
                <w:sz w:val="20"/>
                <w:szCs w:val="20"/>
              </w:rPr>
              <w:t>Gender Equality and Women’s Empowerment</w:t>
            </w:r>
          </w:p>
        </w:tc>
        <w:tc>
          <w:tcPr>
            <w:tcW w:w="561" w:type="dxa"/>
          </w:tcPr>
          <w:p w14:paraId="680913F7" w14:textId="77777777" w:rsidR="00CF33D9" w:rsidRDefault="00E3332A">
            <w:pPr>
              <w:pStyle w:val="TableParagraph"/>
              <w:spacing w:line="246" w:lineRule="exact"/>
              <w:ind w:left="106"/>
              <w:rPr>
                <w:b/>
                <w:sz w:val="20"/>
                <w:szCs w:val="20"/>
              </w:rPr>
            </w:pPr>
            <w:r>
              <w:rPr>
                <w:b/>
                <w:w w:val="99"/>
                <w:sz w:val="20"/>
                <w:szCs w:val="20"/>
              </w:rPr>
              <w:sym w:font="Wingdings" w:char="F078"/>
            </w:r>
          </w:p>
        </w:tc>
        <w:tc>
          <w:tcPr>
            <w:tcW w:w="4748" w:type="dxa"/>
          </w:tcPr>
          <w:p w14:paraId="680913F8" w14:textId="77777777" w:rsidR="00CF33D9" w:rsidRDefault="00CF33D9">
            <w:pPr>
              <w:pStyle w:val="TableParagraph"/>
              <w:rPr>
                <w:sz w:val="20"/>
                <w:szCs w:val="20"/>
              </w:rPr>
            </w:pPr>
          </w:p>
        </w:tc>
      </w:tr>
      <w:tr w:rsidR="00CF33D9" w14:paraId="680913FE" w14:textId="77777777">
        <w:trPr>
          <w:trHeight w:val="278"/>
        </w:trPr>
        <w:tc>
          <w:tcPr>
            <w:tcW w:w="3507" w:type="dxa"/>
            <w:vMerge/>
            <w:tcBorders>
              <w:top w:val="nil"/>
            </w:tcBorders>
          </w:tcPr>
          <w:p w14:paraId="680913FA" w14:textId="77777777" w:rsidR="00CF33D9" w:rsidRDefault="00CF33D9">
            <w:pPr>
              <w:rPr>
                <w:rFonts w:ascii="Calibri" w:hAnsi="Calibri" w:cs="Calibri"/>
                <w:sz w:val="20"/>
                <w:szCs w:val="20"/>
              </w:rPr>
            </w:pPr>
          </w:p>
        </w:tc>
        <w:tc>
          <w:tcPr>
            <w:tcW w:w="4320" w:type="dxa"/>
          </w:tcPr>
          <w:p w14:paraId="680913FB" w14:textId="77777777" w:rsidR="00CF33D9" w:rsidRDefault="00E3332A">
            <w:pPr>
              <w:pStyle w:val="TableParagraph"/>
              <w:spacing w:before="30"/>
              <w:ind w:left="475"/>
              <w:rPr>
                <w:b/>
                <w:i/>
                <w:sz w:val="20"/>
                <w:szCs w:val="20"/>
              </w:rPr>
            </w:pPr>
            <w:r>
              <w:rPr>
                <w:b/>
                <w:i/>
                <w:sz w:val="20"/>
                <w:szCs w:val="20"/>
              </w:rPr>
              <w:t>Accountability</w:t>
            </w:r>
          </w:p>
        </w:tc>
        <w:tc>
          <w:tcPr>
            <w:tcW w:w="561" w:type="dxa"/>
          </w:tcPr>
          <w:p w14:paraId="680913FC" w14:textId="77777777" w:rsidR="00CF33D9" w:rsidRDefault="00E3332A">
            <w:pPr>
              <w:pStyle w:val="TableParagraph"/>
              <w:spacing w:before="7" w:line="251" w:lineRule="exact"/>
              <w:ind w:left="106"/>
              <w:rPr>
                <w:b/>
                <w:sz w:val="20"/>
                <w:szCs w:val="20"/>
              </w:rPr>
            </w:pPr>
            <w:r>
              <w:rPr>
                <w:b/>
                <w:w w:val="99"/>
                <w:sz w:val="20"/>
                <w:szCs w:val="20"/>
              </w:rPr>
              <w:sym w:font="Wingdings" w:char="F078"/>
            </w:r>
          </w:p>
        </w:tc>
        <w:tc>
          <w:tcPr>
            <w:tcW w:w="4748" w:type="dxa"/>
          </w:tcPr>
          <w:p w14:paraId="680913FD" w14:textId="77777777" w:rsidR="00CF33D9" w:rsidRDefault="00CF33D9">
            <w:pPr>
              <w:pStyle w:val="TableParagraph"/>
              <w:rPr>
                <w:sz w:val="20"/>
                <w:szCs w:val="20"/>
              </w:rPr>
            </w:pPr>
          </w:p>
        </w:tc>
      </w:tr>
      <w:tr w:rsidR="00CF33D9" w14:paraId="68091404" w14:textId="77777777">
        <w:trPr>
          <w:trHeight w:val="438"/>
        </w:trPr>
        <w:tc>
          <w:tcPr>
            <w:tcW w:w="3507" w:type="dxa"/>
            <w:vMerge/>
            <w:tcBorders>
              <w:top w:val="nil"/>
            </w:tcBorders>
          </w:tcPr>
          <w:p w14:paraId="680913FF" w14:textId="77777777" w:rsidR="00CF33D9" w:rsidRDefault="00CF33D9">
            <w:pPr>
              <w:rPr>
                <w:rFonts w:ascii="Calibri" w:hAnsi="Calibri" w:cs="Calibri"/>
                <w:sz w:val="20"/>
                <w:szCs w:val="20"/>
              </w:rPr>
            </w:pPr>
          </w:p>
        </w:tc>
        <w:tc>
          <w:tcPr>
            <w:tcW w:w="4320" w:type="dxa"/>
          </w:tcPr>
          <w:p w14:paraId="68091400" w14:textId="77777777" w:rsidR="00CF33D9" w:rsidRDefault="00E3332A">
            <w:pPr>
              <w:pStyle w:val="TableParagraph"/>
              <w:spacing w:before="1" w:line="219" w:lineRule="exact"/>
              <w:ind w:left="105"/>
              <w:rPr>
                <w:b/>
                <w:i/>
                <w:sz w:val="20"/>
                <w:szCs w:val="20"/>
              </w:rPr>
            </w:pPr>
            <w:r>
              <w:rPr>
                <w:b/>
                <w:i/>
                <w:sz w:val="20"/>
                <w:szCs w:val="20"/>
              </w:rPr>
              <w:t>1. Biodiversity Conservation and Sustainable Natural</w:t>
            </w:r>
          </w:p>
          <w:p w14:paraId="68091401" w14:textId="77777777" w:rsidR="00CF33D9" w:rsidRDefault="00E3332A">
            <w:pPr>
              <w:pStyle w:val="TableParagraph"/>
              <w:spacing w:line="199" w:lineRule="exact"/>
              <w:ind w:left="376"/>
              <w:rPr>
                <w:b/>
                <w:i/>
                <w:sz w:val="20"/>
                <w:szCs w:val="20"/>
              </w:rPr>
            </w:pPr>
            <w:r>
              <w:rPr>
                <w:b/>
                <w:i/>
                <w:sz w:val="20"/>
                <w:szCs w:val="20"/>
              </w:rPr>
              <w:t>Resource Management</w:t>
            </w:r>
          </w:p>
        </w:tc>
        <w:tc>
          <w:tcPr>
            <w:tcW w:w="561" w:type="dxa"/>
          </w:tcPr>
          <w:p w14:paraId="68091402" w14:textId="77777777" w:rsidR="00CF33D9" w:rsidRDefault="00E3332A">
            <w:pPr>
              <w:pStyle w:val="TableParagraph"/>
              <w:spacing w:before="86"/>
              <w:ind w:left="106"/>
              <w:rPr>
                <w:b/>
                <w:sz w:val="20"/>
                <w:szCs w:val="20"/>
              </w:rPr>
            </w:pPr>
            <w:r>
              <w:rPr>
                <w:b/>
                <w:w w:val="99"/>
                <w:sz w:val="20"/>
                <w:szCs w:val="20"/>
              </w:rPr>
              <w:sym w:font="Wingdings" w:char="F078"/>
            </w:r>
          </w:p>
        </w:tc>
        <w:tc>
          <w:tcPr>
            <w:tcW w:w="4748" w:type="dxa"/>
          </w:tcPr>
          <w:p w14:paraId="68091403" w14:textId="77777777" w:rsidR="00CF33D9" w:rsidRDefault="00CF33D9">
            <w:pPr>
              <w:pStyle w:val="TableParagraph"/>
              <w:rPr>
                <w:sz w:val="20"/>
                <w:szCs w:val="20"/>
              </w:rPr>
            </w:pPr>
          </w:p>
        </w:tc>
      </w:tr>
      <w:tr w:rsidR="00CF33D9" w14:paraId="68091409" w14:textId="77777777">
        <w:trPr>
          <w:trHeight w:val="350"/>
        </w:trPr>
        <w:tc>
          <w:tcPr>
            <w:tcW w:w="3507" w:type="dxa"/>
            <w:vMerge/>
            <w:tcBorders>
              <w:top w:val="nil"/>
            </w:tcBorders>
          </w:tcPr>
          <w:p w14:paraId="68091405" w14:textId="77777777" w:rsidR="00CF33D9" w:rsidRDefault="00CF33D9">
            <w:pPr>
              <w:rPr>
                <w:rFonts w:ascii="Calibri" w:hAnsi="Calibri" w:cs="Calibri"/>
                <w:sz w:val="20"/>
                <w:szCs w:val="20"/>
              </w:rPr>
            </w:pPr>
          </w:p>
        </w:tc>
        <w:tc>
          <w:tcPr>
            <w:tcW w:w="4320" w:type="dxa"/>
          </w:tcPr>
          <w:p w14:paraId="68091406" w14:textId="77777777" w:rsidR="00CF33D9" w:rsidRDefault="00E3332A">
            <w:pPr>
              <w:pStyle w:val="TableParagraph"/>
              <w:spacing w:before="66"/>
              <w:ind w:left="105"/>
              <w:rPr>
                <w:b/>
                <w:i/>
                <w:sz w:val="20"/>
                <w:szCs w:val="20"/>
              </w:rPr>
            </w:pPr>
            <w:r>
              <w:rPr>
                <w:b/>
                <w:i/>
                <w:sz w:val="20"/>
                <w:szCs w:val="20"/>
              </w:rPr>
              <w:t>2. Climate Change and Disaster Risks</w:t>
            </w:r>
          </w:p>
        </w:tc>
        <w:tc>
          <w:tcPr>
            <w:tcW w:w="561" w:type="dxa"/>
          </w:tcPr>
          <w:p w14:paraId="68091407" w14:textId="77777777" w:rsidR="00CF33D9" w:rsidRDefault="00E3332A">
            <w:pPr>
              <w:pStyle w:val="TableParagraph"/>
              <w:spacing w:before="43"/>
              <w:ind w:left="106"/>
              <w:rPr>
                <w:b/>
                <w:sz w:val="20"/>
                <w:szCs w:val="20"/>
              </w:rPr>
            </w:pPr>
            <w:r>
              <w:rPr>
                <w:b/>
                <w:w w:val="99"/>
                <w:sz w:val="20"/>
                <w:szCs w:val="20"/>
              </w:rPr>
              <w:sym w:font="Wingdings" w:char="F078"/>
            </w:r>
          </w:p>
        </w:tc>
        <w:tc>
          <w:tcPr>
            <w:tcW w:w="4748" w:type="dxa"/>
          </w:tcPr>
          <w:p w14:paraId="68091408" w14:textId="77777777" w:rsidR="00CF33D9" w:rsidRDefault="00CF33D9">
            <w:pPr>
              <w:pStyle w:val="TableParagraph"/>
              <w:rPr>
                <w:sz w:val="20"/>
                <w:szCs w:val="20"/>
              </w:rPr>
            </w:pPr>
          </w:p>
        </w:tc>
      </w:tr>
      <w:tr w:rsidR="00CF33D9" w14:paraId="6809140E" w14:textId="77777777">
        <w:trPr>
          <w:trHeight w:val="333"/>
        </w:trPr>
        <w:tc>
          <w:tcPr>
            <w:tcW w:w="3507" w:type="dxa"/>
            <w:vMerge/>
            <w:tcBorders>
              <w:top w:val="nil"/>
            </w:tcBorders>
          </w:tcPr>
          <w:p w14:paraId="6809140A" w14:textId="77777777" w:rsidR="00CF33D9" w:rsidRDefault="00CF33D9">
            <w:pPr>
              <w:rPr>
                <w:rFonts w:ascii="Calibri" w:hAnsi="Calibri" w:cs="Calibri"/>
                <w:sz w:val="20"/>
                <w:szCs w:val="20"/>
              </w:rPr>
            </w:pPr>
          </w:p>
        </w:tc>
        <w:tc>
          <w:tcPr>
            <w:tcW w:w="4320" w:type="dxa"/>
          </w:tcPr>
          <w:p w14:paraId="6809140B" w14:textId="77777777" w:rsidR="00CF33D9" w:rsidRDefault="00E3332A">
            <w:pPr>
              <w:pStyle w:val="TableParagraph"/>
              <w:spacing w:before="56"/>
              <w:ind w:left="105"/>
              <w:rPr>
                <w:b/>
                <w:i/>
                <w:sz w:val="20"/>
                <w:szCs w:val="20"/>
              </w:rPr>
            </w:pPr>
            <w:r>
              <w:rPr>
                <w:b/>
                <w:i/>
                <w:sz w:val="20"/>
                <w:szCs w:val="20"/>
              </w:rPr>
              <w:t>3. Community Health, Safety and Security</w:t>
            </w:r>
          </w:p>
        </w:tc>
        <w:tc>
          <w:tcPr>
            <w:tcW w:w="561" w:type="dxa"/>
          </w:tcPr>
          <w:p w14:paraId="6809140C" w14:textId="77777777" w:rsidR="00CF33D9" w:rsidRDefault="00E3332A">
            <w:pPr>
              <w:pStyle w:val="TableParagraph"/>
              <w:spacing w:before="33"/>
              <w:ind w:left="106"/>
              <w:rPr>
                <w:b/>
                <w:sz w:val="20"/>
                <w:szCs w:val="20"/>
              </w:rPr>
            </w:pPr>
            <w:r>
              <w:rPr>
                <w:b/>
                <w:sz w:val="20"/>
                <w:szCs w:val="20"/>
              </w:rPr>
              <w:t>☐</w:t>
            </w:r>
          </w:p>
        </w:tc>
        <w:tc>
          <w:tcPr>
            <w:tcW w:w="4748" w:type="dxa"/>
          </w:tcPr>
          <w:p w14:paraId="6809140D" w14:textId="77777777" w:rsidR="00CF33D9" w:rsidRDefault="00CF33D9">
            <w:pPr>
              <w:pStyle w:val="TableParagraph"/>
              <w:rPr>
                <w:sz w:val="20"/>
                <w:szCs w:val="20"/>
              </w:rPr>
            </w:pPr>
          </w:p>
        </w:tc>
      </w:tr>
      <w:tr w:rsidR="00CF33D9" w14:paraId="68091413" w14:textId="77777777">
        <w:trPr>
          <w:trHeight w:val="266"/>
        </w:trPr>
        <w:tc>
          <w:tcPr>
            <w:tcW w:w="3507" w:type="dxa"/>
            <w:vMerge/>
            <w:tcBorders>
              <w:top w:val="nil"/>
            </w:tcBorders>
          </w:tcPr>
          <w:p w14:paraId="6809140F" w14:textId="77777777" w:rsidR="00CF33D9" w:rsidRDefault="00CF33D9">
            <w:pPr>
              <w:rPr>
                <w:rFonts w:ascii="Calibri" w:hAnsi="Calibri" w:cs="Calibri"/>
                <w:sz w:val="20"/>
                <w:szCs w:val="20"/>
              </w:rPr>
            </w:pPr>
          </w:p>
        </w:tc>
        <w:tc>
          <w:tcPr>
            <w:tcW w:w="4320" w:type="dxa"/>
          </w:tcPr>
          <w:p w14:paraId="68091410" w14:textId="77777777" w:rsidR="00CF33D9" w:rsidRDefault="00E3332A">
            <w:pPr>
              <w:pStyle w:val="TableParagraph"/>
              <w:spacing w:before="23"/>
              <w:ind w:left="105"/>
              <w:rPr>
                <w:b/>
                <w:i/>
                <w:sz w:val="20"/>
                <w:szCs w:val="20"/>
              </w:rPr>
            </w:pPr>
            <w:r>
              <w:rPr>
                <w:b/>
                <w:i/>
                <w:sz w:val="20"/>
                <w:szCs w:val="20"/>
              </w:rPr>
              <w:t>4. Cultural Heritage</w:t>
            </w:r>
          </w:p>
        </w:tc>
        <w:tc>
          <w:tcPr>
            <w:tcW w:w="561" w:type="dxa"/>
          </w:tcPr>
          <w:p w14:paraId="68091411" w14:textId="77777777" w:rsidR="00CF33D9" w:rsidRDefault="00E3332A">
            <w:pPr>
              <w:pStyle w:val="TableParagraph"/>
              <w:spacing w:line="246" w:lineRule="exact"/>
              <w:ind w:left="106"/>
              <w:rPr>
                <w:b/>
                <w:sz w:val="20"/>
                <w:szCs w:val="20"/>
              </w:rPr>
            </w:pPr>
            <w:r>
              <w:rPr>
                <w:b/>
                <w:w w:val="99"/>
                <w:sz w:val="20"/>
                <w:szCs w:val="20"/>
              </w:rPr>
              <w:sym w:font="Wingdings" w:char="F078"/>
            </w:r>
          </w:p>
        </w:tc>
        <w:tc>
          <w:tcPr>
            <w:tcW w:w="4748" w:type="dxa"/>
          </w:tcPr>
          <w:p w14:paraId="68091412" w14:textId="77777777" w:rsidR="00CF33D9" w:rsidRDefault="00CF33D9">
            <w:pPr>
              <w:pStyle w:val="TableParagraph"/>
              <w:rPr>
                <w:sz w:val="20"/>
                <w:szCs w:val="20"/>
              </w:rPr>
            </w:pPr>
          </w:p>
        </w:tc>
      </w:tr>
      <w:tr w:rsidR="00CF33D9" w14:paraId="68091418" w14:textId="77777777">
        <w:trPr>
          <w:trHeight w:val="359"/>
        </w:trPr>
        <w:tc>
          <w:tcPr>
            <w:tcW w:w="3507" w:type="dxa"/>
            <w:vMerge/>
            <w:tcBorders>
              <w:top w:val="nil"/>
            </w:tcBorders>
          </w:tcPr>
          <w:p w14:paraId="68091414" w14:textId="77777777" w:rsidR="00CF33D9" w:rsidRDefault="00CF33D9">
            <w:pPr>
              <w:rPr>
                <w:rFonts w:ascii="Calibri" w:hAnsi="Calibri" w:cs="Calibri"/>
                <w:sz w:val="20"/>
                <w:szCs w:val="20"/>
              </w:rPr>
            </w:pPr>
          </w:p>
        </w:tc>
        <w:tc>
          <w:tcPr>
            <w:tcW w:w="4320" w:type="dxa"/>
          </w:tcPr>
          <w:p w14:paraId="68091415" w14:textId="77777777" w:rsidR="00CF33D9" w:rsidRDefault="00E3332A">
            <w:pPr>
              <w:pStyle w:val="TableParagraph"/>
              <w:spacing w:before="71"/>
              <w:ind w:left="105"/>
              <w:rPr>
                <w:b/>
                <w:i/>
                <w:sz w:val="20"/>
                <w:szCs w:val="20"/>
              </w:rPr>
            </w:pPr>
            <w:r>
              <w:rPr>
                <w:b/>
                <w:i/>
                <w:sz w:val="20"/>
                <w:szCs w:val="20"/>
              </w:rPr>
              <w:t>5. Displacement and Resettlement</w:t>
            </w:r>
          </w:p>
        </w:tc>
        <w:tc>
          <w:tcPr>
            <w:tcW w:w="561" w:type="dxa"/>
          </w:tcPr>
          <w:p w14:paraId="68091416" w14:textId="77777777" w:rsidR="00CF33D9" w:rsidRDefault="00E3332A">
            <w:pPr>
              <w:pStyle w:val="TableParagraph"/>
              <w:spacing w:before="45"/>
              <w:ind w:left="106"/>
              <w:rPr>
                <w:b/>
                <w:sz w:val="20"/>
                <w:szCs w:val="20"/>
              </w:rPr>
            </w:pPr>
            <w:r>
              <w:rPr>
                <w:b/>
                <w:w w:val="99"/>
                <w:sz w:val="20"/>
                <w:szCs w:val="20"/>
              </w:rPr>
              <w:sym w:font="Wingdings" w:char="F078"/>
            </w:r>
          </w:p>
        </w:tc>
        <w:tc>
          <w:tcPr>
            <w:tcW w:w="4748" w:type="dxa"/>
          </w:tcPr>
          <w:p w14:paraId="68091417" w14:textId="77777777" w:rsidR="00CF33D9" w:rsidRDefault="00CF33D9">
            <w:pPr>
              <w:pStyle w:val="TableParagraph"/>
              <w:rPr>
                <w:sz w:val="20"/>
                <w:szCs w:val="20"/>
              </w:rPr>
            </w:pPr>
          </w:p>
        </w:tc>
      </w:tr>
      <w:tr w:rsidR="00CF33D9" w14:paraId="6809141D" w14:textId="77777777">
        <w:trPr>
          <w:trHeight w:val="359"/>
        </w:trPr>
        <w:tc>
          <w:tcPr>
            <w:tcW w:w="3507" w:type="dxa"/>
            <w:vMerge/>
            <w:tcBorders>
              <w:top w:val="nil"/>
            </w:tcBorders>
          </w:tcPr>
          <w:p w14:paraId="68091419" w14:textId="77777777" w:rsidR="00CF33D9" w:rsidRDefault="00CF33D9">
            <w:pPr>
              <w:rPr>
                <w:rFonts w:ascii="Calibri" w:hAnsi="Calibri" w:cs="Calibri"/>
                <w:sz w:val="20"/>
                <w:szCs w:val="20"/>
              </w:rPr>
            </w:pPr>
          </w:p>
        </w:tc>
        <w:tc>
          <w:tcPr>
            <w:tcW w:w="4320" w:type="dxa"/>
          </w:tcPr>
          <w:p w14:paraId="6809141A" w14:textId="77777777" w:rsidR="00CF33D9" w:rsidRDefault="00E3332A">
            <w:pPr>
              <w:pStyle w:val="TableParagraph"/>
              <w:spacing w:before="71"/>
              <w:ind w:left="105"/>
              <w:rPr>
                <w:b/>
                <w:i/>
                <w:sz w:val="20"/>
                <w:szCs w:val="20"/>
              </w:rPr>
            </w:pPr>
            <w:r>
              <w:rPr>
                <w:b/>
                <w:i/>
                <w:sz w:val="20"/>
                <w:szCs w:val="20"/>
              </w:rPr>
              <w:t>6. Indigenous Peoples</w:t>
            </w:r>
          </w:p>
        </w:tc>
        <w:tc>
          <w:tcPr>
            <w:tcW w:w="561" w:type="dxa"/>
          </w:tcPr>
          <w:p w14:paraId="6809141B" w14:textId="77777777" w:rsidR="00CF33D9" w:rsidRDefault="00E3332A">
            <w:pPr>
              <w:pStyle w:val="TableParagraph"/>
              <w:spacing w:before="48"/>
              <w:ind w:left="106"/>
              <w:rPr>
                <w:b/>
                <w:sz w:val="20"/>
                <w:szCs w:val="20"/>
              </w:rPr>
            </w:pPr>
            <w:r>
              <w:rPr>
                <w:b/>
                <w:w w:val="99"/>
                <w:sz w:val="20"/>
                <w:szCs w:val="20"/>
              </w:rPr>
              <w:sym w:font="Wingdings" w:char="F078"/>
            </w:r>
          </w:p>
        </w:tc>
        <w:tc>
          <w:tcPr>
            <w:tcW w:w="4748" w:type="dxa"/>
          </w:tcPr>
          <w:p w14:paraId="6809141C" w14:textId="77777777" w:rsidR="00CF33D9" w:rsidRDefault="00E3332A">
            <w:pPr>
              <w:pStyle w:val="TableParagraph"/>
              <w:rPr>
                <w:sz w:val="20"/>
                <w:szCs w:val="20"/>
              </w:rPr>
            </w:pPr>
            <w:r>
              <w:rPr>
                <w:color w:val="000000"/>
                <w:sz w:val="20"/>
                <w:szCs w:val="20"/>
              </w:rPr>
              <w:t>*Standard 6 has been triggered on a precautionary basis. Although no Indigenous peoples were identified in the</w:t>
            </w:r>
            <w:r>
              <w:rPr>
                <w:rStyle w:val="apple-converted-space"/>
                <w:color w:val="000000"/>
                <w:sz w:val="20"/>
                <w:szCs w:val="20"/>
              </w:rPr>
              <w:t> </w:t>
            </w:r>
            <w:r>
              <w:rPr>
                <w:b/>
                <w:bCs/>
                <w:color w:val="000000"/>
                <w:sz w:val="20"/>
                <w:szCs w:val="20"/>
              </w:rPr>
              <w:t>Stakeholder Analysis</w:t>
            </w:r>
            <w:r>
              <w:rPr>
                <w:color w:val="000000"/>
                <w:sz w:val="20"/>
                <w:szCs w:val="20"/>
              </w:rPr>
              <w:t> during PPG, a deeper analysis will be carried out before the project’s Inception.</w:t>
            </w:r>
          </w:p>
        </w:tc>
      </w:tr>
      <w:tr w:rsidR="00CF33D9" w14:paraId="68091422" w14:textId="77777777">
        <w:trPr>
          <w:trHeight w:val="360"/>
        </w:trPr>
        <w:tc>
          <w:tcPr>
            <w:tcW w:w="3507" w:type="dxa"/>
            <w:vMerge/>
            <w:tcBorders>
              <w:top w:val="nil"/>
            </w:tcBorders>
          </w:tcPr>
          <w:p w14:paraId="6809141E" w14:textId="77777777" w:rsidR="00CF33D9" w:rsidRDefault="00CF33D9">
            <w:pPr>
              <w:rPr>
                <w:rFonts w:ascii="Calibri" w:hAnsi="Calibri" w:cs="Calibri"/>
                <w:sz w:val="20"/>
                <w:szCs w:val="20"/>
              </w:rPr>
            </w:pPr>
          </w:p>
        </w:tc>
        <w:tc>
          <w:tcPr>
            <w:tcW w:w="4320" w:type="dxa"/>
          </w:tcPr>
          <w:p w14:paraId="6809141F" w14:textId="77777777" w:rsidR="00CF33D9" w:rsidRDefault="00E3332A">
            <w:pPr>
              <w:pStyle w:val="TableParagraph"/>
              <w:spacing w:before="71"/>
              <w:ind w:left="105"/>
              <w:rPr>
                <w:b/>
                <w:i/>
                <w:sz w:val="20"/>
                <w:szCs w:val="20"/>
              </w:rPr>
            </w:pPr>
            <w:r>
              <w:rPr>
                <w:b/>
                <w:i/>
                <w:sz w:val="20"/>
                <w:szCs w:val="20"/>
              </w:rPr>
              <w:t>7. Labour and Working Conditions</w:t>
            </w:r>
          </w:p>
        </w:tc>
        <w:tc>
          <w:tcPr>
            <w:tcW w:w="561" w:type="dxa"/>
          </w:tcPr>
          <w:p w14:paraId="68091420" w14:textId="77777777" w:rsidR="00CF33D9" w:rsidRDefault="00E3332A">
            <w:pPr>
              <w:pStyle w:val="TableParagraph"/>
              <w:spacing w:before="48"/>
              <w:ind w:left="106"/>
              <w:rPr>
                <w:b/>
                <w:sz w:val="20"/>
                <w:szCs w:val="20"/>
              </w:rPr>
            </w:pPr>
            <w:r>
              <w:rPr>
                <w:b/>
                <w:sz w:val="20"/>
                <w:szCs w:val="20"/>
              </w:rPr>
              <w:sym w:font="Wingdings" w:char="F078"/>
            </w:r>
          </w:p>
        </w:tc>
        <w:tc>
          <w:tcPr>
            <w:tcW w:w="4748" w:type="dxa"/>
          </w:tcPr>
          <w:p w14:paraId="68091421" w14:textId="77777777" w:rsidR="00CF33D9" w:rsidRDefault="00CF33D9">
            <w:pPr>
              <w:pStyle w:val="TableParagraph"/>
              <w:rPr>
                <w:sz w:val="20"/>
                <w:szCs w:val="20"/>
              </w:rPr>
            </w:pPr>
          </w:p>
        </w:tc>
      </w:tr>
      <w:tr w:rsidR="00CF33D9" w14:paraId="68091427" w14:textId="77777777">
        <w:trPr>
          <w:trHeight w:val="287"/>
        </w:trPr>
        <w:tc>
          <w:tcPr>
            <w:tcW w:w="3507" w:type="dxa"/>
            <w:vMerge/>
            <w:tcBorders>
              <w:top w:val="nil"/>
            </w:tcBorders>
          </w:tcPr>
          <w:p w14:paraId="68091423" w14:textId="77777777" w:rsidR="00CF33D9" w:rsidRDefault="00CF33D9">
            <w:pPr>
              <w:rPr>
                <w:rFonts w:ascii="Calibri" w:hAnsi="Calibri" w:cs="Calibri"/>
                <w:sz w:val="20"/>
                <w:szCs w:val="20"/>
              </w:rPr>
            </w:pPr>
          </w:p>
        </w:tc>
        <w:tc>
          <w:tcPr>
            <w:tcW w:w="4320" w:type="dxa"/>
          </w:tcPr>
          <w:p w14:paraId="68091424" w14:textId="77777777" w:rsidR="00CF33D9" w:rsidRDefault="00E3332A">
            <w:pPr>
              <w:pStyle w:val="TableParagraph"/>
              <w:spacing w:before="35"/>
              <w:ind w:left="105"/>
              <w:rPr>
                <w:b/>
                <w:i/>
                <w:sz w:val="20"/>
                <w:szCs w:val="20"/>
              </w:rPr>
            </w:pPr>
            <w:r>
              <w:rPr>
                <w:b/>
                <w:i/>
                <w:sz w:val="20"/>
                <w:szCs w:val="20"/>
              </w:rPr>
              <w:t>8. Pollution Prevention and Resource Efficiency</w:t>
            </w:r>
          </w:p>
        </w:tc>
        <w:tc>
          <w:tcPr>
            <w:tcW w:w="561" w:type="dxa"/>
          </w:tcPr>
          <w:p w14:paraId="68091425" w14:textId="77777777" w:rsidR="00CF33D9" w:rsidRDefault="00E3332A">
            <w:pPr>
              <w:pStyle w:val="TableParagraph"/>
              <w:spacing w:before="12" w:line="256" w:lineRule="exact"/>
              <w:ind w:left="106"/>
              <w:rPr>
                <w:b/>
                <w:sz w:val="20"/>
                <w:szCs w:val="20"/>
              </w:rPr>
            </w:pPr>
            <w:r>
              <w:rPr>
                <w:b/>
                <w:w w:val="99"/>
                <w:sz w:val="20"/>
                <w:szCs w:val="20"/>
              </w:rPr>
              <w:sym w:font="Wingdings" w:char="F078"/>
            </w:r>
          </w:p>
        </w:tc>
        <w:tc>
          <w:tcPr>
            <w:tcW w:w="4748" w:type="dxa"/>
          </w:tcPr>
          <w:p w14:paraId="68091426" w14:textId="77777777" w:rsidR="00CF33D9" w:rsidRDefault="00CF33D9">
            <w:pPr>
              <w:pStyle w:val="TableParagraph"/>
              <w:rPr>
                <w:sz w:val="20"/>
                <w:szCs w:val="20"/>
              </w:rPr>
            </w:pPr>
          </w:p>
        </w:tc>
      </w:tr>
    </w:tbl>
    <w:p w14:paraId="68091428" w14:textId="77777777" w:rsidR="00CF33D9" w:rsidRDefault="00CF33D9">
      <w:pPr>
        <w:pStyle w:val="BodyText"/>
        <w:rPr>
          <w:rFonts w:ascii="Calibri" w:hAnsi="Calibri" w:cs="Calibri"/>
          <w:b/>
          <w:szCs w:val="20"/>
        </w:rPr>
      </w:pPr>
    </w:p>
    <w:p w14:paraId="68091429" w14:textId="77777777" w:rsidR="00CF33D9" w:rsidRDefault="00E3332A">
      <w:pPr>
        <w:spacing w:before="52"/>
        <w:ind w:left="460"/>
        <w:rPr>
          <w:rFonts w:ascii="Calibri" w:hAnsi="Calibri" w:cs="Calibri"/>
          <w:b/>
          <w:sz w:val="20"/>
          <w:szCs w:val="20"/>
        </w:rPr>
      </w:pPr>
      <w:r>
        <w:rPr>
          <w:rFonts w:ascii="Calibri" w:hAnsi="Calibri" w:cs="Calibri"/>
          <w:b/>
          <w:color w:val="4F81BC"/>
          <w:sz w:val="20"/>
          <w:szCs w:val="20"/>
        </w:rPr>
        <w:t>Final Sign Off</w:t>
      </w:r>
    </w:p>
    <w:p w14:paraId="6809142A" w14:textId="77777777" w:rsidR="00CF33D9" w:rsidRDefault="00E3332A">
      <w:pPr>
        <w:spacing w:before="2"/>
        <w:ind w:left="100"/>
        <w:rPr>
          <w:rFonts w:ascii="Calibri" w:hAnsi="Calibri" w:cs="Calibri"/>
          <w:i/>
          <w:sz w:val="20"/>
          <w:szCs w:val="20"/>
        </w:rPr>
      </w:pPr>
      <w:r>
        <w:rPr>
          <w:rFonts w:ascii="Calibri" w:hAnsi="Calibri" w:cs="Calibri"/>
          <w:i/>
          <w:sz w:val="20"/>
          <w:szCs w:val="20"/>
        </w:rPr>
        <w:t>Final Screening at the design-stage is not complete until the following signatures are included</w:t>
      </w:r>
    </w:p>
    <w:p w14:paraId="6809142B" w14:textId="77777777" w:rsidR="00CF33D9" w:rsidRDefault="00CF33D9">
      <w:pPr>
        <w:pStyle w:val="BodyText"/>
        <w:rPr>
          <w:rFonts w:ascii="Calibri" w:hAnsi="Calibri" w:cs="Calibri"/>
          <w:i w:val="0"/>
          <w:szCs w:val="20"/>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696"/>
        <w:gridCol w:w="901"/>
        <w:gridCol w:w="9357"/>
      </w:tblGrid>
      <w:tr w:rsidR="00CF33D9" w14:paraId="6809142F" w14:textId="77777777">
        <w:trPr>
          <w:trHeight w:val="217"/>
        </w:trPr>
        <w:tc>
          <w:tcPr>
            <w:tcW w:w="2696" w:type="dxa"/>
            <w:shd w:val="clear" w:color="auto" w:fill="C5D9F0"/>
          </w:tcPr>
          <w:p w14:paraId="6809142C" w14:textId="77777777" w:rsidR="00CF33D9" w:rsidRDefault="00E3332A">
            <w:pPr>
              <w:pStyle w:val="TableParagraph"/>
              <w:spacing w:line="198" w:lineRule="exact"/>
              <w:ind w:left="107"/>
              <w:rPr>
                <w:b/>
                <w:i/>
                <w:sz w:val="20"/>
                <w:szCs w:val="20"/>
              </w:rPr>
            </w:pPr>
            <w:r>
              <w:rPr>
                <w:b/>
                <w:i/>
                <w:sz w:val="20"/>
                <w:szCs w:val="20"/>
              </w:rPr>
              <w:t>Signature</w:t>
            </w:r>
          </w:p>
        </w:tc>
        <w:tc>
          <w:tcPr>
            <w:tcW w:w="901" w:type="dxa"/>
            <w:shd w:val="clear" w:color="auto" w:fill="C5D9F0"/>
          </w:tcPr>
          <w:p w14:paraId="6809142D" w14:textId="77777777" w:rsidR="00CF33D9" w:rsidRDefault="00E3332A">
            <w:pPr>
              <w:pStyle w:val="TableParagraph"/>
              <w:spacing w:line="198" w:lineRule="exact"/>
              <w:ind w:left="107"/>
              <w:rPr>
                <w:b/>
                <w:i/>
                <w:sz w:val="20"/>
                <w:szCs w:val="20"/>
              </w:rPr>
            </w:pPr>
            <w:r>
              <w:rPr>
                <w:b/>
                <w:i/>
                <w:sz w:val="20"/>
                <w:szCs w:val="20"/>
              </w:rPr>
              <w:t>Date</w:t>
            </w:r>
          </w:p>
        </w:tc>
        <w:tc>
          <w:tcPr>
            <w:tcW w:w="9357" w:type="dxa"/>
            <w:shd w:val="clear" w:color="auto" w:fill="C5D9F0"/>
          </w:tcPr>
          <w:p w14:paraId="6809142E" w14:textId="77777777" w:rsidR="00CF33D9" w:rsidRDefault="00E3332A">
            <w:pPr>
              <w:pStyle w:val="TableParagraph"/>
              <w:spacing w:line="198" w:lineRule="exact"/>
              <w:ind w:left="106"/>
              <w:rPr>
                <w:b/>
                <w:i/>
                <w:sz w:val="20"/>
                <w:szCs w:val="20"/>
              </w:rPr>
            </w:pPr>
            <w:r>
              <w:rPr>
                <w:b/>
                <w:i/>
                <w:sz w:val="20"/>
                <w:szCs w:val="20"/>
              </w:rPr>
              <w:t>Description</w:t>
            </w:r>
          </w:p>
        </w:tc>
      </w:tr>
      <w:tr w:rsidR="00CF33D9" w14:paraId="68091434" w14:textId="77777777">
        <w:trPr>
          <w:trHeight w:val="630"/>
        </w:trPr>
        <w:tc>
          <w:tcPr>
            <w:tcW w:w="2696" w:type="dxa"/>
          </w:tcPr>
          <w:p w14:paraId="68091430" w14:textId="77777777" w:rsidR="00CF33D9" w:rsidRDefault="00E3332A">
            <w:pPr>
              <w:pStyle w:val="TableParagraph"/>
              <w:spacing w:before="1"/>
              <w:ind w:left="107"/>
              <w:rPr>
                <w:sz w:val="20"/>
                <w:szCs w:val="20"/>
              </w:rPr>
            </w:pPr>
            <w:r>
              <w:rPr>
                <w:sz w:val="20"/>
                <w:szCs w:val="20"/>
              </w:rPr>
              <w:t>QA Assessor</w:t>
            </w:r>
          </w:p>
        </w:tc>
        <w:tc>
          <w:tcPr>
            <w:tcW w:w="901" w:type="dxa"/>
          </w:tcPr>
          <w:p w14:paraId="68091431" w14:textId="77777777" w:rsidR="00CF33D9" w:rsidRDefault="00CF33D9">
            <w:pPr>
              <w:pStyle w:val="TableParagraph"/>
              <w:rPr>
                <w:sz w:val="20"/>
                <w:szCs w:val="20"/>
              </w:rPr>
            </w:pPr>
          </w:p>
        </w:tc>
        <w:tc>
          <w:tcPr>
            <w:tcW w:w="9357" w:type="dxa"/>
          </w:tcPr>
          <w:p w14:paraId="68091432" w14:textId="77777777" w:rsidR="00CF33D9" w:rsidRDefault="00E3332A">
            <w:pPr>
              <w:pStyle w:val="TableParagraph"/>
              <w:spacing w:before="3"/>
              <w:ind w:left="106"/>
              <w:rPr>
                <w:sz w:val="20"/>
                <w:szCs w:val="20"/>
              </w:rPr>
            </w:pPr>
            <w:r>
              <w:rPr>
                <w:sz w:val="20"/>
                <w:szCs w:val="20"/>
              </w:rPr>
              <w:t>UNDP staff member responsible for the project, typically a UNDP Programme Officer. Final signature confirms</w:t>
            </w:r>
          </w:p>
          <w:p w14:paraId="68091433" w14:textId="77777777" w:rsidR="00CF33D9" w:rsidRDefault="00E3332A">
            <w:pPr>
              <w:pStyle w:val="TableParagraph"/>
              <w:spacing w:before="25"/>
              <w:ind w:left="106"/>
              <w:rPr>
                <w:sz w:val="20"/>
                <w:szCs w:val="20"/>
              </w:rPr>
            </w:pPr>
            <w:r>
              <w:rPr>
                <w:sz w:val="20"/>
                <w:szCs w:val="20"/>
              </w:rPr>
              <w:t>they have “checked” to ensure that the SESP is adequately conducted.</w:t>
            </w:r>
          </w:p>
        </w:tc>
      </w:tr>
      <w:tr w:rsidR="00CF33D9" w14:paraId="68091439" w14:textId="77777777">
        <w:trPr>
          <w:trHeight w:val="732"/>
        </w:trPr>
        <w:tc>
          <w:tcPr>
            <w:tcW w:w="2696" w:type="dxa"/>
          </w:tcPr>
          <w:p w14:paraId="68091435" w14:textId="77777777" w:rsidR="00CF33D9" w:rsidRDefault="00E3332A">
            <w:pPr>
              <w:pStyle w:val="TableParagraph"/>
              <w:spacing w:before="1"/>
              <w:ind w:left="107"/>
              <w:rPr>
                <w:sz w:val="20"/>
                <w:szCs w:val="20"/>
              </w:rPr>
            </w:pPr>
            <w:r>
              <w:rPr>
                <w:sz w:val="20"/>
                <w:szCs w:val="20"/>
              </w:rPr>
              <w:t>QA Approver</w:t>
            </w:r>
          </w:p>
        </w:tc>
        <w:tc>
          <w:tcPr>
            <w:tcW w:w="901" w:type="dxa"/>
          </w:tcPr>
          <w:p w14:paraId="68091436" w14:textId="77777777" w:rsidR="00CF33D9" w:rsidRDefault="00CF33D9">
            <w:pPr>
              <w:pStyle w:val="TableParagraph"/>
              <w:rPr>
                <w:sz w:val="20"/>
                <w:szCs w:val="20"/>
              </w:rPr>
            </w:pPr>
          </w:p>
        </w:tc>
        <w:tc>
          <w:tcPr>
            <w:tcW w:w="9357" w:type="dxa"/>
          </w:tcPr>
          <w:p w14:paraId="68091437" w14:textId="77777777" w:rsidR="00CF33D9" w:rsidRDefault="00E3332A">
            <w:pPr>
              <w:pStyle w:val="TableParagraph"/>
              <w:spacing w:before="1"/>
              <w:ind w:left="106" w:right="44"/>
              <w:rPr>
                <w:sz w:val="20"/>
                <w:szCs w:val="20"/>
              </w:rPr>
            </w:pPr>
            <w:r>
              <w:rPr>
                <w:sz w:val="20"/>
                <w:szCs w:val="20"/>
              </w:rPr>
              <w:t>UNDP senior manager, typically the UNDP Deputy Country Director (DCD), Country Director (CD)</w:t>
            </w:r>
            <w:r>
              <w:rPr>
                <w:b/>
                <w:sz w:val="20"/>
                <w:szCs w:val="20"/>
              </w:rPr>
              <w:t xml:space="preserve">, </w:t>
            </w:r>
            <w:r>
              <w:rPr>
                <w:sz w:val="20"/>
                <w:szCs w:val="20"/>
              </w:rPr>
              <w:t>Deputy Resident Representative (DRR), or Resident Representative (RR). The QA Approver cannot also be the QA</w:t>
            </w:r>
          </w:p>
          <w:p w14:paraId="68091438" w14:textId="77777777" w:rsidR="00CF33D9" w:rsidRDefault="00E3332A">
            <w:pPr>
              <w:pStyle w:val="TableParagraph"/>
              <w:spacing w:line="223" w:lineRule="exact"/>
              <w:ind w:left="106"/>
              <w:rPr>
                <w:sz w:val="20"/>
                <w:szCs w:val="20"/>
              </w:rPr>
            </w:pPr>
            <w:r>
              <w:rPr>
                <w:sz w:val="20"/>
                <w:szCs w:val="20"/>
              </w:rPr>
              <w:t>Assessor. Final signature confirms they have “cleared” the SESP prior to submittal to the PAC.</w:t>
            </w:r>
          </w:p>
        </w:tc>
      </w:tr>
      <w:tr w:rsidR="00CF33D9" w14:paraId="6809143D" w14:textId="77777777">
        <w:trPr>
          <w:trHeight w:val="489"/>
        </w:trPr>
        <w:tc>
          <w:tcPr>
            <w:tcW w:w="2696" w:type="dxa"/>
          </w:tcPr>
          <w:p w14:paraId="6809143A" w14:textId="77777777" w:rsidR="00CF33D9" w:rsidRDefault="00E3332A">
            <w:pPr>
              <w:pStyle w:val="TableParagraph"/>
              <w:spacing w:before="1"/>
              <w:ind w:left="107"/>
              <w:rPr>
                <w:sz w:val="20"/>
                <w:szCs w:val="20"/>
              </w:rPr>
            </w:pPr>
            <w:r>
              <w:rPr>
                <w:sz w:val="20"/>
                <w:szCs w:val="20"/>
              </w:rPr>
              <w:t>PAC Chair</w:t>
            </w:r>
          </w:p>
        </w:tc>
        <w:tc>
          <w:tcPr>
            <w:tcW w:w="901" w:type="dxa"/>
          </w:tcPr>
          <w:p w14:paraId="6809143B" w14:textId="77777777" w:rsidR="00CF33D9" w:rsidRDefault="00CF33D9">
            <w:pPr>
              <w:pStyle w:val="TableParagraph"/>
              <w:rPr>
                <w:sz w:val="20"/>
                <w:szCs w:val="20"/>
              </w:rPr>
            </w:pPr>
          </w:p>
        </w:tc>
        <w:tc>
          <w:tcPr>
            <w:tcW w:w="9357" w:type="dxa"/>
          </w:tcPr>
          <w:p w14:paraId="6809143C" w14:textId="77777777" w:rsidR="00CF33D9" w:rsidRDefault="00E3332A">
            <w:pPr>
              <w:pStyle w:val="TableParagraph"/>
              <w:spacing w:before="1" w:line="240" w:lineRule="atLeast"/>
              <w:ind w:left="106"/>
              <w:rPr>
                <w:sz w:val="20"/>
                <w:szCs w:val="20"/>
              </w:rPr>
            </w:pPr>
            <w:r>
              <w:rPr>
                <w:sz w:val="20"/>
                <w:szCs w:val="20"/>
              </w:rPr>
              <w:t>UNDP chair of the PAC. In some cases PAC Chair may also be the QA Approver. Final signature confirms that the SESP was considered as part of the project appraisal and considered in recommendations of the PAC.</w:t>
            </w:r>
          </w:p>
        </w:tc>
      </w:tr>
    </w:tbl>
    <w:p w14:paraId="6809143E" w14:textId="77777777" w:rsidR="00CF33D9" w:rsidRDefault="00CF33D9">
      <w:pPr>
        <w:spacing w:line="240" w:lineRule="atLeast"/>
        <w:rPr>
          <w:rFonts w:ascii="Calibri" w:hAnsi="Calibri" w:cs="Calibri"/>
          <w:sz w:val="20"/>
          <w:szCs w:val="20"/>
        </w:rPr>
        <w:sectPr w:rsidR="00CF33D9">
          <w:pgSz w:w="15840" w:h="12240" w:orient="landscape"/>
          <w:pgMar w:top="1080" w:right="1020" w:bottom="920" w:left="1340" w:header="0" w:footer="720" w:gutter="0"/>
          <w:cols w:space="720"/>
        </w:sectPr>
      </w:pPr>
    </w:p>
    <w:p w14:paraId="6809143F" w14:textId="77777777" w:rsidR="00CF33D9" w:rsidRDefault="00CF33D9">
      <w:pPr>
        <w:pStyle w:val="BodyText"/>
        <w:spacing w:before="1"/>
        <w:rPr>
          <w:rFonts w:ascii="Calibri" w:hAnsi="Calibri" w:cs="Calibri"/>
          <w:i w:val="0"/>
          <w:szCs w:val="20"/>
        </w:rPr>
      </w:pPr>
    </w:p>
    <w:p w14:paraId="68091440" w14:textId="77777777" w:rsidR="00CF33D9" w:rsidRDefault="00E3332A">
      <w:pPr>
        <w:rPr>
          <w:rFonts w:ascii="Calibri" w:hAnsi="Calibri" w:cs="Calibri"/>
          <w:b/>
          <w:bCs/>
          <w:color w:val="ACB9CA" w:themeColor="text2" w:themeTint="66"/>
          <w:sz w:val="20"/>
          <w:szCs w:val="20"/>
        </w:rPr>
      </w:pPr>
      <w:r>
        <w:rPr>
          <w:rFonts w:ascii="Calibri" w:hAnsi="Calibri" w:cs="Calibri"/>
          <w:b/>
          <w:bCs/>
          <w:color w:val="ACB9CA" w:themeColor="text2" w:themeTint="66"/>
          <w:sz w:val="20"/>
          <w:szCs w:val="20"/>
        </w:rPr>
        <w:t>SESP Attachment 1. Social and Environmental Risk Screening Checklist</w:t>
      </w:r>
    </w:p>
    <w:p w14:paraId="68091441" w14:textId="77777777" w:rsidR="00CF33D9" w:rsidRDefault="00CF33D9">
      <w:pPr>
        <w:pStyle w:val="BodyText"/>
        <w:spacing w:before="11" w:after="1"/>
        <w:rPr>
          <w:rFonts w:ascii="Calibri" w:hAnsi="Calibri" w:cs="Calibri"/>
          <w:b/>
          <w:szCs w:val="20"/>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06"/>
        <w:gridCol w:w="8130"/>
        <w:gridCol w:w="832"/>
      </w:tblGrid>
      <w:tr w:rsidR="00CF33D9" w14:paraId="68091444" w14:textId="77777777">
        <w:trPr>
          <w:trHeight w:val="268"/>
        </w:trPr>
        <w:tc>
          <w:tcPr>
            <w:tcW w:w="8636" w:type="dxa"/>
            <w:gridSpan w:val="2"/>
            <w:shd w:val="clear" w:color="auto" w:fill="8DB3E1"/>
          </w:tcPr>
          <w:p w14:paraId="68091442" w14:textId="77777777" w:rsidR="00CF33D9" w:rsidRDefault="00E3332A">
            <w:pPr>
              <w:pStyle w:val="TableParagraph"/>
              <w:spacing w:line="248" w:lineRule="exact"/>
              <w:ind w:left="107"/>
              <w:rPr>
                <w:b/>
                <w:sz w:val="20"/>
                <w:szCs w:val="20"/>
              </w:rPr>
            </w:pPr>
            <w:r>
              <w:rPr>
                <w:b/>
                <w:sz w:val="20"/>
                <w:szCs w:val="20"/>
              </w:rPr>
              <w:t xml:space="preserve">Checklist Potential Social and Environmental </w:t>
            </w:r>
            <w:r>
              <w:rPr>
                <w:b/>
                <w:sz w:val="20"/>
                <w:szCs w:val="20"/>
                <w:u w:val="single"/>
              </w:rPr>
              <w:t>Risks</w:t>
            </w:r>
          </w:p>
        </w:tc>
        <w:tc>
          <w:tcPr>
            <w:tcW w:w="832" w:type="dxa"/>
            <w:shd w:val="clear" w:color="auto" w:fill="8DB3E1"/>
          </w:tcPr>
          <w:p w14:paraId="68091443" w14:textId="77777777" w:rsidR="00CF33D9" w:rsidRDefault="00CF33D9">
            <w:pPr>
              <w:pStyle w:val="TableParagraph"/>
              <w:rPr>
                <w:sz w:val="20"/>
                <w:szCs w:val="20"/>
              </w:rPr>
            </w:pPr>
          </w:p>
        </w:tc>
      </w:tr>
      <w:tr w:rsidR="00CF33D9" w14:paraId="68091448" w14:textId="77777777">
        <w:trPr>
          <w:trHeight w:val="878"/>
        </w:trPr>
        <w:tc>
          <w:tcPr>
            <w:tcW w:w="8636" w:type="dxa"/>
            <w:gridSpan w:val="2"/>
          </w:tcPr>
          <w:p w14:paraId="68091445" w14:textId="77777777" w:rsidR="00CF33D9" w:rsidRDefault="00E3332A">
            <w:pPr>
              <w:pStyle w:val="TableParagraph"/>
              <w:spacing w:before="1"/>
              <w:ind w:left="107" w:right="113"/>
              <w:rPr>
                <w:sz w:val="20"/>
                <w:szCs w:val="20"/>
              </w:rPr>
            </w:pPr>
            <w:r>
              <w:rPr>
                <w:sz w:val="20"/>
                <w:szCs w:val="20"/>
                <w:u w:val="single"/>
              </w:rPr>
              <w:t>INSTRUCTIONS</w:t>
            </w:r>
            <w:r>
              <w:rPr>
                <w:sz w:val="20"/>
                <w:szCs w:val="20"/>
              </w:rPr>
              <w:t xml:space="preserve">: The risk screening checklist will assist in answering Questions 2-6 of the Screening Template. Answers to the checklist questions help to (1) identify potential risks, (2) determine the overall risk categorization of the project, and (3) determine required level of assessment and management measures. Refer to the </w:t>
            </w:r>
            <w:hyperlink r:id="rId51">
              <w:r>
                <w:rPr>
                  <w:color w:val="0000FF"/>
                  <w:sz w:val="20"/>
                  <w:szCs w:val="20"/>
                  <w:u w:val="single" w:color="0000FF"/>
                </w:rPr>
                <w:t>SES toolkit</w:t>
              </w:r>
            </w:hyperlink>
          </w:p>
          <w:p w14:paraId="68091446" w14:textId="77777777" w:rsidR="00CF33D9" w:rsidRDefault="00E3332A">
            <w:pPr>
              <w:pStyle w:val="TableParagraph"/>
              <w:spacing w:line="198" w:lineRule="exact"/>
              <w:ind w:left="107"/>
              <w:rPr>
                <w:sz w:val="20"/>
                <w:szCs w:val="20"/>
              </w:rPr>
            </w:pPr>
            <w:r>
              <w:rPr>
                <w:sz w:val="20"/>
                <w:szCs w:val="20"/>
              </w:rPr>
              <w:t>for further guidance on addressing screening questions.</w:t>
            </w:r>
          </w:p>
        </w:tc>
        <w:tc>
          <w:tcPr>
            <w:tcW w:w="832" w:type="dxa"/>
          </w:tcPr>
          <w:p w14:paraId="68091447" w14:textId="77777777" w:rsidR="00CF33D9" w:rsidRDefault="00CF33D9">
            <w:pPr>
              <w:pStyle w:val="TableParagraph"/>
              <w:rPr>
                <w:sz w:val="20"/>
                <w:szCs w:val="20"/>
              </w:rPr>
            </w:pPr>
          </w:p>
        </w:tc>
      </w:tr>
      <w:tr w:rsidR="00CF33D9" w14:paraId="6809144C" w14:textId="77777777">
        <w:trPr>
          <w:trHeight w:val="825"/>
        </w:trPr>
        <w:tc>
          <w:tcPr>
            <w:tcW w:w="8636" w:type="dxa"/>
            <w:gridSpan w:val="2"/>
            <w:shd w:val="clear" w:color="auto" w:fill="DBE4F0"/>
          </w:tcPr>
          <w:p w14:paraId="68091449" w14:textId="77777777" w:rsidR="00CF33D9" w:rsidRDefault="00E3332A">
            <w:pPr>
              <w:pStyle w:val="TableParagraph"/>
              <w:spacing w:before="121"/>
              <w:ind w:left="107"/>
              <w:rPr>
                <w:b/>
                <w:sz w:val="20"/>
                <w:szCs w:val="20"/>
              </w:rPr>
            </w:pPr>
            <w:r>
              <w:rPr>
                <w:b/>
                <w:sz w:val="20"/>
                <w:szCs w:val="20"/>
              </w:rPr>
              <w:t>Overarching Principle: Leave No One Behind</w:t>
            </w:r>
          </w:p>
          <w:p w14:paraId="6809144A" w14:textId="77777777" w:rsidR="00CF33D9" w:rsidRDefault="00E3332A">
            <w:pPr>
              <w:pStyle w:val="TableParagraph"/>
              <w:spacing w:before="121"/>
              <w:ind w:left="107"/>
              <w:rPr>
                <w:b/>
                <w:sz w:val="20"/>
                <w:szCs w:val="20"/>
              </w:rPr>
            </w:pPr>
            <w:r>
              <w:rPr>
                <w:b/>
                <w:sz w:val="20"/>
                <w:szCs w:val="20"/>
              </w:rPr>
              <w:t>Human Rights</w:t>
            </w:r>
          </w:p>
        </w:tc>
        <w:tc>
          <w:tcPr>
            <w:tcW w:w="832" w:type="dxa"/>
            <w:shd w:val="clear" w:color="auto" w:fill="DBE4F0"/>
          </w:tcPr>
          <w:p w14:paraId="6809144B" w14:textId="77777777" w:rsidR="00CF33D9" w:rsidRDefault="00E3332A">
            <w:pPr>
              <w:pStyle w:val="TableParagraph"/>
              <w:ind w:left="122" w:right="92" w:firstLine="40"/>
              <w:rPr>
                <w:b/>
                <w:sz w:val="20"/>
                <w:szCs w:val="20"/>
              </w:rPr>
            </w:pPr>
            <w:r>
              <w:rPr>
                <w:b/>
                <w:sz w:val="20"/>
                <w:szCs w:val="20"/>
              </w:rPr>
              <w:t>Answer (Yes/No)</w:t>
            </w:r>
          </w:p>
        </w:tc>
      </w:tr>
      <w:tr w:rsidR="00CF33D9" w14:paraId="68091450" w14:textId="77777777">
        <w:trPr>
          <w:trHeight w:val="558"/>
        </w:trPr>
        <w:tc>
          <w:tcPr>
            <w:tcW w:w="506" w:type="dxa"/>
            <w:tcBorders>
              <w:right w:val="nil"/>
            </w:tcBorders>
          </w:tcPr>
          <w:p w14:paraId="6809144D" w14:textId="77777777" w:rsidR="00CF33D9" w:rsidRDefault="00E3332A">
            <w:pPr>
              <w:pStyle w:val="TableParagraph"/>
              <w:spacing w:before="59"/>
              <w:ind w:left="107"/>
              <w:rPr>
                <w:sz w:val="20"/>
                <w:szCs w:val="20"/>
              </w:rPr>
            </w:pPr>
            <w:r>
              <w:rPr>
                <w:sz w:val="20"/>
                <w:szCs w:val="20"/>
              </w:rPr>
              <w:t>P.1</w:t>
            </w:r>
          </w:p>
        </w:tc>
        <w:tc>
          <w:tcPr>
            <w:tcW w:w="8130" w:type="dxa"/>
            <w:tcBorders>
              <w:left w:val="nil"/>
            </w:tcBorders>
          </w:tcPr>
          <w:p w14:paraId="6809144E" w14:textId="77777777" w:rsidR="00CF33D9" w:rsidRDefault="00E3332A">
            <w:pPr>
              <w:pStyle w:val="TableParagraph"/>
              <w:spacing w:before="59"/>
              <w:ind w:left="173" w:right="228"/>
              <w:rPr>
                <w:sz w:val="20"/>
                <w:szCs w:val="20"/>
              </w:rPr>
            </w:pPr>
            <w:r>
              <w:rPr>
                <w:sz w:val="20"/>
                <w:szCs w:val="20"/>
              </w:rPr>
              <w:t>Have local communities or individuals raised human rights concerns regarding the project (e.g. during the stakeholder engagement process, grievance processes, public statements)?</w:t>
            </w:r>
          </w:p>
        </w:tc>
        <w:tc>
          <w:tcPr>
            <w:tcW w:w="832" w:type="dxa"/>
          </w:tcPr>
          <w:p w14:paraId="6809144F" w14:textId="77777777" w:rsidR="00CF33D9" w:rsidRDefault="00E3332A">
            <w:pPr>
              <w:pStyle w:val="TableParagraph"/>
              <w:jc w:val="center"/>
              <w:rPr>
                <w:sz w:val="20"/>
                <w:szCs w:val="20"/>
              </w:rPr>
            </w:pPr>
            <w:r>
              <w:rPr>
                <w:sz w:val="20"/>
                <w:szCs w:val="20"/>
              </w:rPr>
              <w:t>No</w:t>
            </w:r>
          </w:p>
        </w:tc>
      </w:tr>
      <w:tr w:rsidR="00CF33D9" w14:paraId="68091454" w14:textId="77777777">
        <w:trPr>
          <w:trHeight w:val="559"/>
        </w:trPr>
        <w:tc>
          <w:tcPr>
            <w:tcW w:w="506" w:type="dxa"/>
            <w:tcBorders>
              <w:right w:val="nil"/>
            </w:tcBorders>
          </w:tcPr>
          <w:p w14:paraId="68091451" w14:textId="77777777" w:rsidR="00CF33D9" w:rsidRDefault="00E3332A">
            <w:pPr>
              <w:pStyle w:val="TableParagraph"/>
              <w:spacing w:before="62"/>
              <w:ind w:left="107"/>
              <w:rPr>
                <w:sz w:val="20"/>
                <w:szCs w:val="20"/>
              </w:rPr>
            </w:pPr>
            <w:r>
              <w:rPr>
                <w:sz w:val="20"/>
                <w:szCs w:val="20"/>
              </w:rPr>
              <w:t>P.2</w:t>
            </w:r>
          </w:p>
        </w:tc>
        <w:tc>
          <w:tcPr>
            <w:tcW w:w="8130" w:type="dxa"/>
            <w:tcBorders>
              <w:left w:val="nil"/>
            </w:tcBorders>
          </w:tcPr>
          <w:p w14:paraId="68091452" w14:textId="77777777" w:rsidR="00CF33D9" w:rsidRDefault="00E3332A">
            <w:pPr>
              <w:pStyle w:val="TableParagraph"/>
              <w:spacing w:before="62"/>
              <w:ind w:left="173" w:right="755"/>
              <w:rPr>
                <w:sz w:val="20"/>
                <w:szCs w:val="20"/>
              </w:rPr>
            </w:pPr>
            <w:r>
              <w:rPr>
                <w:sz w:val="20"/>
                <w:szCs w:val="20"/>
              </w:rPr>
              <w:t>Is there a risk that duty-bearers (e.g. government agencies) do not have the capacity to meet their obligations in the project?</w:t>
            </w:r>
          </w:p>
        </w:tc>
        <w:tc>
          <w:tcPr>
            <w:tcW w:w="832" w:type="dxa"/>
          </w:tcPr>
          <w:p w14:paraId="68091453" w14:textId="77777777" w:rsidR="00CF33D9" w:rsidRDefault="00E3332A">
            <w:pPr>
              <w:pStyle w:val="TableParagraph"/>
              <w:jc w:val="center"/>
              <w:rPr>
                <w:sz w:val="20"/>
                <w:szCs w:val="20"/>
              </w:rPr>
            </w:pPr>
            <w:r>
              <w:rPr>
                <w:sz w:val="20"/>
                <w:szCs w:val="20"/>
              </w:rPr>
              <w:t>Yes</w:t>
            </w:r>
          </w:p>
        </w:tc>
      </w:tr>
      <w:tr w:rsidR="00CF33D9" w14:paraId="68091458" w14:textId="77777777">
        <w:trPr>
          <w:trHeight w:val="558"/>
        </w:trPr>
        <w:tc>
          <w:tcPr>
            <w:tcW w:w="506" w:type="dxa"/>
            <w:tcBorders>
              <w:right w:val="nil"/>
            </w:tcBorders>
          </w:tcPr>
          <w:p w14:paraId="68091455" w14:textId="77777777" w:rsidR="00CF33D9" w:rsidRDefault="00E3332A">
            <w:pPr>
              <w:pStyle w:val="TableParagraph"/>
              <w:spacing w:before="61"/>
              <w:ind w:left="107"/>
              <w:rPr>
                <w:sz w:val="20"/>
                <w:szCs w:val="20"/>
              </w:rPr>
            </w:pPr>
            <w:r>
              <w:rPr>
                <w:sz w:val="20"/>
                <w:szCs w:val="20"/>
              </w:rPr>
              <w:t>P.3</w:t>
            </w:r>
          </w:p>
        </w:tc>
        <w:tc>
          <w:tcPr>
            <w:tcW w:w="8130" w:type="dxa"/>
            <w:tcBorders>
              <w:left w:val="nil"/>
            </w:tcBorders>
          </w:tcPr>
          <w:p w14:paraId="68091456" w14:textId="77777777" w:rsidR="00CF33D9" w:rsidRDefault="00E3332A">
            <w:pPr>
              <w:pStyle w:val="TableParagraph"/>
              <w:spacing w:before="61"/>
              <w:ind w:left="173" w:right="228"/>
              <w:rPr>
                <w:sz w:val="20"/>
                <w:szCs w:val="20"/>
              </w:rPr>
            </w:pPr>
            <w:r>
              <w:rPr>
                <w:sz w:val="20"/>
                <w:szCs w:val="20"/>
              </w:rPr>
              <w:t>Is there a risk that rights-holders (e.g. project-affected persons) do not have the capacity to claim their rights?</w:t>
            </w:r>
          </w:p>
        </w:tc>
        <w:tc>
          <w:tcPr>
            <w:tcW w:w="832" w:type="dxa"/>
          </w:tcPr>
          <w:p w14:paraId="68091457" w14:textId="77777777" w:rsidR="00CF33D9" w:rsidRDefault="00E3332A">
            <w:pPr>
              <w:pStyle w:val="TableParagraph"/>
              <w:jc w:val="center"/>
              <w:rPr>
                <w:sz w:val="20"/>
                <w:szCs w:val="20"/>
              </w:rPr>
            </w:pPr>
            <w:r>
              <w:rPr>
                <w:sz w:val="20"/>
                <w:szCs w:val="20"/>
              </w:rPr>
              <w:t>Yes</w:t>
            </w:r>
          </w:p>
        </w:tc>
      </w:tr>
      <w:tr w:rsidR="00CF33D9" w14:paraId="6809145B" w14:textId="77777777">
        <w:trPr>
          <w:trHeight w:val="340"/>
        </w:trPr>
        <w:tc>
          <w:tcPr>
            <w:tcW w:w="8636" w:type="dxa"/>
            <w:gridSpan w:val="2"/>
          </w:tcPr>
          <w:p w14:paraId="68091459" w14:textId="77777777" w:rsidR="00CF33D9" w:rsidRDefault="00E3332A">
            <w:pPr>
              <w:pStyle w:val="TableParagraph"/>
              <w:spacing w:before="63"/>
              <w:ind w:left="107"/>
              <w:rPr>
                <w:i/>
                <w:sz w:val="20"/>
                <w:szCs w:val="20"/>
              </w:rPr>
            </w:pPr>
            <w:r>
              <w:rPr>
                <w:i/>
                <w:sz w:val="20"/>
                <w:szCs w:val="20"/>
              </w:rPr>
              <w:t>Would the project potentially involve or lead to:</w:t>
            </w:r>
          </w:p>
        </w:tc>
        <w:tc>
          <w:tcPr>
            <w:tcW w:w="832" w:type="dxa"/>
          </w:tcPr>
          <w:p w14:paraId="6809145A" w14:textId="77777777" w:rsidR="00CF33D9" w:rsidRDefault="00CF33D9">
            <w:pPr>
              <w:pStyle w:val="TableParagraph"/>
              <w:jc w:val="center"/>
              <w:rPr>
                <w:sz w:val="20"/>
                <w:szCs w:val="20"/>
              </w:rPr>
            </w:pPr>
          </w:p>
        </w:tc>
      </w:tr>
      <w:tr w:rsidR="00CF33D9" w14:paraId="6809145F" w14:textId="77777777">
        <w:trPr>
          <w:trHeight w:val="558"/>
        </w:trPr>
        <w:tc>
          <w:tcPr>
            <w:tcW w:w="506" w:type="dxa"/>
            <w:tcBorders>
              <w:right w:val="nil"/>
            </w:tcBorders>
          </w:tcPr>
          <w:p w14:paraId="6809145C" w14:textId="77777777" w:rsidR="00CF33D9" w:rsidRDefault="00E3332A">
            <w:pPr>
              <w:pStyle w:val="TableParagraph"/>
              <w:spacing w:before="61"/>
              <w:ind w:left="107"/>
              <w:rPr>
                <w:sz w:val="20"/>
                <w:szCs w:val="20"/>
              </w:rPr>
            </w:pPr>
            <w:r>
              <w:rPr>
                <w:sz w:val="20"/>
                <w:szCs w:val="20"/>
              </w:rPr>
              <w:t>P.4</w:t>
            </w:r>
          </w:p>
        </w:tc>
        <w:tc>
          <w:tcPr>
            <w:tcW w:w="8130" w:type="dxa"/>
            <w:tcBorders>
              <w:left w:val="nil"/>
            </w:tcBorders>
          </w:tcPr>
          <w:p w14:paraId="6809145D" w14:textId="77777777" w:rsidR="00CF33D9" w:rsidRDefault="00E3332A">
            <w:pPr>
              <w:pStyle w:val="TableParagraph"/>
              <w:spacing w:before="61"/>
              <w:ind w:left="173" w:right="228"/>
              <w:rPr>
                <w:sz w:val="20"/>
                <w:szCs w:val="20"/>
              </w:rPr>
            </w:pPr>
            <w:r>
              <w:rPr>
                <w:sz w:val="20"/>
                <w:szCs w:val="20"/>
              </w:rPr>
              <w:t>adverse impacts on enjoyment of the human rights (civil, political, economic, social or cultural) of the affected population and particularly of marginalized groups?</w:t>
            </w:r>
          </w:p>
        </w:tc>
        <w:tc>
          <w:tcPr>
            <w:tcW w:w="832" w:type="dxa"/>
          </w:tcPr>
          <w:p w14:paraId="6809145E" w14:textId="77777777" w:rsidR="00CF33D9" w:rsidRDefault="00E3332A">
            <w:pPr>
              <w:pStyle w:val="TableParagraph"/>
              <w:jc w:val="center"/>
              <w:rPr>
                <w:sz w:val="20"/>
                <w:szCs w:val="20"/>
              </w:rPr>
            </w:pPr>
            <w:r>
              <w:rPr>
                <w:sz w:val="20"/>
                <w:szCs w:val="20"/>
              </w:rPr>
              <w:t>Yes</w:t>
            </w:r>
          </w:p>
        </w:tc>
      </w:tr>
      <w:tr w:rsidR="00CF33D9" w14:paraId="68091463" w14:textId="77777777">
        <w:trPr>
          <w:trHeight w:val="561"/>
        </w:trPr>
        <w:tc>
          <w:tcPr>
            <w:tcW w:w="506" w:type="dxa"/>
            <w:tcBorders>
              <w:right w:val="nil"/>
            </w:tcBorders>
          </w:tcPr>
          <w:p w14:paraId="68091460" w14:textId="77777777" w:rsidR="00CF33D9" w:rsidRDefault="00E3332A">
            <w:pPr>
              <w:pStyle w:val="TableParagraph"/>
              <w:spacing w:before="61"/>
              <w:ind w:left="107"/>
              <w:rPr>
                <w:sz w:val="20"/>
                <w:szCs w:val="20"/>
              </w:rPr>
            </w:pPr>
            <w:r>
              <w:rPr>
                <w:sz w:val="20"/>
                <w:szCs w:val="20"/>
              </w:rPr>
              <w:t>P.5</w:t>
            </w:r>
          </w:p>
        </w:tc>
        <w:tc>
          <w:tcPr>
            <w:tcW w:w="8130" w:type="dxa"/>
            <w:tcBorders>
              <w:left w:val="nil"/>
            </w:tcBorders>
          </w:tcPr>
          <w:p w14:paraId="68091461" w14:textId="77777777" w:rsidR="00CF33D9" w:rsidRDefault="00E3332A">
            <w:pPr>
              <w:pStyle w:val="TableParagraph"/>
              <w:spacing w:before="61"/>
              <w:ind w:left="173" w:right="549"/>
              <w:rPr>
                <w:sz w:val="20"/>
                <w:szCs w:val="20"/>
              </w:rPr>
            </w:pPr>
            <w:r>
              <w:rPr>
                <w:sz w:val="20"/>
                <w:szCs w:val="20"/>
              </w:rPr>
              <w:t xml:space="preserve">inequitable or discriminatory impacts on affected populations, particularly people living in poverty or marginalized or excluded individuals or groups, including persons with disabilities? </w:t>
            </w:r>
            <w:r>
              <w:rPr>
                <w:position w:val="5"/>
                <w:sz w:val="20"/>
                <w:szCs w:val="20"/>
              </w:rPr>
              <w:t>16</w:t>
            </w:r>
          </w:p>
        </w:tc>
        <w:tc>
          <w:tcPr>
            <w:tcW w:w="832" w:type="dxa"/>
          </w:tcPr>
          <w:p w14:paraId="68091462" w14:textId="77777777" w:rsidR="00CF33D9" w:rsidRDefault="00E3332A">
            <w:pPr>
              <w:pStyle w:val="TableParagraph"/>
              <w:jc w:val="center"/>
              <w:rPr>
                <w:sz w:val="20"/>
                <w:szCs w:val="20"/>
              </w:rPr>
            </w:pPr>
            <w:r>
              <w:rPr>
                <w:sz w:val="20"/>
                <w:szCs w:val="20"/>
              </w:rPr>
              <w:t>Yes</w:t>
            </w:r>
          </w:p>
        </w:tc>
      </w:tr>
      <w:tr w:rsidR="00CF33D9" w14:paraId="68091467" w14:textId="77777777">
        <w:trPr>
          <w:trHeight w:val="558"/>
        </w:trPr>
        <w:tc>
          <w:tcPr>
            <w:tcW w:w="506" w:type="dxa"/>
            <w:tcBorders>
              <w:right w:val="nil"/>
            </w:tcBorders>
          </w:tcPr>
          <w:p w14:paraId="68091464" w14:textId="77777777" w:rsidR="00CF33D9" w:rsidRDefault="00E3332A">
            <w:pPr>
              <w:pStyle w:val="TableParagraph"/>
              <w:spacing w:before="59"/>
              <w:ind w:left="107"/>
              <w:rPr>
                <w:sz w:val="20"/>
                <w:szCs w:val="20"/>
              </w:rPr>
            </w:pPr>
            <w:r>
              <w:rPr>
                <w:sz w:val="20"/>
                <w:szCs w:val="20"/>
              </w:rPr>
              <w:t>P.6</w:t>
            </w:r>
          </w:p>
        </w:tc>
        <w:tc>
          <w:tcPr>
            <w:tcW w:w="8130" w:type="dxa"/>
            <w:tcBorders>
              <w:left w:val="nil"/>
            </w:tcBorders>
          </w:tcPr>
          <w:p w14:paraId="68091465" w14:textId="77777777" w:rsidR="00CF33D9" w:rsidRDefault="00E3332A">
            <w:pPr>
              <w:pStyle w:val="TableParagraph"/>
              <w:spacing w:before="59"/>
              <w:ind w:left="173" w:right="228"/>
              <w:rPr>
                <w:sz w:val="20"/>
                <w:szCs w:val="20"/>
              </w:rPr>
            </w:pPr>
            <w:r>
              <w:rPr>
                <w:sz w:val="20"/>
                <w:szCs w:val="20"/>
              </w:rPr>
              <w:t>restrictions in availability, quality of and/or access to resources or basic services, in particular to marginalized individuals or groups, including persons with disabilities?</w:t>
            </w:r>
          </w:p>
        </w:tc>
        <w:tc>
          <w:tcPr>
            <w:tcW w:w="832" w:type="dxa"/>
          </w:tcPr>
          <w:p w14:paraId="68091466" w14:textId="77777777" w:rsidR="00CF33D9" w:rsidRDefault="00E3332A">
            <w:pPr>
              <w:pStyle w:val="TableParagraph"/>
              <w:jc w:val="center"/>
              <w:rPr>
                <w:sz w:val="20"/>
                <w:szCs w:val="20"/>
              </w:rPr>
            </w:pPr>
            <w:r>
              <w:rPr>
                <w:sz w:val="20"/>
                <w:szCs w:val="20"/>
              </w:rPr>
              <w:t>No</w:t>
            </w:r>
          </w:p>
        </w:tc>
      </w:tr>
      <w:tr w:rsidR="00CF33D9" w14:paraId="6809146B" w14:textId="77777777">
        <w:trPr>
          <w:trHeight w:val="559"/>
        </w:trPr>
        <w:tc>
          <w:tcPr>
            <w:tcW w:w="506" w:type="dxa"/>
            <w:tcBorders>
              <w:right w:val="nil"/>
            </w:tcBorders>
          </w:tcPr>
          <w:p w14:paraId="68091468" w14:textId="77777777" w:rsidR="00CF33D9" w:rsidRDefault="00E3332A">
            <w:pPr>
              <w:pStyle w:val="TableParagraph"/>
              <w:spacing w:before="61"/>
              <w:ind w:left="107"/>
              <w:rPr>
                <w:sz w:val="20"/>
                <w:szCs w:val="20"/>
              </w:rPr>
            </w:pPr>
            <w:r>
              <w:rPr>
                <w:sz w:val="20"/>
                <w:szCs w:val="20"/>
              </w:rPr>
              <w:t>P.7</w:t>
            </w:r>
          </w:p>
        </w:tc>
        <w:tc>
          <w:tcPr>
            <w:tcW w:w="8130" w:type="dxa"/>
            <w:tcBorders>
              <w:left w:val="nil"/>
            </w:tcBorders>
          </w:tcPr>
          <w:p w14:paraId="68091469" w14:textId="77777777" w:rsidR="00CF33D9" w:rsidRDefault="00E3332A">
            <w:pPr>
              <w:pStyle w:val="TableParagraph"/>
              <w:spacing w:before="61"/>
              <w:ind w:left="173" w:right="900"/>
              <w:rPr>
                <w:sz w:val="20"/>
                <w:szCs w:val="20"/>
              </w:rPr>
            </w:pPr>
            <w:r>
              <w:rPr>
                <w:sz w:val="20"/>
                <w:szCs w:val="20"/>
              </w:rPr>
              <w:t>exacerbation of conflicts among and/or the risk of violence to project-affected communities and individuals?</w:t>
            </w:r>
          </w:p>
        </w:tc>
        <w:tc>
          <w:tcPr>
            <w:tcW w:w="832" w:type="dxa"/>
          </w:tcPr>
          <w:p w14:paraId="6809146A" w14:textId="77777777" w:rsidR="00CF33D9" w:rsidRDefault="00E3332A">
            <w:pPr>
              <w:pStyle w:val="TableParagraph"/>
              <w:jc w:val="center"/>
              <w:rPr>
                <w:sz w:val="20"/>
                <w:szCs w:val="20"/>
              </w:rPr>
            </w:pPr>
            <w:r>
              <w:rPr>
                <w:sz w:val="20"/>
                <w:szCs w:val="20"/>
              </w:rPr>
              <w:t>Yes</w:t>
            </w:r>
          </w:p>
        </w:tc>
      </w:tr>
      <w:tr w:rsidR="00CF33D9" w14:paraId="6809146E" w14:textId="77777777">
        <w:trPr>
          <w:trHeight w:val="460"/>
        </w:trPr>
        <w:tc>
          <w:tcPr>
            <w:tcW w:w="8636" w:type="dxa"/>
            <w:gridSpan w:val="2"/>
            <w:shd w:val="clear" w:color="auto" w:fill="DBE4F0"/>
          </w:tcPr>
          <w:p w14:paraId="6809146C" w14:textId="77777777" w:rsidR="00CF33D9" w:rsidRDefault="00E3332A">
            <w:pPr>
              <w:pStyle w:val="TableParagraph"/>
              <w:spacing w:before="121"/>
              <w:ind w:left="107"/>
              <w:rPr>
                <w:b/>
                <w:sz w:val="20"/>
                <w:szCs w:val="20"/>
              </w:rPr>
            </w:pPr>
            <w:r>
              <w:rPr>
                <w:b/>
                <w:sz w:val="20"/>
                <w:szCs w:val="20"/>
              </w:rPr>
              <w:t>Gender Equality and Women’s Empowerment</w:t>
            </w:r>
          </w:p>
        </w:tc>
        <w:tc>
          <w:tcPr>
            <w:tcW w:w="832" w:type="dxa"/>
            <w:shd w:val="clear" w:color="auto" w:fill="DBE4F0"/>
          </w:tcPr>
          <w:p w14:paraId="6809146D" w14:textId="77777777" w:rsidR="00CF33D9" w:rsidRDefault="00CF33D9">
            <w:pPr>
              <w:pStyle w:val="TableParagraph"/>
              <w:rPr>
                <w:sz w:val="20"/>
                <w:szCs w:val="20"/>
              </w:rPr>
            </w:pPr>
          </w:p>
        </w:tc>
      </w:tr>
      <w:tr w:rsidR="00CF33D9" w14:paraId="68091472" w14:textId="77777777">
        <w:trPr>
          <w:trHeight w:val="558"/>
        </w:trPr>
        <w:tc>
          <w:tcPr>
            <w:tcW w:w="506" w:type="dxa"/>
            <w:tcBorders>
              <w:right w:val="nil"/>
            </w:tcBorders>
          </w:tcPr>
          <w:p w14:paraId="6809146F" w14:textId="77777777" w:rsidR="00CF33D9" w:rsidRDefault="00E3332A">
            <w:pPr>
              <w:pStyle w:val="TableParagraph"/>
              <w:spacing w:before="61"/>
              <w:ind w:left="107"/>
              <w:rPr>
                <w:sz w:val="20"/>
                <w:szCs w:val="20"/>
              </w:rPr>
            </w:pPr>
            <w:r>
              <w:rPr>
                <w:sz w:val="20"/>
                <w:szCs w:val="20"/>
              </w:rPr>
              <w:t>P.8</w:t>
            </w:r>
          </w:p>
        </w:tc>
        <w:tc>
          <w:tcPr>
            <w:tcW w:w="8130" w:type="dxa"/>
            <w:tcBorders>
              <w:left w:val="nil"/>
            </w:tcBorders>
          </w:tcPr>
          <w:p w14:paraId="68091470" w14:textId="77777777" w:rsidR="00CF33D9" w:rsidRDefault="00E3332A">
            <w:pPr>
              <w:pStyle w:val="TableParagraph"/>
              <w:spacing w:before="61"/>
              <w:ind w:left="173" w:right="544"/>
              <w:rPr>
                <w:sz w:val="20"/>
                <w:szCs w:val="20"/>
              </w:rPr>
            </w:pPr>
            <w:r>
              <w:rPr>
                <w:sz w:val="20"/>
                <w:szCs w:val="20"/>
              </w:rPr>
              <w:t>Have women’s groups/leaders raised gender equality concerns regarding the project, (e.g. during the stakeholder engagement process, grievance processes, public statements)?</w:t>
            </w:r>
          </w:p>
        </w:tc>
        <w:tc>
          <w:tcPr>
            <w:tcW w:w="832" w:type="dxa"/>
          </w:tcPr>
          <w:p w14:paraId="68091471" w14:textId="77777777" w:rsidR="00CF33D9" w:rsidRDefault="00E3332A">
            <w:pPr>
              <w:pStyle w:val="TableParagraph"/>
              <w:jc w:val="center"/>
              <w:rPr>
                <w:sz w:val="20"/>
                <w:szCs w:val="20"/>
              </w:rPr>
            </w:pPr>
            <w:r>
              <w:rPr>
                <w:sz w:val="20"/>
                <w:szCs w:val="20"/>
              </w:rPr>
              <w:t>No</w:t>
            </w:r>
          </w:p>
        </w:tc>
      </w:tr>
      <w:tr w:rsidR="00CF33D9" w14:paraId="68091475" w14:textId="77777777">
        <w:trPr>
          <w:trHeight w:val="340"/>
        </w:trPr>
        <w:tc>
          <w:tcPr>
            <w:tcW w:w="8636" w:type="dxa"/>
            <w:gridSpan w:val="2"/>
          </w:tcPr>
          <w:p w14:paraId="68091473" w14:textId="77777777" w:rsidR="00CF33D9" w:rsidRDefault="00E3332A">
            <w:pPr>
              <w:pStyle w:val="TableParagraph"/>
              <w:spacing w:before="61"/>
              <w:ind w:left="107"/>
              <w:rPr>
                <w:i/>
                <w:sz w:val="20"/>
                <w:szCs w:val="20"/>
              </w:rPr>
            </w:pPr>
            <w:r>
              <w:rPr>
                <w:i/>
                <w:sz w:val="20"/>
                <w:szCs w:val="20"/>
              </w:rPr>
              <w:t>Would the project potentially involve or lead to:</w:t>
            </w:r>
          </w:p>
        </w:tc>
        <w:tc>
          <w:tcPr>
            <w:tcW w:w="832" w:type="dxa"/>
          </w:tcPr>
          <w:p w14:paraId="68091474" w14:textId="77777777" w:rsidR="00CF33D9" w:rsidRDefault="00CF33D9">
            <w:pPr>
              <w:pStyle w:val="TableParagraph"/>
              <w:jc w:val="center"/>
              <w:rPr>
                <w:sz w:val="20"/>
                <w:szCs w:val="20"/>
              </w:rPr>
            </w:pPr>
          </w:p>
        </w:tc>
      </w:tr>
      <w:tr w:rsidR="00CF33D9" w14:paraId="68091479" w14:textId="77777777">
        <w:trPr>
          <w:trHeight w:val="340"/>
        </w:trPr>
        <w:tc>
          <w:tcPr>
            <w:tcW w:w="506" w:type="dxa"/>
            <w:tcBorders>
              <w:right w:val="nil"/>
            </w:tcBorders>
          </w:tcPr>
          <w:p w14:paraId="68091476" w14:textId="77777777" w:rsidR="00CF33D9" w:rsidRDefault="00E3332A">
            <w:pPr>
              <w:pStyle w:val="TableParagraph"/>
              <w:spacing w:before="61"/>
              <w:ind w:left="107"/>
              <w:rPr>
                <w:sz w:val="20"/>
                <w:szCs w:val="20"/>
              </w:rPr>
            </w:pPr>
            <w:r>
              <w:rPr>
                <w:sz w:val="20"/>
                <w:szCs w:val="20"/>
              </w:rPr>
              <w:t>P.9</w:t>
            </w:r>
          </w:p>
        </w:tc>
        <w:tc>
          <w:tcPr>
            <w:tcW w:w="8130" w:type="dxa"/>
            <w:tcBorders>
              <w:left w:val="nil"/>
            </w:tcBorders>
          </w:tcPr>
          <w:p w14:paraId="68091477" w14:textId="77777777" w:rsidR="00CF33D9" w:rsidRDefault="00E3332A">
            <w:pPr>
              <w:pStyle w:val="TableParagraph"/>
              <w:spacing w:before="61"/>
              <w:ind w:left="173"/>
              <w:rPr>
                <w:sz w:val="20"/>
                <w:szCs w:val="20"/>
              </w:rPr>
            </w:pPr>
            <w:r>
              <w:rPr>
                <w:sz w:val="20"/>
                <w:szCs w:val="20"/>
              </w:rPr>
              <w:t>adverse impacts on gender equality and/or the situation of women and girls?</w:t>
            </w:r>
          </w:p>
        </w:tc>
        <w:tc>
          <w:tcPr>
            <w:tcW w:w="832" w:type="dxa"/>
          </w:tcPr>
          <w:p w14:paraId="68091478" w14:textId="77777777" w:rsidR="00CF33D9" w:rsidRDefault="00E3332A">
            <w:pPr>
              <w:pStyle w:val="TableParagraph"/>
              <w:jc w:val="center"/>
              <w:rPr>
                <w:sz w:val="20"/>
                <w:szCs w:val="20"/>
              </w:rPr>
            </w:pPr>
            <w:r>
              <w:rPr>
                <w:sz w:val="20"/>
                <w:szCs w:val="20"/>
              </w:rPr>
              <w:t>Yes</w:t>
            </w:r>
          </w:p>
        </w:tc>
      </w:tr>
      <w:tr w:rsidR="00CF33D9" w14:paraId="6809147C" w14:textId="77777777">
        <w:trPr>
          <w:trHeight w:val="558"/>
        </w:trPr>
        <w:tc>
          <w:tcPr>
            <w:tcW w:w="8636" w:type="dxa"/>
            <w:gridSpan w:val="2"/>
          </w:tcPr>
          <w:p w14:paraId="6809147A" w14:textId="77777777" w:rsidR="00CF33D9" w:rsidRDefault="00E3332A">
            <w:pPr>
              <w:pStyle w:val="TableParagraph"/>
              <w:tabs>
                <w:tab w:val="left" w:pos="674"/>
              </w:tabs>
              <w:spacing w:before="59"/>
              <w:ind w:left="674" w:right="282" w:hanging="567"/>
              <w:rPr>
                <w:sz w:val="20"/>
                <w:szCs w:val="20"/>
              </w:rPr>
            </w:pPr>
            <w:r>
              <w:rPr>
                <w:sz w:val="20"/>
                <w:szCs w:val="20"/>
              </w:rPr>
              <w:t>P.10</w:t>
            </w:r>
            <w:r>
              <w:rPr>
                <w:sz w:val="20"/>
                <w:szCs w:val="20"/>
              </w:rPr>
              <w:tab/>
              <w:t>reproducing discriminations against women based on gender, especially regarding participation</w:t>
            </w:r>
            <w:r>
              <w:rPr>
                <w:spacing w:val="-30"/>
                <w:sz w:val="20"/>
                <w:szCs w:val="20"/>
              </w:rPr>
              <w:t xml:space="preserve"> </w:t>
            </w:r>
            <w:r>
              <w:rPr>
                <w:sz w:val="20"/>
                <w:szCs w:val="20"/>
              </w:rPr>
              <w:t>in design and implementation or access to opportunities and</w:t>
            </w:r>
            <w:r>
              <w:rPr>
                <w:spacing w:val="-7"/>
                <w:sz w:val="20"/>
                <w:szCs w:val="20"/>
              </w:rPr>
              <w:t xml:space="preserve"> </w:t>
            </w:r>
            <w:r>
              <w:rPr>
                <w:sz w:val="20"/>
                <w:szCs w:val="20"/>
              </w:rPr>
              <w:t>benefits?</w:t>
            </w:r>
          </w:p>
        </w:tc>
        <w:tc>
          <w:tcPr>
            <w:tcW w:w="832" w:type="dxa"/>
          </w:tcPr>
          <w:p w14:paraId="6809147B" w14:textId="77777777" w:rsidR="00CF33D9" w:rsidRDefault="00E3332A">
            <w:pPr>
              <w:pStyle w:val="TableParagraph"/>
              <w:jc w:val="center"/>
              <w:rPr>
                <w:sz w:val="20"/>
                <w:szCs w:val="20"/>
              </w:rPr>
            </w:pPr>
            <w:r>
              <w:rPr>
                <w:sz w:val="20"/>
                <w:szCs w:val="20"/>
              </w:rPr>
              <w:t>Yes</w:t>
            </w:r>
          </w:p>
        </w:tc>
      </w:tr>
      <w:tr w:rsidR="00CF33D9" w14:paraId="68091481" w14:textId="77777777">
        <w:trPr>
          <w:trHeight w:val="1058"/>
        </w:trPr>
        <w:tc>
          <w:tcPr>
            <w:tcW w:w="8636" w:type="dxa"/>
            <w:gridSpan w:val="2"/>
          </w:tcPr>
          <w:p w14:paraId="6809147D" w14:textId="77777777" w:rsidR="00CF33D9" w:rsidRDefault="00E3332A">
            <w:pPr>
              <w:pStyle w:val="TableParagraph"/>
              <w:tabs>
                <w:tab w:val="left" w:pos="674"/>
              </w:tabs>
              <w:spacing w:before="61"/>
              <w:ind w:left="107"/>
              <w:rPr>
                <w:sz w:val="20"/>
                <w:szCs w:val="20"/>
              </w:rPr>
            </w:pPr>
            <w:r>
              <w:rPr>
                <w:sz w:val="20"/>
                <w:szCs w:val="20"/>
              </w:rPr>
              <w:t>P.11</w:t>
            </w:r>
            <w:r>
              <w:rPr>
                <w:sz w:val="20"/>
                <w:szCs w:val="20"/>
              </w:rPr>
              <w:tab/>
              <w:t>limitations on women’s ability to use, develop and protect natural resources, taking into account</w:t>
            </w:r>
            <w:r>
              <w:rPr>
                <w:spacing w:val="-25"/>
                <w:sz w:val="20"/>
                <w:szCs w:val="20"/>
              </w:rPr>
              <w:t xml:space="preserve"> </w:t>
            </w:r>
            <w:r>
              <w:rPr>
                <w:sz w:val="20"/>
                <w:szCs w:val="20"/>
              </w:rPr>
              <w:t>different</w:t>
            </w:r>
          </w:p>
          <w:p w14:paraId="6809147E" w14:textId="77777777" w:rsidR="00CF33D9" w:rsidRDefault="00E3332A">
            <w:pPr>
              <w:pStyle w:val="TableParagraph"/>
              <w:spacing w:before="1"/>
              <w:ind w:left="674"/>
              <w:rPr>
                <w:sz w:val="20"/>
                <w:szCs w:val="20"/>
              </w:rPr>
            </w:pPr>
            <w:r>
              <w:rPr>
                <w:sz w:val="20"/>
                <w:szCs w:val="20"/>
              </w:rPr>
              <w:t>roles and positions of women and men in accessing environmental goods and services?</w:t>
            </w:r>
          </w:p>
          <w:p w14:paraId="6809147F" w14:textId="77777777" w:rsidR="00CF33D9" w:rsidRDefault="00E3332A">
            <w:pPr>
              <w:pStyle w:val="TableParagraph"/>
              <w:spacing w:before="59"/>
              <w:ind w:left="674" w:right="301"/>
              <w:rPr>
                <w:i/>
                <w:sz w:val="20"/>
                <w:szCs w:val="20"/>
              </w:rPr>
            </w:pPr>
            <w:r>
              <w:rPr>
                <w:i/>
                <w:sz w:val="20"/>
                <w:szCs w:val="20"/>
              </w:rPr>
              <w:t>For example, activities that could lead to natural resources degradation or depletion in communities who depend on these resources for their livelihoods and well being</w:t>
            </w:r>
          </w:p>
        </w:tc>
        <w:tc>
          <w:tcPr>
            <w:tcW w:w="832" w:type="dxa"/>
          </w:tcPr>
          <w:p w14:paraId="68091480" w14:textId="77777777" w:rsidR="00CF33D9" w:rsidRDefault="00E3332A">
            <w:pPr>
              <w:pStyle w:val="TableParagraph"/>
              <w:jc w:val="center"/>
              <w:rPr>
                <w:sz w:val="20"/>
                <w:szCs w:val="20"/>
              </w:rPr>
            </w:pPr>
            <w:r>
              <w:rPr>
                <w:sz w:val="20"/>
                <w:szCs w:val="20"/>
              </w:rPr>
              <w:t>Yes</w:t>
            </w:r>
          </w:p>
        </w:tc>
      </w:tr>
      <w:tr w:rsidR="00CF33D9" w14:paraId="68091485" w14:textId="77777777">
        <w:trPr>
          <w:trHeight w:val="839"/>
        </w:trPr>
        <w:tc>
          <w:tcPr>
            <w:tcW w:w="8636" w:type="dxa"/>
            <w:gridSpan w:val="2"/>
          </w:tcPr>
          <w:p w14:paraId="68091482" w14:textId="77777777" w:rsidR="00CF33D9" w:rsidRDefault="00E3332A">
            <w:pPr>
              <w:pStyle w:val="TableParagraph"/>
              <w:tabs>
                <w:tab w:val="left" w:pos="674"/>
              </w:tabs>
              <w:spacing w:before="61"/>
              <w:ind w:left="107"/>
              <w:rPr>
                <w:sz w:val="20"/>
                <w:szCs w:val="20"/>
              </w:rPr>
            </w:pPr>
            <w:r>
              <w:rPr>
                <w:sz w:val="20"/>
                <w:szCs w:val="20"/>
              </w:rPr>
              <w:t>P.12</w:t>
            </w:r>
            <w:r>
              <w:rPr>
                <w:sz w:val="20"/>
                <w:szCs w:val="20"/>
              </w:rPr>
              <w:tab/>
              <w:t>exacerbation of risks of gender-based</w:t>
            </w:r>
            <w:r>
              <w:rPr>
                <w:spacing w:val="-7"/>
                <w:sz w:val="20"/>
                <w:szCs w:val="20"/>
              </w:rPr>
              <w:t xml:space="preserve"> </w:t>
            </w:r>
            <w:r>
              <w:rPr>
                <w:sz w:val="20"/>
                <w:szCs w:val="20"/>
              </w:rPr>
              <w:t>violence?</w:t>
            </w:r>
          </w:p>
          <w:p w14:paraId="68091483" w14:textId="77777777" w:rsidR="00CF33D9" w:rsidRDefault="00E3332A">
            <w:pPr>
              <w:pStyle w:val="TableParagraph"/>
              <w:spacing w:before="61"/>
              <w:ind w:left="674" w:right="313"/>
              <w:rPr>
                <w:sz w:val="20"/>
                <w:szCs w:val="20"/>
              </w:rPr>
            </w:pPr>
            <w:r>
              <w:rPr>
                <w:i/>
                <w:sz w:val="20"/>
                <w:szCs w:val="20"/>
              </w:rPr>
              <w:t>For example, through the influx of workers to a community, changes in community and household power dynamics, increased exposure to unsafe public places and/or transport, etc</w:t>
            </w:r>
            <w:r>
              <w:rPr>
                <w:sz w:val="20"/>
                <w:szCs w:val="20"/>
              </w:rPr>
              <w:t>.</w:t>
            </w:r>
          </w:p>
        </w:tc>
        <w:tc>
          <w:tcPr>
            <w:tcW w:w="832" w:type="dxa"/>
          </w:tcPr>
          <w:p w14:paraId="68091484" w14:textId="77777777" w:rsidR="00CF33D9" w:rsidRDefault="00E3332A">
            <w:pPr>
              <w:pStyle w:val="TableParagraph"/>
              <w:jc w:val="center"/>
              <w:rPr>
                <w:sz w:val="20"/>
                <w:szCs w:val="20"/>
              </w:rPr>
            </w:pPr>
            <w:r>
              <w:rPr>
                <w:sz w:val="20"/>
                <w:szCs w:val="20"/>
              </w:rPr>
              <w:t>No</w:t>
            </w:r>
          </w:p>
        </w:tc>
      </w:tr>
    </w:tbl>
    <w:p w14:paraId="68091486" w14:textId="77777777" w:rsidR="00CF33D9" w:rsidRDefault="00E3332A">
      <w:pPr>
        <w:pStyle w:val="BodyText"/>
        <w:spacing w:before="1"/>
        <w:rPr>
          <w:rFonts w:ascii="Calibri" w:hAnsi="Calibri" w:cs="Calibri"/>
          <w:b/>
          <w:szCs w:val="20"/>
        </w:rPr>
      </w:pPr>
      <w:r>
        <w:rPr>
          <w:rFonts w:ascii="Calibri" w:hAnsi="Calibri" w:cs="Calibri"/>
          <w:noProof/>
          <w:szCs w:val="20"/>
        </w:rPr>
        <mc:AlternateContent>
          <mc:Choice Requires="wps">
            <w:drawing>
              <wp:anchor distT="0" distB="0" distL="0" distR="0" simplePos="0" relativeHeight="251787776" behindDoc="1" locked="0" layoutInCell="1" allowOverlap="1" wp14:anchorId="680922EF" wp14:editId="680922F0">
                <wp:simplePos x="0" y="0"/>
                <wp:positionH relativeFrom="page">
                  <wp:posOffset>914400</wp:posOffset>
                </wp:positionH>
                <wp:positionV relativeFrom="paragraph">
                  <wp:posOffset>208280</wp:posOffset>
                </wp:positionV>
                <wp:extent cx="1829435" cy="1270"/>
                <wp:effectExtent l="0" t="0" r="0" b="0"/>
                <wp:wrapTopAndBottom/>
                <wp:docPr id="708142123" name="Freeform 4"/>
                <wp:cNvGraphicFramePr/>
                <a:graphic xmlns:a="http://schemas.openxmlformats.org/drawingml/2006/main">
                  <a:graphicData uri="http://schemas.microsoft.com/office/word/2010/wordprocessingShape">
                    <wps:wsp>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ln>
                      </wps:spPr>
                      <wps:bodyPr rot="0" vert="horz" wrap="square" lIns="91440" tIns="45720" rIns="91440" bIns="45720" anchor="t" anchorCtr="0" upright="1">
                        <a:noAutofit/>
                      </wps:bodyPr>
                    </wps:wsp>
                  </a:graphicData>
                </a:graphic>
              </wp:anchor>
            </w:drawing>
          </mc:Choice>
          <mc:Fallback>
            <w:pict>
              <v:shape w14:anchorId="7611923D" id="Freeform 4" o:spid="_x0000_s1026" style="position:absolute;margin-left:1in;margin-top:16.4pt;width:144.05pt;height:.1pt;z-index:-251528704;visibility:visible;mso-wrap-style:square;mso-wrap-distance-left:0;mso-wrap-distance-top:0;mso-wrap-distance-right:0;mso-wrap-distance-bottom:0;mso-position-horizontal:absolute;mso-position-horizontal-relative:page;mso-position-vertical:absolute;mso-position-vertical-relative:text;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" path="m,l2881,e" filled="f" strokeweight=".6pt">
                <v:path arrowok="t" o:connecttype="custom" o:connectlocs="0,0;2147483646,0" o:connectangles="0,0"/>
                <w10:wrap type="topAndBottom" anchorx="page"/>
              </v:shape>
            </w:pict>
          </mc:Fallback>
        </mc:AlternateContent>
      </w:r>
    </w:p>
    <w:p w14:paraId="68091487" w14:textId="77777777" w:rsidR="00CF33D9" w:rsidRDefault="00E3332A">
      <w:pPr>
        <w:spacing w:before="63"/>
        <w:ind w:left="100" w:right="286"/>
        <w:rPr>
          <w:rFonts w:ascii="Calibri" w:hAnsi="Calibri" w:cs="Calibri"/>
          <w:sz w:val="20"/>
          <w:szCs w:val="20"/>
        </w:rPr>
      </w:pPr>
      <w:r>
        <w:rPr>
          <w:rFonts w:ascii="Calibri" w:hAnsi="Calibri" w:cs="Calibri"/>
          <w:position w:val="5"/>
          <w:sz w:val="20"/>
          <w:szCs w:val="20"/>
        </w:rPr>
        <w:t xml:space="preserve">16 </w:t>
      </w:r>
      <w:r>
        <w:rPr>
          <w:rFonts w:ascii="Calibri" w:hAnsi="Calibri" w:cs="Calibri"/>
          <w:sz w:val="20"/>
          <w:szCs w:val="20"/>
        </w:rPr>
        <w:t xml:space="preserve">Prohibited grounds of discrimination include race, ethnicity, sex, age, language, disability, sexual orientation, gender identity, religion, political or other opinion, national or social or geographical origin, property, birth or </w:t>
      </w:r>
      <w:r>
        <w:rPr>
          <w:rFonts w:ascii="Calibri" w:hAnsi="Calibri" w:cs="Calibri"/>
          <w:sz w:val="20"/>
          <w:szCs w:val="20"/>
        </w:rPr>
        <w:lastRenderedPageBreak/>
        <w:t>other status including as an indigenous person or as a member of a minority. References to “women and men” or similar is understood to include women and men, boys and girls, and other groups discriminated against based on their gender identities, such as transgender and transsexual people.</w:t>
      </w:r>
    </w:p>
    <w:p w14:paraId="68091488" w14:textId="77777777" w:rsidR="00CF33D9" w:rsidRDefault="00CF33D9">
      <w:pPr>
        <w:rPr>
          <w:rFonts w:ascii="Calibri" w:hAnsi="Calibri" w:cs="Calibri"/>
          <w:sz w:val="20"/>
          <w:szCs w:val="20"/>
        </w:rPr>
        <w:sectPr w:rsidR="00CF33D9">
          <w:headerReference w:type="even" r:id="rId52"/>
          <w:headerReference w:type="default" r:id="rId53"/>
          <w:footerReference w:type="default" r:id="rId54"/>
          <w:headerReference w:type="first" r:id="rId55"/>
          <w:pgSz w:w="12240" w:h="15840"/>
          <w:pgMar w:top="1500" w:right="1200" w:bottom="820" w:left="1340" w:header="0" w:footer="640"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637"/>
        <w:gridCol w:w="833"/>
      </w:tblGrid>
      <w:tr w:rsidR="00CF33D9" w14:paraId="6809148B" w14:textId="77777777">
        <w:trPr>
          <w:trHeight w:val="679"/>
        </w:trPr>
        <w:tc>
          <w:tcPr>
            <w:tcW w:w="8637" w:type="dxa"/>
            <w:shd w:val="clear" w:color="auto" w:fill="DBE4F0"/>
          </w:tcPr>
          <w:p w14:paraId="68091489" w14:textId="77777777" w:rsidR="00CF33D9" w:rsidRDefault="00E3332A">
            <w:pPr>
              <w:pStyle w:val="TableParagraph"/>
              <w:spacing w:before="121"/>
              <w:ind w:left="107" w:right="195"/>
              <w:rPr>
                <w:sz w:val="20"/>
                <w:szCs w:val="20"/>
              </w:rPr>
            </w:pPr>
            <w:r>
              <w:rPr>
                <w:b/>
                <w:sz w:val="20"/>
                <w:szCs w:val="20"/>
              </w:rPr>
              <w:lastRenderedPageBreak/>
              <w:t xml:space="preserve">Sustainability and Resilience: </w:t>
            </w:r>
            <w:r>
              <w:rPr>
                <w:sz w:val="20"/>
                <w:szCs w:val="20"/>
              </w:rPr>
              <w:t>Screening questions regarding risks associated with sustainability and resilience are encompassed by the Standard-specific questions below</w:t>
            </w:r>
          </w:p>
        </w:tc>
        <w:tc>
          <w:tcPr>
            <w:tcW w:w="833" w:type="dxa"/>
            <w:shd w:val="clear" w:color="auto" w:fill="DBE4F0"/>
          </w:tcPr>
          <w:p w14:paraId="6809148A" w14:textId="77777777" w:rsidR="00CF33D9" w:rsidRDefault="00CF33D9">
            <w:pPr>
              <w:pStyle w:val="TableParagraph"/>
              <w:rPr>
                <w:sz w:val="20"/>
                <w:szCs w:val="20"/>
              </w:rPr>
            </w:pPr>
          </w:p>
        </w:tc>
      </w:tr>
      <w:tr w:rsidR="00CF33D9" w14:paraId="6809148E" w14:textId="77777777">
        <w:trPr>
          <w:trHeight w:val="460"/>
        </w:trPr>
        <w:tc>
          <w:tcPr>
            <w:tcW w:w="8637" w:type="dxa"/>
            <w:shd w:val="clear" w:color="auto" w:fill="DBE4F0"/>
          </w:tcPr>
          <w:p w14:paraId="6809148C" w14:textId="77777777" w:rsidR="00CF33D9" w:rsidRDefault="00E3332A">
            <w:pPr>
              <w:pStyle w:val="TableParagraph"/>
              <w:spacing w:before="121"/>
              <w:ind w:left="107"/>
              <w:rPr>
                <w:b/>
                <w:sz w:val="20"/>
                <w:szCs w:val="20"/>
              </w:rPr>
            </w:pPr>
            <w:r>
              <w:rPr>
                <w:b/>
                <w:sz w:val="20"/>
                <w:szCs w:val="20"/>
              </w:rPr>
              <w:t>Accountability</w:t>
            </w:r>
          </w:p>
        </w:tc>
        <w:tc>
          <w:tcPr>
            <w:tcW w:w="833" w:type="dxa"/>
            <w:shd w:val="clear" w:color="auto" w:fill="DBE4F0"/>
          </w:tcPr>
          <w:p w14:paraId="6809148D" w14:textId="77777777" w:rsidR="00CF33D9" w:rsidRDefault="00CF33D9">
            <w:pPr>
              <w:pStyle w:val="TableParagraph"/>
              <w:rPr>
                <w:sz w:val="20"/>
                <w:szCs w:val="20"/>
              </w:rPr>
            </w:pPr>
          </w:p>
        </w:tc>
      </w:tr>
      <w:tr w:rsidR="00CF33D9" w14:paraId="68091491" w14:textId="77777777">
        <w:trPr>
          <w:trHeight w:val="340"/>
        </w:trPr>
        <w:tc>
          <w:tcPr>
            <w:tcW w:w="8637" w:type="dxa"/>
          </w:tcPr>
          <w:p w14:paraId="6809148F" w14:textId="77777777" w:rsidR="00CF33D9" w:rsidRDefault="00E3332A">
            <w:pPr>
              <w:pStyle w:val="TableParagraph"/>
              <w:spacing w:before="61"/>
              <w:ind w:left="107"/>
              <w:rPr>
                <w:i/>
                <w:sz w:val="20"/>
                <w:szCs w:val="20"/>
              </w:rPr>
            </w:pPr>
            <w:r>
              <w:rPr>
                <w:i/>
                <w:sz w:val="20"/>
                <w:szCs w:val="20"/>
              </w:rPr>
              <w:t>Would the project potentially involve or lead to:</w:t>
            </w:r>
          </w:p>
        </w:tc>
        <w:tc>
          <w:tcPr>
            <w:tcW w:w="833" w:type="dxa"/>
          </w:tcPr>
          <w:p w14:paraId="68091490" w14:textId="77777777" w:rsidR="00CF33D9" w:rsidRDefault="00CF33D9">
            <w:pPr>
              <w:pStyle w:val="TableParagraph"/>
              <w:rPr>
                <w:sz w:val="20"/>
                <w:szCs w:val="20"/>
              </w:rPr>
            </w:pPr>
          </w:p>
        </w:tc>
      </w:tr>
      <w:tr w:rsidR="00CF33D9" w14:paraId="68091494" w14:textId="77777777">
        <w:trPr>
          <w:trHeight w:val="558"/>
        </w:trPr>
        <w:tc>
          <w:tcPr>
            <w:tcW w:w="8637" w:type="dxa"/>
          </w:tcPr>
          <w:p w14:paraId="68091492" w14:textId="77777777" w:rsidR="00CF33D9" w:rsidRDefault="00E3332A">
            <w:pPr>
              <w:pStyle w:val="TableParagraph"/>
              <w:tabs>
                <w:tab w:val="left" w:pos="674"/>
              </w:tabs>
              <w:spacing w:before="59"/>
              <w:ind w:left="674" w:right="242" w:hanging="567"/>
              <w:rPr>
                <w:sz w:val="20"/>
                <w:szCs w:val="20"/>
              </w:rPr>
            </w:pPr>
            <w:r>
              <w:rPr>
                <w:sz w:val="20"/>
                <w:szCs w:val="20"/>
              </w:rPr>
              <w:t>P.13</w:t>
            </w:r>
            <w:r>
              <w:rPr>
                <w:sz w:val="20"/>
                <w:szCs w:val="20"/>
              </w:rPr>
              <w:tab/>
              <w:t>exclusion of any potentially affected stakeholders, in particular marginalized groups and excluded individuals</w:t>
            </w:r>
            <w:r>
              <w:rPr>
                <w:spacing w:val="-4"/>
                <w:sz w:val="20"/>
                <w:szCs w:val="20"/>
              </w:rPr>
              <w:t xml:space="preserve"> </w:t>
            </w:r>
            <w:r>
              <w:rPr>
                <w:sz w:val="20"/>
                <w:szCs w:val="20"/>
              </w:rPr>
              <w:t>(including</w:t>
            </w:r>
            <w:r>
              <w:rPr>
                <w:spacing w:val="-3"/>
                <w:sz w:val="20"/>
                <w:szCs w:val="20"/>
              </w:rPr>
              <w:t xml:space="preserve"> </w:t>
            </w:r>
            <w:r>
              <w:rPr>
                <w:sz w:val="20"/>
                <w:szCs w:val="20"/>
              </w:rPr>
              <w:t>persons</w:t>
            </w:r>
            <w:r>
              <w:rPr>
                <w:spacing w:val="-3"/>
                <w:sz w:val="20"/>
                <w:szCs w:val="20"/>
              </w:rPr>
              <w:t xml:space="preserve"> </w:t>
            </w:r>
            <w:r>
              <w:rPr>
                <w:sz w:val="20"/>
                <w:szCs w:val="20"/>
              </w:rPr>
              <w:t>with</w:t>
            </w:r>
            <w:r>
              <w:rPr>
                <w:spacing w:val="-3"/>
                <w:sz w:val="20"/>
                <w:szCs w:val="20"/>
              </w:rPr>
              <w:t xml:space="preserve"> </w:t>
            </w:r>
            <w:r>
              <w:rPr>
                <w:sz w:val="20"/>
                <w:szCs w:val="20"/>
              </w:rPr>
              <w:t>disabilities),</w:t>
            </w:r>
            <w:r>
              <w:rPr>
                <w:spacing w:val="-3"/>
                <w:sz w:val="20"/>
                <w:szCs w:val="20"/>
              </w:rPr>
              <w:t xml:space="preserve"> </w:t>
            </w:r>
            <w:r>
              <w:rPr>
                <w:sz w:val="20"/>
                <w:szCs w:val="20"/>
              </w:rPr>
              <w:t>from</w:t>
            </w:r>
            <w:r>
              <w:rPr>
                <w:spacing w:val="-2"/>
                <w:sz w:val="20"/>
                <w:szCs w:val="20"/>
              </w:rPr>
              <w:t xml:space="preserve"> </w:t>
            </w:r>
            <w:r>
              <w:rPr>
                <w:sz w:val="20"/>
                <w:szCs w:val="20"/>
              </w:rPr>
              <w:t>fully</w:t>
            </w:r>
            <w:r>
              <w:rPr>
                <w:spacing w:val="-2"/>
                <w:sz w:val="20"/>
                <w:szCs w:val="20"/>
              </w:rPr>
              <w:t xml:space="preserve"> </w:t>
            </w:r>
            <w:r>
              <w:rPr>
                <w:sz w:val="20"/>
                <w:szCs w:val="20"/>
              </w:rPr>
              <w:t>participating</w:t>
            </w:r>
            <w:r>
              <w:rPr>
                <w:spacing w:val="-3"/>
                <w:sz w:val="20"/>
                <w:szCs w:val="20"/>
              </w:rPr>
              <w:t xml:space="preserve"> </w:t>
            </w:r>
            <w:r>
              <w:rPr>
                <w:sz w:val="20"/>
                <w:szCs w:val="20"/>
              </w:rPr>
              <w:t>in</w:t>
            </w:r>
            <w:r>
              <w:rPr>
                <w:spacing w:val="-3"/>
                <w:sz w:val="20"/>
                <w:szCs w:val="20"/>
              </w:rPr>
              <w:t xml:space="preserve"> </w:t>
            </w:r>
            <w:r>
              <w:rPr>
                <w:sz w:val="20"/>
                <w:szCs w:val="20"/>
              </w:rPr>
              <w:t>decisions</w:t>
            </w:r>
            <w:r>
              <w:rPr>
                <w:spacing w:val="-4"/>
                <w:sz w:val="20"/>
                <w:szCs w:val="20"/>
              </w:rPr>
              <w:t xml:space="preserve"> </w:t>
            </w:r>
            <w:r>
              <w:rPr>
                <w:sz w:val="20"/>
                <w:szCs w:val="20"/>
              </w:rPr>
              <w:t>that</w:t>
            </w:r>
            <w:r>
              <w:rPr>
                <w:spacing w:val="-3"/>
                <w:sz w:val="20"/>
                <w:szCs w:val="20"/>
              </w:rPr>
              <w:t xml:space="preserve"> </w:t>
            </w:r>
            <w:r>
              <w:rPr>
                <w:sz w:val="20"/>
                <w:szCs w:val="20"/>
              </w:rPr>
              <w:t>may</w:t>
            </w:r>
            <w:r>
              <w:rPr>
                <w:spacing w:val="-2"/>
                <w:sz w:val="20"/>
                <w:szCs w:val="20"/>
              </w:rPr>
              <w:t xml:space="preserve"> </w:t>
            </w:r>
            <w:r>
              <w:rPr>
                <w:sz w:val="20"/>
                <w:szCs w:val="20"/>
              </w:rPr>
              <w:t>affect</w:t>
            </w:r>
            <w:r>
              <w:rPr>
                <w:spacing w:val="-2"/>
                <w:sz w:val="20"/>
                <w:szCs w:val="20"/>
              </w:rPr>
              <w:t xml:space="preserve"> </w:t>
            </w:r>
            <w:r>
              <w:rPr>
                <w:sz w:val="20"/>
                <w:szCs w:val="20"/>
              </w:rPr>
              <w:t>them?</w:t>
            </w:r>
          </w:p>
        </w:tc>
        <w:tc>
          <w:tcPr>
            <w:tcW w:w="833" w:type="dxa"/>
          </w:tcPr>
          <w:p w14:paraId="68091493" w14:textId="77777777" w:rsidR="00CF33D9" w:rsidRDefault="00E3332A">
            <w:pPr>
              <w:pStyle w:val="TableParagraph"/>
              <w:jc w:val="center"/>
              <w:rPr>
                <w:sz w:val="20"/>
                <w:szCs w:val="20"/>
              </w:rPr>
            </w:pPr>
            <w:r>
              <w:rPr>
                <w:sz w:val="20"/>
                <w:szCs w:val="20"/>
              </w:rPr>
              <w:t>Yes</w:t>
            </w:r>
          </w:p>
        </w:tc>
      </w:tr>
      <w:tr w:rsidR="00CF33D9" w14:paraId="68091497" w14:textId="77777777">
        <w:trPr>
          <w:trHeight w:val="340"/>
        </w:trPr>
        <w:tc>
          <w:tcPr>
            <w:tcW w:w="8637" w:type="dxa"/>
          </w:tcPr>
          <w:p w14:paraId="68091495" w14:textId="77777777" w:rsidR="00CF33D9" w:rsidRDefault="00E3332A">
            <w:pPr>
              <w:pStyle w:val="TableParagraph"/>
              <w:tabs>
                <w:tab w:val="left" w:pos="674"/>
              </w:tabs>
              <w:spacing w:before="61"/>
              <w:ind w:left="107"/>
              <w:rPr>
                <w:sz w:val="20"/>
                <w:szCs w:val="20"/>
              </w:rPr>
            </w:pPr>
            <w:r>
              <w:rPr>
                <w:sz w:val="20"/>
                <w:szCs w:val="20"/>
              </w:rPr>
              <w:t>P.14</w:t>
            </w:r>
            <w:r>
              <w:rPr>
                <w:sz w:val="20"/>
                <w:szCs w:val="20"/>
              </w:rPr>
              <w:tab/>
              <w:t>grievances or objections from potentially affected</w:t>
            </w:r>
            <w:r>
              <w:rPr>
                <w:spacing w:val="-4"/>
                <w:sz w:val="20"/>
                <w:szCs w:val="20"/>
              </w:rPr>
              <w:t xml:space="preserve"> </w:t>
            </w:r>
            <w:r>
              <w:rPr>
                <w:sz w:val="20"/>
                <w:szCs w:val="20"/>
              </w:rPr>
              <w:t>stakeholders?</w:t>
            </w:r>
          </w:p>
        </w:tc>
        <w:tc>
          <w:tcPr>
            <w:tcW w:w="833" w:type="dxa"/>
          </w:tcPr>
          <w:p w14:paraId="68091496" w14:textId="77777777" w:rsidR="00CF33D9" w:rsidRDefault="00E3332A">
            <w:pPr>
              <w:pStyle w:val="TableParagraph"/>
              <w:jc w:val="center"/>
              <w:rPr>
                <w:sz w:val="20"/>
                <w:szCs w:val="20"/>
              </w:rPr>
            </w:pPr>
            <w:r>
              <w:rPr>
                <w:sz w:val="20"/>
                <w:szCs w:val="20"/>
              </w:rPr>
              <w:t>Yes</w:t>
            </w:r>
          </w:p>
        </w:tc>
      </w:tr>
      <w:tr w:rsidR="00CF33D9" w14:paraId="6809149A" w14:textId="77777777">
        <w:trPr>
          <w:trHeight w:val="558"/>
        </w:trPr>
        <w:tc>
          <w:tcPr>
            <w:tcW w:w="8637" w:type="dxa"/>
          </w:tcPr>
          <w:p w14:paraId="68091498" w14:textId="77777777" w:rsidR="00CF33D9" w:rsidRDefault="00E3332A">
            <w:pPr>
              <w:pStyle w:val="TableParagraph"/>
              <w:tabs>
                <w:tab w:val="left" w:pos="674"/>
              </w:tabs>
              <w:spacing w:before="59"/>
              <w:ind w:left="674" w:right="395" w:hanging="567"/>
              <w:rPr>
                <w:sz w:val="20"/>
                <w:szCs w:val="20"/>
              </w:rPr>
            </w:pPr>
            <w:r>
              <w:rPr>
                <w:sz w:val="20"/>
                <w:szCs w:val="20"/>
              </w:rPr>
              <w:t>P.15</w:t>
            </w:r>
            <w:r>
              <w:rPr>
                <w:sz w:val="20"/>
                <w:szCs w:val="20"/>
              </w:rPr>
              <w:tab/>
              <w:t>risks of retaliation or reprisals against stakeholders who express concerns</w:t>
            </w:r>
            <w:r>
              <w:rPr>
                <w:spacing w:val="-29"/>
                <w:sz w:val="20"/>
                <w:szCs w:val="20"/>
              </w:rPr>
              <w:t xml:space="preserve"> </w:t>
            </w:r>
            <w:r>
              <w:rPr>
                <w:sz w:val="20"/>
                <w:szCs w:val="20"/>
              </w:rPr>
              <w:t>or grievances, or who seek to participate in or to obtain information on the</w:t>
            </w:r>
            <w:r>
              <w:rPr>
                <w:spacing w:val="-6"/>
                <w:sz w:val="20"/>
                <w:szCs w:val="20"/>
              </w:rPr>
              <w:t xml:space="preserve"> </w:t>
            </w:r>
            <w:r>
              <w:rPr>
                <w:sz w:val="20"/>
                <w:szCs w:val="20"/>
              </w:rPr>
              <w:t>project?</w:t>
            </w:r>
          </w:p>
        </w:tc>
        <w:tc>
          <w:tcPr>
            <w:tcW w:w="833" w:type="dxa"/>
          </w:tcPr>
          <w:p w14:paraId="68091499" w14:textId="77777777" w:rsidR="00CF33D9" w:rsidRDefault="00E3332A">
            <w:pPr>
              <w:pStyle w:val="TableParagraph"/>
              <w:jc w:val="center"/>
              <w:rPr>
                <w:sz w:val="20"/>
                <w:szCs w:val="20"/>
              </w:rPr>
            </w:pPr>
            <w:r>
              <w:rPr>
                <w:sz w:val="20"/>
                <w:szCs w:val="20"/>
              </w:rPr>
              <w:t>No</w:t>
            </w:r>
          </w:p>
        </w:tc>
      </w:tr>
      <w:tr w:rsidR="00CF33D9" w14:paraId="6809149D" w14:textId="77777777">
        <w:trPr>
          <w:trHeight w:val="458"/>
        </w:trPr>
        <w:tc>
          <w:tcPr>
            <w:tcW w:w="8637" w:type="dxa"/>
            <w:tcBorders>
              <w:bottom w:val="single" w:sz="6" w:space="0" w:color="000000"/>
            </w:tcBorders>
            <w:shd w:val="clear" w:color="auto" w:fill="DBE4F0"/>
          </w:tcPr>
          <w:p w14:paraId="6809149B" w14:textId="77777777" w:rsidR="00CF33D9" w:rsidRDefault="00E3332A">
            <w:pPr>
              <w:pStyle w:val="TableParagraph"/>
              <w:spacing w:before="121"/>
              <w:ind w:left="107"/>
              <w:rPr>
                <w:b/>
                <w:sz w:val="20"/>
                <w:szCs w:val="20"/>
              </w:rPr>
            </w:pPr>
            <w:r>
              <w:rPr>
                <w:b/>
                <w:sz w:val="20"/>
                <w:szCs w:val="20"/>
              </w:rPr>
              <w:t>Project-Level Standards</w:t>
            </w:r>
          </w:p>
        </w:tc>
        <w:tc>
          <w:tcPr>
            <w:tcW w:w="833" w:type="dxa"/>
            <w:tcBorders>
              <w:bottom w:val="single" w:sz="6" w:space="0" w:color="000000"/>
            </w:tcBorders>
            <w:shd w:val="clear" w:color="auto" w:fill="DBE4F0"/>
          </w:tcPr>
          <w:p w14:paraId="6809149C" w14:textId="77777777" w:rsidR="00CF33D9" w:rsidRDefault="00CF33D9">
            <w:pPr>
              <w:pStyle w:val="TableParagraph"/>
              <w:rPr>
                <w:sz w:val="20"/>
                <w:szCs w:val="20"/>
              </w:rPr>
            </w:pPr>
          </w:p>
        </w:tc>
      </w:tr>
      <w:tr w:rsidR="00CF33D9" w14:paraId="680914A0" w14:textId="77777777">
        <w:trPr>
          <w:trHeight w:val="455"/>
        </w:trPr>
        <w:tc>
          <w:tcPr>
            <w:tcW w:w="8637" w:type="dxa"/>
            <w:tcBorders>
              <w:top w:val="single" w:sz="6" w:space="0" w:color="000000"/>
            </w:tcBorders>
            <w:shd w:val="clear" w:color="auto" w:fill="DBE4F0"/>
          </w:tcPr>
          <w:p w14:paraId="6809149E" w14:textId="77777777" w:rsidR="00CF33D9" w:rsidRDefault="00E3332A">
            <w:pPr>
              <w:pStyle w:val="TableParagraph"/>
              <w:spacing w:before="119"/>
              <w:ind w:left="107"/>
              <w:rPr>
                <w:b/>
                <w:sz w:val="20"/>
                <w:szCs w:val="20"/>
              </w:rPr>
            </w:pPr>
            <w:r>
              <w:rPr>
                <w:b/>
                <w:sz w:val="20"/>
                <w:szCs w:val="20"/>
              </w:rPr>
              <w:t>Standard 1: Biodiversity Conservation and Sustainable Natural Resource Management</w:t>
            </w:r>
          </w:p>
        </w:tc>
        <w:tc>
          <w:tcPr>
            <w:tcW w:w="833" w:type="dxa"/>
            <w:tcBorders>
              <w:top w:val="single" w:sz="6" w:space="0" w:color="000000"/>
            </w:tcBorders>
            <w:shd w:val="clear" w:color="auto" w:fill="DBE4F0"/>
          </w:tcPr>
          <w:p w14:paraId="6809149F" w14:textId="77777777" w:rsidR="00CF33D9" w:rsidRDefault="00CF33D9">
            <w:pPr>
              <w:pStyle w:val="TableParagraph"/>
              <w:rPr>
                <w:sz w:val="20"/>
                <w:szCs w:val="20"/>
              </w:rPr>
            </w:pPr>
          </w:p>
        </w:tc>
      </w:tr>
      <w:tr w:rsidR="00CF33D9" w14:paraId="680914A3" w14:textId="77777777">
        <w:trPr>
          <w:trHeight w:val="340"/>
        </w:trPr>
        <w:tc>
          <w:tcPr>
            <w:tcW w:w="8637" w:type="dxa"/>
          </w:tcPr>
          <w:p w14:paraId="680914A1" w14:textId="77777777" w:rsidR="00CF33D9" w:rsidRDefault="00E3332A">
            <w:pPr>
              <w:pStyle w:val="TableParagraph"/>
              <w:spacing w:before="63"/>
              <w:ind w:left="107"/>
              <w:rPr>
                <w:i/>
                <w:sz w:val="20"/>
                <w:szCs w:val="20"/>
              </w:rPr>
            </w:pPr>
            <w:r>
              <w:rPr>
                <w:i/>
                <w:sz w:val="20"/>
                <w:szCs w:val="20"/>
              </w:rPr>
              <w:t>Would the project potentially involve or lead to:</w:t>
            </w:r>
          </w:p>
        </w:tc>
        <w:tc>
          <w:tcPr>
            <w:tcW w:w="833" w:type="dxa"/>
          </w:tcPr>
          <w:p w14:paraId="680914A2" w14:textId="77777777" w:rsidR="00CF33D9" w:rsidRDefault="00CF33D9">
            <w:pPr>
              <w:pStyle w:val="TableParagraph"/>
              <w:rPr>
                <w:sz w:val="20"/>
                <w:szCs w:val="20"/>
              </w:rPr>
            </w:pPr>
          </w:p>
        </w:tc>
      </w:tr>
      <w:tr w:rsidR="00CF33D9" w14:paraId="680914A7" w14:textId="77777777">
        <w:trPr>
          <w:trHeight w:val="839"/>
        </w:trPr>
        <w:tc>
          <w:tcPr>
            <w:tcW w:w="8637" w:type="dxa"/>
          </w:tcPr>
          <w:p w14:paraId="680914A4" w14:textId="77777777" w:rsidR="00CF33D9" w:rsidRDefault="00E3332A">
            <w:pPr>
              <w:pStyle w:val="TableParagraph"/>
              <w:tabs>
                <w:tab w:val="left" w:pos="674"/>
              </w:tabs>
              <w:spacing w:before="61"/>
              <w:ind w:left="674" w:right="124" w:hanging="567"/>
              <w:rPr>
                <w:sz w:val="20"/>
                <w:szCs w:val="20"/>
              </w:rPr>
            </w:pPr>
            <w:r>
              <w:rPr>
                <w:sz w:val="20"/>
                <w:szCs w:val="20"/>
              </w:rPr>
              <w:t>1.1</w:t>
            </w:r>
            <w:r>
              <w:rPr>
                <w:sz w:val="20"/>
                <w:szCs w:val="20"/>
              </w:rPr>
              <w:tab/>
              <w:t>adverse impacts to habitats (e.g. modified, natural, and critical habitats) and/or ecosystems and ecosystem services?</w:t>
            </w:r>
          </w:p>
          <w:p w14:paraId="680914A5" w14:textId="77777777" w:rsidR="00CF33D9" w:rsidRDefault="00E3332A">
            <w:pPr>
              <w:pStyle w:val="TableParagraph"/>
              <w:spacing w:before="60"/>
              <w:ind w:left="674"/>
              <w:rPr>
                <w:i/>
                <w:sz w:val="20"/>
                <w:szCs w:val="20"/>
              </w:rPr>
            </w:pPr>
            <w:r>
              <w:rPr>
                <w:i/>
                <w:sz w:val="20"/>
                <w:szCs w:val="20"/>
              </w:rPr>
              <w:t>For example, through habitat loss, conversion or degradation, fragmentation, hydrological changes</w:t>
            </w:r>
          </w:p>
        </w:tc>
        <w:tc>
          <w:tcPr>
            <w:tcW w:w="833" w:type="dxa"/>
          </w:tcPr>
          <w:p w14:paraId="680914A6" w14:textId="77777777" w:rsidR="00CF33D9" w:rsidRDefault="00E3332A">
            <w:pPr>
              <w:pStyle w:val="TableParagraph"/>
              <w:jc w:val="center"/>
              <w:rPr>
                <w:sz w:val="20"/>
                <w:szCs w:val="20"/>
              </w:rPr>
            </w:pPr>
            <w:r>
              <w:rPr>
                <w:sz w:val="20"/>
                <w:szCs w:val="20"/>
              </w:rPr>
              <w:t>Yes</w:t>
            </w:r>
          </w:p>
        </w:tc>
      </w:tr>
      <w:tr w:rsidR="00CF33D9" w14:paraId="680914AA" w14:textId="77777777">
        <w:trPr>
          <w:trHeight w:val="779"/>
        </w:trPr>
        <w:tc>
          <w:tcPr>
            <w:tcW w:w="8637" w:type="dxa"/>
          </w:tcPr>
          <w:p w14:paraId="680914A8" w14:textId="77777777" w:rsidR="00CF33D9" w:rsidRDefault="00E3332A">
            <w:pPr>
              <w:pStyle w:val="TableParagraph"/>
              <w:tabs>
                <w:tab w:val="left" w:pos="674"/>
              </w:tabs>
              <w:spacing w:before="61"/>
              <w:ind w:left="674" w:right="293" w:hanging="567"/>
              <w:rPr>
                <w:sz w:val="20"/>
                <w:szCs w:val="20"/>
              </w:rPr>
            </w:pPr>
            <w:r>
              <w:rPr>
                <w:sz w:val="20"/>
                <w:szCs w:val="20"/>
              </w:rPr>
              <w:t>1.2</w:t>
            </w:r>
            <w:r>
              <w:rPr>
                <w:sz w:val="20"/>
                <w:szCs w:val="20"/>
              </w:rPr>
              <w:tab/>
              <w:t>activities within or adjacent to critical habitats and/or environmentally sensitive areas, including (but not limited to) legally protected areas (e.g. nature reserve, national park), areas proposed for protection, or recognized as such by authoritative sources and/or indigenous peoples or local</w:t>
            </w:r>
            <w:r>
              <w:rPr>
                <w:spacing w:val="-14"/>
                <w:sz w:val="20"/>
                <w:szCs w:val="20"/>
              </w:rPr>
              <w:t xml:space="preserve"> </w:t>
            </w:r>
            <w:r>
              <w:rPr>
                <w:sz w:val="20"/>
                <w:szCs w:val="20"/>
              </w:rPr>
              <w:t>communities?</w:t>
            </w:r>
          </w:p>
        </w:tc>
        <w:tc>
          <w:tcPr>
            <w:tcW w:w="833" w:type="dxa"/>
          </w:tcPr>
          <w:p w14:paraId="680914A9" w14:textId="77777777" w:rsidR="00CF33D9" w:rsidRDefault="00E3332A">
            <w:pPr>
              <w:pStyle w:val="TableParagraph"/>
              <w:jc w:val="center"/>
              <w:rPr>
                <w:sz w:val="20"/>
                <w:szCs w:val="20"/>
              </w:rPr>
            </w:pPr>
            <w:r>
              <w:rPr>
                <w:sz w:val="20"/>
                <w:szCs w:val="20"/>
              </w:rPr>
              <w:t>Yes</w:t>
            </w:r>
          </w:p>
        </w:tc>
      </w:tr>
      <w:tr w:rsidR="00CF33D9" w14:paraId="680914AD" w14:textId="77777777">
        <w:trPr>
          <w:trHeight w:val="558"/>
        </w:trPr>
        <w:tc>
          <w:tcPr>
            <w:tcW w:w="8637" w:type="dxa"/>
          </w:tcPr>
          <w:p w14:paraId="680914AB" w14:textId="77777777" w:rsidR="00CF33D9" w:rsidRDefault="00E3332A">
            <w:pPr>
              <w:pStyle w:val="TableParagraph"/>
              <w:tabs>
                <w:tab w:val="left" w:pos="674"/>
              </w:tabs>
              <w:spacing w:before="61"/>
              <w:ind w:left="674" w:right="195" w:hanging="567"/>
              <w:rPr>
                <w:sz w:val="20"/>
                <w:szCs w:val="20"/>
              </w:rPr>
            </w:pPr>
            <w:r>
              <w:rPr>
                <w:sz w:val="20"/>
                <w:szCs w:val="20"/>
              </w:rPr>
              <w:t>1.3</w:t>
            </w:r>
            <w:r>
              <w:rPr>
                <w:sz w:val="20"/>
                <w:szCs w:val="20"/>
              </w:rPr>
              <w:tab/>
              <w:t>changes</w:t>
            </w:r>
            <w:r>
              <w:rPr>
                <w:spacing w:val="-1"/>
                <w:sz w:val="20"/>
                <w:szCs w:val="20"/>
              </w:rPr>
              <w:t xml:space="preserve"> </w:t>
            </w:r>
            <w:r>
              <w:rPr>
                <w:sz w:val="20"/>
                <w:szCs w:val="20"/>
              </w:rPr>
              <w:t>to</w:t>
            </w:r>
            <w:r>
              <w:rPr>
                <w:spacing w:val="-1"/>
                <w:sz w:val="20"/>
                <w:szCs w:val="20"/>
              </w:rPr>
              <w:t xml:space="preserve"> </w:t>
            </w:r>
            <w:r>
              <w:rPr>
                <w:sz w:val="20"/>
                <w:szCs w:val="20"/>
              </w:rPr>
              <w:t>the</w:t>
            </w:r>
            <w:r>
              <w:rPr>
                <w:spacing w:val="-3"/>
                <w:sz w:val="20"/>
                <w:szCs w:val="20"/>
              </w:rPr>
              <w:t xml:space="preserve"> </w:t>
            </w:r>
            <w:r>
              <w:rPr>
                <w:sz w:val="20"/>
                <w:szCs w:val="20"/>
              </w:rPr>
              <w:t>use</w:t>
            </w:r>
            <w:r>
              <w:rPr>
                <w:spacing w:val="-2"/>
                <w:sz w:val="20"/>
                <w:szCs w:val="20"/>
              </w:rPr>
              <w:t xml:space="preserve"> </w:t>
            </w:r>
            <w:r>
              <w:rPr>
                <w:sz w:val="20"/>
                <w:szCs w:val="20"/>
              </w:rPr>
              <w:t>of</w:t>
            </w:r>
            <w:r>
              <w:rPr>
                <w:spacing w:val="-3"/>
                <w:sz w:val="20"/>
                <w:szCs w:val="20"/>
              </w:rPr>
              <w:t xml:space="preserve"> </w:t>
            </w:r>
            <w:r>
              <w:rPr>
                <w:sz w:val="20"/>
                <w:szCs w:val="20"/>
              </w:rPr>
              <w:t>lands</w:t>
            </w:r>
            <w:r>
              <w:rPr>
                <w:spacing w:val="-2"/>
                <w:sz w:val="20"/>
                <w:szCs w:val="20"/>
              </w:rPr>
              <w:t xml:space="preserve"> </w:t>
            </w:r>
            <w:r>
              <w:rPr>
                <w:sz w:val="20"/>
                <w:szCs w:val="20"/>
              </w:rPr>
              <w:t>and</w:t>
            </w:r>
            <w:r>
              <w:rPr>
                <w:spacing w:val="-2"/>
                <w:sz w:val="20"/>
                <w:szCs w:val="20"/>
              </w:rPr>
              <w:t xml:space="preserve"> </w:t>
            </w:r>
            <w:r>
              <w:rPr>
                <w:sz w:val="20"/>
                <w:szCs w:val="20"/>
              </w:rPr>
              <w:t>resources</w:t>
            </w:r>
            <w:r>
              <w:rPr>
                <w:spacing w:val="-2"/>
                <w:sz w:val="20"/>
                <w:szCs w:val="20"/>
              </w:rPr>
              <w:t xml:space="preserve"> </w:t>
            </w:r>
            <w:r>
              <w:rPr>
                <w:sz w:val="20"/>
                <w:szCs w:val="20"/>
              </w:rPr>
              <w:t>that</w:t>
            </w:r>
            <w:r>
              <w:rPr>
                <w:spacing w:val="-2"/>
                <w:sz w:val="20"/>
                <w:szCs w:val="20"/>
              </w:rPr>
              <w:t xml:space="preserve"> </w:t>
            </w:r>
            <w:r>
              <w:rPr>
                <w:sz w:val="20"/>
                <w:szCs w:val="20"/>
              </w:rPr>
              <w:t>may</w:t>
            </w:r>
            <w:r>
              <w:rPr>
                <w:spacing w:val="-2"/>
                <w:sz w:val="20"/>
                <w:szCs w:val="20"/>
              </w:rPr>
              <w:t xml:space="preserve"> </w:t>
            </w:r>
            <w:r>
              <w:rPr>
                <w:sz w:val="20"/>
                <w:szCs w:val="20"/>
              </w:rPr>
              <w:t>have</w:t>
            </w:r>
            <w:r>
              <w:rPr>
                <w:spacing w:val="-2"/>
                <w:sz w:val="20"/>
                <w:szCs w:val="20"/>
              </w:rPr>
              <w:t xml:space="preserve"> </w:t>
            </w:r>
            <w:r>
              <w:rPr>
                <w:sz w:val="20"/>
                <w:szCs w:val="20"/>
              </w:rPr>
              <w:t>adverse</w:t>
            </w:r>
            <w:r>
              <w:rPr>
                <w:spacing w:val="-3"/>
                <w:sz w:val="20"/>
                <w:szCs w:val="20"/>
              </w:rPr>
              <w:t xml:space="preserve"> </w:t>
            </w:r>
            <w:r>
              <w:rPr>
                <w:sz w:val="20"/>
                <w:szCs w:val="20"/>
              </w:rPr>
              <w:t>impacts</w:t>
            </w:r>
            <w:r>
              <w:rPr>
                <w:spacing w:val="-3"/>
                <w:sz w:val="20"/>
                <w:szCs w:val="20"/>
              </w:rPr>
              <w:t xml:space="preserve"> </w:t>
            </w:r>
            <w:r>
              <w:rPr>
                <w:sz w:val="20"/>
                <w:szCs w:val="20"/>
              </w:rPr>
              <w:t>on</w:t>
            </w:r>
            <w:r>
              <w:rPr>
                <w:spacing w:val="-2"/>
                <w:sz w:val="20"/>
                <w:szCs w:val="20"/>
              </w:rPr>
              <w:t xml:space="preserve"> </w:t>
            </w:r>
            <w:r>
              <w:rPr>
                <w:sz w:val="20"/>
                <w:szCs w:val="20"/>
              </w:rPr>
              <w:t>habitats,</w:t>
            </w:r>
            <w:r>
              <w:rPr>
                <w:spacing w:val="-2"/>
                <w:sz w:val="20"/>
                <w:szCs w:val="20"/>
              </w:rPr>
              <w:t xml:space="preserve"> </w:t>
            </w:r>
            <w:r>
              <w:rPr>
                <w:sz w:val="20"/>
                <w:szCs w:val="20"/>
              </w:rPr>
              <w:t>ecosystems,</w:t>
            </w:r>
            <w:r>
              <w:rPr>
                <w:spacing w:val="1"/>
                <w:sz w:val="20"/>
                <w:szCs w:val="20"/>
              </w:rPr>
              <w:t xml:space="preserve"> </w:t>
            </w:r>
            <w:r>
              <w:rPr>
                <w:sz w:val="20"/>
                <w:szCs w:val="20"/>
              </w:rPr>
              <w:t>and/or livelihoods? (Note: if restrictions and/or limitations of access to lands would apply, refer to Standard</w:t>
            </w:r>
            <w:r>
              <w:rPr>
                <w:spacing w:val="-26"/>
                <w:sz w:val="20"/>
                <w:szCs w:val="20"/>
              </w:rPr>
              <w:t xml:space="preserve"> </w:t>
            </w:r>
            <w:r>
              <w:rPr>
                <w:sz w:val="20"/>
                <w:szCs w:val="20"/>
              </w:rPr>
              <w:t>5)</w:t>
            </w:r>
          </w:p>
        </w:tc>
        <w:tc>
          <w:tcPr>
            <w:tcW w:w="833" w:type="dxa"/>
          </w:tcPr>
          <w:p w14:paraId="680914AC" w14:textId="77777777" w:rsidR="00CF33D9" w:rsidRDefault="00E3332A">
            <w:pPr>
              <w:pStyle w:val="TableParagraph"/>
              <w:jc w:val="center"/>
              <w:rPr>
                <w:sz w:val="20"/>
                <w:szCs w:val="20"/>
              </w:rPr>
            </w:pPr>
            <w:r>
              <w:rPr>
                <w:sz w:val="20"/>
                <w:szCs w:val="20"/>
              </w:rPr>
              <w:t>Yes</w:t>
            </w:r>
          </w:p>
        </w:tc>
      </w:tr>
      <w:tr w:rsidR="00CF33D9" w14:paraId="680914B0" w14:textId="77777777">
        <w:trPr>
          <w:trHeight w:val="369"/>
        </w:trPr>
        <w:tc>
          <w:tcPr>
            <w:tcW w:w="8637" w:type="dxa"/>
          </w:tcPr>
          <w:p w14:paraId="680914AE" w14:textId="77777777" w:rsidR="00CF33D9" w:rsidRDefault="00E3332A">
            <w:pPr>
              <w:pStyle w:val="TableParagraph"/>
              <w:tabs>
                <w:tab w:val="left" w:pos="674"/>
              </w:tabs>
              <w:spacing w:before="61"/>
              <w:ind w:left="107"/>
              <w:rPr>
                <w:sz w:val="20"/>
                <w:szCs w:val="20"/>
              </w:rPr>
            </w:pPr>
            <w:r>
              <w:rPr>
                <w:sz w:val="20"/>
                <w:szCs w:val="20"/>
              </w:rPr>
              <w:t>1.4</w:t>
            </w:r>
            <w:r>
              <w:rPr>
                <w:sz w:val="20"/>
                <w:szCs w:val="20"/>
              </w:rPr>
              <w:tab/>
              <w:t>risks to endangered species (e.g. reduction, encroachment on</w:t>
            </w:r>
            <w:r>
              <w:rPr>
                <w:spacing w:val="-6"/>
                <w:sz w:val="20"/>
                <w:szCs w:val="20"/>
              </w:rPr>
              <w:t xml:space="preserve"> </w:t>
            </w:r>
            <w:r>
              <w:rPr>
                <w:sz w:val="20"/>
                <w:szCs w:val="20"/>
              </w:rPr>
              <w:t>habitat)?</w:t>
            </w:r>
          </w:p>
        </w:tc>
        <w:tc>
          <w:tcPr>
            <w:tcW w:w="833" w:type="dxa"/>
          </w:tcPr>
          <w:p w14:paraId="680914AF" w14:textId="77777777" w:rsidR="00CF33D9" w:rsidRDefault="00E3332A">
            <w:pPr>
              <w:pStyle w:val="TableParagraph"/>
              <w:jc w:val="center"/>
              <w:rPr>
                <w:sz w:val="20"/>
                <w:szCs w:val="20"/>
              </w:rPr>
            </w:pPr>
            <w:r>
              <w:rPr>
                <w:sz w:val="20"/>
                <w:szCs w:val="20"/>
              </w:rPr>
              <w:t>No</w:t>
            </w:r>
          </w:p>
        </w:tc>
      </w:tr>
      <w:tr w:rsidR="00CF33D9" w14:paraId="680914B3" w14:textId="77777777">
        <w:trPr>
          <w:trHeight w:val="337"/>
        </w:trPr>
        <w:tc>
          <w:tcPr>
            <w:tcW w:w="8637" w:type="dxa"/>
          </w:tcPr>
          <w:p w14:paraId="680914B1" w14:textId="77777777" w:rsidR="00CF33D9" w:rsidRDefault="00E3332A">
            <w:pPr>
              <w:pStyle w:val="TableParagraph"/>
              <w:tabs>
                <w:tab w:val="left" w:pos="674"/>
              </w:tabs>
              <w:spacing w:before="61"/>
              <w:ind w:left="107"/>
              <w:rPr>
                <w:sz w:val="20"/>
                <w:szCs w:val="20"/>
              </w:rPr>
            </w:pPr>
            <w:r>
              <w:rPr>
                <w:sz w:val="20"/>
                <w:szCs w:val="20"/>
              </w:rPr>
              <w:t>1.5</w:t>
            </w:r>
            <w:r>
              <w:rPr>
                <w:sz w:val="20"/>
                <w:szCs w:val="20"/>
              </w:rPr>
              <w:tab/>
              <w:t>exacerbation of illegal wildlife</w:t>
            </w:r>
            <w:r>
              <w:rPr>
                <w:spacing w:val="-5"/>
                <w:sz w:val="20"/>
                <w:szCs w:val="20"/>
              </w:rPr>
              <w:t xml:space="preserve"> </w:t>
            </w:r>
            <w:r>
              <w:rPr>
                <w:sz w:val="20"/>
                <w:szCs w:val="20"/>
              </w:rPr>
              <w:t>trade?</w:t>
            </w:r>
          </w:p>
        </w:tc>
        <w:tc>
          <w:tcPr>
            <w:tcW w:w="833" w:type="dxa"/>
          </w:tcPr>
          <w:p w14:paraId="680914B2" w14:textId="77777777" w:rsidR="00CF33D9" w:rsidRDefault="00E3332A">
            <w:pPr>
              <w:pStyle w:val="TableParagraph"/>
              <w:jc w:val="center"/>
              <w:rPr>
                <w:sz w:val="20"/>
                <w:szCs w:val="20"/>
              </w:rPr>
            </w:pPr>
            <w:r>
              <w:rPr>
                <w:sz w:val="20"/>
                <w:szCs w:val="20"/>
              </w:rPr>
              <w:t>No</w:t>
            </w:r>
          </w:p>
        </w:tc>
      </w:tr>
      <w:tr w:rsidR="00CF33D9" w14:paraId="680914B6" w14:textId="77777777">
        <w:trPr>
          <w:trHeight w:val="340"/>
        </w:trPr>
        <w:tc>
          <w:tcPr>
            <w:tcW w:w="8637" w:type="dxa"/>
          </w:tcPr>
          <w:p w14:paraId="680914B4" w14:textId="77777777" w:rsidR="00CF33D9" w:rsidRDefault="00E3332A">
            <w:pPr>
              <w:pStyle w:val="TableParagraph"/>
              <w:tabs>
                <w:tab w:val="left" w:pos="674"/>
              </w:tabs>
              <w:spacing w:before="61"/>
              <w:ind w:left="107"/>
              <w:rPr>
                <w:sz w:val="20"/>
                <w:szCs w:val="20"/>
              </w:rPr>
            </w:pPr>
            <w:r>
              <w:rPr>
                <w:sz w:val="20"/>
                <w:szCs w:val="20"/>
              </w:rPr>
              <w:t>1.6</w:t>
            </w:r>
            <w:r>
              <w:rPr>
                <w:sz w:val="20"/>
                <w:szCs w:val="20"/>
              </w:rPr>
              <w:tab/>
              <w:t>introduction of invasive alien</w:t>
            </w:r>
            <w:r>
              <w:rPr>
                <w:spacing w:val="-4"/>
                <w:sz w:val="20"/>
                <w:szCs w:val="20"/>
              </w:rPr>
              <w:t xml:space="preserve"> </w:t>
            </w:r>
            <w:r>
              <w:rPr>
                <w:sz w:val="20"/>
                <w:szCs w:val="20"/>
              </w:rPr>
              <w:t>species?</w:t>
            </w:r>
          </w:p>
        </w:tc>
        <w:tc>
          <w:tcPr>
            <w:tcW w:w="833" w:type="dxa"/>
          </w:tcPr>
          <w:p w14:paraId="680914B5" w14:textId="77777777" w:rsidR="00CF33D9" w:rsidRDefault="00E3332A">
            <w:pPr>
              <w:pStyle w:val="TableParagraph"/>
              <w:jc w:val="center"/>
              <w:rPr>
                <w:sz w:val="20"/>
                <w:szCs w:val="20"/>
              </w:rPr>
            </w:pPr>
            <w:r>
              <w:rPr>
                <w:sz w:val="20"/>
                <w:szCs w:val="20"/>
              </w:rPr>
              <w:t>No</w:t>
            </w:r>
          </w:p>
        </w:tc>
      </w:tr>
      <w:tr w:rsidR="00CF33D9" w14:paraId="680914B9" w14:textId="77777777">
        <w:trPr>
          <w:trHeight w:val="340"/>
        </w:trPr>
        <w:tc>
          <w:tcPr>
            <w:tcW w:w="8637" w:type="dxa"/>
          </w:tcPr>
          <w:p w14:paraId="680914B7" w14:textId="77777777" w:rsidR="00CF33D9" w:rsidRDefault="00E3332A">
            <w:pPr>
              <w:pStyle w:val="TableParagraph"/>
              <w:tabs>
                <w:tab w:val="left" w:pos="674"/>
              </w:tabs>
              <w:spacing w:before="61"/>
              <w:ind w:left="107"/>
              <w:rPr>
                <w:sz w:val="20"/>
                <w:szCs w:val="20"/>
              </w:rPr>
            </w:pPr>
            <w:r>
              <w:rPr>
                <w:sz w:val="20"/>
                <w:szCs w:val="20"/>
              </w:rPr>
              <w:t>1.7</w:t>
            </w:r>
            <w:r>
              <w:rPr>
                <w:sz w:val="20"/>
                <w:szCs w:val="20"/>
              </w:rPr>
              <w:tab/>
              <w:t>adverse impacts on</w:t>
            </w:r>
            <w:r>
              <w:rPr>
                <w:spacing w:val="-3"/>
                <w:sz w:val="20"/>
                <w:szCs w:val="20"/>
              </w:rPr>
              <w:t xml:space="preserve"> </w:t>
            </w:r>
            <w:r>
              <w:rPr>
                <w:sz w:val="20"/>
                <w:szCs w:val="20"/>
              </w:rPr>
              <w:t>soils?</w:t>
            </w:r>
          </w:p>
        </w:tc>
        <w:tc>
          <w:tcPr>
            <w:tcW w:w="833" w:type="dxa"/>
          </w:tcPr>
          <w:p w14:paraId="680914B8" w14:textId="77777777" w:rsidR="00CF33D9" w:rsidRDefault="00E3332A">
            <w:pPr>
              <w:pStyle w:val="TableParagraph"/>
              <w:jc w:val="center"/>
              <w:rPr>
                <w:sz w:val="20"/>
                <w:szCs w:val="20"/>
              </w:rPr>
            </w:pPr>
            <w:r>
              <w:rPr>
                <w:sz w:val="20"/>
                <w:szCs w:val="20"/>
              </w:rPr>
              <w:t>No</w:t>
            </w:r>
          </w:p>
        </w:tc>
      </w:tr>
      <w:tr w:rsidR="00CF33D9" w14:paraId="680914BC" w14:textId="77777777">
        <w:trPr>
          <w:trHeight w:val="337"/>
        </w:trPr>
        <w:tc>
          <w:tcPr>
            <w:tcW w:w="8637" w:type="dxa"/>
          </w:tcPr>
          <w:p w14:paraId="680914BA" w14:textId="77777777" w:rsidR="00CF33D9" w:rsidRDefault="00E3332A">
            <w:pPr>
              <w:pStyle w:val="TableParagraph"/>
              <w:tabs>
                <w:tab w:val="left" w:pos="674"/>
              </w:tabs>
              <w:spacing w:before="61"/>
              <w:ind w:left="107"/>
              <w:rPr>
                <w:sz w:val="20"/>
                <w:szCs w:val="20"/>
              </w:rPr>
            </w:pPr>
            <w:r>
              <w:rPr>
                <w:sz w:val="20"/>
                <w:szCs w:val="20"/>
              </w:rPr>
              <w:t>1.8</w:t>
            </w:r>
            <w:r>
              <w:rPr>
                <w:sz w:val="20"/>
                <w:szCs w:val="20"/>
              </w:rPr>
              <w:tab/>
              <w:t>harvesting of natural forests, plantation development, or</w:t>
            </w:r>
            <w:r>
              <w:rPr>
                <w:spacing w:val="-6"/>
                <w:sz w:val="20"/>
                <w:szCs w:val="20"/>
              </w:rPr>
              <w:t xml:space="preserve"> </w:t>
            </w:r>
            <w:r>
              <w:rPr>
                <w:sz w:val="20"/>
                <w:szCs w:val="20"/>
              </w:rPr>
              <w:t>reforestation?</w:t>
            </w:r>
          </w:p>
        </w:tc>
        <w:tc>
          <w:tcPr>
            <w:tcW w:w="833" w:type="dxa"/>
          </w:tcPr>
          <w:p w14:paraId="680914BB" w14:textId="77777777" w:rsidR="00CF33D9" w:rsidRDefault="00E3332A">
            <w:pPr>
              <w:pStyle w:val="TableParagraph"/>
              <w:jc w:val="center"/>
              <w:rPr>
                <w:sz w:val="20"/>
                <w:szCs w:val="20"/>
              </w:rPr>
            </w:pPr>
            <w:r>
              <w:rPr>
                <w:sz w:val="20"/>
                <w:szCs w:val="20"/>
              </w:rPr>
              <w:t>No</w:t>
            </w:r>
          </w:p>
        </w:tc>
      </w:tr>
      <w:tr w:rsidR="00CF33D9" w14:paraId="680914BF" w14:textId="77777777">
        <w:trPr>
          <w:trHeight w:val="340"/>
        </w:trPr>
        <w:tc>
          <w:tcPr>
            <w:tcW w:w="8637" w:type="dxa"/>
          </w:tcPr>
          <w:p w14:paraId="680914BD" w14:textId="77777777" w:rsidR="00CF33D9" w:rsidRDefault="00E3332A">
            <w:pPr>
              <w:pStyle w:val="TableParagraph"/>
              <w:tabs>
                <w:tab w:val="left" w:pos="674"/>
              </w:tabs>
              <w:spacing w:before="63"/>
              <w:ind w:left="107"/>
              <w:rPr>
                <w:sz w:val="20"/>
                <w:szCs w:val="20"/>
              </w:rPr>
            </w:pPr>
            <w:r>
              <w:rPr>
                <w:sz w:val="20"/>
                <w:szCs w:val="20"/>
              </w:rPr>
              <w:t>1.9</w:t>
            </w:r>
            <w:r>
              <w:rPr>
                <w:sz w:val="20"/>
                <w:szCs w:val="20"/>
              </w:rPr>
              <w:tab/>
              <w:t>significant agricultural</w:t>
            </w:r>
            <w:r>
              <w:rPr>
                <w:spacing w:val="-1"/>
                <w:sz w:val="20"/>
                <w:szCs w:val="20"/>
              </w:rPr>
              <w:t xml:space="preserve"> </w:t>
            </w:r>
            <w:r>
              <w:rPr>
                <w:sz w:val="20"/>
                <w:szCs w:val="20"/>
              </w:rPr>
              <w:t>production?</w:t>
            </w:r>
          </w:p>
        </w:tc>
        <w:tc>
          <w:tcPr>
            <w:tcW w:w="833" w:type="dxa"/>
          </w:tcPr>
          <w:p w14:paraId="680914BE" w14:textId="77777777" w:rsidR="00CF33D9" w:rsidRDefault="00E3332A">
            <w:pPr>
              <w:pStyle w:val="TableParagraph"/>
              <w:jc w:val="center"/>
              <w:rPr>
                <w:sz w:val="20"/>
                <w:szCs w:val="20"/>
              </w:rPr>
            </w:pPr>
            <w:r>
              <w:rPr>
                <w:sz w:val="20"/>
                <w:szCs w:val="20"/>
              </w:rPr>
              <w:t>No</w:t>
            </w:r>
          </w:p>
        </w:tc>
      </w:tr>
      <w:tr w:rsidR="00CF33D9" w14:paraId="680914C2" w14:textId="77777777">
        <w:trPr>
          <w:trHeight w:val="340"/>
        </w:trPr>
        <w:tc>
          <w:tcPr>
            <w:tcW w:w="8637" w:type="dxa"/>
          </w:tcPr>
          <w:p w14:paraId="680914C0" w14:textId="77777777" w:rsidR="00CF33D9" w:rsidRDefault="00E3332A">
            <w:pPr>
              <w:pStyle w:val="TableParagraph"/>
              <w:tabs>
                <w:tab w:val="left" w:pos="674"/>
              </w:tabs>
              <w:spacing w:before="61"/>
              <w:ind w:left="107"/>
              <w:rPr>
                <w:sz w:val="20"/>
                <w:szCs w:val="20"/>
              </w:rPr>
            </w:pPr>
            <w:r>
              <w:rPr>
                <w:sz w:val="20"/>
                <w:szCs w:val="20"/>
              </w:rPr>
              <w:t>1.10</w:t>
            </w:r>
            <w:r>
              <w:rPr>
                <w:sz w:val="20"/>
                <w:szCs w:val="20"/>
              </w:rPr>
              <w:tab/>
              <w:t>animal husbandry or harvesting of fish populations or other aquatic</w:t>
            </w:r>
            <w:r>
              <w:rPr>
                <w:spacing w:val="-5"/>
                <w:sz w:val="20"/>
                <w:szCs w:val="20"/>
              </w:rPr>
              <w:t xml:space="preserve"> </w:t>
            </w:r>
            <w:r>
              <w:rPr>
                <w:sz w:val="20"/>
                <w:szCs w:val="20"/>
              </w:rPr>
              <w:t>species?</w:t>
            </w:r>
          </w:p>
        </w:tc>
        <w:tc>
          <w:tcPr>
            <w:tcW w:w="833" w:type="dxa"/>
          </w:tcPr>
          <w:p w14:paraId="680914C1" w14:textId="77777777" w:rsidR="00CF33D9" w:rsidRDefault="00E3332A">
            <w:pPr>
              <w:pStyle w:val="TableParagraph"/>
              <w:jc w:val="center"/>
              <w:rPr>
                <w:sz w:val="20"/>
                <w:szCs w:val="20"/>
              </w:rPr>
            </w:pPr>
            <w:r>
              <w:rPr>
                <w:sz w:val="20"/>
                <w:szCs w:val="20"/>
              </w:rPr>
              <w:t>Yes</w:t>
            </w:r>
          </w:p>
        </w:tc>
      </w:tr>
      <w:tr w:rsidR="00CF33D9" w14:paraId="680914C6" w14:textId="77777777">
        <w:trPr>
          <w:trHeight w:val="618"/>
        </w:trPr>
        <w:tc>
          <w:tcPr>
            <w:tcW w:w="8637" w:type="dxa"/>
          </w:tcPr>
          <w:p w14:paraId="680914C3" w14:textId="77777777" w:rsidR="00CF33D9" w:rsidRDefault="00E3332A">
            <w:pPr>
              <w:pStyle w:val="TableParagraph"/>
              <w:tabs>
                <w:tab w:val="left" w:pos="674"/>
              </w:tabs>
              <w:spacing w:before="61"/>
              <w:ind w:left="107"/>
              <w:rPr>
                <w:sz w:val="20"/>
                <w:szCs w:val="20"/>
              </w:rPr>
            </w:pPr>
            <w:r>
              <w:rPr>
                <w:sz w:val="20"/>
                <w:szCs w:val="20"/>
              </w:rPr>
              <w:t>1.11</w:t>
            </w:r>
            <w:r>
              <w:rPr>
                <w:sz w:val="20"/>
                <w:szCs w:val="20"/>
              </w:rPr>
              <w:tab/>
              <w:t>significant extraction, diversion or containment of surface or ground</w:t>
            </w:r>
            <w:r>
              <w:rPr>
                <w:spacing w:val="-7"/>
                <w:sz w:val="20"/>
                <w:szCs w:val="20"/>
              </w:rPr>
              <w:t xml:space="preserve"> </w:t>
            </w:r>
            <w:r>
              <w:rPr>
                <w:sz w:val="20"/>
                <w:szCs w:val="20"/>
              </w:rPr>
              <w:t>water?</w:t>
            </w:r>
          </w:p>
          <w:p w14:paraId="680914C4" w14:textId="77777777" w:rsidR="00CF33D9" w:rsidRDefault="00E3332A">
            <w:pPr>
              <w:pStyle w:val="TableParagraph"/>
              <w:spacing w:before="61"/>
              <w:ind w:left="674"/>
              <w:rPr>
                <w:i/>
                <w:sz w:val="20"/>
                <w:szCs w:val="20"/>
              </w:rPr>
            </w:pPr>
            <w:r>
              <w:rPr>
                <w:i/>
                <w:sz w:val="20"/>
                <w:szCs w:val="20"/>
              </w:rPr>
              <w:t>For example, construction of dams, reservoirs, river basin developments, groundwater extraction</w:t>
            </w:r>
          </w:p>
        </w:tc>
        <w:tc>
          <w:tcPr>
            <w:tcW w:w="833" w:type="dxa"/>
          </w:tcPr>
          <w:p w14:paraId="680914C5" w14:textId="77777777" w:rsidR="00CF33D9" w:rsidRDefault="00E3332A">
            <w:pPr>
              <w:pStyle w:val="TableParagraph"/>
              <w:jc w:val="center"/>
              <w:rPr>
                <w:sz w:val="20"/>
                <w:szCs w:val="20"/>
              </w:rPr>
            </w:pPr>
            <w:r>
              <w:rPr>
                <w:sz w:val="20"/>
                <w:szCs w:val="20"/>
              </w:rPr>
              <w:t>No</w:t>
            </w:r>
          </w:p>
        </w:tc>
      </w:tr>
      <w:tr w:rsidR="00CF33D9" w14:paraId="680914C9" w14:textId="77777777">
        <w:trPr>
          <w:trHeight w:val="340"/>
        </w:trPr>
        <w:tc>
          <w:tcPr>
            <w:tcW w:w="8637" w:type="dxa"/>
          </w:tcPr>
          <w:p w14:paraId="680914C7" w14:textId="77777777" w:rsidR="00CF33D9" w:rsidRDefault="00E3332A">
            <w:pPr>
              <w:pStyle w:val="TableParagraph"/>
              <w:tabs>
                <w:tab w:val="left" w:pos="674"/>
              </w:tabs>
              <w:spacing w:before="61"/>
              <w:ind w:left="107"/>
              <w:rPr>
                <w:sz w:val="20"/>
                <w:szCs w:val="20"/>
              </w:rPr>
            </w:pPr>
            <w:r>
              <w:rPr>
                <w:sz w:val="20"/>
                <w:szCs w:val="20"/>
              </w:rPr>
              <w:t>1.12</w:t>
            </w:r>
            <w:r>
              <w:rPr>
                <w:sz w:val="20"/>
                <w:szCs w:val="20"/>
              </w:rPr>
              <w:tab/>
              <w:t>handling or utilization of genetically modified organisms/living modified</w:t>
            </w:r>
            <w:r>
              <w:rPr>
                <w:spacing w:val="-10"/>
                <w:sz w:val="20"/>
                <w:szCs w:val="20"/>
              </w:rPr>
              <w:t xml:space="preserve"> </w:t>
            </w:r>
            <w:r>
              <w:rPr>
                <w:sz w:val="20"/>
                <w:szCs w:val="20"/>
              </w:rPr>
              <w:t>organisms?</w:t>
            </w:r>
            <w:r>
              <w:rPr>
                <w:position w:val="5"/>
                <w:sz w:val="20"/>
                <w:szCs w:val="20"/>
              </w:rPr>
              <w:t>17</w:t>
            </w:r>
          </w:p>
        </w:tc>
        <w:tc>
          <w:tcPr>
            <w:tcW w:w="833" w:type="dxa"/>
          </w:tcPr>
          <w:p w14:paraId="680914C8" w14:textId="77777777" w:rsidR="00CF33D9" w:rsidRDefault="00E3332A">
            <w:pPr>
              <w:pStyle w:val="TableParagraph"/>
              <w:jc w:val="center"/>
              <w:rPr>
                <w:sz w:val="20"/>
                <w:szCs w:val="20"/>
              </w:rPr>
            </w:pPr>
            <w:r>
              <w:rPr>
                <w:sz w:val="20"/>
                <w:szCs w:val="20"/>
              </w:rPr>
              <w:t>No</w:t>
            </w:r>
          </w:p>
        </w:tc>
      </w:tr>
      <w:tr w:rsidR="00CF33D9" w14:paraId="680914CC" w14:textId="77777777">
        <w:trPr>
          <w:trHeight w:val="341"/>
        </w:trPr>
        <w:tc>
          <w:tcPr>
            <w:tcW w:w="8637" w:type="dxa"/>
          </w:tcPr>
          <w:p w14:paraId="680914CA" w14:textId="77777777" w:rsidR="00CF33D9" w:rsidRDefault="00E3332A">
            <w:pPr>
              <w:pStyle w:val="TableParagraph"/>
              <w:tabs>
                <w:tab w:val="left" w:pos="674"/>
              </w:tabs>
              <w:spacing w:before="62"/>
              <w:ind w:left="107"/>
              <w:rPr>
                <w:sz w:val="20"/>
                <w:szCs w:val="20"/>
              </w:rPr>
            </w:pPr>
            <w:r>
              <w:rPr>
                <w:sz w:val="20"/>
                <w:szCs w:val="20"/>
              </w:rPr>
              <w:t>1.13</w:t>
            </w:r>
            <w:r>
              <w:rPr>
                <w:sz w:val="20"/>
                <w:szCs w:val="20"/>
              </w:rPr>
              <w:tab/>
              <w:t>utilization of genetic resources? (e.g. collection and/or harvesting, commercial</w:t>
            </w:r>
            <w:r>
              <w:rPr>
                <w:spacing w:val="-10"/>
                <w:sz w:val="20"/>
                <w:szCs w:val="20"/>
              </w:rPr>
              <w:t xml:space="preserve"> </w:t>
            </w:r>
            <w:r>
              <w:rPr>
                <w:sz w:val="20"/>
                <w:szCs w:val="20"/>
              </w:rPr>
              <w:t>development)</w:t>
            </w:r>
            <w:r>
              <w:rPr>
                <w:position w:val="5"/>
                <w:sz w:val="20"/>
                <w:szCs w:val="20"/>
              </w:rPr>
              <w:t>18</w:t>
            </w:r>
          </w:p>
        </w:tc>
        <w:tc>
          <w:tcPr>
            <w:tcW w:w="833" w:type="dxa"/>
          </w:tcPr>
          <w:p w14:paraId="680914CB" w14:textId="77777777" w:rsidR="00CF33D9" w:rsidRDefault="00E3332A">
            <w:pPr>
              <w:pStyle w:val="TableParagraph"/>
              <w:jc w:val="center"/>
              <w:rPr>
                <w:sz w:val="20"/>
                <w:szCs w:val="20"/>
              </w:rPr>
            </w:pPr>
            <w:r>
              <w:rPr>
                <w:sz w:val="20"/>
                <w:szCs w:val="20"/>
              </w:rPr>
              <w:t>No</w:t>
            </w:r>
          </w:p>
        </w:tc>
      </w:tr>
      <w:tr w:rsidR="00CF33D9" w14:paraId="680914CF" w14:textId="77777777">
        <w:trPr>
          <w:trHeight w:val="338"/>
        </w:trPr>
        <w:tc>
          <w:tcPr>
            <w:tcW w:w="8637" w:type="dxa"/>
          </w:tcPr>
          <w:p w14:paraId="680914CD" w14:textId="77777777" w:rsidR="00CF33D9" w:rsidRDefault="00E3332A">
            <w:pPr>
              <w:pStyle w:val="TableParagraph"/>
              <w:tabs>
                <w:tab w:val="left" w:pos="674"/>
              </w:tabs>
              <w:spacing w:before="61"/>
              <w:ind w:left="107"/>
              <w:rPr>
                <w:sz w:val="20"/>
                <w:szCs w:val="20"/>
              </w:rPr>
            </w:pPr>
            <w:r>
              <w:rPr>
                <w:sz w:val="20"/>
                <w:szCs w:val="20"/>
              </w:rPr>
              <w:t>1.14</w:t>
            </w:r>
            <w:r>
              <w:rPr>
                <w:sz w:val="20"/>
                <w:szCs w:val="20"/>
              </w:rPr>
              <w:tab/>
              <w:t>adverse transboundary or global environmental</w:t>
            </w:r>
            <w:r>
              <w:rPr>
                <w:spacing w:val="-2"/>
                <w:sz w:val="20"/>
                <w:szCs w:val="20"/>
              </w:rPr>
              <w:t xml:space="preserve"> </w:t>
            </w:r>
            <w:r>
              <w:rPr>
                <w:sz w:val="20"/>
                <w:szCs w:val="20"/>
              </w:rPr>
              <w:t>concerns?</w:t>
            </w:r>
          </w:p>
        </w:tc>
        <w:tc>
          <w:tcPr>
            <w:tcW w:w="833" w:type="dxa"/>
          </w:tcPr>
          <w:p w14:paraId="680914CE" w14:textId="77777777" w:rsidR="00CF33D9" w:rsidRDefault="00E3332A">
            <w:pPr>
              <w:pStyle w:val="TableParagraph"/>
              <w:jc w:val="center"/>
              <w:rPr>
                <w:sz w:val="20"/>
                <w:szCs w:val="20"/>
              </w:rPr>
            </w:pPr>
            <w:r>
              <w:rPr>
                <w:sz w:val="20"/>
                <w:szCs w:val="20"/>
              </w:rPr>
              <w:t>Yes</w:t>
            </w:r>
          </w:p>
        </w:tc>
      </w:tr>
      <w:tr w:rsidR="00CF33D9" w14:paraId="680914D2" w14:textId="77777777">
        <w:trPr>
          <w:trHeight w:val="530"/>
        </w:trPr>
        <w:tc>
          <w:tcPr>
            <w:tcW w:w="8637" w:type="dxa"/>
            <w:shd w:val="clear" w:color="auto" w:fill="DBE4F0"/>
          </w:tcPr>
          <w:p w14:paraId="680914D0" w14:textId="77777777" w:rsidR="00CF33D9" w:rsidRDefault="00E3332A">
            <w:pPr>
              <w:pStyle w:val="TableParagraph"/>
              <w:spacing w:before="157"/>
              <w:ind w:left="107"/>
              <w:rPr>
                <w:b/>
                <w:sz w:val="20"/>
                <w:szCs w:val="20"/>
              </w:rPr>
            </w:pPr>
            <w:r>
              <w:rPr>
                <w:b/>
                <w:sz w:val="20"/>
                <w:szCs w:val="20"/>
              </w:rPr>
              <w:t>Standard 2: Climate Change and Disaster Risks</w:t>
            </w:r>
          </w:p>
        </w:tc>
        <w:tc>
          <w:tcPr>
            <w:tcW w:w="833" w:type="dxa"/>
            <w:shd w:val="clear" w:color="auto" w:fill="DBE4F0"/>
          </w:tcPr>
          <w:p w14:paraId="680914D1" w14:textId="77777777" w:rsidR="00CF33D9" w:rsidRDefault="00CF33D9">
            <w:pPr>
              <w:pStyle w:val="TableParagraph"/>
              <w:rPr>
                <w:sz w:val="20"/>
                <w:szCs w:val="20"/>
              </w:rPr>
            </w:pPr>
          </w:p>
        </w:tc>
      </w:tr>
      <w:tr w:rsidR="00CF33D9" w14:paraId="680914D5" w14:textId="77777777">
        <w:trPr>
          <w:trHeight w:val="340"/>
        </w:trPr>
        <w:tc>
          <w:tcPr>
            <w:tcW w:w="8637" w:type="dxa"/>
          </w:tcPr>
          <w:p w14:paraId="680914D3" w14:textId="77777777" w:rsidR="00CF33D9" w:rsidRDefault="00E3332A">
            <w:pPr>
              <w:pStyle w:val="TableParagraph"/>
              <w:spacing w:before="61"/>
              <w:ind w:left="107"/>
              <w:rPr>
                <w:i/>
                <w:sz w:val="20"/>
                <w:szCs w:val="20"/>
              </w:rPr>
            </w:pPr>
            <w:r>
              <w:rPr>
                <w:i/>
                <w:sz w:val="20"/>
                <w:szCs w:val="20"/>
              </w:rPr>
              <w:t>Would the project potentially involve or lead to:</w:t>
            </w:r>
          </w:p>
        </w:tc>
        <w:tc>
          <w:tcPr>
            <w:tcW w:w="833" w:type="dxa"/>
          </w:tcPr>
          <w:p w14:paraId="680914D4" w14:textId="77777777" w:rsidR="00CF33D9" w:rsidRDefault="00CF33D9">
            <w:pPr>
              <w:pStyle w:val="TableParagraph"/>
              <w:rPr>
                <w:sz w:val="20"/>
                <w:szCs w:val="20"/>
              </w:rPr>
            </w:pPr>
          </w:p>
        </w:tc>
      </w:tr>
    </w:tbl>
    <w:p w14:paraId="680914D6" w14:textId="77777777" w:rsidR="00CF33D9" w:rsidRDefault="00CF33D9">
      <w:pPr>
        <w:pStyle w:val="BodyText"/>
        <w:rPr>
          <w:rFonts w:ascii="Calibri" w:hAnsi="Calibri" w:cs="Calibri"/>
          <w:szCs w:val="20"/>
        </w:rPr>
      </w:pPr>
    </w:p>
    <w:p w14:paraId="680914D7" w14:textId="77777777" w:rsidR="00CF33D9" w:rsidRDefault="00E3332A">
      <w:pPr>
        <w:pStyle w:val="BodyText"/>
        <w:spacing w:before="10"/>
        <w:rPr>
          <w:rFonts w:ascii="Calibri" w:hAnsi="Calibri" w:cs="Calibri"/>
          <w:szCs w:val="20"/>
        </w:rPr>
      </w:pPr>
      <w:r>
        <w:rPr>
          <w:rFonts w:ascii="Calibri" w:hAnsi="Calibri" w:cs="Calibri"/>
          <w:noProof/>
          <w:szCs w:val="20"/>
        </w:rPr>
        <mc:AlternateContent>
          <mc:Choice Requires="wps">
            <w:drawing>
              <wp:anchor distT="0" distB="0" distL="0" distR="0" simplePos="0" relativeHeight="251790848" behindDoc="1" locked="0" layoutInCell="1" allowOverlap="1" wp14:anchorId="680922F1" wp14:editId="680922F2">
                <wp:simplePos x="0" y="0"/>
                <wp:positionH relativeFrom="page">
                  <wp:posOffset>914400</wp:posOffset>
                </wp:positionH>
                <wp:positionV relativeFrom="paragraph">
                  <wp:posOffset>260350</wp:posOffset>
                </wp:positionV>
                <wp:extent cx="1829435" cy="1270"/>
                <wp:effectExtent l="0" t="0" r="0" b="0"/>
                <wp:wrapTopAndBottom/>
                <wp:docPr id="4" name="Freeform 3"/>
                <wp:cNvGraphicFramePr/>
                <a:graphic xmlns:a="http://schemas.openxmlformats.org/drawingml/2006/main">
                  <a:graphicData uri="http://schemas.microsoft.com/office/word/2010/wordprocessingShape">
                    <wps:wsp>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ln>
                      </wps:spPr>
                      <wps:bodyPr rot="0" vert="horz" wrap="square" lIns="91440" tIns="45720" rIns="91440" bIns="45720" anchor="t" anchorCtr="0" upright="1">
                        <a:noAutofit/>
                      </wps:bodyPr>
                    </wps:wsp>
                  </a:graphicData>
                </a:graphic>
              </wp:anchor>
            </w:drawing>
          </mc:Choice>
          <mc:Fallback>
            <w:pict>
              <v:shape w14:anchorId="016A4E5F" id="Freeform 3" o:spid="_x0000_s1026" style="position:absolute;margin-left:1in;margin-top:20.5pt;width:144.05pt;height:.1pt;z-index:-251525632;visibility:visible;mso-wrap-style:square;mso-wrap-distance-left:0;mso-wrap-distance-top:0;mso-wrap-distance-right:0;mso-wrap-distance-bottom:0;mso-position-horizontal:absolute;mso-position-horizontal-relative:page;mso-position-vertical:absolute;mso-position-vertical-relative:text;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" path="m,l2881,e" filled="f" strokeweight=".6pt">
                <v:path arrowok="t" o:connecttype="custom" o:connectlocs="0,0;2147483646,0" o:connectangles="0,0"/>
                <w10:wrap type="topAndBottom" anchorx="page"/>
              </v:shape>
            </w:pict>
          </mc:Fallback>
        </mc:AlternateContent>
      </w:r>
    </w:p>
    <w:p w14:paraId="680914D8" w14:textId="77777777" w:rsidR="00CF33D9" w:rsidRDefault="00E3332A">
      <w:pPr>
        <w:spacing w:before="63" w:line="219" w:lineRule="exact"/>
        <w:ind w:left="100"/>
        <w:rPr>
          <w:rFonts w:ascii="Calibri" w:hAnsi="Calibri" w:cs="Calibri"/>
          <w:sz w:val="20"/>
          <w:szCs w:val="20"/>
        </w:rPr>
      </w:pPr>
      <w:r>
        <w:rPr>
          <w:rFonts w:ascii="Calibri" w:hAnsi="Calibri" w:cs="Calibri"/>
          <w:position w:val="5"/>
          <w:sz w:val="20"/>
          <w:szCs w:val="20"/>
        </w:rPr>
        <w:t xml:space="preserve">17 </w:t>
      </w:r>
      <w:r>
        <w:rPr>
          <w:rFonts w:ascii="Calibri" w:hAnsi="Calibri" w:cs="Calibri"/>
          <w:sz w:val="20"/>
          <w:szCs w:val="20"/>
        </w:rPr>
        <w:t xml:space="preserve">See the </w:t>
      </w:r>
      <w:hyperlink r:id="rId56">
        <w:r>
          <w:rPr>
            <w:rFonts w:ascii="Calibri" w:hAnsi="Calibri" w:cs="Calibri"/>
            <w:color w:val="0000FF"/>
            <w:sz w:val="20"/>
            <w:szCs w:val="20"/>
            <w:u w:val="single" w:color="0000FF"/>
          </w:rPr>
          <w:t>Convention on Biological Diversity</w:t>
        </w:r>
        <w:r>
          <w:rPr>
            <w:rFonts w:ascii="Calibri" w:hAnsi="Calibri" w:cs="Calibri"/>
            <w:color w:val="0000FF"/>
            <w:sz w:val="20"/>
            <w:szCs w:val="20"/>
          </w:rPr>
          <w:t xml:space="preserve"> </w:t>
        </w:r>
      </w:hyperlink>
      <w:r>
        <w:rPr>
          <w:rFonts w:ascii="Calibri" w:hAnsi="Calibri" w:cs="Calibri"/>
          <w:sz w:val="20"/>
          <w:szCs w:val="20"/>
        </w:rPr>
        <w:t xml:space="preserve">and its </w:t>
      </w:r>
      <w:hyperlink r:id="rId57">
        <w:r>
          <w:rPr>
            <w:rFonts w:ascii="Calibri" w:hAnsi="Calibri" w:cs="Calibri"/>
            <w:color w:val="0000FF"/>
            <w:sz w:val="20"/>
            <w:szCs w:val="20"/>
            <w:u w:val="single" w:color="0000FF"/>
          </w:rPr>
          <w:t>Cartagena Protocol on Biosafety</w:t>
        </w:r>
        <w:r>
          <w:rPr>
            <w:rFonts w:ascii="Calibri" w:hAnsi="Calibri" w:cs="Calibri"/>
            <w:sz w:val="20"/>
            <w:szCs w:val="20"/>
          </w:rPr>
          <w:t>.</w:t>
        </w:r>
      </w:hyperlink>
    </w:p>
    <w:p w14:paraId="680914D9" w14:textId="77777777" w:rsidR="00CF33D9" w:rsidRDefault="00E3332A">
      <w:pPr>
        <w:ind w:left="100" w:right="916"/>
        <w:rPr>
          <w:rFonts w:ascii="Calibri" w:hAnsi="Calibri" w:cs="Calibri"/>
          <w:sz w:val="20"/>
          <w:szCs w:val="20"/>
        </w:rPr>
      </w:pPr>
      <w:r>
        <w:rPr>
          <w:rFonts w:ascii="Calibri" w:hAnsi="Calibri" w:cs="Calibri"/>
          <w:position w:val="5"/>
          <w:sz w:val="20"/>
          <w:szCs w:val="20"/>
        </w:rPr>
        <w:lastRenderedPageBreak/>
        <w:t xml:space="preserve">18 </w:t>
      </w:r>
      <w:r>
        <w:rPr>
          <w:rFonts w:ascii="Calibri" w:hAnsi="Calibri" w:cs="Calibri"/>
          <w:sz w:val="20"/>
          <w:szCs w:val="20"/>
        </w:rPr>
        <w:t xml:space="preserve">See the </w:t>
      </w:r>
      <w:hyperlink r:id="rId58">
        <w:r>
          <w:rPr>
            <w:rFonts w:ascii="Calibri" w:hAnsi="Calibri" w:cs="Calibri"/>
            <w:color w:val="0000FF"/>
            <w:sz w:val="20"/>
            <w:szCs w:val="20"/>
            <w:u w:val="single" w:color="0000FF"/>
          </w:rPr>
          <w:t>Convention on Biological Diversity</w:t>
        </w:r>
        <w:r>
          <w:rPr>
            <w:rFonts w:ascii="Calibri" w:hAnsi="Calibri" w:cs="Calibri"/>
            <w:color w:val="0000FF"/>
            <w:sz w:val="20"/>
            <w:szCs w:val="20"/>
          </w:rPr>
          <w:t xml:space="preserve"> </w:t>
        </w:r>
      </w:hyperlink>
      <w:r>
        <w:rPr>
          <w:rFonts w:ascii="Calibri" w:hAnsi="Calibri" w:cs="Calibri"/>
          <w:sz w:val="20"/>
          <w:szCs w:val="20"/>
        </w:rPr>
        <w:t xml:space="preserve">and its </w:t>
      </w:r>
      <w:hyperlink r:id="rId59">
        <w:r>
          <w:rPr>
            <w:rFonts w:ascii="Calibri" w:hAnsi="Calibri" w:cs="Calibri"/>
            <w:color w:val="0000FF"/>
            <w:sz w:val="20"/>
            <w:szCs w:val="20"/>
            <w:u w:val="single" w:color="0000FF"/>
          </w:rPr>
          <w:t>Nagoya Protocol</w:t>
        </w:r>
        <w:r>
          <w:rPr>
            <w:rFonts w:ascii="Calibri" w:hAnsi="Calibri" w:cs="Calibri"/>
            <w:color w:val="0000FF"/>
            <w:sz w:val="20"/>
            <w:szCs w:val="20"/>
          </w:rPr>
          <w:t xml:space="preserve"> </w:t>
        </w:r>
      </w:hyperlink>
      <w:r>
        <w:rPr>
          <w:rFonts w:ascii="Calibri" w:hAnsi="Calibri" w:cs="Calibri"/>
          <w:sz w:val="20"/>
          <w:szCs w:val="20"/>
        </w:rPr>
        <w:t>on access and benefit sharing from use of genetic resources.</w:t>
      </w:r>
    </w:p>
    <w:p w14:paraId="680914DA" w14:textId="77777777" w:rsidR="00CF33D9" w:rsidRDefault="00CF33D9">
      <w:pPr>
        <w:rPr>
          <w:rFonts w:ascii="Calibri" w:hAnsi="Calibri" w:cs="Calibri"/>
          <w:sz w:val="20"/>
          <w:szCs w:val="20"/>
        </w:rPr>
        <w:sectPr w:rsidR="00CF33D9">
          <w:pgSz w:w="12240" w:h="15840"/>
          <w:pgMar w:top="1440" w:right="1200" w:bottom="900" w:left="1340" w:header="0" w:footer="640"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637"/>
        <w:gridCol w:w="833"/>
      </w:tblGrid>
      <w:tr w:rsidR="00CF33D9" w14:paraId="680914DD" w14:textId="77777777">
        <w:trPr>
          <w:trHeight w:val="559"/>
        </w:trPr>
        <w:tc>
          <w:tcPr>
            <w:tcW w:w="8637" w:type="dxa"/>
          </w:tcPr>
          <w:p w14:paraId="680914DB" w14:textId="77777777" w:rsidR="00CF33D9" w:rsidRDefault="00E3332A">
            <w:pPr>
              <w:pStyle w:val="TableParagraph"/>
              <w:tabs>
                <w:tab w:val="left" w:pos="674"/>
              </w:tabs>
              <w:spacing w:before="61"/>
              <w:ind w:left="674" w:right="370" w:hanging="567"/>
              <w:rPr>
                <w:sz w:val="20"/>
                <w:szCs w:val="20"/>
              </w:rPr>
            </w:pPr>
            <w:r>
              <w:rPr>
                <w:sz w:val="20"/>
                <w:szCs w:val="20"/>
              </w:rPr>
              <w:lastRenderedPageBreak/>
              <w:t>2.1</w:t>
            </w:r>
            <w:r>
              <w:rPr>
                <w:sz w:val="20"/>
                <w:szCs w:val="20"/>
              </w:rPr>
              <w:tab/>
              <w:t>areas subject to hazards such as earthquakes, floods, landslides, severe</w:t>
            </w:r>
            <w:r>
              <w:rPr>
                <w:spacing w:val="-30"/>
                <w:sz w:val="20"/>
                <w:szCs w:val="20"/>
              </w:rPr>
              <w:t xml:space="preserve"> </w:t>
            </w:r>
            <w:r>
              <w:rPr>
                <w:sz w:val="20"/>
                <w:szCs w:val="20"/>
              </w:rPr>
              <w:t>winds, storm surges, tsunami or volcanic</w:t>
            </w:r>
            <w:r>
              <w:rPr>
                <w:spacing w:val="-1"/>
                <w:sz w:val="20"/>
                <w:szCs w:val="20"/>
              </w:rPr>
              <w:t xml:space="preserve"> </w:t>
            </w:r>
            <w:r>
              <w:rPr>
                <w:sz w:val="20"/>
                <w:szCs w:val="20"/>
              </w:rPr>
              <w:t>eruptions?</w:t>
            </w:r>
          </w:p>
        </w:tc>
        <w:tc>
          <w:tcPr>
            <w:tcW w:w="833" w:type="dxa"/>
          </w:tcPr>
          <w:p w14:paraId="680914DC" w14:textId="77777777" w:rsidR="00CF33D9" w:rsidRDefault="00E3332A">
            <w:pPr>
              <w:pStyle w:val="TableParagraph"/>
              <w:jc w:val="center"/>
              <w:rPr>
                <w:sz w:val="20"/>
                <w:szCs w:val="20"/>
              </w:rPr>
            </w:pPr>
            <w:r>
              <w:rPr>
                <w:sz w:val="20"/>
                <w:szCs w:val="20"/>
              </w:rPr>
              <w:t>No</w:t>
            </w:r>
          </w:p>
        </w:tc>
      </w:tr>
      <w:tr w:rsidR="00CF33D9" w14:paraId="680914E1" w14:textId="77777777">
        <w:trPr>
          <w:trHeight w:val="621"/>
        </w:trPr>
        <w:tc>
          <w:tcPr>
            <w:tcW w:w="8637" w:type="dxa"/>
          </w:tcPr>
          <w:p w14:paraId="680914DE" w14:textId="77777777" w:rsidR="00CF33D9" w:rsidRDefault="00E3332A">
            <w:pPr>
              <w:pStyle w:val="TableParagraph"/>
              <w:tabs>
                <w:tab w:val="left" w:pos="674"/>
              </w:tabs>
              <w:spacing w:before="61"/>
              <w:ind w:left="107"/>
              <w:rPr>
                <w:sz w:val="20"/>
                <w:szCs w:val="20"/>
              </w:rPr>
            </w:pPr>
            <w:r>
              <w:rPr>
                <w:sz w:val="20"/>
                <w:szCs w:val="20"/>
              </w:rPr>
              <w:t>2.2</w:t>
            </w:r>
            <w:r>
              <w:rPr>
                <w:sz w:val="20"/>
                <w:szCs w:val="20"/>
              </w:rPr>
              <w:tab/>
              <w:t>outputs and outcomes sensitive or vulnerable to potential impacts of climate change or</w:t>
            </w:r>
            <w:r>
              <w:rPr>
                <w:spacing w:val="-14"/>
                <w:sz w:val="20"/>
                <w:szCs w:val="20"/>
              </w:rPr>
              <w:t xml:space="preserve"> </w:t>
            </w:r>
            <w:r>
              <w:rPr>
                <w:sz w:val="20"/>
                <w:szCs w:val="20"/>
              </w:rPr>
              <w:t>disasters?</w:t>
            </w:r>
          </w:p>
          <w:p w14:paraId="680914DF" w14:textId="77777777" w:rsidR="00CF33D9" w:rsidRDefault="00E3332A">
            <w:pPr>
              <w:pStyle w:val="TableParagraph"/>
              <w:spacing w:before="61"/>
              <w:ind w:left="674"/>
              <w:rPr>
                <w:i/>
                <w:sz w:val="20"/>
                <w:szCs w:val="20"/>
              </w:rPr>
            </w:pPr>
            <w:r>
              <w:rPr>
                <w:i/>
                <w:sz w:val="20"/>
                <w:szCs w:val="20"/>
              </w:rPr>
              <w:t>For example, through increased precipitation, drought, temperature, salinity, extreme events, earthquakes</w:t>
            </w:r>
          </w:p>
        </w:tc>
        <w:tc>
          <w:tcPr>
            <w:tcW w:w="833" w:type="dxa"/>
          </w:tcPr>
          <w:p w14:paraId="680914E0" w14:textId="77777777" w:rsidR="00CF33D9" w:rsidRDefault="00E3332A">
            <w:pPr>
              <w:pStyle w:val="TableParagraph"/>
              <w:jc w:val="center"/>
              <w:rPr>
                <w:sz w:val="20"/>
                <w:szCs w:val="20"/>
              </w:rPr>
            </w:pPr>
            <w:r>
              <w:rPr>
                <w:sz w:val="20"/>
                <w:szCs w:val="20"/>
              </w:rPr>
              <w:t>Yes</w:t>
            </w:r>
          </w:p>
        </w:tc>
      </w:tr>
      <w:tr w:rsidR="00CF33D9" w14:paraId="680914E6" w14:textId="77777777">
        <w:trPr>
          <w:trHeight w:val="1057"/>
        </w:trPr>
        <w:tc>
          <w:tcPr>
            <w:tcW w:w="8637" w:type="dxa"/>
          </w:tcPr>
          <w:p w14:paraId="680914E2" w14:textId="77777777" w:rsidR="00CF33D9" w:rsidRDefault="00E3332A">
            <w:pPr>
              <w:pStyle w:val="TableParagraph"/>
              <w:tabs>
                <w:tab w:val="left" w:pos="674"/>
              </w:tabs>
              <w:spacing w:before="59"/>
              <w:ind w:left="674" w:right="369" w:hanging="567"/>
              <w:rPr>
                <w:sz w:val="20"/>
                <w:szCs w:val="20"/>
              </w:rPr>
            </w:pPr>
            <w:r>
              <w:rPr>
                <w:sz w:val="20"/>
                <w:szCs w:val="20"/>
              </w:rPr>
              <w:t>2.3</w:t>
            </w:r>
            <w:r>
              <w:rPr>
                <w:sz w:val="20"/>
                <w:szCs w:val="20"/>
              </w:rPr>
              <w:tab/>
              <w:t>increases</w:t>
            </w:r>
            <w:r>
              <w:rPr>
                <w:spacing w:val="-3"/>
                <w:sz w:val="20"/>
                <w:szCs w:val="20"/>
              </w:rPr>
              <w:t xml:space="preserve"> </w:t>
            </w:r>
            <w:r>
              <w:rPr>
                <w:sz w:val="20"/>
                <w:szCs w:val="20"/>
              </w:rPr>
              <w:t>in</w:t>
            </w:r>
            <w:r>
              <w:rPr>
                <w:spacing w:val="-3"/>
                <w:sz w:val="20"/>
                <w:szCs w:val="20"/>
              </w:rPr>
              <w:t xml:space="preserve"> </w:t>
            </w:r>
            <w:r>
              <w:rPr>
                <w:sz w:val="20"/>
                <w:szCs w:val="20"/>
              </w:rPr>
              <w:t>vulnerability</w:t>
            </w:r>
            <w:r>
              <w:rPr>
                <w:spacing w:val="-1"/>
                <w:sz w:val="20"/>
                <w:szCs w:val="20"/>
              </w:rPr>
              <w:t xml:space="preserve"> </w:t>
            </w:r>
            <w:r>
              <w:rPr>
                <w:sz w:val="20"/>
                <w:szCs w:val="20"/>
              </w:rPr>
              <w:t>to</w:t>
            </w:r>
            <w:r>
              <w:rPr>
                <w:spacing w:val="-1"/>
                <w:sz w:val="20"/>
                <w:szCs w:val="20"/>
              </w:rPr>
              <w:t xml:space="preserve"> </w:t>
            </w:r>
            <w:r>
              <w:rPr>
                <w:sz w:val="20"/>
                <w:szCs w:val="20"/>
              </w:rPr>
              <w:t>climate</w:t>
            </w:r>
            <w:r>
              <w:rPr>
                <w:spacing w:val="-2"/>
                <w:sz w:val="20"/>
                <w:szCs w:val="20"/>
              </w:rPr>
              <w:t xml:space="preserve"> </w:t>
            </w:r>
            <w:r>
              <w:rPr>
                <w:sz w:val="20"/>
                <w:szCs w:val="20"/>
              </w:rPr>
              <w:t>change impacts</w:t>
            </w:r>
            <w:r>
              <w:rPr>
                <w:spacing w:val="-3"/>
                <w:sz w:val="20"/>
                <w:szCs w:val="20"/>
              </w:rPr>
              <w:t xml:space="preserve"> </w:t>
            </w:r>
            <w:r>
              <w:rPr>
                <w:sz w:val="20"/>
                <w:szCs w:val="20"/>
              </w:rPr>
              <w:t>or</w:t>
            </w:r>
            <w:r>
              <w:rPr>
                <w:spacing w:val="-1"/>
                <w:sz w:val="20"/>
                <w:szCs w:val="20"/>
              </w:rPr>
              <w:t xml:space="preserve"> </w:t>
            </w:r>
            <w:r>
              <w:rPr>
                <w:sz w:val="20"/>
                <w:szCs w:val="20"/>
              </w:rPr>
              <w:t>disaster</w:t>
            </w:r>
            <w:r>
              <w:rPr>
                <w:spacing w:val="-1"/>
                <w:sz w:val="20"/>
                <w:szCs w:val="20"/>
              </w:rPr>
              <w:t xml:space="preserve"> </w:t>
            </w:r>
            <w:r>
              <w:rPr>
                <w:sz w:val="20"/>
                <w:szCs w:val="20"/>
              </w:rPr>
              <w:t>risks</w:t>
            </w:r>
            <w:r>
              <w:rPr>
                <w:spacing w:val="-2"/>
                <w:sz w:val="20"/>
                <w:szCs w:val="20"/>
              </w:rPr>
              <w:t xml:space="preserve"> </w:t>
            </w:r>
            <w:r>
              <w:rPr>
                <w:sz w:val="20"/>
                <w:szCs w:val="20"/>
              </w:rPr>
              <w:t>now</w:t>
            </w:r>
            <w:r>
              <w:rPr>
                <w:spacing w:val="-2"/>
                <w:sz w:val="20"/>
                <w:szCs w:val="20"/>
              </w:rPr>
              <w:t xml:space="preserve"> </w:t>
            </w:r>
            <w:r>
              <w:rPr>
                <w:sz w:val="20"/>
                <w:szCs w:val="20"/>
              </w:rPr>
              <w:t>or</w:t>
            </w:r>
            <w:r>
              <w:rPr>
                <w:spacing w:val="-1"/>
                <w:sz w:val="20"/>
                <w:szCs w:val="20"/>
              </w:rPr>
              <w:t xml:space="preserve"> </w:t>
            </w:r>
            <w:r>
              <w:rPr>
                <w:sz w:val="20"/>
                <w:szCs w:val="20"/>
              </w:rPr>
              <w:t>in</w:t>
            </w:r>
            <w:r>
              <w:rPr>
                <w:spacing w:val="-2"/>
                <w:sz w:val="20"/>
                <w:szCs w:val="20"/>
              </w:rPr>
              <w:t xml:space="preserve"> </w:t>
            </w:r>
            <w:r>
              <w:rPr>
                <w:sz w:val="20"/>
                <w:szCs w:val="20"/>
              </w:rPr>
              <w:t>the</w:t>
            </w:r>
            <w:r>
              <w:rPr>
                <w:spacing w:val="-2"/>
                <w:sz w:val="20"/>
                <w:szCs w:val="20"/>
              </w:rPr>
              <w:t xml:space="preserve"> </w:t>
            </w:r>
            <w:r>
              <w:rPr>
                <w:sz w:val="20"/>
                <w:szCs w:val="20"/>
              </w:rPr>
              <w:t>future</w:t>
            </w:r>
            <w:r>
              <w:rPr>
                <w:spacing w:val="-3"/>
                <w:sz w:val="20"/>
                <w:szCs w:val="20"/>
              </w:rPr>
              <w:t xml:space="preserve"> </w:t>
            </w:r>
            <w:r>
              <w:rPr>
                <w:sz w:val="20"/>
                <w:szCs w:val="20"/>
              </w:rPr>
              <w:t>(also</w:t>
            </w:r>
            <w:r>
              <w:rPr>
                <w:spacing w:val="-1"/>
                <w:sz w:val="20"/>
                <w:szCs w:val="20"/>
              </w:rPr>
              <w:t xml:space="preserve"> </w:t>
            </w:r>
            <w:r>
              <w:rPr>
                <w:sz w:val="20"/>
                <w:szCs w:val="20"/>
              </w:rPr>
              <w:t>known</w:t>
            </w:r>
            <w:r>
              <w:rPr>
                <w:spacing w:val="-3"/>
                <w:sz w:val="20"/>
                <w:szCs w:val="20"/>
              </w:rPr>
              <w:t xml:space="preserve"> </w:t>
            </w:r>
            <w:r>
              <w:rPr>
                <w:sz w:val="20"/>
                <w:szCs w:val="20"/>
              </w:rPr>
              <w:t>as maladaptive or negative coping</w:t>
            </w:r>
            <w:r>
              <w:rPr>
                <w:spacing w:val="-2"/>
                <w:sz w:val="20"/>
                <w:szCs w:val="20"/>
              </w:rPr>
              <w:t xml:space="preserve"> </w:t>
            </w:r>
            <w:r>
              <w:rPr>
                <w:sz w:val="20"/>
                <w:szCs w:val="20"/>
              </w:rPr>
              <w:t>practices)?</w:t>
            </w:r>
          </w:p>
          <w:p w14:paraId="680914E3" w14:textId="77777777" w:rsidR="00CF33D9" w:rsidRDefault="00E3332A">
            <w:pPr>
              <w:pStyle w:val="TableParagraph"/>
              <w:spacing w:before="59"/>
              <w:ind w:left="738"/>
              <w:rPr>
                <w:i/>
                <w:sz w:val="20"/>
                <w:szCs w:val="20"/>
              </w:rPr>
            </w:pPr>
            <w:r>
              <w:rPr>
                <w:i/>
                <w:sz w:val="20"/>
                <w:szCs w:val="20"/>
              </w:rPr>
              <w:t>For example, changes to land use planning may encourage further development of floodplains, potentially</w:t>
            </w:r>
          </w:p>
          <w:p w14:paraId="680914E4" w14:textId="77777777" w:rsidR="00CF33D9" w:rsidRDefault="00E3332A">
            <w:pPr>
              <w:pStyle w:val="TableParagraph"/>
              <w:spacing w:before="1"/>
              <w:ind w:left="738"/>
              <w:rPr>
                <w:i/>
                <w:sz w:val="20"/>
                <w:szCs w:val="20"/>
              </w:rPr>
            </w:pPr>
            <w:r>
              <w:rPr>
                <w:i/>
                <w:sz w:val="20"/>
                <w:szCs w:val="20"/>
              </w:rPr>
              <w:t>increasing the population’s vulnerability to climate change, specifically flooding</w:t>
            </w:r>
          </w:p>
        </w:tc>
        <w:tc>
          <w:tcPr>
            <w:tcW w:w="833" w:type="dxa"/>
          </w:tcPr>
          <w:p w14:paraId="680914E5" w14:textId="77777777" w:rsidR="00CF33D9" w:rsidRDefault="00E3332A">
            <w:pPr>
              <w:pStyle w:val="TableParagraph"/>
              <w:jc w:val="center"/>
              <w:rPr>
                <w:sz w:val="20"/>
                <w:szCs w:val="20"/>
              </w:rPr>
            </w:pPr>
            <w:r>
              <w:rPr>
                <w:sz w:val="20"/>
                <w:szCs w:val="20"/>
              </w:rPr>
              <w:t>No</w:t>
            </w:r>
          </w:p>
        </w:tc>
      </w:tr>
      <w:tr w:rsidR="00CF33D9" w14:paraId="680914E9" w14:textId="77777777">
        <w:trPr>
          <w:trHeight w:val="340"/>
        </w:trPr>
        <w:tc>
          <w:tcPr>
            <w:tcW w:w="8637" w:type="dxa"/>
          </w:tcPr>
          <w:p w14:paraId="680914E7" w14:textId="77777777" w:rsidR="00CF33D9" w:rsidRDefault="00E3332A">
            <w:pPr>
              <w:pStyle w:val="TableParagraph"/>
              <w:tabs>
                <w:tab w:val="left" w:pos="674"/>
              </w:tabs>
              <w:spacing w:before="61"/>
              <w:ind w:left="107"/>
              <w:rPr>
                <w:sz w:val="20"/>
                <w:szCs w:val="20"/>
              </w:rPr>
            </w:pPr>
            <w:r>
              <w:rPr>
                <w:sz w:val="20"/>
                <w:szCs w:val="20"/>
              </w:rPr>
              <w:t>2.4</w:t>
            </w:r>
            <w:r>
              <w:rPr>
                <w:sz w:val="20"/>
                <w:szCs w:val="20"/>
              </w:rPr>
              <w:tab/>
              <w:t>increases of greenhouse gas emissions, black carbon emissions or other drivers of climate</w:t>
            </w:r>
            <w:r>
              <w:rPr>
                <w:spacing w:val="-16"/>
                <w:sz w:val="20"/>
                <w:szCs w:val="20"/>
              </w:rPr>
              <w:t xml:space="preserve"> </w:t>
            </w:r>
            <w:r>
              <w:rPr>
                <w:sz w:val="20"/>
                <w:szCs w:val="20"/>
              </w:rPr>
              <w:t>change?</w:t>
            </w:r>
          </w:p>
        </w:tc>
        <w:tc>
          <w:tcPr>
            <w:tcW w:w="833" w:type="dxa"/>
          </w:tcPr>
          <w:p w14:paraId="680914E8" w14:textId="77777777" w:rsidR="00CF33D9" w:rsidRDefault="00E3332A">
            <w:pPr>
              <w:pStyle w:val="TableParagraph"/>
              <w:jc w:val="center"/>
              <w:rPr>
                <w:sz w:val="20"/>
                <w:szCs w:val="20"/>
              </w:rPr>
            </w:pPr>
            <w:r>
              <w:rPr>
                <w:sz w:val="20"/>
                <w:szCs w:val="20"/>
              </w:rPr>
              <w:t>No</w:t>
            </w:r>
          </w:p>
        </w:tc>
      </w:tr>
      <w:tr w:rsidR="00CF33D9" w14:paraId="680914EC" w14:textId="77777777">
        <w:trPr>
          <w:trHeight w:val="537"/>
        </w:trPr>
        <w:tc>
          <w:tcPr>
            <w:tcW w:w="8637" w:type="dxa"/>
            <w:shd w:val="clear" w:color="auto" w:fill="DBE4F0"/>
          </w:tcPr>
          <w:p w14:paraId="680914EA" w14:textId="77777777" w:rsidR="00CF33D9" w:rsidRDefault="00E3332A">
            <w:pPr>
              <w:pStyle w:val="TableParagraph"/>
              <w:spacing w:before="159"/>
              <w:ind w:left="107"/>
              <w:rPr>
                <w:b/>
                <w:sz w:val="20"/>
                <w:szCs w:val="20"/>
              </w:rPr>
            </w:pPr>
            <w:r>
              <w:rPr>
                <w:b/>
                <w:sz w:val="20"/>
                <w:szCs w:val="20"/>
              </w:rPr>
              <w:t>Standard 3: Community Health, Safety and Security</w:t>
            </w:r>
          </w:p>
        </w:tc>
        <w:tc>
          <w:tcPr>
            <w:tcW w:w="833" w:type="dxa"/>
            <w:shd w:val="clear" w:color="auto" w:fill="DBE4F0"/>
          </w:tcPr>
          <w:p w14:paraId="680914EB" w14:textId="77777777" w:rsidR="00CF33D9" w:rsidRDefault="00CF33D9">
            <w:pPr>
              <w:pStyle w:val="TableParagraph"/>
              <w:rPr>
                <w:sz w:val="20"/>
                <w:szCs w:val="20"/>
              </w:rPr>
            </w:pPr>
          </w:p>
        </w:tc>
      </w:tr>
      <w:tr w:rsidR="00CF33D9" w14:paraId="680914EF" w14:textId="77777777">
        <w:trPr>
          <w:trHeight w:val="341"/>
        </w:trPr>
        <w:tc>
          <w:tcPr>
            <w:tcW w:w="8637" w:type="dxa"/>
          </w:tcPr>
          <w:p w14:paraId="680914ED" w14:textId="77777777" w:rsidR="00CF33D9" w:rsidRDefault="00E3332A">
            <w:pPr>
              <w:pStyle w:val="TableParagraph"/>
              <w:spacing w:before="63"/>
              <w:ind w:left="107"/>
              <w:rPr>
                <w:i/>
                <w:sz w:val="20"/>
                <w:szCs w:val="20"/>
              </w:rPr>
            </w:pPr>
            <w:r>
              <w:rPr>
                <w:i/>
                <w:sz w:val="20"/>
                <w:szCs w:val="20"/>
              </w:rPr>
              <w:t>Would the project potentially involve or lead to:</w:t>
            </w:r>
          </w:p>
        </w:tc>
        <w:tc>
          <w:tcPr>
            <w:tcW w:w="833" w:type="dxa"/>
          </w:tcPr>
          <w:p w14:paraId="680914EE" w14:textId="77777777" w:rsidR="00CF33D9" w:rsidRDefault="00CF33D9">
            <w:pPr>
              <w:pStyle w:val="TableParagraph"/>
              <w:rPr>
                <w:sz w:val="20"/>
                <w:szCs w:val="20"/>
              </w:rPr>
            </w:pPr>
          </w:p>
        </w:tc>
      </w:tr>
      <w:tr w:rsidR="00CF33D9" w14:paraId="680914F2" w14:textId="77777777">
        <w:trPr>
          <w:trHeight w:val="558"/>
        </w:trPr>
        <w:tc>
          <w:tcPr>
            <w:tcW w:w="8637" w:type="dxa"/>
          </w:tcPr>
          <w:p w14:paraId="680914F0" w14:textId="77777777" w:rsidR="00CF33D9" w:rsidRDefault="00E3332A">
            <w:pPr>
              <w:pStyle w:val="TableParagraph"/>
              <w:tabs>
                <w:tab w:val="left" w:pos="674"/>
              </w:tabs>
              <w:spacing w:before="61"/>
              <w:ind w:left="674" w:right="453" w:hanging="567"/>
              <w:rPr>
                <w:sz w:val="20"/>
                <w:szCs w:val="20"/>
              </w:rPr>
            </w:pPr>
            <w:r>
              <w:rPr>
                <w:sz w:val="20"/>
                <w:szCs w:val="20"/>
              </w:rPr>
              <w:t>3.1</w:t>
            </w:r>
            <w:r>
              <w:rPr>
                <w:sz w:val="20"/>
                <w:szCs w:val="20"/>
              </w:rPr>
              <w:tab/>
              <w:t>construction and/or infrastructure development (e.g. roads, buildings, dams)? (Note: the GEF does not finance projects that would involve the construction or rehabilitation of large or complex</w:t>
            </w:r>
            <w:r>
              <w:rPr>
                <w:spacing w:val="-21"/>
                <w:sz w:val="20"/>
                <w:szCs w:val="20"/>
              </w:rPr>
              <w:t xml:space="preserve"> </w:t>
            </w:r>
            <w:r>
              <w:rPr>
                <w:sz w:val="20"/>
                <w:szCs w:val="20"/>
              </w:rPr>
              <w:t>dams)</w:t>
            </w:r>
          </w:p>
        </w:tc>
        <w:tc>
          <w:tcPr>
            <w:tcW w:w="833" w:type="dxa"/>
          </w:tcPr>
          <w:p w14:paraId="680914F1" w14:textId="77777777" w:rsidR="00CF33D9" w:rsidRDefault="00E3332A">
            <w:pPr>
              <w:pStyle w:val="TableParagraph"/>
              <w:jc w:val="center"/>
              <w:rPr>
                <w:sz w:val="20"/>
                <w:szCs w:val="20"/>
              </w:rPr>
            </w:pPr>
            <w:r>
              <w:rPr>
                <w:sz w:val="20"/>
                <w:szCs w:val="20"/>
              </w:rPr>
              <w:t>No</w:t>
            </w:r>
          </w:p>
        </w:tc>
      </w:tr>
      <w:tr w:rsidR="00CF33D9" w14:paraId="680914F5" w14:textId="77777777">
        <w:trPr>
          <w:trHeight w:val="561"/>
        </w:trPr>
        <w:tc>
          <w:tcPr>
            <w:tcW w:w="8637" w:type="dxa"/>
          </w:tcPr>
          <w:p w14:paraId="680914F3" w14:textId="77777777" w:rsidR="00CF33D9" w:rsidRDefault="00E3332A">
            <w:pPr>
              <w:pStyle w:val="TableParagraph"/>
              <w:tabs>
                <w:tab w:val="left" w:pos="674"/>
              </w:tabs>
              <w:spacing w:before="61"/>
              <w:ind w:left="674" w:right="345" w:hanging="567"/>
              <w:rPr>
                <w:sz w:val="20"/>
                <w:szCs w:val="20"/>
              </w:rPr>
            </w:pPr>
            <w:r>
              <w:rPr>
                <w:sz w:val="20"/>
                <w:szCs w:val="20"/>
              </w:rPr>
              <w:t>3.2</w:t>
            </w:r>
            <w:r>
              <w:rPr>
                <w:sz w:val="20"/>
                <w:szCs w:val="20"/>
              </w:rPr>
              <w:tab/>
              <w:t>air pollution, noise, vibration, traffic, injuries, physical hazards, poor surface water quality due to runoff, erosion,</w:t>
            </w:r>
            <w:r>
              <w:rPr>
                <w:spacing w:val="-1"/>
                <w:sz w:val="20"/>
                <w:szCs w:val="20"/>
              </w:rPr>
              <w:t xml:space="preserve"> </w:t>
            </w:r>
            <w:r>
              <w:rPr>
                <w:sz w:val="20"/>
                <w:szCs w:val="20"/>
              </w:rPr>
              <w:t>sanitation?</w:t>
            </w:r>
          </w:p>
        </w:tc>
        <w:tc>
          <w:tcPr>
            <w:tcW w:w="833" w:type="dxa"/>
          </w:tcPr>
          <w:p w14:paraId="680914F4" w14:textId="77777777" w:rsidR="00CF33D9" w:rsidRDefault="00E3332A">
            <w:pPr>
              <w:pStyle w:val="TableParagraph"/>
              <w:jc w:val="center"/>
              <w:rPr>
                <w:sz w:val="20"/>
                <w:szCs w:val="20"/>
              </w:rPr>
            </w:pPr>
            <w:r>
              <w:rPr>
                <w:sz w:val="20"/>
                <w:szCs w:val="20"/>
              </w:rPr>
              <w:t>No</w:t>
            </w:r>
          </w:p>
        </w:tc>
      </w:tr>
      <w:tr w:rsidR="00CF33D9" w14:paraId="680914F8" w14:textId="77777777">
        <w:trPr>
          <w:trHeight w:val="558"/>
        </w:trPr>
        <w:tc>
          <w:tcPr>
            <w:tcW w:w="8637" w:type="dxa"/>
          </w:tcPr>
          <w:p w14:paraId="680914F6" w14:textId="77777777" w:rsidR="00CF33D9" w:rsidRDefault="00E3332A">
            <w:pPr>
              <w:pStyle w:val="TableParagraph"/>
              <w:tabs>
                <w:tab w:val="left" w:pos="674"/>
              </w:tabs>
              <w:spacing w:before="59"/>
              <w:ind w:left="674" w:right="1081" w:hanging="567"/>
              <w:rPr>
                <w:sz w:val="20"/>
                <w:szCs w:val="20"/>
              </w:rPr>
            </w:pPr>
            <w:r>
              <w:rPr>
                <w:sz w:val="20"/>
                <w:szCs w:val="20"/>
              </w:rPr>
              <w:t>3.3</w:t>
            </w:r>
            <w:r>
              <w:rPr>
                <w:sz w:val="20"/>
                <w:szCs w:val="20"/>
              </w:rPr>
              <w:tab/>
              <w:t>harm</w:t>
            </w:r>
            <w:r>
              <w:rPr>
                <w:spacing w:val="-3"/>
                <w:sz w:val="20"/>
                <w:szCs w:val="20"/>
              </w:rPr>
              <w:t xml:space="preserve"> </w:t>
            </w:r>
            <w:r>
              <w:rPr>
                <w:sz w:val="20"/>
                <w:szCs w:val="20"/>
              </w:rPr>
              <w:t>or</w:t>
            </w:r>
            <w:r>
              <w:rPr>
                <w:spacing w:val="-1"/>
                <w:sz w:val="20"/>
                <w:szCs w:val="20"/>
              </w:rPr>
              <w:t xml:space="preserve"> </w:t>
            </w:r>
            <w:r>
              <w:rPr>
                <w:sz w:val="20"/>
                <w:szCs w:val="20"/>
              </w:rPr>
              <w:t>losses</w:t>
            </w:r>
            <w:r>
              <w:rPr>
                <w:spacing w:val="-3"/>
                <w:sz w:val="20"/>
                <w:szCs w:val="20"/>
              </w:rPr>
              <w:t xml:space="preserve"> </w:t>
            </w:r>
            <w:r>
              <w:rPr>
                <w:sz w:val="20"/>
                <w:szCs w:val="20"/>
              </w:rPr>
              <w:t>due</w:t>
            </w:r>
            <w:r>
              <w:rPr>
                <w:spacing w:val="-2"/>
                <w:sz w:val="20"/>
                <w:szCs w:val="20"/>
              </w:rPr>
              <w:t xml:space="preserve"> </w:t>
            </w:r>
            <w:r>
              <w:rPr>
                <w:sz w:val="20"/>
                <w:szCs w:val="20"/>
              </w:rPr>
              <w:t>to</w:t>
            </w:r>
            <w:r>
              <w:rPr>
                <w:spacing w:val="-1"/>
                <w:sz w:val="20"/>
                <w:szCs w:val="20"/>
              </w:rPr>
              <w:t xml:space="preserve"> </w:t>
            </w:r>
            <w:r>
              <w:rPr>
                <w:sz w:val="20"/>
                <w:szCs w:val="20"/>
              </w:rPr>
              <w:t>failure</w:t>
            </w:r>
            <w:r>
              <w:rPr>
                <w:spacing w:val="-3"/>
                <w:sz w:val="20"/>
                <w:szCs w:val="20"/>
              </w:rPr>
              <w:t xml:space="preserve"> </w:t>
            </w:r>
            <w:r>
              <w:rPr>
                <w:sz w:val="20"/>
                <w:szCs w:val="20"/>
              </w:rPr>
              <w:t>of</w:t>
            </w:r>
            <w:r>
              <w:rPr>
                <w:spacing w:val="-2"/>
                <w:sz w:val="20"/>
                <w:szCs w:val="20"/>
              </w:rPr>
              <w:t xml:space="preserve"> </w:t>
            </w:r>
            <w:r>
              <w:rPr>
                <w:sz w:val="20"/>
                <w:szCs w:val="20"/>
              </w:rPr>
              <w:t>structural</w:t>
            </w:r>
            <w:r>
              <w:rPr>
                <w:spacing w:val="-3"/>
                <w:sz w:val="20"/>
                <w:szCs w:val="20"/>
              </w:rPr>
              <w:t xml:space="preserve"> </w:t>
            </w:r>
            <w:r>
              <w:rPr>
                <w:sz w:val="20"/>
                <w:szCs w:val="20"/>
              </w:rPr>
              <w:t>elements</w:t>
            </w:r>
            <w:r>
              <w:rPr>
                <w:spacing w:val="-3"/>
                <w:sz w:val="20"/>
                <w:szCs w:val="20"/>
              </w:rPr>
              <w:t xml:space="preserve"> </w:t>
            </w:r>
            <w:r>
              <w:rPr>
                <w:sz w:val="20"/>
                <w:szCs w:val="20"/>
              </w:rPr>
              <w:t>of</w:t>
            </w:r>
            <w:r>
              <w:rPr>
                <w:spacing w:val="-3"/>
                <w:sz w:val="20"/>
                <w:szCs w:val="20"/>
              </w:rPr>
              <w:t xml:space="preserve"> </w:t>
            </w:r>
            <w:r>
              <w:rPr>
                <w:sz w:val="20"/>
                <w:szCs w:val="20"/>
              </w:rPr>
              <w:t>the</w:t>
            </w:r>
            <w:r>
              <w:rPr>
                <w:spacing w:val="2"/>
                <w:sz w:val="20"/>
                <w:szCs w:val="20"/>
              </w:rPr>
              <w:t xml:space="preserve"> </w:t>
            </w:r>
            <w:r>
              <w:rPr>
                <w:sz w:val="20"/>
                <w:szCs w:val="20"/>
              </w:rPr>
              <w:t>project</w:t>
            </w:r>
            <w:r>
              <w:rPr>
                <w:spacing w:val="-2"/>
                <w:sz w:val="20"/>
                <w:szCs w:val="20"/>
              </w:rPr>
              <w:t xml:space="preserve"> </w:t>
            </w:r>
            <w:r>
              <w:rPr>
                <w:sz w:val="20"/>
                <w:szCs w:val="20"/>
              </w:rPr>
              <w:t>(e.g.</w:t>
            </w:r>
            <w:r>
              <w:rPr>
                <w:spacing w:val="-2"/>
                <w:sz w:val="20"/>
                <w:szCs w:val="20"/>
              </w:rPr>
              <w:t xml:space="preserve"> </w:t>
            </w:r>
            <w:r>
              <w:rPr>
                <w:sz w:val="20"/>
                <w:szCs w:val="20"/>
              </w:rPr>
              <w:t>collapse</w:t>
            </w:r>
            <w:r>
              <w:rPr>
                <w:spacing w:val="-2"/>
                <w:sz w:val="20"/>
                <w:szCs w:val="20"/>
              </w:rPr>
              <w:t xml:space="preserve"> </w:t>
            </w:r>
            <w:r>
              <w:rPr>
                <w:sz w:val="20"/>
                <w:szCs w:val="20"/>
              </w:rPr>
              <w:t>of</w:t>
            </w:r>
            <w:r>
              <w:rPr>
                <w:spacing w:val="-3"/>
                <w:sz w:val="20"/>
                <w:szCs w:val="20"/>
              </w:rPr>
              <w:t xml:space="preserve"> </w:t>
            </w:r>
            <w:r>
              <w:rPr>
                <w:sz w:val="20"/>
                <w:szCs w:val="20"/>
              </w:rPr>
              <w:t>buildings</w:t>
            </w:r>
            <w:r>
              <w:rPr>
                <w:spacing w:val="-2"/>
                <w:sz w:val="20"/>
                <w:szCs w:val="20"/>
              </w:rPr>
              <w:t xml:space="preserve"> </w:t>
            </w:r>
            <w:r>
              <w:rPr>
                <w:sz w:val="20"/>
                <w:szCs w:val="20"/>
              </w:rPr>
              <w:t>or infrastructure)?</w:t>
            </w:r>
          </w:p>
        </w:tc>
        <w:tc>
          <w:tcPr>
            <w:tcW w:w="833" w:type="dxa"/>
          </w:tcPr>
          <w:p w14:paraId="680914F7" w14:textId="77777777" w:rsidR="00CF33D9" w:rsidRDefault="00E3332A">
            <w:pPr>
              <w:pStyle w:val="TableParagraph"/>
              <w:jc w:val="center"/>
              <w:rPr>
                <w:sz w:val="20"/>
                <w:szCs w:val="20"/>
              </w:rPr>
            </w:pPr>
            <w:r>
              <w:rPr>
                <w:sz w:val="20"/>
                <w:szCs w:val="20"/>
              </w:rPr>
              <w:t>No</w:t>
            </w:r>
          </w:p>
        </w:tc>
      </w:tr>
      <w:tr w:rsidR="00CF33D9" w14:paraId="680914FB" w14:textId="77777777">
        <w:trPr>
          <w:trHeight w:val="558"/>
        </w:trPr>
        <w:tc>
          <w:tcPr>
            <w:tcW w:w="8637" w:type="dxa"/>
          </w:tcPr>
          <w:p w14:paraId="680914F9" w14:textId="77777777" w:rsidR="00CF33D9" w:rsidRDefault="00E3332A">
            <w:pPr>
              <w:pStyle w:val="TableParagraph"/>
              <w:tabs>
                <w:tab w:val="left" w:pos="674"/>
              </w:tabs>
              <w:spacing w:before="61"/>
              <w:ind w:left="674" w:right="146" w:hanging="567"/>
              <w:rPr>
                <w:sz w:val="20"/>
                <w:szCs w:val="20"/>
              </w:rPr>
            </w:pPr>
            <w:r>
              <w:rPr>
                <w:sz w:val="20"/>
                <w:szCs w:val="20"/>
              </w:rPr>
              <w:t>3.4</w:t>
            </w:r>
            <w:r>
              <w:rPr>
                <w:sz w:val="20"/>
                <w:szCs w:val="20"/>
              </w:rPr>
              <w:tab/>
              <w:t>risks</w:t>
            </w:r>
            <w:r>
              <w:rPr>
                <w:spacing w:val="-5"/>
                <w:sz w:val="20"/>
                <w:szCs w:val="20"/>
              </w:rPr>
              <w:t xml:space="preserve"> </w:t>
            </w:r>
            <w:r>
              <w:rPr>
                <w:sz w:val="20"/>
                <w:szCs w:val="20"/>
              </w:rPr>
              <w:t>of</w:t>
            </w:r>
            <w:r>
              <w:rPr>
                <w:spacing w:val="-2"/>
                <w:sz w:val="20"/>
                <w:szCs w:val="20"/>
              </w:rPr>
              <w:t xml:space="preserve"> </w:t>
            </w:r>
            <w:r>
              <w:rPr>
                <w:sz w:val="20"/>
                <w:szCs w:val="20"/>
              </w:rPr>
              <w:t>water-borne</w:t>
            </w:r>
            <w:r>
              <w:rPr>
                <w:spacing w:val="-3"/>
                <w:sz w:val="20"/>
                <w:szCs w:val="20"/>
              </w:rPr>
              <w:t xml:space="preserve"> </w:t>
            </w:r>
            <w:r>
              <w:rPr>
                <w:sz w:val="20"/>
                <w:szCs w:val="20"/>
              </w:rPr>
              <w:t>or</w:t>
            </w:r>
            <w:r>
              <w:rPr>
                <w:spacing w:val="-2"/>
                <w:sz w:val="20"/>
                <w:szCs w:val="20"/>
              </w:rPr>
              <w:t xml:space="preserve"> </w:t>
            </w:r>
            <w:r>
              <w:rPr>
                <w:sz w:val="20"/>
                <w:szCs w:val="20"/>
              </w:rPr>
              <w:t>other</w:t>
            </w:r>
            <w:r>
              <w:rPr>
                <w:spacing w:val="-2"/>
                <w:sz w:val="20"/>
                <w:szCs w:val="20"/>
              </w:rPr>
              <w:t xml:space="preserve"> </w:t>
            </w:r>
            <w:r>
              <w:rPr>
                <w:sz w:val="20"/>
                <w:szCs w:val="20"/>
              </w:rPr>
              <w:t>vector-borne</w:t>
            </w:r>
            <w:r>
              <w:rPr>
                <w:spacing w:val="-3"/>
                <w:sz w:val="20"/>
                <w:szCs w:val="20"/>
              </w:rPr>
              <w:t xml:space="preserve"> </w:t>
            </w:r>
            <w:r>
              <w:rPr>
                <w:sz w:val="20"/>
                <w:szCs w:val="20"/>
              </w:rPr>
              <w:t>diseases</w:t>
            </w:r>
            <w:r>
              <w:rPr>
                <w:spacing w:val="-3"/>
                <w:sz w:val="20"/>
                <w:szCs w:val="20"/>
              </w:rPr>
              <w:t xml:space="preserve"> </w:t>
            </w:r>
            <w:r>
              <w:rPr>
                <w:sz w:val="20"/>
                <w:szCs w:val="20"/>
              </w:rPr>
              <w:t>(e.g.</w:t>
            </w:r>
            <w:r>
              <w:rPr>
                <w:spacing w:val="-3"/>
                <w:sz w:val="20"/>
                <w:szCs w:val="20"/>
              </w:rPr>
              <w:t xml:space="preserve"> </w:t>
            </w:r>
            <w:r>
              <w:rPr>
                <w:sz w:val="20"/>
                <w:szCs w:val="20"/>
              </w:rPr>
              <w:t>temporary</w:t>
            </w:r>
            <w:r>
              <w:rPr>
                <w:spacing w:val="-2"/>
                <w:sz w:val="20"/>
                <w:szCs w:val="20"/>
              </w:rPr>
              <w:t xml:space="preserve"> </w:t>
            </w:r>
            <w:r>
              <w:rPr>
                <w:sz w:val="20"/>
                <w:szCs w:val="20"/>
              </w:rPr>
              <w:t>breeding</w:t>
            </w:r>
            <w:r>
              <w:rPr>
                <w:spacing w:val="-3"/>
                <w:sz w:val="20"/>
                <w:szCs w:val="20"/>
              </w:rPr>
              <w:t xml:space="preserve"> </w:t>
            </w:r>
            <w:r>
              <w:rPr>
                <w:sz w:val="20"/>
                <w:szCs w:val="20"/>
              </w:rPr>
              <w:t>habitats),</w:t>
            </w:r>
            <w:r>
              <w:rPr>
                <w:spacing w:val="-1"/>
                <w:sz w:val="20"/>
                <w:szCs w:val="20"/>
              </w:rPr>
              <w:t xml:space="preserve"> </w:t>
            </w:r>
            <w:r>
              <w:rPr>
                <w:sz w:val="20"/>
                <w:szCs w:val="20"/>
              </w:rPr>
              <w:t>communicable</w:t>
            </w:r>
            <w:r>
              <w:rPr>
                <w:spacing w:val="-2"/>
                <w:sz w:val="20"/>
                <w:szCs w:val="20"/>
              </w:rPr>
              <w:t xml:space="preserve"> </w:t>
            </w:r>
            <w:r>
              <w:rPr>
                <w:sz w:val="20"/>
                <w:szCs w:val="20"/>
              </w:rPr>
              <w:t>and noncommunicable diseases, nutritional disorders, mental</w:t>
            </w:r>
            <w:r>
              <w:rPr>
                <w:spacing w:val="-5"/>
                <w:sz w:val="20"/>
                <w:szCs w:val="20"/>
              </w:rPr>
              <w:t xml:space="preserve"> </w:t>
            </w:r>
            <w:r>
              <w:rPr>
                <w:sz w:val="20"/>
                <w:szCs w:val="20"/>
              </w:rPr>
              <w:t>health?</w:t>
            </w:r>
          </w:p>
        </w:tc>
        <w:tc>
          <w:tcPr>
            <w:tcW w:w="833" w:type="dxa"/>
          </w:tcPr>
          <w:p w14:paraId="680914FA" w14:textId="77777777" w:rsidR="00CF33D9" w:rsidRDefault="00E3332A">
            <w:pPr>
              <w:pStyle w:val="TableParagraph"/>
              <w:jc w:val="center"/>
              <w:rPr>
                <w:sz w:val="20"/>
                <w:szCs w:val="20"/>
              </w:rPr>
            </w:pPr>
            <w:r>
              <w:rPr>
                <w:sz w:val="20"/>
                <w:szCs w:val="20"/>
              </w:rPr>
              <w:t>No</w:t>
            </w:r>
          </w:p>
        </w:tc>
      </w:tr>
      <w:tr w:rsidR="00CF33D9" w14:paraId="680914FE" w14:textId="77777777">
        <w:trPr>
          <w:trHeight w:val="558"/>
        </w:trPr>
        <w:tc>
          <w:tcPr>
            <w:tcW w:w="8637" w:type="dxa"/>
          </w:tcPr>
          <w:p w14:paraId="680914FC" w14:textId="77777777" w:rsidR="00CF33D9" w:rsidRDefault="00E3332A">
            <w:pPr>
              <w:pStyle w:val="TableParagraph"/>
              <w:tabs>
                <w:tab w:val="left" w:pos="674"/>
              </w:tabs>
              <w:spacing w:before="61"/>
              <w:ind w:left="674" w:right="243" w:hanging="567"/>
              <w:rPr>
                <w:sz w:val="20"/>
                <w:szCs w:val="20"/>
              </w:rPr>
            </w:pPr>
            <w:r>
              <w:rPr>
                <w:sz w:val="20"/>
                <w:szCs w:val="20"/>
              </w:rPr>
              <w:t>3.5</w:t>
            </w:r>
            <w:r>
              <w:rPr>
                <w:sz w:val="20"/>
                <w:szCs w:val="20"/>
              </w:rPr>
              <w:tab/>
              <w:t>transport,</w:t>
            </w:r>
            <w:r>
              <w:rPr>
                <w:spacing w:val="-2"/>
                <w:sz w:val="20"/>
                <w:szCs w:val="20"/>
              </w:rPr>
              <w:t xml:space="preserve"> </w:t>
            </w:r>
            <w:r>
              <w:rPr>
                <w:sz w:val="20"/>
                <w:szCs w:val="20"/>
              </w:rPr>
              <w:t>storage,</w:t>
            </w:r>
            <w:r>
              <w:rPr>
                <w:spacing w:val="-2"/>
                <w:sz w:val="20"/>
                <w:szCs w:val="20"/>
              </w:rPr>
              <w:t xml:space="preserve"> </w:t>
            </w:r>
            <w:r>
              <w:rPr>
                <w:sz w:val="20"/>
                <w:szCs w:val="20"/>
              </w:rPr>
              <w:t>and</w:t>
            </w:r>
            <w:r>
              <w:rPr>
                <w:spacing w:val="-3"/>
                <w:sz w:val="20"/>
                <w:szCs w:val="20"/>
              </w:rPr>
              <w:t xml:space="preserve"> </w:t>
            </w:r>
            <w:r>
              <w:rPr>
                <w:sz w:val="20"/>
                <w:szCs w:val="20"/>
              </w:rPr>
              <w:t>use</w:t>
            </w:r>
            <w:r>
              <w:rPr>
                <w:spacing w:val="-2"/>
                <w:sz w:val="20"/>
                <w:szCs w:val="20"/>
              </w:rPr>
              <w:t xml:space="preserve"> </w:t>
            </w:r>
            <w:r>
              <w:rPr>
                <w:sz w:val="20"/>
                <w:szCs w:val="20"/>
              </w:rPr>
              <w:t>and/or</w:t>
            </w:r>
            <w:r>
              <w:rPr>
                <w:spacing w:val="-2"/>
                <w:sz w:val="20"/>
                <w:szCs w:val="20"/>
              </w:rPr>
              <w:t xml:space="preserve"> </w:t>
            </w:r>
            <w:r>
              <w:rPr>
                <w:sz w:val="20"/>
                <w:szCs w:val="20"/>
              </w:rPr>
              <w:t>disposal</w:t>
            </w:r>
            <w:r>
              <w:rPr>
                <w:spacing w:val="-3"/>
                <w:sz w:val="20"/>
                <w:szCs w:val="20"/>
              </w:rPr>
              <w:t xml:space="preserve"> </w:t>
            </w:r>
            <w:r>
              <w:rPr>
                <w:sz w:val="20"/>
                <w:szCs w:val="20"/>
              </w:rPr>
              <w:t>of</w:t>
            </w:r>
            <w:r>
              <w:rPr>
                <w:spacing w:val="-2"/>
                <w:sz w:val="20"/>
                <w:szCs w:val="20"/>
              </w:rPr>
              <w:t xml:space="preserve"> </w:t>
            </w:r>
            <w:r>
              <w:rPr>
                <w:sz w:val="20"/>
                <w:szCs w:val="20"/>
              </w:rPr>
              <w:t>hazardous</w:t>
            </w:r>
            <w:r>
              <w:rPr>
                <w:spacing w:val="-3"/>
                <w:sz w:val="20"/>
                <w:szCs w:val="20"/>
              </w:rPr>
              <w:t xml:space="preserve"> </w:t>
            </w:r>
            <w:r>
              <w:rPr>
                <w:sz w:val="20"/>
                <w:szCs w:val="20"/>
              </w:rPr>
              <w:t>or</w:t>
            </w:r>
            <w:r>
              <w:rPr>
                <w:spacing w:val="-2"/>
                <w:sz w:val="20"/>
                <w:szCs w:val="20"/>
              </w:rPr>
              <w:t xml:space="preserve"> </w:t>
            </w:r>
            <w:r>
              <w:rPr>
                <w:sz w:val="20"/>
                <w:szCs w:val="20"/>
              </w:rPr>
              <w:t>dangerous</w:t>
            </w:r>
            <w:r>
              <w:rPr>
                <w:spacing w:val="-2"/>
                <w:sz w:val="20"/>
                <w:szCs w:val="20"/>
              </w:rPr>
              <w:t xml:space="preserve"> </w:t>
            </w:r>
            <w:r>
              <w:rPr>
                <w:sz w:val="20"/>
                <w:szCs w:val="20"/>
              </w:rPr>
              <w:t>materials</w:t>
            </w:r>
            <w:r>
              <w:rPr>
                <w:spacing w:val="-3"/>
                <w:sz w:val="20"/>
                <w:szCs w:val="20"/>
              </w:rPr>
              <w:t xml:space="preserve"> </w:t>
            </w:r>
            <w:r>
              <w:rPr>
                <w:sz w:val="20"/>
                <w:szCs w:val="20"/>
              </w:rPr>
              <w:t>(e.g.</w:t>
            </w:r>
            <w:r>
              <w:rPr>
                <w:spacing w:val="-3"/>
                <w:sz w:val="20"/>
                <w:szCs w:val="20"/>
              </w:rPr>
              <w:t xml:space="preserve"> </w:t>
            </w:r>
            <w:r>
              <w:rPr>
                <w:sz w:val="20"/>
                <w:szCs w:val="20"/>
              </w:rPr>
              <w:t>explosives,</w:t>
            </w:r>
            <w:r>
              <w:rPr>
                <w:spacing w:val="-1"/>
                <w:sz w:val="20"/>
                <w:szCs w:val="20"/>
              </w:rPr>
              <w:t xml:space="preserve"> </w:t>
            </w:r>
            <w:r>
              <w:rPr>
                <w:sz w:val="20"/>
                <w:szCs w:val="20"/>
              </w:rPr>
              <w:t>fuel</w:t>
            </w:r>
            <w:r>
              <w:rPr>
                <w:spacing w:val="-3"/>
                <w:sz w:val="20"/>
                <w:szCs w:val="20"/>
              </w:rPr>
              <w:t xml:space="preserve"> </w:t>
            </w:r>
            <w:r>
              <w:rPr>
                <w:sz w:val="20"/>
                <w:szCs w:val="20"/>
              </w:rPr>
              <w:t>and other chemicals during construction and</w:t>
            </w:r>
            <w:r>
              <w:rPr>
                <w:spacing w:val="-3"/>
                <w:sz w:val="20"/>
                <w:szCs w:val="20"/>
              </w:rPr>
              <w:t xml:space="preserve"> </w:t>
            </w:r>
            <w:r>
              <w:rPr>
                <w:sz w:val="20"/>
                <w:szCs w:val="20"/>
              </w:rPr>
              <w:t>operation)?</w:t>
            </w:r>
          </w:p>
        </w:tc>
        <w:tc>
          <w:tcPr>
            <w:tcW w:w="833" w:type="dxa"/>
          </w:tcPr>
          <w:p w14:paraId="680914FD" w14:textId="77777777" w:rsidR="00CF33D9" w:rsidRDefault="00E3332A">
            <w:pPr>
              <w:pStyle w:val="TableParagraph"/>
              <w:jc w:val="center"/>
              <w:rPr>
                <w:sz w:val="20"/>
                <w:szCs w:val="20"/>
              </w:rPr>
            </w:pPr>
            <w:r>
              <w:rPr>
                <w:sz w:val="20"/>
                <w:szCs w:val="20"/>
              </w:rPr>
              <w:t>No</w:t>
            </w:r>
          </w:p>
        </w:tc>
      </w:tr>
      <w:tr w:rsidR="00CF33D9" w14:paraId="68091502" w14:textId="77777777">
        <w:trPr>
          <w:trHeight w:val="561"/>
        </w:trPr>
        <w:tc>
          <w:tcPr>
            <w:tcW w:w="8637" w:type="dxa"/>
          </w:tcPr>
          <w:p w14:paraId="680914FF" w14:textId="77777777" w:rsidR="00CF33D9" w:rsidRDefault="00E3332A">
            <w:pPr>
              <w:pStyle w:val="TableParagraph"/>
              <w:tabs>
                <w:tab w:val="left" w:pos="674"/>
              </w:tabs>
              <w:spacing w:before="61"/>
              <w:ind w:left="107"/>
              <w:rPr>
                <w:sz w:val="20"/>
                <w:szCs w:val="20"/>
              </w:rPr>
            </w:pPr>
            <w:r>
              <w:rPr>
                <w:sz w:val="20"/>
                <w:szCs w:val="20"/>
              </w:rPr>
              <w:t>3.6</w:t>
            </w:r>
            <w:r>
              <w:rPr>
                <w:sz w:val="20"/>
                <w:szCs w:val="20"/>
              </w:rPr>
              <w:tab/>
              <w:t>adverse impacts on ecosystems and ecosystem services relevant to communities’ health (e.g. food,</w:t>
            </w:r>
            <w:r>
              <w:rPr>
                <w:spacing w:val="-27"/>
                <w:sz w:val="20"/>
                <w:szCs w:val="20"/>
              </w:rPr>
              <w:t xml:space="preserve"> </w:t>
            </w:r>
            <w:r>
              <w:rPr>
                <w:sz w:val="20"/>
                <w:szCs w:val="20"/>
              </w:rPr>
              <w:t>surface</w:t>
            </w:r>
          </w:p>
          <w:p w14:paraId="68091500" w14:textId="77777777" w:rsidR="00CF33D9" w:rsidRDefault="00E3332A">
            <w:pPr>
              <w:pStyle w:val="TableParagraph"/>
              <w:spacing w:before="1"/>
              <w:ind w:left="674"/>
              <w:rPr>
                <w:sz w:val="20"/>
                <w:szCs w:val="20"/>
              </w:rPr>
            </w:pPr>
            <w:r>
              <w:rPr>
                <w:sz w:val="20"/>
                <w:szCs w:val="20"/>
              </w:rPr>
              <w:t>water purification, natural buffers from flooding)?</w:t>
            </w:r>
          </w:p>
        </w:tc>
        <w:tc>
          <w:tcPr>
            <w:tcW w:w="833" w:type="dxa"/>
          </w:tcPr>
          <w:p w14:paraId="68091501" w14:textId="77777777" w:rsidR="00CF33D9" w:rsidRDefault="00E3332A">
            <w:pPr>
              <w:pStyle w:val="TableParagraph"/>
              <w:jc w:val="center"/>
              <w:rPr>
                <w:sz w:val="20"/>
                <w:szCs w:val="20"/>
              </w:rPr>
            </w:pPr>
            <w:r>
              <w:rPr>
                <w:sz w:val="20"/>
                <w:szCs w:val="20"/>
              </w:rPr>
              <w:t>No</w:t>
            </w:r>
          </w:p>
        </w:tc>
      </w:tr>
      <w:tr w:rsidR="00CF33D9" w14:paraId="68091505" w14:textId="77777777">
        <w:trPr>
          <w:trHeight w:val="337"/>
        </w:trPr>
        <w:tc>
          <w:tcPr>
            <w:tcW w:w="8637" w:type="dxa"/>
          </w:tcPr>
          <w:p w14:paraId="68091503" w14:textId="77777777" w:rsidR="00CF33D9" w:rsidRDefault="00E3332A">
            <w:pPr>
              <w:pStyle w:val="TableParagraph"/>
              <w:tabs>
                <w:tab w:val="left" w:pos="674"/>
              </w:tabs>
              <w:spacing w:before="61"/>
              <w:ind w:left="107"/>
              <w:rPr>
                <w:sz w:val="20"/>
                <w:szCs w:val="20"/>
              </w:rPr>
            </w:pPr>
            <w:r>
              <w:rPr>
                <w:sz w:val="20"/>
                <w:szCs w:val="20"/>
              </w:rPr>
              <w:t>3.7</w:t>
            </w:r>
            <w:r>
              <w:rPr>
                <w:sz w:val="20"/>
                <w:szCs w:val="20"/>
              </w:rPr>
              <w:tab/>
              <w:t>influx of project workers to project areas?</w:t>
            </w:r>
          </w:p>
        </w:tc>
        <w:tc>
          <w:tcPr>
            <w:tcW w:w="833" w:type="dxa"/>
          </w:tcPr>
          <w:p w14:paraId="68091504" w14:textId="77777777" w:rsidR="00CF33D9" w:rsidRDefault="00E3332A">
            <w:pPr>
              <w:pStyle w:val="TableParagraph"/>
              <w:jc w:val="center"/>
              <w:rPr>
                <w:sz w:val="20"/>
                <w:szCs w:val="20"/>
              </w:rPr>
            </w:pPr>
            <w:r>
              <w:rPr>
                <w:sz w:val="20"/>
                <w:szCs w:val="20"/>
              </w:rPr>
              <w:t>No</w:t>
            </w:r>
          </w:p>
        </w:tc>
      </w:tr>
      <w:tr w:rsidR="00CF33D9" w14:paraId="68091508" w14:textId="77777777">
        <w:trPr>
          <w:trHeight w:val="340"/>
        </w:trPr>
        <w:tc>
          <w:tcPr>
            <w:tcW w:w="8637" w:type="dxa"/>
          </w:tcPr>
          <w:p w14:paraId="68091506" w14:textId="77777777" w:rsidR="00CF33D9" w:rsidRDefault="00E3332A">
            <w:pPr>
              <w:pStyle w:val="TableParagraph"/>
              <w:tabs>
                <w:tab w:val="left" w:pos="674"/>
              </w:tabs>
              <w:spacing w:before="63"/>
              <w:ind w:left="107"/>
              <w:rPr>
                <w:sz w:val="20"/>
                <w:szCs w:val="20"/>
              </w:rPr>
            </w:pPr>
            <w:r>
              <w:rPr>
                <w:sz w:val="20"/>
                <w:szCs w:val="20"/>
              </w:rPr>
              <w:t>3.8</w:t>
            </w:r>
            <w:r>
              <w:rPr>
                <w:sz w:val="20"/>
                <w:szCs w:val="20"/>
              </w:rPr>
              <w:tab/>
              <w:t>engagement of security personnel to protect facilities and property or to support project</w:t>
            </w:r>
            <w:r>
              <w:rPr>
                <w:spacing w:val="-13"/>
                <w:sz w:val="20"/>
                <w:szCs w:val="20"/>
              </w:rPr>
              <w:t xml:space="preserve"> </w:t>
            </w:r>
            <w:r>
              <w:rPr>
                <w:sz w:val="20"/>
                <w:szCs w:val="20"/>
              </w:rPr>
              <w:t>activities?</w:t>
            </w:r>
          </w:p>
        </w:tc>
        <w:tc>
          <w:tcPr>
            <w:tcW w:w="833" w:type="dxa"/>
          </w:tcPr>
          <w:p w14:paraId="68091507" w14:textId="77777777" w:rsidR="00CF33D9" w:rsidRDefault="00E3332A">
            <w:pPr>
              <w:pStyle w:val="TableParagraph"/>
              <w:jc w:val="center"/>
              <w:rPr>
                <w:sz w:val="20"/>
                <w:szCs w:val="20"/>
              </w:rPr>
            </w:pPr>
            <w:r>
              <w:rPr>
                <w:sz w:val="20"/>
                <w:szCs w:val="20"/>
              </w:rPr>
              <w:t>No</w:t>
            </w:r>
          </w:p>
        </w:tc>
      </w:tr>
      <w:tr w:rsidR="00CF33D9" w14:paraId="6809150B" w14:textId="77777777">
        <w:trPr>
          <w:trHeight w:val="503"/>
        </w:trPr>
        <w:tc>
          <w:tcPr>
            <w:tcW w:w="8637" w:type="dxa"/>
            <w:shd w:val="clear" w:color="auto" w:fill="DBE4F0"/>
          </w:tcPr>
          <w:p w14:paraId="68091509" w14:textId="77777777" w:rsidR="00CF33D9" w:rsidRDefault="00E3332A">
            <w:pPr>
              <w:pStyle w:val="TableParagraph"/>
              <w:spacing w:before="143"/>
              <w:ind w:left="107"/>
              <w:rPr>
                <w:b/>
                <w:sz w:val="20"/>
                <w:szCs w:val="20"/>
              </w:rPr>
            </w:pPr>
            <w:r>
              <w:rPr>
                <w:b/>
                <w:sz w:val="20"/>
                <w:szCs w:val="20"/>
              </w:rPr>
              <w:t>Standard 4: Cultural Heritage</w:t>
            </w:r>
          </w:p>
        </w:tc>
        <w:tc>
          <w:tcPr>
            <w:tcW w:w="833" w:type="dxa"/>
            <w:shd w:val="clear" w:color="auto" w:fill="DBE4F0"/>
          </w:tcPr>
          <w:p w14:paraId="6809150A" w14:textId="77777777" w:rsidR="00CF33D9" w:rsidRDefault="00CF33D9">
            <w:pPr>
              <w:pStyle w:val="TableParagraph"/>
              <w:rPr>
                <w:sz w:val="20"/>
                <w:szCs w:val="20"/>
              </w:rPr>
            </w:pPr>
          </w:p>
        </w:tc>
      </w:tr>
      <w:tr w:rsidR="00CF33D9" w14:paraId="6809150E" w14:textId="77777777">
        <w:trPr>
          <w:trHeight w:val="340"/>
        </w:trPr>
        <w:tc>
          <w:tcPr>
            <w:tcW w:w="8637" w:type="dxa"/>
          </w:tcPr>
          <w:p w14:paraId="6809150C" w14:textId="77777777" w:rsidR="00CF33D9" w:rsidRDefault="00E3332A">
            <w:pPr>
              <w:pStyle w:val="TableParagraph"/>
              <w:spacing w:before="61"/>
              <w:ind w:left="107"/>
              <w:rPr>
                <w:i/>
                <w:sz w:val="20"/>
                <w:szCs w:val="20"/>
              </w:rPr>
            </w:pPr>
            <w:r>
              <w:rPr>
                <w:i/>
                <w:sz w:val="20"/>
                <w:szCs w:val="20"/>
              </w:rPr>
              <w:t>Would the project potentially involve or lead to:</w:t>
            </w:r>
          </w:p>
        </w:tc>
        <w:tc>
          <w:tcPr>
            <w:tcW w:w="833" w:type="dxa"/>
          </w:tcPr>
          <w:p w14:paraId="6809150D" w14:textId="77777777" w:rsidR="00CF33D9" w:rsidRDefault="00CF33D9">
            <w:pPr>
              <w:pStyle w:val="TableParagraph"/>
              <w:jc w:val="center"/>
              <w:rPr>
                <w:sz w:val="20"/>
                <w:szCs w:val="20"/>
              </w:rPr>
            </w:pPr>
          </w:p>
        </w:tc>
      </w:tr>
      <w:tr w:rsidR="00CF33D9" w14:paraId="68091511" w14:textId="77777777">
        <w:trPr>
          <w:trHeight w:val="337"/>
        </w:trPr>
        <w:tc>
          <w:tcPr>
            <w:tcW w:w="8637" w:type="dxa"/>
          </w:tcPr>
          <w:p w14:paraId="6809150F" w14:textId="77777777" w:rsidR="00CF33D9" w:rsidRDefault="00E3332A">
            <w:pPr>
              <w:pStyle w:val="TableParagraph"/>
              <w:tabs>
                <w:tab w:val="left" w:pos="674"/>
              </w:tabs>
              <w:spacing w:before="61"/>
              <w:ind w:left="107"/>
              <w:rPr>
                <w:sz w:val="20"/>
                <w:szCs w:val="20"/>
              </w:rPr>
            </w:pPr>
            <w:r>
              <w:rPr>
                <w:sz w:val="20"/>
                <w:szCs w:val="20"/>
              </w:rPr>
              <w:t>4.1</w:t>
            </w:r>
            <w:r>
              <w:rPr>
                <w:sz w:val="20"/>
                <w:szCs w:val="20"/>
              </w:rPr>
              <w:tab/>
              <w:t>activities adjacent to or within a Cultural Heritage site?</w:t>
            </w:r>
          </w:p>
        </w:tc>
        <w:tc>
          <w:tcPr>
            <w:tcW w:w="833" w:type="dxa"/>
          </w:tcPr>
          <w:p w14:paraId="68091510" w14:textId="77777777" w:rsidR="00CF33D9" w:rsidRDefault="00E3332A">
            <w:pPr>
              <w:pStyle w:val="TableParagraph"/>
              <w:jc w:val="center"/>
              <w:rPr>
                <w:sz w:val="20"/>
                <w:szCs w:val="20"/>
              </w:rPr>
            </w:pPr>
            <w:r>
              <w:rPr>
                <w:sz w:val="20"/>
                <w:szCs w:val="20"/>
              </w:rPr>
              <w:t>No</w:t>
            </w:r>
          </w:p>
        </w:tc>
      </w:tr>
      <w:tr w:rsidR="00CF33D9" w14:paraId="68091514" w14:textId="77777777">
        <w:trPr>
          <w:trHeight w:val="340"/>
        </w:trPr>
        <w:tc>
          <w:tcPr>
            <w:tcW w:w="8637" w:type="dxa"/>
          </w:tcPr>
          <w:p w14:paraId="68091512" w14:textId="77777777" w:rsidR="00CF33D9" w:rsidRDefault="00E3332A">
            <w:pPr>
              <w:pStyle w:val="TableParagraph"/>
              <w:tabs>
                <w:tab w:val="left" w:pos="674"/>
              </w:tabs>
              <w:spacing w:before="63"/>
              <w:ind w:left="107"/>
              <w:rPr>
                <w:sz w:val="20"/>
                <w:szCs w:val="20"/>
              </w:rPr>
            </w:pPr>
            <w:r>
              <w:rPr>
                <w:sz w:val="20"/>
                <w:szCs w:val="20"/>
              </w:rPr>
              <w:t>4.2</w:t>
            </w:r>
            <w:r>
              <w:rPr>
                <w:sz w:val="20"/>
                <w:szCs w:val="20"/>
              </w:rPr>
              <w:tab/>
              <w:t>significant excavations, demolitions, movement of earth, flooding or other environmental</w:t>
            </w:r>
            <w:r>
              <w:rPr>
                <w:spacing w:val="-13"/>
                <w:sz w:val="20"/>
                <w:szCs w:val="20"/>
              </w:rPr>
              <w:t xml:space="preserve"> </w:t>
            </w:r>
            <w:r>
              <w:rPr>
                <w:sz w:val="20"/>
                <w:szCs w:val="20"/>
              </w:rPr>
              <w:t>changes?</w:t>
            </w:r>
          </w:p>
        </w:tc>
        <w:tc>
          <w:tcPr>
            <w:tcW w:w="833" w:type="dxa"/>
          </w:tcPr>
          <w:p w14:paraId="68091513" w14:textId="77777777" w:rsidR="00CF33D9" w:rsidRDefault="00E3332A">
            <w:pPr>
              <w:pStyle w:val="TableParagraph"/>
              <w:jc w:val="center"/>
              <w:rPr>
                <w:sz w:val="20"/>
                <w:szCs w:val="20"/>
              </w:rPr>
            </w:pPr>
            <w:r>
              <w:rPr>
                <w:sz w:val="20"/>
                <w:szCs w:val="20"/>
              </w:rPr>
              <w:t>No</w:t>
            </w:r>
          </w:p>
        </w:tc>
      </w:tr>
      <w:tr w:rsidR="00CF33D9" w14:paraId="68091517" w14:textId="77777777">
        <w:trPr>
          <w:trHeight w:val="779"/>
        </w:trPr>
        <w:tc>
          <w:tcPr>
            <w:tcW w:w="8637" w:type="dxa"/>
          </w:tcPr>
          <w:p w14:paraId="68091515" w14:textId="77777777" w:rsidR="00CF33D9" w:rsidRDefault="00E3332A">
            <w:pPr>
              <w:pStyle w:val="TableParagraph"/>
              <w:tabs>
                <w:tab w:val="left" w:pos="674"/>
              </w:tabs>
              <w:spacing w:before="61"/>
              <w:ind w:left="674" w:right="249" w:hanging="567"/>
              <w:rPr>
                <w:sz w:val="20"/>
                <w:szCs w:val="20"/>
              </w:rPr>
            </w:pPr>
            <w:r>
              <w:rPr>
                <w:sz w:val="20"/>
                <w:szCs w:val="20"/>
              </w:rPr>
              <w:t>4.3</w:t>
            </w:r>
            <w:r>
              <w:rPr>
                <w:sz w:val="20"/>
                <w:szCs w:val="20"/>
              </w:rPr>
              <w:tab/>
              <w:t>adverse impacts to sites, structures, or objects with historical, cultural, artistic, traditional or religious values</w:t>
            </w:r>
            <w:r>
              <w:rPr>
                <w:spacing w:val="-3"/>
                <w:sz w:val="20"/>
                <w:szCs w:val="20"/>
              </w:rPr>
              <w:t xml:space="preserve"> </w:t>
            </w:r>
            <w:r>
              <w:rPr>
                <w:sz w:val="20"/>
                <w:szCs w:val="20"/>
              </w:rPr>
              <w:t>or</w:t>
            </w:r>
            <w:r>
              <w:rPr>
                <w:spacing w:val="-3"/>
                <w:sz w:val="20"/>
                <w:szCs w:val="20"/>
              </w:rPr>
              <w:t xml:space="preserve"> </w:t>
            </w:r>
            <w:r>
              <w:rPr>
                <w:sz w:val="20"/>
                <w:szCs w:val="20"/>
              </w:rPr>
              <w:t>intangible</w:t>
            </w:r>
            <w:r>
              <w:rPr>
                <w:spacing w:val="-3"/>
                <w:sz w:val="20"/>
                <w:szCs w:val="20"/>
              </w:rPr>
              <w:t xml:space="preserve"> </w:t>
            </w:r>
            <w:r>
              <w:rPr>
                <w:sz w:val="20"/>
                <w:szCs w:val="20"/>
              </w:rPr>
              <w:t>forms</w:t>
            </w:r>
            <w:r>
              <w:rPr>
                <w:spacing w:val="-3"/>
                <w:sz w:val="20"/>
                <w:szCs w:val="20"/>
              </w:rPr>
              <w:t xml:space="preserve"> </w:t>
            </w:r>
            <w:r>
              <w:rPr>
                <w:sz w:val="20"/>
                <w:szCs w:val="20"/>
              </w:rPr>
              <w:t>of</w:t>
            </w:r>
            <w:r>
              <w:rPr>
                <w:spacing w:val="-3"/>
                <w:sz w:val="20"/>
                <w:szCs w:val="20"/>
              </w:rPr>
              <w:t xml:space="preserve"> </w:t>
            </w:r>
            <w:r>
              <w:rPr>
                <w:sz w:val="20"/>
                <w:szCs w:val="20"/>
              </w:rPr>
              <w:t>culture</w:t>
            </w:r>
            <w:r>
              <w:rPr>
                <w:spacing w:val="-4"/>
                <w:sz w:val="20"/>
                <w:szCs w:val="20"/>
              </w:rPr>
              <w:t xml:space="preserve"> </w:t>
            </w:r>
            <w:r>
              <w:rPr>
                <w:sz w:val="20"/>
                <w:szCs w:val="20"/>
              </w:rPr>
              <w:t>(e.g.</w:t>
            </w:r>
            <w:r>
              <w:rPr>
                <w:spacing w:val="-3"/>
                <w:sz w:val="20"/>
                <w:szCs w:val="20"/>
              </w:rPr>
              <w:t xml:space="preserve"> </w:t>
            </w:r>
            <w:r>
              <w:rPr>
                <w:sz w:val="20"/>
                <w:szCs w:val="20"/>
              </w:rPr>
              <w:t>knowledge,</w:t>
            </w:r>
            <w:r>
              <w:rPr>
                <w:spacing w:val="-2"/>
                <w:sz w:val="20"/>
                <w:szCs w:val="20"/>
              </w:rPr>
              <w:t xml:space="preserve"> </w:t>
            </w:r>
            <w:r>
              <w:rPr>
                <w:sz w:val="20"/>
                <w:szCs w:val="20"/>
              </w:rPr>
              <w:t>innovations,</w:t>
            </w:r>
            <w:r>
              <w:rPr>
                <w:spacing w:val="-1"/>
                <w:sz w:val="20"/>
                <w:szCs w:val="20"/>
              </w:rPr>
              <w:t xml:space="preserve"> </w:t>
            </w:r>
            <w:r>
              <w:rPr>
                <w:sz w:val="20"/>
                <w:szCs w:val="20"/>
              </w:rPr>
              <w:t>practices)?</w:t>
            </w:r>
            <w:r>
              <w:rPr>
                <w:spacing w:val="-2"/>
                <w:sz w:val="20"/>
                <w:szCs w:val="20"/>
              </w:rPr>
              <w:t xml:space="preserve"> </w:t>
            </w:r>
            <w:r>
              <w:rPr>
                <w:sz w:val="20"/>
                <w:szCs w:val="20"/>
              </w:rPr>
              <w:t>(Note:</w:t>
            </w:r>
            <w:r>
              <w:rPr>
                <w:spacing w:val="1"/>
                <w:sz w:val="20"/>
                <w:szCs w:val="20"/>
              </w:rPr>
              <w:t xml:space="preserve"> </w:t>
            </w:r>
            <w:r>
              <w:rPr>
                <w:sz w:val="20"/>
                <w:szCs w:val="20"/>
              </w:rPr>
              <w:t>projects</w:t>
            </w:r>
            <w:r>
              <w:rPr>
                <w:spacing w:val="-3"/>
                <w:sz w:val="20"/>
                <w:szCs w:val="20"/>
              </w:rPr>
              <w:t xml:space="preserve"> </w:t>
            </w:r>
            <w:r>
              <w:rPr>
                <w:sz w:val="20"/>
                <w:szCs w:val="20"/>
              </w:rPr>
              <w:t>intended</w:t>
            </w:r>
            <w:r>
              <w:rPr>
                <w:spacing w:val="-3"/>
                <w:sz w:val="20"/>
                <w:szCs w:val="20"/>
              </w:rPr>
              <w:t xml:space="preserve"> </w:t>
            </w:r>
            <w:r>
              <w:rPr>
                <w:sz w:val="20"/>
                <w:szCs w:val="20"/>
              </w:rPr>
              <w:t>to protect and conserve Cultural Heritage may also have inadvertent adverse</w:t>
            </w:r>
            <w:r>
              <w:rPr>
                <w:spacing w:val="-9"/>
                <w:sz w:val="20"/>
                <w:szCs w:val="20"/>
              </w:rPr>
              <w:t xml:space="preserve"> </w:t>
            </w:r>
            <w:r>
              <w:rPr>
                <w:sz w:val="20"/>
                <w:szCs w:val="20"/>
              </w:rPr>
              <w:t>impacts)</w:t>
            </w:r>
          </w:p>
        </w:tc>
        <w:tc>
          <w:tcPr>
            <w:tcW w:w="833" w:type="dxa"/>
          </w:tcPr>
          <w:p w14:paraId="68091516" w14:textId="77777777" w:rsidR="00CF33D9" w:rsidRDefault="00E3332A">
            <w:pPr>
              <w:pStyle w:val="TableParagraph"/>
              <w:jc w:val="center"/>
              <w:rPr>
                <w:sz w:val="20"/>
                <w:szCs w:val="20"/>
              </w:rPr>
            </w:pPr>
            <w:r>
              <w:rPr>
                <w:sz w:val="20"/>
                <w:szCs w:val="20"/>
              </w:rPr>
              <w:t>Yes</w:t>
            </w:r>
          </w:p>
        </w:tc>
      </w:tr>
      <w:tr w:rsidR="00CF33D9" w14:paraId="6809151A" w14:textId="77777777">
        <w:trPr>
          <w:trHeight w:val="340"/>
        </w:trPr>
        <w:tc>
          <w:tcPr>
            <w:tcW w:w="8637" w:type="dxa"/>
          </w:tcPr>
          <w:p w14:paraId="68091518" w14:textId="77777777" w:rsidR="00CF33D9" w:rsidRDefault="00E3332A">
            <w:pPr>
              <w:pStyle w:val="TableParagraph"/>
              <w:tabs>
                <w:tab w:val="left" w:pos="674"/>
              </w:tabs>
              <w:spacing w:before="62"/>
              <w:ind w:left="107"/>
              <w:rPr>
                <w:sz w:val="20"/>
                <w:szCs w:val="20"/>
              </w:rPr>
            </w:pPr>
            <w:r>
              <w:rPr>
                <w:sz w:val="20"/>
                <w:szCs w:val="20"/>
              </w:rPr>
              <w:t>4.4</w:t>
            </w:r>
            <w:r>
              <w:rPr>
                <w:sz w:val="20"/>
                <w:szCs w:val="20"/>
              </w:rPr>
              <w:tab/>
              <w:t>alterations to landscapes and natural features with cultural</w:t>
            </w:r>
            <w:r>
              <w:rPr>
                <w:spacing w:val="-10"/>
                <w:sz w:val="20"/>
                <w:szCs w:val="20"/>
              </w:rPr>
              <w:t xml:space="preserve"> </w:t>
            </w:r>
            <w:r>
              <w:rPr>
                <w:sz w:val="20"/>
                <w:szCs w:val="20"/>
              </w:rPr>
              <w:t>significance?</w:t>
            </w:r>
          </w:p>
        </w:tc>
        <w:tc>
          <w:tcPr>
            <w:tcW w:w="833" w:type="dxa"/>
          </w:tcPr>
          <w:p w14:paraId="68091519" w14:textId="77777777" w:rsidR="00CF33D9" w:rsidRDefault="00E3332A">
            <w:pPr>
              <w:pStyle w:val="TableParagraph"/>
              <w:jc w:val="center"/>
              <w:rPr>
                <w:sz w:val="20"/>
                <w:szCs w:val="20"/>
              </w:rPr>
            </w:pPr>
            <w:r>
              <w:rPr>
                <w:sz w:val="20"/>
                <w:szCs w:val="20"/>
              </w:rPr>
              <w:t>No</w:t>
            </w:r>
          </w:p>
        </w:tc>
      </w:tr>
      <w:tr w:rsidR="00CF33D9" w14:paraId="6809151D" w14:textId="77777777">
        <w:trPr>
          <w:trHeight w:val="558"/>
        </w:trPr>
        <w:tc>
          <w:tcPr>
            <w:tcW w:w="8637" w:type="dxa"/>
          </w:tcPr>
          <w:p w14:paraId="6809151B" w14:textId="77777777" w:rsidR="00CF33D9" w:rsidRDefault="00E3332A">
            <w:pPr>
              <w:pStyle w:val="TableParagraph"/>
              <w:tabs>
                <w:tab w:val="left" w:pos="674"/>
              </w:tabs>
              <w:spacing w:before="59"/>
              <w:ind w:left="674" w:right="343" w:hanging="567"/>
              <w:rPr>
                <w:sz w:val="20"/>
                <w:szCs w:val="20"/>
              </w:rPr>
            </w:pPr>
            <w:r>
              <w:rPr>
                <w:sz w:val="20"/>
                <w:szCs w:val="20"/>
              </w:rPr>
              <w:t>4.5</w:t>
            </w:r>
            <w:r>
              <w:rPr>
                <w:sz w:val="20"/>
                <w:szCs w:val="20"/>
              </w:rPr>
              <w:tab/>
              <w:t>utilization</w:t>
            </w:r>
            <w:r>
              <w:rPr>
                <w:spacing w:val="-4"/>
                <w:sz w:val="20"/>
                <w:szCs w:val="20"/>
              </w:rPr>
              <w:t xml:space="preserve"> </w:t>
            </w:r>
            <w:r>
              <w:rPr>
                <w:sz w:val="20"/>
                <w:szCs w:val="20"/>
              </w:rPr>
              <w:t>of</w:t>
            </w:r>
            <w:r>
              <w:rPr>
                <w:spacing w:val="-2"/>
                <w:sz w:val="20"/>
                <w:szCs w:val="20"/>
              </w:rPr>
              <w:t xml:space="preserve"> </w:t>
            </w:r>
            <w:r>
              <w:rPr>
                <w:sz w:val="20"/>
                <w:szCs w:val="20"/>
              </w:rPr>
              <w:t>tangible</w:t>
            </w:r>
            <w:r>
              <w:rPr>
                <w:spacing w:val="-3"/>
                <w:sz w:val="20"/>
                <w:szCs w:val="20"/>
              </w:rPr>
              <w:t xml:space="preserve"> </w:t>
            </w:r>
            <w:r>
              <w:rPr>
                <w:sz w:val="20"/>
                <w:szCs w:val="20"/>
              </w:rPr>
              <w:t>and/or</w:t>
            </w:r>
            <w:r>
              <w:rPr>
                <w:spacing w:val="-2"/>
                <w:sz w:val="20"/>
                <w:szCs w:val="20"/>
              </w:rPr>
              <w:t xml:space="preserve"> </w:t>
            </w:r>
            <w:r>
              <w:rPr>
                <w:sz w:val="20"/>
                <w:szCs w:val="20"/>
              </w:rPr>
              <w:t>intangible</w:t>
            </w:r>
            <w:r>
              <w:rPr>
                <w:spacing w:val="-4"/>
                <w:sz w:val="20"/>
                <w:szCs w:val="20"/>
              </w:rPr>
              <w:t xml:space="preserve"> </w:t>
            </w:r>
            <w:r>
              <w:rPr>
                <w:sz w:val="20"/>
                <w:szCs w:val="20"/>
              </w:rPr>
              <w:t>forms</w:t>
            </w:r>
            <w:r>
              <w:rPr>
                <w:spacing w:val="-2"/>
                <w:sz w:val="20"/>
                <w:szCs w:val="20"/>
              </w:rPr>
              <w:t xml:space="preserve"> </w:t>
            </w:r>
            <w:r>
              <w:rPr>
                <w:sz w:val="20"/>
                <w:szCs w:val="20"/>
              </w:rPr>
              <w:t>(e.g.</w:t>
            </w:r>
            <w:r>
              <w:rPr>
                <w:spacing w:val="-3"/>
                <w:sz w:val="20"/>
                <w:szCs w:val="20"/>
              </w:rPr>
              <w:t xml:space="preserve"> </w:t>
            </w:r>
            <w:r>
              <w:rPr>
                <w:sz w:val="20"/>
                <w:szCs w:val="20"/>
              </w:rPr>
              <w:t>practices,</w:t>
            </w:r>
            <w:r>
              <w:rPr>
                <w:spacing w:val="-2"/>
                <w:sz w:val="20"/>
                <w:szCs w:val="20"/>
              </w:rPr>
              <w:t xml:space="preserve"> </w:t>
            </w:r>
            <w:r>
              <w:rPr>
                <w:sz w:val="20"/>
                <w:szCs w:val="20"/>
              </w:rPr>
              <w:t>traditional</w:t>
            </w:r>
            <w:r>
              <w:rPr>
                <w:spacing w:val="-4"/>
                <w:sz w:val="20"/>
                <w:szCs w:val="20"/>
              </w:rPr>
              <w:t xml:space="preserve"> </w:t>
            </w:r>
            <w:r>
              <w:rPr>
                <w:sz w:val="20"/>
                <w:szCs w:val="20"/>
              </w:rPr>
              <w:t>knowledge) of</w:t>
            </w:r>
            <w:r>
              <w:rPr>
                <w:spacing w:val="-2"/>
                <w:sz w:val="20"/>
                <w:szCs w:val="20"/>
              </w:rPr>
              <w:t xml:space="preserve"> </w:t>
            </w:r>
            <w:r>
              <w:rPr>
                <w:sz w:val="20"/>
                <w:szCs w:val="20"/>
              </w:rPr>
              <w:t>Cultural</w:t>
            </w:r>
            <w:r>
              <w:rPr>
                <w:spacing w:val="-4"/>
                <w:sz w:val="20"/>
                <w:szCs w:val="20"/>
              </w:rPr>
              <w:t xml:space="preserve"> </w:t>
            </w:r>
            <w:r>
              <w:rPr>
                <w:sz w:val="20"/>
                <w:szCs w:val="20"/>
              </w:rPr>
              <w:t>Heritage for commercial or other</w:t>
            </w:r>
            <w:r>
              <w:rPr>
                <w:spacing w:val="-5"/>
                <w:sz w:val="20"/>
                <w:szCs w:val="20"/>
              </w:rPr>
              <w:t xml:space="preserve"> </w:t>
            </w:r>
            <w:r>
              <w:rPr>
                <w:sz w:val="20"/>
                <w:szCs w:val="20"/>
              </w:rPr>
              <w:t>purposes?</w:t>
            </w:r>
          </w:p>
        </w:tc>
        <w:tc>
          <w:tcPr>
            <w:tcW w:w="833" w:type="dxa"/>
          </w:tcPr>
          <w:p w14:paraId="6809151C" w14:textId="77777777" w:rsidR="00CF33D9" w:rsidRDefault="00E3332A">
            <w:pPr>
              <w:pStyle w:val="TableParagraph"/>
              <w:jc w:val="center"/>
              <w:rPr>
                <w:sz w:val="20"/>
                <w:szCs w:val="20"/>
              </w:rPr>
            </w:pPr>
            <w:r>
              <w:rPr>
                <w:sz w:val="20"/>
                <w:szCs w:val="20"/>
              </w:rPr>
              <w:t>No</w:t>
            </w:r>
          </w:p>
        </w:tc>
      </w:tr>
      <w:tr w:rsidR="00CF33D9" w14:paraId="68091521" w14:textId="77777777">
        <w:trPr>
          <w:trHeight w:val="566"/>
        </w:trPr>
        <w:tc>
          <w:tcPr>
            <w:tcW w:w="8637" w:type="dxa"/>
            <w:shd w:val="clear" w:color="auto" w:fill="DBE4F0"/>
          </w:tcPr>
          <w:p w14:paraId="6809151E" w14:textId="77777777" w:rsidR="00CF33D9" w:rsidRDefault="00CF33D9">
            <w:pPr>
              <w:pStyle w:val="TableParagraph"/>
              <w:spacing w:before="3"/>
              <w:rPr>
                <w:sz w:val="20"/>
                <w:szCs w:val="20"/>
              </w:rPr>
            </w:pPr>
          </w:p>
          <w:p w14:paraId="6809151F" w14:textId="77777777" w:rsidR="00CF33D9" w:rsidRDefault="00E3332A">
            <w:pPr>
              <w:pStyle w:val="TableParagraph"/>
              <w:ind w:left="107"/>
              <w:rPr>
                <w:b/>
                <w:sz w:val="20"/>
                <w:szCs w:val="20"/>
              </w:rPr>
            </w:pPr>
            <w:r>
              <w:rPr>
                <w:b/>
                <w:sz w:val="20"/>
                <w:szCs w:val="20"/>
              </w:rPr>
              <w:t>Standard 5: Displacement and Resettlement</w:t>
            </w:r>
          </w:p>
        </w:tc>
        <w:tc>
          <w:tcPr>
            <w:tcW w:w="833" w:type="dxa"/>
            <w:shd w:val="clear" w:color="auto" w:fill="DBE4F0"/>
          </w:tcPr>
          <w:p w14:paraId="68091520" w14:textId="77777777" w:rsidR="00CF33D9" w:rsidRDefault="00CF33D9">
            <w:pPr>
              <w:pStyle w:val="TableParagraph"/>
              <w:rPr>
                <w:sz w:val="20"/>
                <w:szCs w:val="20"/>
              </w:rPr>
            </w:pPr>
          </w:p>
        </w:tc>
      </w:tr>
      <w:tr w:rsidR="00CF33D9" w14:paraId="68091524" w14:textId="77777777">
        <w:trPr>
          <w:trHeight w:val="340"/>
        </w:trPr>
        <w:tc>
          <w:tcPr>
            <w:tcW w:w="8637" w:type="dxa"/>
          </w:tcPr>
          <w:p w14:paraId="68091522" w14:textId="77777777" w:rsidR="00CF33D9" w:rsidRDefault="00E3332A">
            <w:pPr>
              <w:pStyle w:val="TableParagraph"/>
              <w:spacing w:before="61"/>
              <w:ind w:left="107"/>
              <w:rPr>
                <w:i/>
                <w:sz w:val="20"/>
                <w:szCs w:val="20"/>
              </w:rPr>
            </w:pPr>
            <w:r>
              <w:rPr>
                <w:i/>
                <w:sz w:val="20"/>
                <w:szCs w:val="20"/>
              </w:rPr>
              <w:lastRenderedPageBreak/>
              <w:t>Would the project potentially involve or lead to:</w:t>
            </w:r>
          </w:p>
        </w:tc>
        <w:tc>
          <w:tcPr>
            <w:tcW w:w="833" w:type="dxa"/>
          </w:tcPr>
          <w:p w14:paraId="68091523" w14:textId="77777777" w:rsidR="00CF33D9" w:rsidRDefault="00CF33D9">
            <w:pPr>
              <w:pStyle w:val="TableParagraph"/>
              <w:rPr>
                <w:sz w:val="20"/>
                <w:szCs w:val="20"/>
              </w:rPr>
            </w:pPr>
          </w:p>
        </w:tc>
      </w:tr>
      <w:tr w:rsidR="00CF33D9" w14:paraId="68091527" w14:textId="77777777">
        <w:trPr>
          <w:trHeight w:val="558"/>
        </w:trPr>
        <w:tc>
          <w:tcPr>
            <w:tcW w:w="8637" w:type="dxa"/>
          </w:tcPr>
          <w:p w14:paraId="68091525" w14:textId="77777777" w:rsidR="00CF33D9" w:rsidRDefault="00E3332A">
            <w:pPr>
              <w:pStyle w:val="TableParagraph"/>
              <w:tabs>
                <w:tab w:val="left" w:pos="674"/>
              </w:tabs>
              <w:spacing w:before="59"/>
              <w:ind w:left="674" w:right="746" w:hanging="567"/>
              <w:rPr>
                <w:sz w:val="20"/>
                <w:szCs w:val="20"/>
              </w:rPr>
            </w:pPr>
            <w:r>
              <w:rPr>
                <w:sz w:val="20"/>
                <w:szCs w:val="20"/>
              </w:rPr>
              <w:t>5.1</w:t>
            </w:r>
            <w:r>
              <w:rPr>
                <w:sz w:val="20"/>
                <w:szCs w:val="20"/>
              </w:rPr>
              <w:tab/>
              <w:t>temporary</w:t>
            </w:r>
            <w:r>
              <w:rPr>
                <w:spacing w:val="-3"/>
                <w:sz w:val="20"/>
                <w:szCs w:val="20"/>
              </w:rPr>
              <w:t xml:space="preserve"> </w:t>
            </w:r>
            <w:r>
              <w:rPr>
                <w:sz w:val="20"/>
                <w:szCs w:val="20"/>
              </w:rPr>
              <w:t>or</w:t>
            </w:r>
            <w:r>
              <w:rPr>
                <w:spacing w:val="-3"/>
                <w:sz w:val="20"/>
                <w:szCs w:val="20"/>
              </w:rPr>
              <w:t xml:space="preserve"> </w:t>
            </w:r>
            <w:r>
              <w:rPr>
                <w:sz w:val="20"/>
                <w:szCs w:val="20"/>
              </w:rPr>
              <w:t>permanent</w:t>
            </w:r>
            <w:r>
              <w:rPr>
                <w:spacing w:val="-2"/>
                <w:sz w:val="20"/>
                <w:szCs w:val="20"/>
              </w:rPr>
              <w:t xml:space="preserve"> </w:t>
            </w:r>
            <w:r>
              <w:rPr>
                <w:sz w:val="20"/>
                <w:szCs w:val="20"/>
              </w:rPr>
              <w:t>and</w:t>
            </w:r>
            <w:r>
              <w:rPr>
                <w:spacing w:val="-4"/>
                <w:sz w:val="20"/>
                <w:szCs w:val="20"/>
              </w:rPr>
              <w:t xml:space="preserve"> </w:t>
            </w:r>
            <w:r>
              <w:rPr>
                <w:sz w:val="20"/>
                <w:szCs w:val="20"/>
              </w:rPr>
              <w:t>full</w:t>
            </w:r>
            <w:r>
              <w:rPr>
                <w:spacing w:val="-1"/>
                <w:sz w:val="20"/>
                <w:szCs w:val="20"/>
              </w:rPr>
              <w:t xml:space="preserve"> </w:t>
            </w:r>
            <w:r>
              <w:rPr>
                <w:sz w:val="20"/>
                <w:szCs w:val="20"/>
              </w:rPr>
              <w:t>or</w:t>
            </w:r>
            <w:r>
              <w:rPr>
                <w:spacing w:val="-3"/>
                <w:sz w:val="20"/>
                <w:szCs w:val="20"/>
              </w:rPr>
              <w:t xml:space="preserve"> </w:t>
            </w:r>
            <w:r>
              <w:rPr>
                <w:sz w:val="20"/>
                <w:szCs w:val="20"/>
              </w:rPr>
              <w:t>partial</w:t>
            </w:r>
            <w:r>
              <w:rPr>
                <w:spacing w:val="-3"/>
                <w:sz w:val="20"/>
                <w:szCs w:val="20"/>
              </w:rPr>
              <w:t xml:space="preserve"> </w:t>
            </w:r>
            <w:r>
              <w:rPr>
                <w:sz w:val="20"/>
                <w:szCs w:val="20"/>
              </w:rPr>
              <w:t>physical</w:t>
            </w:r>
            <w:r>
              <w:rPr>
                <w:spacing w:val="-4"/>
                <w:sz w:val="20"/>
                <w:szCs w:val="20"/>
              </w:rPr>
              <w:t xml:space="preserve"> </w:t>
            </w:r>
            <w:r>
              <w:rPr>
                <w:sz w:val="20"/>
                <w:szCs w:val="20"/>
              </w:rPr>
              <w:t>displacement</w:t>
            </w:r>
            <w:r>
              <w:rPr>
                <w:spacing w:val="2"/>
                <w:sz w:val="20"/>
                <w:szCs w:val="20"/>
              </w:rPr>
              <w:t xml:space="preserve"> </w:t>
            </w:r>
            <w:r>
              <w:rPr>
                <w:sz w:val="20"/>
                <w:szCs w:val="20"/>
              </w:rPr>
              <w:t>(including</w:t>
            </w:r>
            <w:r>
              <w:rPr>
                <w:spacing w:val="-3"/>
                <w:sz w:val="20"/>
                <w:szCs w:val="20"/>
              </w:rPr>
              <w:t xml:space="preserve"> </w:t>
            </w:r>
            <w:r>
              <w:rPr>
                <w:sz w:val="20"/>
                <w:szCs w:val="20"/>
              </w:rPr>
              <w:t>people</w:t>
            </w:r>
            <w:r>
              <w:rPr>
                <w:spacing w:val="-4"/>
                <w:sz w:val="20"/>
                <w:szCs w:val="20"/>
              </w:rPr>
              <w:t xml:space="preserve"> </w:t>
            </w:r>
            <w:r>
              <w:rPr>
                <w:sz w:val="20"/>
                <w:szCs w:val="20"/>
              </w:rPr>
              <w:t>without</w:t>
            </w:r>
            <w:r>
              <w:rPr>
                <w:spacing w:val="-2"/>
                <w:sz w:val="20"/>
                <w:szCs w:val="20"/>
              </w:rPr>
              <w:t xml:space="preserve"> </w:t>
            </w:r>
            <w:r>
              <w:rPr>
                <w:sz w:val="20"/>
                <w:szCs w:val="20"/>
              </w:rPr>
              <w:t>legally recognizable claims to</w:t>
            </w:r>
            <w:r>
              <w:rPr>
                <w:spacing w:val="-1"/>
                <w:sz w:val="20"/>
                <w:szCs w:val="20"/>
              </w:rPr>
              <w:t xml:space="preserve"> </w:t>
            </w:r>
            <w:r>
              <w:rPr>
                <w:sz w:val="20"/>
                <w:szCs w:val="20"/>
              </w:rPr>
              <w:t>land)?</w:t>
            </w:r>
          </w:p>
        </w:tc>
        <w:tc>
          <w:tcPr>
            <w:tcW w:w="833" w:type="dxa"/>
          </w:tcPr>
          <w:p w14:paraId="68091526" w14:textId="77777777" w:rsidR="00CF33D9" w:rsidRDefault="00E3332A">
            <w:pPr>
              <w:pStyle w:val="TableParagraph"/>
              <w:jc w:val="center"/>
              <w:rPr>
                <w:sz w:val="20"/>
                <w:szCs w:val="20"/>
              </w:rPr>
            </w:pPr>
            <w:r>
              <w:rPr>
                <w:sz w:val="20"/>
                <w:szCs w:val="20"/>
              </w:rPr>
              <w:t>No</w:t>
            </w:r>
          </w:p>
        </w:tc>
      </w:tr>
    </w:tbl>
    <w:p w14:paraId="68091528" w14:textId="77777777" w:rsidR="00CF33D9" w:rsidRDefault="00CF33D9">
      <w:pPr>
        <w:rPr>
          <w:rFonts w:ascii="Calibri" w:hAnsi="Calibri" w:cs="Calibri"/>
          <w:sz w:val="20"/>
          <w:szCs w:val="20"/>
        </w:rPr>
        <w:sectPr w:rsidR="00CF33D9">
          <w:pgSz w:w="12240" w:h="15840"/>
          <w:pgMar w:top="1440" w:right="1200" w:bottom="820" w:left="1340" w:header="0" w:footer="640"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637"/>
        <w:gridCol w:w="833"/>
      </w:tblGrid>
      <w:tr w:rsidR="00CF33D9" w14:paraId="6809152B" w14:textId="77777777">
        <w:trPr>
          <w:trHeight w:val="559"/>
        </w:trPr>
        <w:tc>
          <w:tcPr>
            <w:tcW w:w="8637" w:type="dxa"/>
          </w:tcPr>
          <w:p w14:paraId="68091529" w14:textId="77777777" w:rsidR="00CF33D9" w:rsidRDefault="00E3332A">
            <w:pPr>
              <w:pStyle w:val="TableParagraph"/>
              <w:tabs>
                <w:tab w:val="left" w:pos="674"/>
              </w:tabs>
              <w:spacing w:before="61"/>
              <w:ind w:left="674" w:right="792" w:hanging="567"/>
              <w:rPr>
                <w:sz w:val="20"/>
                <w:szCs w:val="20"/>
              </w:rPr>
            </w:pPr>
            <w:r>
              <w:rPr>
                <w:sz w:val="20"/>
                <w:szCs w:val="20"/>
              </w:rPr>
              <w:lastRenderedPageBreak/>
              <w:t>5.2</w:t>
            </w:r>
            <w:r>
              <w:rPr>
                <w:sz w:val="20"/>
                <w:szCs w:val="20"/>
              </w:rPr>
              <w:tab/>
              <w:t>economic</w:t>
            </w:r>
            <w:r>
              <w:rPr>
                <w:spacing w:val="-2"/>
                <w:sz w:val="20"/>
                <w:szCs w:val="20"/>
              </w:rPr>
              <w:t xml:space="preserve"> </w:t>
            </w:r>
            <w:r>
              <w:rPr>
                <w:sz w:val="20"/>
                <w:szCs w:val="20"/>
              </w:rPr>
              <w:t>displacement</w:t>
            </w:r>
            <w:r>
              <w:rPr>
                <w:spacing w:val="-2"/>
                <w:sz w:val="20"/>
                <w:szCs w:val="20"/>
              </w:rPr>
              <w:t xml:space="preserve"> </w:t>
            </w:r>
            <w:r>
              <w:rPr>
                <w:sz w:val="20"/>
                <w:szCs w:val="20"/>
              </w:rPr>
              <w:t>(e.g.</w:t>
            </w:r>
            <w:r>
              <w:rPr>
                <w:spacing w:val="-2"/>
                <w:sz w:val="20"/>
                <w:szCs w:val="20"/>
              </w:rPr>
              <w:t xml:space="preserve"> </w:t>
            </w:r>
            <w:r>
              <w:rPr>
                <w:sz w:val="20"/>
                <w:szCs w:val="20"/>
              </w:rPr>
              <w:t>loss</w:t>
            </w:r>
            <w:r>
              <w:rPr>
                <w:spacing w:val="-1"/>
                <w:sz w:val="20"/>
                <w:szCs w:val="20"/>
              </w:rPr>
              <w:t xml:space="preserve"> </w:t>
            </w:r>
            <w:r>
              <w:rPr>
                <w:sz w:val="20"/>
                <w:szCs w:val="20"/>
              </w:rPr>
              <w:t>of</w:t>
            </w:r>
            <w:r>
              <w:rPr>
                <w:spacing w:val="-2"/>
                <w:sz w:val="20"/>
                <w:szCs w:val="20"/>
              </w:rPr>
              <w:t xml:space="preserve"> </w:t>
            </w:r>
            <w:r>
              <w:rPr>
                <w:sz w:val="20"/>
                <w:szCs w:val="20"/>
              </w:rPr>
              <w:t>assets</w:t>
            </w:r>
            <w:r>
              <w:rPr>
                <w:spacing w:val="-4"/>
                <w:sz w:val="20"/>
                <w:szCs w:val="20"/>
              </w:rPr>
              <w:t xml:space="preserve"> </w:t>
            </w:r>
            <w:r>
              <w:rPr>
                <w:sz w:val="20"/>
                <w:szCs w:val="20"/>
              </w:rPr>
              <w:t>or</w:t>
            </w:r>
            <w:r>
              <w:rPr>
                <w:spacing w:val="-2"/>
                <w:sz w:val="20"/>
                <w:szCs w:val="20"/>
              </w:rPr>
              <w:t xml:space="preserve"> </w:t>
            </w:r>
            <w:r>
              <w:rPr>
                <w:sz w:val="20"/>
                <w:szCs w:val="20"/>
              </w:rPr>
              <w:t>access</w:t>
            </w:r>
            <w:r>
              <w:rPr>
                <w:spacing w:val="-2"/>
                <w:sz w:val="20"/>
                <w:szCs w:val="20"/>
              </w:rPr>
              <w:t xml:space="preserve"> </w:t>
            </w:r>
            <w:r>
              <w:rPr>
                <w:sz w:val="20"/>
                <w:szCs w:val="20"/>
              </w:rPr>
              <w:t>to</w:t>
            </w:r>
            <w:r>
              <w:rPr>
                <w:spacing w:val="-2"/>
                <w:sz w:val="20"/>
                <w:szCs w:val="20"/>
              </w:rPr>
              <w:t xml:space="preserve"> </w:t>
            </w:r>
            <w:r>
              <w:rPr>
                <w:sz w:val="20"/>
                <w:szCs w:val="20"/>
              </w:rPr>
              <w:t>resources</w:t>
            </w:r>
            <w:r>
              <w:rPr>
                <w:spacing w:val="-2"/>
                <w:sz w:val="20"/>
                <w:szCs w:val="20"/>
              </w:rPr>
              <w:t xml:space="preserve"> </w:t>
            </w:r>
            <w:r>
              <w:rPr>
                <w:sz w:val="20"/>
                <w:szCs w:val="20"/>
              </w:rPr>
              <w:t>due</w:t>
            </w:r>
            <w:r>
              <w:rPr>
                <w:spacing w:val="-3"/>
                <w:sz w:val="20"/>
                <w:szCs w:val="20"/>
              </w:rPr>
              <w:t xml:space="preserve"> </w:t>
            </w:r>
            <w:r>
              <w:rPr>
                <w:sz w:val="20"/>
                <w:szCs w:val="20"/>
              </w:rPr>
              <w:t>to</w:t>
            </w:r>
            <w:r>
              <w:rPr>
                <w:spacing w:val="-2"/>
                <w:sz w:val="20"/>
                <w:szCs w:val="20"/>
              </w:rPr>
              <w:t xml:space="preserve"> </w:t>
            </w:r>
            <w:r>
              <w:rPr>
                <w:sz w:val="20"/>
                <w:szCs w:val="20"/>
              </w:rPr>
              <w:t>land</w:t>
            </w:r>
            <w:r>
              <w:rPr>
                <w:spacing w:val="-2"/>
                <w:sz w:val="20"/>
                <w:szCs w:val="20"/>
              </w:rPr>
              <w:t xml:space="preserve"> </w:t>
            </w:r>
            <w:r>
              <w:rPr>
                <w:sz w:val="20"/>
                <w:szCs w:val="20"/>
              </w:rPr>
              <w:t>acquisition</w:t>
            </w:r>
            <w:r>
              <w:rPr>
                <w:spacing w:val="-3"/>
                <w:sz w:val="20"/>
                <w:szCs w:val="20"/>
              </w:rPr>
              <w:t xml:space="preserve"> </w:t>
            </w:r>
            <w:r>
              <w:rPr>
                <w:sz w:val="20"/>
                <w:szCs w:val="20"/>
              </w:rPr>
              <w:t>or</w:t>
            </w:r>
            <w:r>
              <w:rPr>
                <w:spacing w:val="-1"/>
                <w:sz w:val="20"/>
                <w:szCs w:val="20"/>
              </w:rPr>
              <w:t xml:space="preserve"> </w:t>
            </w:r>
            <w:r>
              <w:rPr>
                <w:sz w:val="20"/>
                <w:szCs w:val="20"/>
              </w:rPr>
              <w:t>access restrictions – even in the absence of physical</w:t>
            </w:r>
            <w:r>
              <w:rPr>
                <w:spacing w:val="-9"/>
                <w:sz w:val="20"/>
                <w:szCs w:val="20"/>
              </w:rPr>
              <w:t xml:space="preserve"> </w:t>
            </w:r>
            <w:r>
              <w:rPr>
                <w:sz w:val="20"/>
                <w:szCs w:val="20"/>
              </w:rPr>
              <w:t>relocation)?</w:t>
            </w:r>
          </w:p>
        </w:tc>
        <w:tc>
          <w:tcPr>
            <w:tcW w:w="833" w:type="dxa"/>
          </w:tcPr>
          <w:p w14:paraId="6809152A" w14:textId="77777777" w:rsidR="00CF33D9" w:rsidRDefault="00E3332A">
            <w:pPr>
              <w:pStyle w:val="TableParagraph"/>
              <w:jc w:val="center"/>
              <w:rPr>
                <w:sz w:val="20"/>
                <w:szCs w:val="20"/>
              </w:rPr>
            </w:pPr>
            <w:r>
              <w:rPr>
                <w:sz w:val="20"/>
                <w:szCs w:val="20"/>
              </w:rPr>
              <w:t>Yes</w:t>
            </w:r>
          </w:p>
        </w:tc>
      </w:tr>
      <w:tr w:rsidR="00CF33D9" w14:paraId="6809152E" w14:textId="77777777">
        <w:trPr>
          <w:trHeight w:val="340"/>
        </w:trPr>
        <w:tc>
          <w:tcPr>
            <w:tcW w:w="8637" w:type="dxa"/>
          </w:tcPr>
          <w:p w14:paraId="6809152C" w14:textId="77777777" w:rsidR="00CF33D9" w:rsidRDefault="00E3332A">
            <w:pPr>
              <w:pStyle w:val="TableParagraph"/>
              <w:tabs>
                <w:tab w:val="left" w:pos="674"/>
              </w:tabs>
              <w:spacing w:before="61"/>
              <w:ind w:left="107"/>
              <w:rPr>
                <w:sz w:val="20"/>
                <w:szCs w:val="20"/>
              </w:rPr>
            </w:pPr>
            <w:r>
              <w:rPr>
                <w:sz w:val="20"/>
                <w:szCs w:val="20"/>
              </w:rPr>
              <w:t>5.3</w:t>
            </w:r>
            <w:r>
              <w:rPr>
                <w:sz w:val="20"/>
                <w:szCs w:val="20"/>
              </w:rPr>
              <w:tab/>
              <w:t>risk of forced</w:t>
            </w:r>
            <w:r>
              <w:rPr>
                <w:spacing w:val="-2"/>
                <w:sz w:val="20"/>
                <w:szCs w:val="20"/>
              </w:rPr>
              <w:t xml:space="preserve"> </w:t>
            </w:r>
            <w:r>
              <w:rPr>
                <w:sz w:val="20"/>
                <w:szCs w:val="20"/>
              </w:rPr>
              <w:t>evictions?</w:t>
            </w:r>
            <w:r>
              <w:rPr>
                <w:position w:val="5"/>
                <w:sz w:val="20"/>
                <w:szCs w:val="20"/>
              </w:rPr>
              <w:t>19</w:t>
            </w:r>
          </w:p>
        </w:tc>
        <w:tc>
          <w:tcPr>
            <w:tcW w:w="833" w:type="dxa"/>
          </w:tcPr>
          <w:p w14:paraId="6809152D" w14:textId="77777777" w:rsidR="00CF33D9" w:rsidRDefault="00E3332A">
            <w:pPr>
              <w:pStyle w:val="TableParagraph"/>
              <w:jc w:val="center"/>
              <w:rPr>
                <w:sz w:val="20"/>
                <w:szCs w:val="20"/>
              </w:rPr>
            </w:pPr>
            <w:r>
              <w:rPr>
                <w:sz w:val="20"/>
                <w:szCs w:val="20"/>
              </w:rPr>
              <w:t>No</w:t>
            </w:r>
          </w:p>
        </w:tc>
      </w:tr>
      <w:tr w:rsidR="00CF33D9" w14:paraId="68091531" w14:textId="77777777">
        <w:trPr>
          <w:trHeight w:val="558"/>
        </w:trPr>
        <w:tc>
          <w:tcPr>
            <w:tcW w:w="8637" w:type="dxa"/>
          </w:tcPr>
          <w:p w14:paraId="6809152F" w14:textId="77777777" w:rsidR="00CF33D9" w:rsidRDefault="00E3332A">
            <w:pPr>
              <w:pStyle w:val="TableParagraph"/>
              <w:tabs>
                <w:tab w:val="left" w:pos="674"/>
              </w:tabs>
              <w:spacing w:before="61"/>
              <w:ind w:left="674" w:right="294" w:hanging="567"/>
              <w:rPr>
                <w:sz w:val="20"/>
                <w:szCs w:val="20"/>
              </w:rPr>
            </w:pPr>
            <w:r>
              <w:rPr>
                <w:sz w:val="20"/>
                <w:szCs w:val="20"/>
              </w:rPr>
              <w:t>5.4</w:t>
            </w:r>
            <w:r>
              <w:rPr>
                <w:sz w:val="20"/>
                <w:szCs w:val="20"/>
              </w:rPr>
              <w:tab/>
              <w:t>impacts on or changes to land tenure arrangements and/or community based property rights/customary rights to land, territories and/or</w:t>
            </w:r>
            <w:r>
              <w:rPr>
                <w:spacing w:val="-3"/>
                <w:sz w:val="20"/>
                <w:szCs w:val="20"/>
              </w:rPr>
              <w:t xml:space="preserve"> </w:t>
            </w:r>
            <w:r>
              <w:rPr>
                <w:sz w:val="20"/>
                <w:szCs w:val="20"/>
              </w:rPr>
              <w:t>resources?</w:t>
            </w:r>
          </w:p>
        </w:tc>
        <w:tc>
          <w:tcPr>
            <w:tcW w:w="833" w:type="dxa"/>
          </w:tcPr>
          <w:p w14:paraId="68091530" w14:textId="77777777" w:rsidR="00CF33D9" w:rsidRDefault="00E3332A">
            <w:pPr>
              <w:pStyle w:val="TableParagraph"/>
              <w:jc w:val="center"/>
              <w:rPr>
                <w:sz w:val="20"/>
                <w:szCs w:val="20"/>
              </w:rPr>
            </w:pPr>
            <w:r>
              <w:rPr>
                <w:sz w:val="20"/>
                <w:szCs w:val="20"/>
              </w:rPr>
              <w:t>No</w:t>
            </w:r>
          </w:p>
        </w:tc>
      </w:tr>
      <w:tr w:rsidR="00CF33D9" w14:paraId="68091535" w14:textId="77777777">
        <w:trPr>
          <w:trHeight w:val="585"/>
        </w:trPr>
        <w:tc>
          <w:tcPr>
            <w:tcW w:w="8637" w:type="dxa"/>
            <w:shd w:val="clear" w:color="auto" w:fill="DBE4F0"/>
          </w:tcPr>
          <w:p w14:paraId="68091532" w14:textId="77777777" w:rsidR="00CF33D9" w:rsidRDefault="00CF33D9">
            <w:pPr>
              <w:pStyle w:val="TableParagraph"/>
              <w:rPr>
                <w:sz w:val="20"/>
                <w:szCs w:val="20"/>
              </w:rPr>
            </w:pPr>
          </w:p>
          <w:p w14:paraId="68091533" w14:textId="77777777" w:rsidR="00CF33D9" w:rsidRDefault="00E3332A">
            <w:pPr>
              <w:pStyle w:val="TableParagraph"/>
              <w:ind w:left="107"/>
              <w:rPr>
                <w:b/>
                <w:sz w:val="20"/>
                <w:szCs w:val="20"/>
              </w:rPr>
            </w:pPr>
            <w:r>
              <w:rPr>
                <w:b/>
                <w:sz w:val="20"/>
                <w:szCs w:val="20"/>
              </w:rPr>
              <w:t>Standard 6: Indigenous Peoples</w:t>
            </w:r>
          </w:p>
        </w:tc>
        <w:tc>
          <w:tcPr>
            <w:tcW w:w="833" w:type="dxa"/>
            <w:shd w:val="clear" w:color="auto" w:fill="DBE4F0"/>
          </w:tcPr>
          <w:p w14:paraId="68091534" w14:textId="77777777" w:rsidR="00CF33D9" w:rsidRDefault="00CF33D9">
            <w:pPr>
              <w:pStyle w:val="TableParagraph"/>
              <w:rPr>
                <w:sz w:val="20"/>
                <w:szCs w:val="20"/>
              </w:rPr>
            </w:pPr>
          </w:p>
        </w:tc>
      </w:tr>
      <w:tr w:rsidR="00CF33D9" w14:paraId="68091538" w14:textId="77777777">
        <w:trPr>
          <w:trHeight w:val="337"/>
        </w:trPr>
        <w:tc>
          <w:tcPr>
            <w:tcW w:w="8637" w:type="dxa"/>
          </w:tcPr>
          <w:p w14:paraId="68091536" w14:textId="77777777" w:rsidR="00CF33D9" w:rsidRDefault="00E3332A">
            <w:pPr>
              <w:pStyle w:val="TableParagraph"/>
              <w:spacing w:before="61"/>
              <w:ind w:left="107"/>
              <w:rPr>
                <w:i/>
                <w:sz w:val="20"/>
                <w:szCs w:val="20"/>
              </w:rPr>
            </w:pPr>
            <w:r>
              <w:rPr>
                <w:i/>
                <w:sz w:val="20"/>
                <w:szCs w:val="20"/>
              </w:rPr>
              <w:t>Would the project potentially involve or lead to:</w:t>
            </w:r>
          </w:p>
        </w:tc>
        <w:tc>
          <w:tcPr>
            <w:tcW w:w="833" w:type="dxa"/>
          </w:tcPr>
          <w:p w14:paraId="68091537" w14:textId="77777777" w:rsidR="00CF33D9" w:rsidRDefault="00CF33D9">
            <w:pPr>
              <w:pStyle w:val="TableParagraph"/>
              <w:jc w:val="center"/>
              <w:rPr>
                <w:sz w:val="20"/>
                <w:szCs w:val="20"/>
              </w:rPr>
            </w:pPr>
          </w:p>
        </w:tc>
      </w:tr>
      <w:tr w:rsidR="00CF33D9" w14:paraId="6809153B" w14:textId="77777777">
        <w:trPr>
          <w:trHeight w:val="340"/>
        </w:trPr>
        <w:tc>
          <w:tcPr>
            <w:tcW w:w="8637" w:type="dxa"/>
          </w:tcPr>
          <w:p w14:paraId="68091539" w14:textId="77777777" w:rsidR="00CF33D9" w:rsidRDefault="00E3332A">
            <w:pPr>
              <w:pStyle w:val="TableParagraph"/>
              <w:tabs>
                <w:tab w:val="left" w:pos="674"/>
              </w:tabs>
              <w:spacing w:before="63"/>
              <w:ind w:left="107"/>
              <w:rPr>
                <w:sz w:val="20"/>
                <w:szCs w:val="20"/>
              </w:rPr>
            </w:pPr>
            <w:r>
              <w:rPr>
                <w:sz w:val="20"/>
                <w:szCs w:val="20"/>
              </w:rPr>
              <w:t>6.1</w:t>
            </w:r>
            <w:r>
              <w:rPr>
                <w:sz w:val="20"/>
                <w:szCs w:val="20"/>
              </w:rPr>
              <w:tab/>
              <w:t>areas where indigenous peoples are present (including project area of</w:t>
            </w:r>
            <w:r>
              <w:rPr>
                <w:spacing w:val="-4"/>
                <w:sz w:val="20"/>
                <w:szCs w:val="20"/>
              </w:rPr>
              <w:t xml:space="preserve"> </w:t>
            </w:r>
            <w:r>
              <w:rPr>
                <w:sz w:val="20"/>
                <w:szCs w:val="20"/>
              </w:rPr>
              <w:t>influence)?</w:t>
            </w:r>
          </w:p>
        </w:tc>
        <w:tc>
          <w:tcPr>
            <w:tcW w:w="833" w:type="dxa"/>
          </w:tcPr>
          <w:p w14:paraId="6809153A" w14:textId="77777777" w:rsidR="00CF33D9" w:rsidRDefault="00E3332A">
            <w:pPr>
              <w:pStyle w:val="TableParagraph"/>
              <w:jc w:val="center"/>
              <w:rPr>
                <w:sz w:val="20"/>
                <w:szCs w:val="20"/>
              </w:rPr>
            </w:pPr>
            <w:r>
              <w:rPr>
                <w:sz w:val="20"/>
                <w:szCs w:val="20"/>
              </w:rPr>
              <w:t>Yes</w:t>
            </w:r>
          </w:p>
        </w:tc>
      </w:tr>
      <w:tr w:rsidR="00CF33D9" w14:paraId="6809153E" w14:textId="77777777">
        <w:trPr>
          <w:trHeight w:val="340"/>
        </w:trPr>
        <w:tc>
          <w:tcPr>
            <w:tcW w:w="8637" w:type="dxa"/>
          </w:tcPr>
          <w:p w14:paraId="6809153C" w14:textId="77777777" w:rsidR="00CF33D9" w:rsidRDefault="00E3332A">
            <w:pPr>
              <w:pStyle w:val="TableParagraph"/>
              <w:tabs>
                <w:tab w:val="left" w:pos="674"/>
              </w:tabs>
              <w:spacing w:before="61"/>
              <w:ind w:left="107"/>
              <w:rPr>
                <w:sz w:val="20"/>
                <w:szCs w:val="20"/>
              </w:rPr>
            </w:pPr>
            <w:r>
              <w:rPr>
                <w:sz w:val="20"/>
                <w:szCs w:val="20"/>
              </w:rPr>
              <w:t>6.2</w:t>
            </w:r>
            <w:r>
              <w:rPr>
                <w:sz w:val="20"/>
                <w:szCs w:val="20"/>
              </w:rPr>
              <w:tab/>
              <w:t>activities located on lands and territories claimed by indigenous</w:t>
            </w:r>
            <w:r>
              <w:rPr>
                <w:spacing w:val="-10"/>
                <w:sz w:val="20"/>
                <w:szCs w:val="20"/>
              </w:rPr>
              <w:t xml:space="preserve"> </w:t>
            </w:r>
            <w:r>
              <w:rPr>
                <w:sz w:val="20"/>
                <w:szCs w:val="20"/>
              </w:rPr>
              <w:t>peoples?</w:t>
            </w:r>
          </w:p>
        </w:tc>
        <w:tc>
          <w:tcPr>
            <w:tcW w:w="833" w:type="dxa"/>
          </w:tcPr>
          <w:p w14:paraId="6809153D" w14:textId="77777777" w:rsidR="00CF33D9" w:rsidRDefault="00E3332A">
            <w:pPr>
              <w:pStyle w:val="TableParagraph"/>
              <w:jc w:val="center"/>
              <w:rPr>
                <w:sz w:val="20"/>
                <w:szCs w:val="20"/>
              </w:rPr>
            </w:pPr>
            <w:r>
              <w:rPr>
                <w:sz w:val="20"/>
                <w:szCs w:val="20"/>
              </w:rPr>
              <w:t>No</w:t>
            </w:r>
          </w:p>
        </w:tc>
      </w:tr>
      <w:tr w:rsidR="00CF33D9" w14:paraId="68091542" w14:textId="77777777">
        <w:trPr>
          <w:trHeight w:val="1718"/>
        </w:trPr>
        <w:tc>
          <w:tcPr>
            <w:tcW w:w="8637" w:type="dxa"/>
          </w:tcPr>
          <w:p w14:paraId="6809153F" w14:textId="77777777" w:rsidR="00CF33D9" w:rsidRDefault="00E3332A">
            <w:pPr>
              <w:pStyle w:val="TableParagraph"/>
              <w:tabs>
                <w:tab w:val="left" w:pos="674"/>
              </w:tabs>
              <w:spacing w:before="61"/>
              <w:ind w:left="674" w:right="118" w:hanging="567"/>
              <w:rPr>
                <w:sz w:val="20"/>
                <w:szCs w:val="20"/>
              </w:rPr>
            </w:pPr>
            <w:r>
              <w:rPr>
                <w:sz w:val="20"/>
                <w:szCs w:val="20"/>
              </w:rPr>
              <w:t>6.3</w:t>
            </w:r>
            <w:r>
              <w:rPr>
                <w:sz w:val="20"/>
                <w:szCs w:val="20"/>
              </w:rPr>
              <w:tab/>
              <w:t>impacts (positive or negative) to the human rights, lands, natural resources, territories, and traditional livelihoods</w:t>
            </w:r>
            <w:r>
              <w:rPr>
                <w:spacing w:val="-3"/>
                <w:sz w:val="20"/>
                <w:szCs w:val="20"/>
              </w:rPr>
              <w:t xml:space="preserve"> </w:t>
            </w:r>
            <w:r>
              <w:rPr>
                <w:sz w:val="20"/>
                <w:szCs w:val="20"/>
              </w:rPr>
              <w:t>of</w:t>
            </w:r>
            <w:r>
              <w:rPr>
                <w:spacing w:val="-3"/>
                <w:sz w:val="20"/>
                <w:szCs w:val="20"/>
              </w:rPr>
              <w:t xml:space="preserve"> </w:t>
            </w:r>
            <w:r>
              <w:rPr>
                <w:sz w:val="20"/>
                <w:szCs w:val="20"/>
              </w:rPr>
              <w:t>indigenous</w:t>
            </w:r>
            <w:r>
              <w:rPr>
                <w:spacing w:val="-1"/>
                <w:sz w:val="20"/>
                <w:szCs w:val="20"/>
              </w:rPr>
              <w:t xml:space="preserve"> </w:t>
            </w:r>
            <w:r>
              <w:rPr>
                <w:sz w:val="20"/>
                <w:szCs w:val="20"/>
              </w:rPr>
              <w:t>peoples</w:t>
            </w:r>
            <w:r>
              <w:rPr>
                <w:spacing w:val="-1"/>
                <w:sz w:val="20"/>
                <w:szCs w:val="20"/>
              </w:rPr>
              <w:t xml:space="preserve"> </w:t>
            </w:r>
            <w:r>
              <w:rPr>
                <w:sz w:val="20"/>
                <w:szCs w:val="20"/>
              </w:rPr>
              <w:t>(regardless</w:t>
            </w:r>
            <w:r>
              <w:rPr>
                <w:spacing w:val="-3"/>
                <w:sz w:val="20"/>
                <w:szCs w:val="20"/>
              </w:rPr>
              <w:t xml:space="preserve"> </w:t>
            </w:r>
            <w:r>
              <w:rPr>
                <w:sz w:val="20"/>
                <w:szCs w:val="20"/>
              </w:rPr>
              <w:t>of</w:t>
            </w:r>
            <w:r>
              <w:rPr>
                <w:spacing w:val="-3"/>
                <w:sz w:val="20"/>
                <w:szCs w:val="20"/>
              </w:rPr>
              <w:t xml:space="preserve"> </w:t>
            </w:r>
            <w:r>
              <w:rPr>
                <w:sz w:val="20"/>
                <w:szCs w:val="20"/>
              </w:rPr>
              <w:t>whether</w:t>
            </w:r>
            <w:r>
              <w:rPr>
                <w:spacing w:val="-2"/>
                <w:sz w:val="20"/>
                <w:szCs w:val="20"/>
              </w:rPr>
              <w:t xml:space="preserve"> </w:t>
            </w:r>
            <w:r>
              <w:rPr>
                <w:sz w:val="20"/>
                <w:szCs w:val="20"/>
              </w:rPr>
              <w:t>indigenous</w:t>
            </w:r>
            <w:r>
              <w:rPr>
                <w:spacing w:val="-3"/>
                <w:sz w:val="20"/>
                <w:szCs w:val="20"/>
              </w:rPr>
              <w:t xml:space="preserve"> </w:t>
            </w:r>
            <w:r>
              <w:rPr>
                <w:sz w:val="20"/>
                <w:szCs w:val="20"/>
              </w:rPr>
              <w:t>peoples</w:t>
            </w:r>
            <w:r>
              <w:rPr>
                <w:spacing w:val="-1"/>
                <w:sz w:val="20"/>
                <w:szCs w:val="20"/>
              </w:rPr>
              <w:t xml:space="preserve"> </w:t>
            </w:r>
            <w:r>
              <w:rPr>
                <w:sz w:val="20"/>
                <w:szCs w:val="20"/>
              </w:rPr>
              <w:t>possess</w:t>
            </w:r>
            <w:r>
              <w:rPr>
                <w:spacing w:val="-2"/>
                <w:sz w:val="20"/>
                <w:szCs w:val="20"/>
              </w:rPr>
              <w:t xml:space="preserve"> </w:t>
            </w:r>
            <w:r>
              <w:rPr>
                <w:sz w:val="20"/>
                <w:szCs w:val="20"/>
              </w:rPr>
              <w:t>the</w:t>
            </w:r>
            <w:r>
              <w:rPr>
                <w:spacing w:val="-3"/>
                <w:sz w:val="20"/>
                <w:szCs w:val="20"/>
              </w:rPr>
              <w:t xml:space="preserve"> </w:t>
            </w:r>
            <w:r>
              <w:rPr>
                <w:sz w:val="20"/>
                <w:szCs w:val="20"/>
              </w:rPr>
              <w:t>legal</w:t>
            </w:r>
            <w:r>
              <w:rPr>
                <w:spacing w:val="-3"/>
                <w:sz w:val="20"/>
                <w:szCs w:val="20"/>
              </w:rPr>
              <w:t xml:space="preserve"> </w:t>
            </w:r>
            <w:r>
              <w:rPr>
                <w:sz w:val="20"/>
                <w:szCs w:val="20"/>
              </w:rPr>
              <w:t>titles</w:t>
            </w:r>
            <w:r>
              <w:rPr>
                <w:spacing w:val="-1"/>
                <w:sz w:val="20"/>
                <w:szCs w:val="20"/>
              </w:rPr>
              <w:t xml:space="preserve"> </w:t>
            </w:r>
            <w:r>
              <w:rPr>
                <w:sz w:val="20"/>
                <w:szCs w:val="20"/>
              </w:rPr>
              <w:t>to</w:t>
            </w:r>
            <w:r>
              <w:rPr>
                <w:spacing w:val="-2"/>
                <w:sz w:val="20"/>
                <w:szCs w:val="20"/>
              </w:rPr>
              <w:t xml:space="preserve"> </w:t>
            </w:r>
            <w:r>
              <w:rPr>
                <w:sz w:val="20"/>
                <w:szCs w:val="20"/>
              </w:rPr>
              <w:t>such areas, whether the project is located within or outside of the lands and territories inhabited by the affected peoples, or whether the indigenous peoples are recognized as indigenous peoples by the country in</w:t>
            </w:r>
            <w:r>
              <w:rPr>
                <w:spacing w:val="-2"/>
                <w:sz w:val="20"/>
                <w:szCs w:val="20"/>
              </w:rPr>
              <w:t xml:space="preserve"> </w:t>
            </w:r>
            <w:r>
              <w:rPr>
                <w:sz w:val="20"/>
                <w:szCs w:val="20"/>
              </w:rPr>
              <w:t>question)?</w:t>
            </w:r>
          </w:p>
          <w:p w14:paraId="68091540" w14:textId="77777777" w:rsidR="00CF33D9" w:rsidRDefault="00E3332A">
            <w:pPr>
              <w:pStyle w:val="TableParagraph"/>
              <w:spacing w:before="59"/>
              <w:ind w:left="738" w:right="255"/>
              <w:rPr>
                <w:i/>
                <w:sz w:val="20"/>
                <w:szCs w:val="20"/>
              </w:rPr>
            </w:pPr>
            <w:r>
              <w:rPr>
                <w:i/>
                <w:sz w:val="20"/>
                <w:szCs w:val="20"/>
              </w:rPr>
              <w:t>If the answer to screening question 6.3 is “yes”, then Standard 6 requirements apply, and the potential significance of risks related to impacts on indigenous peoples must be Moderate or above.</w:t>
            </w:r>
            <w:r>
              <w:rPr>
                <w:rStyle w:val="FootnoteReference"/>
                <w:rFonts w:ascii="Calibri" w:hAnsi="Calibri"/>
                <w:i/>
                <w:sz w:val="20"/>
                <w:szCs w:val="20"/>
              </w:rPr>
              <w:t xml:space="preserve"> </w:t>
            </w:r>
            <w:r>
              <w:rPr>
                <w:rStyle w:val="FootnoteReference"/>
                <w:rFonts w:ascii="Calibri" w:hAnsi="Calibri"/>
                <w:i/>
                <w:sz w:val="20"/>
                <w:szCs w:val="20"/>
              </w:rPr>
              <w:footnoteReference w:customMarkFollows="1" w:id="10"/>
              <w:t>*</w:t>
            </w:r>
          </w:p>
        </w:tc>
        <w:tc>
          <w:tcPr>
            <w:tcW w:w="833" w:type="dxa"/>
          </w:tcPr>
          <w:p w14:paraId="68091541" w14:textId="77777777" w:rsidR="00CF33D9" w:rsidRDefault="00E3332A">
            <w:pPr>
              <w:pStyle w:val="TableParagraph"/>
              <w:jc w:val="center"/>
              <w:rPr>
                <w:sz w:val="20"/>
                <w:szCs w:val="20"/>
              </w:rPr>
            </w:pPr>
            <w:r>
              <w:rPr>
                <w:sz w:val="20"/>
                <w:szCs w:val="20"/>
              </w:rPr>
              <w:t>No</w:t>
            </w:r>
          </w:p>
        </w:tc>
      </w:tr>
      <w:tr w:rsidR="00CF33D9" w14:paraId="68091545" w14:textId="77777777">
        <w:trPr>
          <w:trHeight w:val="779"/>
        </w:trPr>
        <w:tc>
          <w:tcPr>
            <w:tcW w:w="8637" w:type="dxa"/>
          </w:tcPr>
          <w:p w14:paraId="68091543" w14:textId="77777777" w:rsidR="00CF33D9" w:rsidRDefault="00E3332A">
            <w:pPr>
              <w:pStyle w:val="TableParagraph"/>
              <w:tabs>
                <w:tab w:val="left" w:pos="674"/>
              </w:tabs>
              <w:spacing w:before="61"/>
              <w:ind w:left="674" w:right="257" w:hanging="567"/>
              <w:rPr>
                <w:sz w:val="20"/>
                <w:szCs w:val="20"/>
              </w:rPr>
            </w:pPr>
            <w:r>
              <w:rPr>
                <w:sz w:val="20"/>
                <w:szCs w:val="20"/>
              </w:rPr>
              <w:t>6.4</w:t>
            </w:r>
            <w:r>
              <w:rPr>
                <w:sz w:val="20"/>
                <w:szCs w:val="20"/>
              </w:rPr>
              <w:tab/>
              <w:t>the absence of culturally appropriate consultations carried out with the objective of achieving FPIC on matters</w:t>
            </w:r>
            <w:r>
              <w:rPr>
                <w:spacing w:val="-4"/>
                <w:sz w:val="20"/>
                <w:szCs w:val="20"/>
              </w:rPr>
              <w:t xml:space="preserve"> </w:t>
            </w:r>
            <w:r>
              <w:rPr>
                <w:sz w:val="20"/>
                <w:szCs w:val="20"/>
              </w:rPr>
              <w:t>that</w:t>
            </w:r>
            <w:r>
              <w:rPr>
                <w:spacing w:val="-3"/>
                <w:sz w:val="20"/>
                <w:szCs w:val="20"/>
              </w:rPr>
              <w:t xml:space="preserve"> </w:t>
            </w:r>
            <w:r>
              <w:rPr>
                <w:sz w:val="20"/>
                <w:szCs w:val="20"/>
              </w:rPr>
              <w:t>may</w:t>
            </w:r>
            <w:r>
              <w:rPr>
                <w:spacing w:val="-1"/>
                <w:sz w:val="20"/>
                <w:szCs w:val="20"/>
              </w:rPr>
              <w:t xml:space="preserve"> </w:t>
            </w:r>
            <w:r>
              <w:rPr>
                <w:sz w:val="20"/>
                <w:szCs w:val="20"/>
              </w:rPr>
              <w:t>affect</w:t>
            </w:r>
            <w:r>
              <w:rPr>
                <w:spacing w:val="-2"/>
                <w:sz w:val="20"/>
                <w:szCs w:val="20"/>
              </w:rPr>
              <w:t xml:space="preserve"> </w:t>
            </w:r>
            <w:r>
              <w:rPr>
                <w:sz w:val="20"/>
                <w:szCs w:val="20"/>
              </w:rPr>
              <w:t>the</w:t>
            </w:r>
            <w:r>
              <w:rPr>
                <w:spacing w:val="-3"/>
                <w:sz w:val="20"/>
                <w:szCs w:val="20"/>
              </w:rPr>
              <w:t xml:space="preserve"> </w:t>
            </w:r>
            <w:r>
              <w:rPr>
                <w:sz w:val="20"/>
                <w:szCs w:val="20"/>
              </w:rPr>
              <w:t>rights</w:t>
            </w:r>
            <w:r>
              <w:rPr>
                <w:spacing w:val="-2"/>
                <w:sz w:val="20"/>
                <w:szCs w:val="20"/>
              </w:rPr>
              <w:t xml:space="preserve"> </w:t>
            </w:r>
            <w:r>
              <w:rPr>
                <w:sz w:val="20"/>
                <w:szCs w:val="20"/>
              </w:rPr>
              <w:t>and</w:t>
            </w:r>
            <w:r>
              <w:rPr>
                <w:spacing w:val="-3"/>
                <w:sz w:val="20"/>
                <w:szCs w:val="20"/>
              </w:rPr>
              <w:t xml:space="preserve"> </w:t>
            </w:r>
            <w:r>
              <w:rPr>
                <w:sz w:val="20"/>
                <w:szCs w:val="20"/>
              </w:rPr>
              <w:t>interests,</w:t>
            </w:r>
            <w:r>
              <w:rPr>
                <w:spacing w:val="-1"/>
                <w:sz w:val="20"/>
                <w:szCs w:val="20"/>
              </w:rPr>
              <w:t xml:space="preserve"> </w:t>
            </w:r>
            <w:r>
              <w:rPr>
                <w:sz w:val="20"/>
                <w:szCs w:val="20"/>
              </w:rPr>
              <w:t>lands,</w:t>
            </w:r>
            <w:r>
              <w:rPr>
                <w:spacing w:val="-2"/>
                <w:sz w:val="20"/>
                <w:szCs w:val="20"/>
              </w:rPr>
              <w:t xml:space="preserve"> </w:t>
            </w:r>
            <w:r>
              <w:rPr>
                <w:sz w:val="20"/>
                <w:szCs w:val="20"/>
              </w:rPr>
              <w:t>resources, territories</w:t>
            </w:r>
            <w:r>
              <w:rPr>
                <w:spacing w:val="-2"/>
                <w:sz w:val="20"/>
                <w:szCs w:val="20"/>
              </w:rPr>
              <w:t xml:space="preserve"> </w:t>
            </w:r>
            <w:r>
              <w:rPr>
                <w:sz w:val="20"/>
                <w:szCs w:val="20"/>
              </w:rPr>
              <w:t>and</w:t>
            </w:r>
            <w:r>
              <w:rPr>
                <w:spacing w:val="-3"/>
                <w:sz w:val="20"/>
                <w:szCs w:val="20"/>
              </w:rPr>
              <w:t xml:space="preserve"> </w:t>
            </w:r>
            <w:r>
              <w:rPr>
                <w:sz w:val="20"/>
                <w:szCs w:val="20"/>
              </w:rPr>
              <w:t>traditional</w:t>
            </w:r>
            <w:r>
              <w:rPr>
                <w:spacing w:val="-3"/>
                <w:sz w:val="20"/>
                <w:szCs w:val="20"/>
              </w:rPr>
              <w:t xml:space="preserve"> </w:t>
            </w:r>
            <w:r>
              <w:rPr>
                <w:sz w:val="20"/>
                <w:szCs w:val="20"/>
              </w:rPr>
              <w:t>livelihoods</w:t>
            </w:r>
            <w:r>
              <w:rPr>
                <w:spacing w:val="-2"/>
                <w:sz w:val="20"/>
                <w:szCs w:val="20"/>
              </w:rPr>
              <w:t xml:space="preserve"> </w:t>
            </w:r>
            <w:r>
              <w:rPr>
                <w:sz w:val="20"/>
                <w:szCs w:val="20"/>
              </w:rPr>
              <w:t>of the indigenous peoples</w:t>
            </w:r>
            <w:r>
              <w:rPr>
                <w:spacing w:val="-2"/>
                <w:sz w:val="20"/>
                <w:szCs w:val="20"/>
              </w:rPr>
              <w:t xml:space="preserve"> </w:t>
            </w:r>
            <w:r>
              <w:rPr>
                <w:sz w:val="20"/>
                <w:szCs w:val="20"/>
              </w:rPr>
              <w:t>concerned?</w:t>
            </w:r>
          </w:p>
        </w:tc>
        <w:tc>
          <w:tcPr>
            <w:tcW w:w="833" w:type="dxa"/>
          </w:tcPr>
          <w:p w14:paraId="68091544" w14:textId="77777777" w:rsidR="00CF33D9" w:rsidRDefault="00E3332A">
            <w:pPr>
              <w:pStyle w:val="TableParagraph"/>
              <w:jc w:val="center"/>
              <w:rPr>
                <w:sz w:val="20"/>
                <w:szCs w:val="20"/>
              </w:rPr>
            </w:pPr>
            <w:r>
              <w:rPr>
                <w:sz w:val="20"/>
                <w:szCs w:val="20"/>
              </w:rPr>
              <w:t>No</w:t>
            </w:r>
          </w:p>
        </w:tc>
      </w:tr>
      <w:tr w:rsidR="00CF33D9" w14:paraId="68091548" w14:textId="77777777">
        <w:trPr>
          <w:trHeight w:val="558"/>
        </w:trPr>
        <w:tc>
          <w:tcPr>
            <w:tcW w:w="8637" w:type="dxa"/>
          </w:tcPr>
          <w:p w14:paraId="68091546" w14:textId="77777777" w:rsidR="00CF33D9" w:rsidRDefault="00E3332A">
            <w:pPr>
              <w:pStyle w:val="TableParagraph"/>
              <w:tabs>
                <w:tab w:val="left" w:pos="674"/>
              </w:tabs>
              <w:spacing w:before="61"/>
              <w:ind w:left="674" w:right="399" w:hanging="567"/>
              <w:rPr>
                <w:sz w:val="20"/>
                <w:szCs w:val="20"/>
              </w:rPr>
            </w:pPr>
            <w:r>
              <w:rPr>
                <w:sz w:val="20"/>
                <w:szCs w:val="20"/>
              </w:rPr>
              <w:t>6.5</w:t>
            </w:r>
            <w:r>
              <w:rPr>
                <w:sz w:val="20"/>
                <w:szCs w:val="20"/>
              </w:rPr>
              <w:tab/>
              <w:t>the</w:t>
            </w:r>
            <w:r>
              <w:rPr>
                <w:spacing w:val="-3"/>
                <w:sz w:val="20"/>
                <w:szCs w:val="20"/>
              </w:rPr>
              <w:t xml:space="preserve"> </w:t>
            </w:r>
            <w:r>
              <w:rPr>
                <w:sz w:val="20"/>
                <w:szCs w:val="20"/>
              </w:rPr>
              <w:t>utilization</w:t>
            </w:r>
            <w:r>
              <w:rPr>
                <w:spacing w:val="-3"/>
                <w:sz w:val="20"/>
                <w:szCs w:val="20"/>
              </w:rPr>
              <w:t xml:space="preserve"> </w:t>
            </w:r>
            <w:r>
              <w:rPr>
                <w:sz w:val="20"/>
                <w:szCs w:val="20"/>
              </w:rPr>
              <w:t>and/or</w:t>
            </w:r>
            <w:r>
              <w:rPr>
                <w:spacing w:val="-2"/>
                <w:sz w:val="20"/>
                <w:szCs w:val="20"/>
              </w:rPr>
              <w:t xml:space="preserve"> </w:t>
            </w:r>
            <w:r>
              <w:rPr>
                <w:sz w:val="20"/>
                <w:szCs w:val="20"/>
              </w:rPr>
              <w:t>commercial</w:t>
            </w:r>
            <w:r>
              <w:rPr>
                <w:spacing w:val="-3"/>
                <w:sz w:val="20"/>
                <w:szCs w:val="20"/>
              </w:rPr>
              <w:t xml:space="preserve"> </w:t>
            </w:r>
            <w:r>
              <w:rPr>
                <w:sz w:val="20"/>
                <w:szCs w:val="20"/>
              </w:rPr>
              <w:t>development</w:t>
            </w:r>
            <w:r>
              <w:rPr>
                <w:spacing w:val="-2"/>
                <w:sz w:val="20"/>
                <w:szCs w:val="20"/>
              </w:rPr>
              <w:t xml:space="preserve"> </w:t>
            </w:r>
            <w:r>
              <w:rPr>
                <w:sz w:val="20"/>
                <w:szCs w:val="20"/>
              </w:rPr>
              <w:t>of</w:t>
            </w:r>
            <w:r>
              <w:rPr>
                <w:spacing w:val="-2"/>
                <w:sz w:val="20"/>
                <w:szCs w:val="20"/>
              </w:rPr>
              <w:t xml:space="preserve"> </w:t>
            </w:r>
            <w:r>
              <w:rPr>
                <w:sz w:val="20"/>
                <w:szCs w:val="20"/>
              </w:rPr>
              <w:t>natural</w:t>
            </w:r>
            <w:r>
              <w:rPr>
                <w:spacing w:val="-3"/>
                <w:sz w:val="20"/>
                <w:szCs w:val="20"/>
              </w:rPr>
              <w:t xml:space="preserve"> </w:t>
            </w:r>
            <w:r>
              <w:rPr>
                <w:sz w:val="20"/>
                <w:szCs w:val="20"/>
              </w:rPr>
              <w:t>resources</w:t>
            </w:r>
            <w:r>
              <w:rPr>
                <w:spacing w:val="-3"/>
                <w:sz w:val="20"/>
                <w:szCs w:val="20"/>
              </w:rPr>
              <w:t xml:space="preserve"> </w:t>
            </w:r>
            <w:r>
              <w:rPr>
                <w:sz w:val="20"/>
                <w:szCs w:val="20"/>
              </w:rPr>
              <w:t>on</w:t>
            </w:r>
            <w:r>
              <w:rPr>
                <w:spacing w:val="-3"/>
                <w:sz w:val="20"/>
                <w:szCs w:val="20"/>
              </w:rPr>
              <w:t xml:space="preserve"> </w:t>
            </w:r>
            <w:r>
              <w:rPr>
                <w:sz w:val="20"/>
                <w:szCs w:val="20"/>
              </w:rPr>
              <w:t>lands</w:t>
            </w:r>
            <w:r>
              <w:rPr>
                <w:spacing w:val="-3"/>
                <w:sz w:val="20"/>
                <w:szCs w:val="20"/>
              </w:rPr>
              <w:t xml:space="preserve"> </w:t>
            </w:r>
            <w:r>
              <w:rPr>
                <w:sz w:val="20"/>
                <w:szCs w:val="20"/>
              </w:rPr>
              <w:t>and</w:t>
            </w:r>
            <w:r>
              <w:rPr>
                <w:spacing w:val="-2"/>
                <w:sz w:val="20"/>
                <w:szCs w:val="20"/>
              </w:rPr>
              <w:t xml:space="preserve"> </w:t>
            </w:r>
            <w:r>
              <w:rPr>
                <w:sz w:val="20"/>
                <w:szCs w:val="20"/>
              </w:rPr>
              <w:t>territories</w:t>
            </w:r>
            <w:r>
              <w:rPr>
                <w:spacing w:val="-3"/>
                <w:sz w:val="20"/>
                <w:szCs w:val="20"/>
              </w:rPr>
              <w:t xml:space="preserve"> </w:t>
            </w:r>
            <w:r>
              <w:rPr>
                <w:sz w:val="20"/>
                <w:szCs w:val="20"/>
              </w:rPr>
              <w:t>claimed</w:t>
            </w:r>
            <w:r>
              <w:rPr>
                <w:spacing w:val="-1"/>
                <w:sz w:val="20"/>
                <w:szCs w:val="20"/>
              </w:rPr>
              <w:t xml:space="preserve"> </w:t>
            </w:r>
            <w:r>
              <w:rPr>
                <w:sz w:val="20"/>
                <w:szCs w:val="20"/>
              </w:rPr>
              <w:t>by indigenous</w:t>
            </w:r>
            <w:r>
              <w:rPr>
                <w:spacing w:val="-2"/>
                <w:sz w:val="20"/>
                <w:szCs w:val="20"/>
              </w:rPr>
              <w:t xml:space="preserve"> </w:t>
            </w:r>
            <w:r>
              <w:rPr>
                <w:sz w:val="20"/>
                <w:szCs w:val="20"/>
              </w:rPr>
              <w:t>peoples?</w:t>
            </w:r>
          </w:p>
        </w:tc>
        <w:tc>
          <w:tcPr>
            <w:tcW w:w="833" w:type="dxa"/>
          </w:tcPr>
          <w:p w14:paraId="68091547" w14:textId="77777777" w:rsidR="00CF33D9" w:rsidRDefault="00E3332A">
            <w:pPr>
              <w:pStyle w:val="TableParagraph"/>
              <w:jc w:val="center"/>
              <w:rPr>
                <w:sz w:val="20"/>
                <w:szCs w:val="20"/>
              </w:rPr>
            </w:pPr>
            <w:r>
              <w:rPr>
                <w:sz w:val="20"/>
                <w:szCs w:val="20"/>
              </w:rPr>
              <w:t>No</w:t>
            </w:r>
          </w:p>
        </w:tc>
      </w:tr>
      <w:tr w:rsidR="00CF33D9" w14:paraId="6809154C" w14:textId="77777777">
        <w:trPr>
          <w:trHeight w:val="840"/>
        </w:trPr>
        <w:tc>
          <w:tcPr>
            <w:tcW w:w="8637" w:type="dxa"/>
          </w:tcPr>
          <w:p w14:paraId="68091549" w14:textId="77777777" w:rsidR="00CF33D9" w:rsidRDefault="00E3332A">
            <w:pPr>
              <w:pStyle w:val="TableParagraph"/>
              <w:tabs>
                <w:tab w:val="left" w:pos="674"/>
              </w:tabs>
              <w:spacing w:before="61"/>
              <w:ind w:left="674" w:right="180" w:hanging="567"/>
              <w:rPr>
                <w:sz w:val="20"/>
                <w:szCs w:val="20"/>
              </w:rPr>
            </w:pPr>
            <w:r>
              <w:rPr>
                <w:sz w:val="20"/>
                <w:szCs w:val="20"/>
              </w:rPr>
              <w:t>6.6</w:t>
            </w:r>
            <w:r>
              <w:rPr>
                <w:sz w:val="20"/>
                <w:szCs w:val="20"/>
              </w:rPr>
              <w:tab/>
              <w:t>forced</w:t>
            </w:r>
            <w:r>
              <w:rPr>
                <w:spacing w:val="-3"/>
                <w:sz w:val="20"/>
                <w:szCs w:val="20"/>
              </w:rPr>
              <w:t xml:space="preserve"> </w:t>
            </w:r>
            <w:r>
              <w:rPr>
                <w:sz w:val="20"/>
                <w:szCs w:val="20"/>
              </w:rPr>
              <w:t>eviction</w:t>
            </w:r>
            <w:r>
              <w:rPr>
                <w:spacing w:val="-3"/>
                <w:sz w:val="20"/>
                <w:szCs w:val="20"/>
              </w:rPr>
              <w:t xml:space="preserve"> </w:t>
            </w:r>
            <w:r>
              <w:rPr>
                <w:sz w:val="20"/>
                <w:szCs w:val="20"/>
              </w:rPr>
              <w:t>or</w:t>
            </w:r>
            <w:r>
              <w:rPr>
                <w:spacing w:val="-2"/>
                <w:sz w:val="20"/>
                <w:szCs w:val="20"/>
              </w:rPr>
              <w:t xml:space="preserve"> </w:t>
            </w:r>
            <w:r>
              <w:rPr>
                <w:sz w:val="20"/>
                <w:szCs w:val="20"/>
              </w:rPr>
              <w:t>the</w:t>
            </w:r>
            <w:r>
              <w:rPr>
                <w:spacing w:val="-2"/>
                <w:sz w:val="20"/>
                <w:szCs w:val="20"/>
              </w:rPr>
              <w:t xml:space="preserve"> </w:t>
            </w:r>
            <w:r>
              <w:rPr>
                <w:sz w:val="20"/>
                <w:szCs w:val="20"/>
              </w:rPr>
              <w:t>whole</w:t>
            </w:r>
            <w:r>
              <w:rPr>
                <w:spacing w:val="-3"/>
                <w:sz w:val="20"/>
                <w:szCs w:val="20"/>
              </w:rPr>
              <w:t xml:space="preserve"> </w:t>
            </w:r>
            <w:r>
              <w:rPr>
                <w:sz w:val="20"/>
                <w:szCs w:val="20"/>
              </w:rPr>
              <w:t>or</w:t>
            </w:r>
            <w:r>
              <w:rPr>
                <w:spacing w:val="-2"/>
                <w:sz w:val="20"/>
                <w:szCs w:val="20"/>
              </w:rPr>
              <w:t xml:space="preserve"> </w:t>
            </w:r>
            <w:r>
              <w:rPr>
                <w:sz w:val="20"/>
                <w:szCs w:val="20"/>
              </w:rPr>
              <w:t>partial</w:t>
            </w:r>
            <w:r>
              <w:rPr>
                <w:spacing w:val="-2"/>
                <w:sz w:val="20"/>
                <w:szCs w:val="20"/>
              </w:rPr>
              <w:t xml:space="preserve"> </w:t>
            </w:r>
            <w:r>
              <w:rPr>
                <w:sz w:val="20"/>
                <w:szCs w:val="20"/>
              </w:rPr>
              <w:t>physical</w:t>
            </w:r>
            <w:r>
              <w:rPr>
                <w:spacing w:val="-3"/>
                <w:sz w:val="20"/>
                <w:szCs w:val="20"/>
              </w:rPr>
              <w:t xml:space="preserve"> </w:t>
            </w:r>
            <w:r>
              <w:rPr>
                <w:sz w:val="20"/>
                <w:szCs w:val="20"/>
              </w:rPr>
              <w:t>or</w:t>
            </w:r>
            <w:r>
              <w:rPr>
                <w:spacing w:val="-2"/>
                <w:sz w:val="20"/>
                <w:szCs w:val="20"/>
              </w:rPr>
              <w:t xml:space="preserve"> </w:t>
            </w:r>
            <w:r>
              <w:rPr>
                <w:sz w:val="20"/>
                <w:szCs w:val="20"/>
              </w:rPr>
              <w:t>economic</w:t>
            </w:r>
            <w:r>
              <w:rPr>
                <w:spacing w:val="-1"/>
                <w:sz w:val="20"/>
                <w:szCs w:val="20"/>
              </w:rPr>
              <w:t xml:space="preserve"> </w:t>
            </w:r>
            <w:r>
              <w:rPr>
                <w:sz w:val="20"/>
                <w:szCs w:val="20"/>
              </w:rPr>
              <w:t>displacement</w:t>
            </w:r>
            <w:r>
              <w:rPr>
                <w:spacing w:val="-2"/>
                <w:sz w:val="20"/>
                <w:szCs w:val="20"/>
              </w:rPr>
              <w:t xml:space="preserve"> </w:t>
            </w:r>
            <w:r>
              <w:rPr>
                <w:sz w:val="20"/>
                <w:szCs w:val="20"/>
              </w:rPr>
              <w:t>of</w:t>
            </w:r>
            <w:r>
              <w:rPr>
                <w:spacing w:val="-3"/>
                <w:sz w:val="20"/>
                <w:szCs w:val="20"/>
              </w:rPr>
              <w:t xml:space="preserve"> </w:t>
            </w:r>
            <w:r>
              <w:rPr>
                <w:sz w:val="20"/>
                <w:szCs w:val="20"/>
              </w:rPr>
              <w:t>indigenous</w:t>
            </w:r>
            <w:r>
              <w:rPr>
                <w:spacing w:val="-2"/>
                <w:sz w:val="20"/>
                <w:szCs w:val="20"/>
              </w:rPr>
              <w:t xml:space="preserve"> </w:t>
            </w:r>
            <w:r>
              <w:rPr>
                <w:sz w:val="20"/>
                <w:szCs w:val="20"/>
              </w:rPr>
              <w:t>peoples,</w:t>
            </w:r>
            <w:r>
              <w:rPr>
                <w:spacing w:val="-2"/>
                <w:sz w:val="20"/>
                <w:szCs w:val="20"/>
              </w:rPr>
              <w:t xml:space="preserve"> </w:t>
            </w:r>
            <w:r>
              <w:rPr>
                <w:sz w:val="20"/>
                <w:szCs w:val="20"/>
              </w:rPr>
              <w:t>including through access restrictions to lands, territories, and</w:t>
            </w:r>
            <w:r>
              <w:rPr>
                <w:spacing w:val="-4"/>
                <w:sz w:val="20"/>
                <w:szCs w:val="20"/>
              </w:rPr>
              <w:t xml:space="preserve"> </w:t>
            </w:r>
            <w:r>
              <w:rPr>
                <w:sz w:val="20"/>
                <w:szCs w:val="20"/>
              </w:rPr>
              <w:t>resources?</w:t>
            </w:r>
          </w:p>
          <w:p w14:paraId="6809154A" w14:textId="77777777" w:rsidR="00CF33D9" w:rsidRDefault="00E3332A">
            <w:pPr>
              <w:pStyle w:val="TableParagraph"/>
              <w:spacing w:before="60"/>
              <w:ind w:left="647"/>
              <w:rPr>
                <w:i/>
                <w:sz w:val="20"/>
                <w:szCs w:val="20"/>
              </w:rPr>
            </w:pPr>
            <w:r>
              <w:rPr>
                <w:i/>
                <w:sz w:val="20"/>
                <w:szCs w:val="20"/>
              </w:rPr>
              <w:t>Consider, and where appropriate ensure, consistency with the answers under Standard 5 above</w:t>
            </w:r>
          </w:p>
        </w:tc>
        <w:tc>
          <w:tcPr>
            <w:tcW w:w="833" w:type="dxa"/>
          </w:tcPr>
          <w:p w14:paraId="6809154B" w14:textId="77777777" w:rsidR="00CF33D9" w:rsidRDefault="00E3332A">
            <w:pPr>
              <w:pStyle w:val="TableParagraph"/>
              <w:jc w:val="center"/>
              <w:rPr>
                <w:sz w:val="20"/>
                <w:szCs w:val="20"/>
              </w:rPr>
            </w:pPr>
            <w:r>
              <w:rPr>
                <w:sz w:val="20"/>
                <w:szCs w:val="20"/>
              </w:rPr>
              <w:t>No</w:t>
            </w:r>
          </w:p>
        </w:tc>
      </w:tr>
      <w:tr w:rsidR="00CF33D9" w14:paraId="6809154F" w14:textId="77777777">
        <w:trPr>
          <w:trHeight w:val="340"/>
        </w:trPr>
        <w:tc>
          <w:tcPr>
            <w:tcW w:w="8637" w:type="dxa"/>
          </w:tcPr>
          <w:p w14:paraId="6809154D" w14:textId="77777777" w:rsidR="00CF33D9" w:rsidRDefault="00E3332A">
            <w:pPr>
              <w:pStyle w:val="TableParagraph"/>
              <w:tabs>
                <w:tab w:val="left" w:pos="674"/>
              </w:tabs>
              <w:spacing w:before="61"/>
              <w:ind w:left="107"/>
              <w:rPr>
                <w:sz w:val="20"/>
                <w:szCs w:val="20"/>
              </w:rPr>
            </w:pPr>
            <w:r>
              <w:rPr>
                <w:sz w:val="20"/>
                <w:szCs w:val="20"/>
              </w:rPr>
              <w:t>6.7</w:t>
            </w:r>
            <w:r>
              <w:rPr>
                <w:sz w:val="20"/>
                <w:szCs w:val="20"/>
              </w:rPr>
              <w:tab/>
              <w:t>adverse impacts on the development priorities of indigenous peoples as defined by</w:t>
            </w:r>
            <w:r>
              <w:rPr>
                <w:spacing w:val="-9"/>
                <w:sz w:val="20"/>
                <w:szCs w:val="20"/>
              </w:rPr>
              <w:t xml:space="preserve"> </w:t>
            </w:r>
            <w:r>
              <w:rPr>
                <w:sz w:val="20"/>
                <w:szCs w:val="20"/>
              </w:rPr>
              <w:t>them?</w:t>
            </w:r>
          </w:p>
        </w:tc>
        <w:tc>
          <w:tcPr>
            <w:tcW w:w="833" w:type="dxa"/>
          </w:tcPr>
          <w:p w14:paraId="6809154E" w14:textId="77777777" w:rsidR="00CF33D9" w:rsidRDefault="00E3332A">
            <w:pPr>
              <w:pStyle w:val="TableParagraph"/>
              <w:jc w:val="center"/>
              <w:rPr>
                <w:sz w:val="20"/>
                <w:szCs w:val="20"/>
              </w:rPr>
            </w:pPr>
            <w:r>
              <w:rPr>
                <w:sz w:val="20"/>
                <w:szCs w:val="20"/>
              </w:rPr>
              <w:t>No</w:t>
            </w:r>
          </w:p>
        </w:tc>
      </w:tr>
      <w:tr w:rsidR="00CF33D9" w14:paraId="68091552" w14:textId="77777777">
        <w:trPr>
          <w:trHeight w:val="337"/>
        </w:trPr>
        <w:tc>
          <w:tcPr>
            <w:tcW w:w="8637" w:type="dxa"/>
          </w:tcPr>
          <w:p w14:paraId="68091550" w14:textId="77777777" w:rsidR="00CF33D9" w:rsidRDefault="00E3332A">
            <w:pPr>
              <w:pStyle w:val="TableParagraph"/>
              <w:tabs>
                <w:tab w:val="left" w:pos="674"/>
              </w:tabs>
              <w:spacing w:before="61"/>
              <w:ind w:left="107"/>
              <w:rPr>
                <w:sz w:val="20"/>
                <w:szCs w:val="20"/>
              </w:rPr>
            </w:pPr>
            <w:r>
              <w:rPr>
                <w:sz w:val="20"/>
                <w:szCs w:val="20"/>
              </w:rPr>
              <w:t>6.8</w:t>
            </w:r>
            <w:r>
              <w:rPr>
                <w:sz w:val="20"/>
                <w:szCs w:val="20"/>
              </w:rPr>
              <w:tab/>
              <w:t>risks to the physical and cultural survival of indigenous</w:t>
            </w:r>
            <w:r>
              <w:rPr>
                <w:spacing w:val="-10"/>
                <w:sz w:val="20"/>
                <w:szCs w:val="20"/>
              </w:rPr>
              <w:t xml:space="preserve"> </w:t>
            </w:r>
            <w:r>
              <w:rPr>
                <w:sz w:val="20"/>
                <w:szCs w:val="20"/>
              </w:rPr>
              <w:t>peoples?</w:t>
            </w:r>
          </w:p>
        </w:tc>
        <w:tc>
          <w:tcPr>
            <w:tcW w:w="833" w:type="dxa"/>
          </w:tcPr>
          <w:p w14:paraId="68091551" w14:textId="77777777" w:rsidR="00CF33D9" w:rsidRDefault="00E3332A">
            <w:pPr>
              <w:pStyle w:val="TableParagraph"/>
              <w:jc w:val="center"/>
              <w:rPr>
                <w:sz w:val="20"/>
                <w:szCs w:val="20"/>
              </w:rPr>
            </w:pPr>
            <w:r>
              <w:rPr>
                <w:sz w:val="20"/>
                <w:szCs w:val="20"/>
              </w:rPr>
              <w:t>No</w:t>
            </w:r>
          </w:p>
        </w:tc>
      </w:tr>
      <w:tr w:rsidR="00CF33D9" w14:paraId="68091556" w14:textId="77777777">
        <w:trPr>
          <w:trHeight w:val="839"/>
        </w:trPr>
        <w:tc>
          <w:tcPr>
            <w:tcW w:w="8637" w:type="dxa"/>
          </w:tcPr>
          <w:p w14:paraId="68091553" w14:textId="77777777" w:rsidR="00CF33D9" w:rsidRDefault="00E3332A">
            <w:pPr>
              <w:pStyle w:val="TableParagraph"/>
              <w:tabs>
                <w:tab w:val="left" w:pos="674"/>
              </w:tabs>
              <w:spacing w:before="61"/>
              <w:ind w:left="674" w:right="206" w:hanging="567"/>
              <w:rPr>
                <w:sz w:val="20"/>
                <w:szCs w:val="20"/>
              </w:rPr>
            </w:pPr>
            <w:r>
              <w:rPr>
                <w:sz w:val="20"/>
                <w:szCs w:val="20"/>
              </w:rPr>
              <w:t>6.9</w:t>
            </w:r>
            <w:r>
              <w:rPr>
                <w:sz w:val="20"/>
                <w:szCs w:val="20"/>
              </w:rPr>
              <w:tab/>
              <w:t>impacts</w:t>
            </w:r>
            <w:r>
              <w:rPr>
                <w:spacing w:val="-4"/>
                <w:sz w:val="20"/>
                <w:szCs w:val="20"/>
              </w:rPr>
              <w:t xml:space="preserve"> </w:t>
            </w:r>
            <w:r>
              <w:rPr>
                <w:sz w:val="20"/>
                <w:szCs w:val="20"/>
              </w:rPr>
              <w:t>on</w:t>
            </w:r>
            <w:r>
              <w:rPr>
                <w:spacing w:val="-3"/>
                <w:sz w:val="20"/>
                <w:szCs w:val="20"/>
              </w:rPr>
              <w:t xml:space="preserve"> </w:t>
            </w:r>
            <w:r>
              <w:rPr>
                <w:sz w:val="20"/>
                <w:szCs w:val="20"/>
              </w:rPr>
              <w:t>the</w:t>
            </w:r>
            <w:r>
              <w:rPr>
                <w:spacing w:val="-3"/>
                <w:sz w:val="20"/>
                <w:szCs w:val="20"/>
              </w:rPr>
              <w:t xml:space="preserve"> </w:t>
            </w:r>
            <w:r>
              <w:rPr>
                <w:sz w:val="20"/>
                <w:szCs w:val="20"/>
              </w:rPr>
              <w:t>Cultural</w:t>
            </w:r>
            <w:r>
              <w:rPr>
                <w:spacing w:val="-2"/>
                <w:sz w:val="20"/>
                <w:szCs w:val="20"/>
              </w:rPr>
              <w:t xml:space="preserve"> </w:t>
            </w:r>
            <w:r>
              <w:rPr>
                <w:sz w:val="20"/>
                <w:szCs w:val="20"/>
              </w:rPr>
              <w:t>Heritage</w:t>
            </w:r>
            <w:r>
              <w:rPr>
                <w:spacing w:val="-1"/>
                <w:sz w:val="20"/>
                <w:szCs w:val="20"/>
              </w:rPr>
              <w:t xml:space="preserve"> </w:t>
            </w:r>
            <w:r>
              <w:rPr>
                <w:sz w:val="20"/>
                <w:szCs w:val="20"/>
              </w:rPr>
              <w:t>of</w:t>
            </w:r>
            <w:r>
              <w:rPr>
                <w:spacing w:val="-3"/>
                <w:sz w:val="20"/>
                <w:szCs w:val="20"/>
              </w:rPr>
              <w:t xml:space="preserve"> </w:t>
            </w:r>
            <w:r>
              <w:rPr>
                <w:sz w:val="20"/>
                <w:szCs w:val="20"/>
              </w:rPr>
              <w:t>indigenous</w:t>
            </w:r>
            <w:r>
              <w:rPr>
                <w:spacing w:val="-3"/>
                <w:sz w:val="20"/>
                <w:szCs w:val="20"/>
              </w:rPr>
              <w:t xml:space="preserve"> </w:t>
            </w:r>
            <w:r>
              <w:rPr>
                <w:sz w:val="20"/>
                <w:szCs w:val="20"/>
              </w:rPr>
              <w:t>peoples,</w:t>
            </w:r>
            <w:r>
              <w:rPr>
                <w:spacing w:val="-2"/>
                <w:sz w:val="20"/>
                <w:szCs w:val="20"/>
              </w:rPr>
              <w:t xml:space="preserve"> </w:t>
            </w:r>
            <w:r>
              <w:rPr>
                <w:sz w:val="20"/>
                <w:szCs w:val="20"/>
              </w:rPr>
              <w:t>including through</w:t>
            </w:r>
            <w:r>
              <w:rPr>
                <w:spacing w:val="-3"/>
                <w:sz w:val="20"/>
                <w:szCs w:val="20"/>
              </w:rPr>
              <w:t xml:space="preserve"> </w:t>
            </w:r>
            <w:r>
              <w:rPr>
                <w:sz w:val="20"/>
                <w:szCs w:val="20"/>
              </w:rPr>
              <w:t>the</w:t>
            </w:r>
            <w:r>
              <w:rPr>
                <w:spacing w:val="-3"/>
                <w:sz w:val="20"/>
                <w:szCs w:val="20"/>
              </w:rPr>
              <w:t xml:space="preserve"> </w:t>
            </w:r>
            <w:r>
              <w:rPr>
                <w:sz w:val="20"/>
                <w:szCs w:val="20"/>
              </w:rPr>
              <w:t>commercialization</w:t>
            </w:r>
            <w:r>
              <w:rPr>
                <w:spacing w:val="-3"/>
                <w:sz w:val="20"/>
                <w:szCs w:val="20"/>
              </w:rPr>
              <w:t xml:space="preserve"> </w:t>
            </w:r>
            <w:r>
              <w:rPr>
                <w:sz w:val="20"/>
                <w:szCs w:val="20"/>
              </w:rPr>
              <w:t>or</w:t>
            </w:r>
            <w:r>
              <w:rPr>
                <w:spacing w:val="-1"/>
                <w:sz w:val="20"/>
                <w:szCs w:val="20"/>
              </w:rPr>
              <w:t xml:space="preserve"> </w:t>
            </w:r>
            <w:r>
              <w:rPr>
                <w:sz w:val="20"/>
                <w:szCs w:val="20"/>
              </w:rPr>
              <w:t>use</w:t>
            </w:r>
            <w:r>
              <w:rPr>
                <w:spacing w:val="-3"/>
                <w:sz w:val="20"/>
                <w:szCs w:val="20"/>
              </w:rPr>
              <w:t xml:space="preserve"> </w:t>
            </w:r>
            <w:r>
              <w:rPr>
                <w:sz w:val="20"/>
                <w:szCs w:val="20"/>
              </w:rPr>
              <w:t>of their traditional knowledge and</w:t>
            </w:r>
            <w:r>
              <w:rPr>
                <w:spacing w:val="-2"/>
                <w:sz w:val="20"/>
                <w:szCs w:val="20"/>
              </w:rPr>
              <w:t xml:space="preserve"> </w:t>
            </w:r>
            <w:r>
              <w:rPr>
                <w:sz w:val="20"/>
                <w:szCs w:val="20"/>
              </w:rPr>
              <w:t>practices?</w:t>
            </w:r>
          </w:p>
          <w:p w14:paraId="68091554" w14:textId="77777777" w:rsidR="00CF33D9" w:rsidRDefault="00E3332A">
            <w:pPr>
              <w:pStyle w:val="TableParagraph"/>
              <w:spacing w:before="62"/>
              <w:ind w:left="647"/>
              <w:rPr>
                <w:i/>
                <w:sz w:val="20"/>
                <w:szCs w:val="20"/>
              </w:rPr>
            </w:pPr>
            <w:r>
              <w:rPr>
                <w:i/>
                <w:sz w:val="20"/>
                <w:szCs w:val="20"/>
              </w:rPr>
              <w:t>Consider, and where appropriate ensure, consistency with the answers under Standard 4 above.</w:t>
            </w:r>
          </w:p>
        </w:tc>
        <w:tc>
          <w:tcPr>
            <w:tcW w:w="833" w:type="dxa"/>
          </w:tcPr>
          <w:p w14:paraId="68091555" w14:textId="77777777" w:rsidR="00CF33D9" w:rsidRDefault="00E3332A">
            <w:pPr>
              <w:pStyle w:val="TableParagraph"/>
              <w:jc w:val="center"/>
              <w:rPr>
                <w:sz w:val="20"/>
                <w:szCs w:val="20"/>
              </w:rPr>
            </w:pPr>
            <w:r>
              <w:rPr>
                <w:sz w:val="20"/>
                <w:szCs w:val="20"/>
              </w:rPr>
              <w:t>No</w:t>
            </w:r>
          </w:p>
        </w:tc>
      </w:tr>
      <w:tr w:rsidR="00CF33D9" w14:paraId="6809155A" w14:textId="77777777">
        <w:trPr>
          <w:trHeight w:val="575"/>
        </w:trPr>
        <w:tc>
          <w:tcPr>
            <w:tcW w:w="8637" w:type="dxa"/>
            <w:shd w:val="clear" w:color="auto" w:fill="D9E1F3"/>
          </w:tcPr>
          <w:p w14:paraId="68091557" w14:textId="77777777" w:rsidR="00CF33D9" w:rsidRDefault="00CF33D9">
            <w:pPr>
              <w:pStyle w:val="TableParagraph"/>
              <w:spacing w:before="10"/>
              <w:rPr>
                <w:sz w:val="20"/>
                <w:szCs w:val="20"/>
              </w:rPr>
            </w:pPr>
          </w:p>
          <w:p w14:paraId="68091558" w14:textId="77777777" w:rsidR="00CF33D9" w:rsidRDefault="00E3332A">
            <w:pPr>
              <w:pStyle w:val="TableParagraph"/>
              <w:ind w:left="107"/>
              <w:rPr>
                <w:b/>
                <w:sz w:val="20"/>
                <w:szCs w:val="20"/>
              </w:rPr>
            </w:pPr>
            <w:r>
              <w:rPr>
                <w:b/>
                <w:sz w:val="20"/>
                <w:szCs w:val="20"/>
              </w:rPr>
              <w:t>Standard 7: Labour and Working Conditions</w:t>
            </w:r>
          </w:p>
        </w:tc>
        <w:tc>
          <w:tcPr>
            <w:tcW w:w="833" w:type="dxa"/>
            <w:shd w:val="clear" w:color="auto" w:fill="D9E1F3"/>
          </w:tcPr>
          <w:p w14:paraId="68091559" w14:textId="77777777" w:rsidR="00CF33D9" w:rsidRDefault="00CF33D9">
            <w:pPr>
              <w:pStyle w:val="TableParagraph"/>
              <w:rPr>
                <w:sz w:val="20"/>
                <w:szCs w:val="20"/>
              </w:rPr>
            </w:pPr>
          </w:p>
        </w:tc>
      </w:tr>
      <w:tr w:rsidR="00CF33D9" w14:paraId="6809155D" w14:textId="77777777">
        <w:trPr>
          <w:trHeight w:val="340"/>
        </w:trPr>
        <w:tc>
          <w:tcPr>
            <w:tcW w:w="8637" w:type="dxa"/>
          </w:tcPr>
          <w:p w14:paraId="6809155B" w14:textId="77777777" w:rsidR="00CF33D9" w:rsidRDefault="00E3332A">
            <w:pPr>
              <w:pStyle w:val="TableParagraph"/>
              <w:spacing w:before="61"/>
              <w:ind w:left="107"/>
              <w:rPr>
                <w:i/>
                <w:sz w:val="20"/>
                <w:szCs w:val="20"/>
              </w:rPr>
            </w:pPr>
            <w:r>
              <w:rPr>
                <w:i/>
                <w:sz w:val="20"/>
                <w:szCs w:val="20"/>
              </w:rPr>
              <w:t>Would the project potentially involve or lead to: (note: applies to project and contractor workers)</w:t>
            </w:r>
          </w:p>
        </w:tc>
        <w:tc>
          <w:tcPr>
            <w:tcW w:w="833" w:type="dxa"/>
          </w:tcPr>
          <w:p w14:paraId="6809155C" w14:textId="77777777" w:rsidR="00CF33D9" w:rsidRDefault="00CF33D9">
            <w:pPr>
              <w:pStyle w:val="TableParagraph"/>
              <w:rPr>
                <w:sz w:val="20"/>
                <w:szCs w:val="20"/>
              </w:rPr>
            </w:pPr>
          </w:p>
        </w:tc>
      </w:tr>
      <w:tr w:rsidR="00CF33D9" w14:paraId="68091560" w14:textId="77777777">
        <w:trPr>
          <w:trHeight w:val="340"/>
        </w:trPr>
        <w:tc>
          <w:tcPr>
            <w:tcW w:w="8637" w:type="dxa"/>
          </w:tcPr>
          <w:p w14:paraId="6809155E" w14:textId="77777777" w:rsidR="00CF33D9" w:rsidRDefault="00E3332A">
            <w:pPr>
              <w:pStyle w:val="TableParagraph"/>
              <w:tabs>
                <w:tab w:val="left" w:pos="674"/>
              </w:tabs>
              <w:spacing w:before="61"/>
              <w:ind w:left="107"/>
              <w:rPr>
                <w:sz w:val="20"/>
                <w:szCs w:val="20"/>
              </w:rPr>
            </w:pPr>
            <w:r>
              <w:rPr>
                <w:sz w:val="20"/>
                <w:szCs w:val="20"/>
              </w:rPr>
              <w:t>7.1</w:t>
            </w:r>
            <w:r>
              <w:rPr>
                <w:sz w:val="20"/>
                <w:szCs w:val="20"/>
              </w:rPr>
              <w:tab/>
              <w:t>working conditions that do not meet national labour laws and international</w:t>
            </w:r>
            <w:r>
              <w:rPr>
                <w:spacing w:val="-11"/>
                <w:sz w:val="20"/>
                <w:szCs w:val="20"/>
              </w:rPr>
              <w:t xml:space="preserve"> </w:t>
            </w:r>
            <w:r>
              <w:rPr>
                <w:sz w:val="20"/>
                <w:szCs w:val="20"/>
              </w:rPr>
              <w:t>commitments?</w:t>
            </w:r>
          </w:p>
        </w:tc>
        <w:tc>
          <w:tcPr>
            <w:tcW w:w="833" w:type="dxa"/>
          </w:tcPr>
          <w:p w14:paraId="6809155F" w14:textId="77777777" w:rsidR="00CF33D9" w:rsidRDefault="00E3332A">
            <w:pPr>
              <w:pStyle w:val="TableParagraph"/>
              <w:jc w:val="center"/>
              <w:rPr>
                <w:sz w:val="20"/>
                <w:szCs w:val="20"/>
              </w:rPr>
            </w:pPr>
            <w:r>
              <w:rPr>
                <w:sz w:val="20"/>
                <w:szCs w:val="20"/>
              </w:rPr>
              <w:t>No</w:t>
            </w:r>
          </w:p>
        </w:tc>
      </w:tr>
      <w:tr w:rsidR="00CF33D9" w14:paraId="68091563" w14:textId="77777777">
        <w:trPr>
          <w:trHeight w:val="338"/>
        </w:trPr>
        <w:tc>
          <w:tcPr>
            <w:tcW w:w="8637" w:type="dxa"/>
          </w:tcPr>
          <w:p w14:paraId="68091561" w14:textId="77777777" w:rsidR="00CF33D9" w:rsidRDefault="00E3332A">
            <w:pPr>
              <w:pStyle w:val="TableParagraph"/>
              <w:tabs>
                <w:tab w:val="left" w:pos="674"/>
              </w:tabs>
              <w:spacing w:before="61"/>
              <w:ind w:left="107"/>
              <w:rPr>
                <w:sz w:val="20"/>
                <w:szCs w:val="20"/>
              </w:rPr>
            </w:pPr>
            <w:r>
              <w:rPr>
                <w:sz w:val="20"/>
                <w:szCs w:val="20"/>
              </w:rPr>
              <w:t>7.2</w:t>
            </w:r>
            <w:r>
              <w:rPr>
                <w:sz w:val="20"/>
                <w:szCs w:val="20"/>
              </w:rPr>
              <w:tab/>
              <w:t>working conditions that may deny freedom of association and collective</w:t>
            </w:r>
            <w:r>
              <w:rPr>
                <w:spacing w:val="-10"/>
                <w:sz w:val="20"/>
                <w:szCs w:val="20"/>
              </w:rPr>
              <w:t xml:space="preserve"> </w:t>
            </w:r>
            <w:r>
              <w:rPr>
                <w:sz w:val="20"/>
                <w:szCs w:val="20"/>
              </w:rPr>
              <w:t>bargaining?</w:t>
            </w:r>
          </w:p>
        </w:tc>
        <w:tc>
          <w:tcPr>
            <w:tcW w:w="833" w:type="dxa"/>
          </w:tcPr>
          <w:p w14:paraId="68091562" w14:textId="77777777" w:rsidR="00CF33D9" w:rsidRDefault="00E3332A">
            <w:pPr>
              <w:pStyle w:val="TableParagraph"/>
              <w:jc w:val="center"/>
              <w:rPr>
                <w:sz w:val="20"/>
                <w:szCs w:val="20"/>
              </w:rPr>
            </w:pPr>
            <w:r>
              <w:rPr>
                <w:sz w:val="20"/>
                <w:szCs w:val="20"/>
              </w:rPr>
              <w:t>No</w:t>
            </w:r>
          </w:p>
        </w:tc>
      </w:tr>
      <w:tr w:rsidR="00CF33D9" w14:paraId="68091566" w14:textId="77777777">
        <w:trPr>
          <w:trHeight w:val="340"/>
        </w:trPr>
        <w:tc>
          <w:tcPr>
            <w:tcW w:w="8637" w:type="dxa"/>
          </w:tcPr>
          <w:p w14:paraId="68091564" w14:textId="77777777" w:rsidR="00CF33D9" w:rsidRDefault="00E3332A">
            <w:pPr>
              <w:pStyle w:val="TableParagraph"/>
              <w:tabs>
                <w:tab w:val="left" w:pos="674"/>
              </w:tabs>
              <w:spacing w:before="63"/>
              <w:ind w:left="107"/>
              <w:rPr>
                <w:sz w:val="20"/>
                <w:szCs w:val="20"/>
              </w:rPr>
            </w:pPr>
            <w:r>
              <w:rPr>
                <w:sz w:val="20"/>
                <w:szCs w:val="20"/>
              </w:rPr>
              <w:t>7.3</w:t>
            </w:r>
            <w:r>
              <w:rPr>
                <w:sz w:val="20"/>
                <w:szCs w:val="20"/>
              </w:rPr>
              <w:tab/>
              <w:t>use of child</w:t>
            </w:r>
            <w:r>
              <w:rPr>
                <w:spacing w:val="-2"/>
                <w:sz w:val="20"/>
                <w:szCs w:val="20"/>
              </w:rPr>
              <w:t xml:space="preserve"> </w:t>
            </w:r>
            <w:r>
              <w:rPr>
                <w:sz w:val="20"/>
                <w:szCs w:val="20"/>
              </w:rPr>
              <w:t>labour?</w:t>
            </w:r>
          </w:p>
        </w:tc>
        <w:tc>
          <w:tcPr>
            <w:tcW w:w="833" w:type="dxa"/>
          </w:tcPr>
          <w:p w14:paraId="68091565" w14:textId="77777777" w:rsidR="00CF33D9" w:rsidRDefault="00E3332A">
            <w:pPr>
              <w:pStyle w:val="TableParagraph"/>
              <w:jc w:val="center"/>
              <w:rPr>
                <w:sz w:val="20"/>
                <w:szCs w:val="20"/>
              </w:rPr>
            </w:pPr>
            <w:r>
              <w:rPr>
                <w:sz w:val="20"/>
                <w:szCs w:val="20"/>
              </w:rPr>
              <w:t>Yes</w:t>
            </w:r>
          </w:p>
        </w:tc>
      </w:tr>
      <w:tr w:rsidR="00CF33D9" w14:paraId="68091569" w14:textId="77777777">
        <w:trPr>
          <w:trHeight w:val="340"/>
        </w:trPr>
        <w:tc>
          <w:tcPr>
            <w:tcW w:w="8637" w:type="dxa"/>
          </w:tcPr>
          <w:p w14:paraId="68091567" w14:textId="77777777" w:rsidR="00CF33D9" w:rsidRDefault="00E3332A">
            <w:pPr>
              <w:pStyle w:val="TableParagraph"/>
              <w:tabs>
                <w:tab w:val="left" w:pos="674"/>
              </w:tabs>
              <w:spacing w:before="61"/>
              <w:ind w:left="107"/>
              <w:rPr>
                <w:sz w:val="20"/>
                <w:szCs w:val="20"/>
              </w:rPr>
            </w:pPr>
            <w:r>
              <w:rPr>
                <w:sz w:val="20"/>
                <w:szCs w:val="20"/>
              </w:rPr>
              <w:t>7.4</w:t>
            </w:r>
            <w:r>
              <w:rPr>
                <w:sz w:val="20"/>
                <w:szCs w:val="20"/>
              </w:rPr>
              <w:tab/>
              <w:t>use of forced</w:t>
            </w:r>
            <w:r>
              <w:rPr>
                <w:spacing w:val="-4"/>
                <w:sz w:val="20"/>
                <w:szCs w:val="20"/>
              </w:rPr>
              <w:t xml:space="preserve"> </w:t>
            </w:r>
            <w:r>
              <w:rPr>
                <w:sz w:val="20"/>
                <w:szCs w:val="20"/>
              </w:rPr>
              <w:t>labour?</w:t>
            </w:r>
          </w:p>
        </w:tc>
        <w:tc>
          <w:tcPr>
            <w:tcW w:w="833" w:type="dxa"/>
          </w:tcPr>
          <w:p w14:paraId="68091568" w14:textId="77777777" w:rsidR="00CF33D9" w:rsidRDefault="00E3332A">
            <w:pPr>
              <w:pStyle w:val="TableParagraph"/>
              <w:jc w:val="center"/>
              <w:rPr>
                <w:sz w:val="20"/>
                <w:szCs w:val="20"/>
              </w:rPr>
            </w:pPr>
            <w:r>
              <w:rPr>
                <w:sz w:val="20"/>
                <w:szCs w:val="20"/>
              </w:rPr>
              <w:t>No</w:t>
            </w:r>
          </w:p>
        </w:tc>
      </w:tr>
      <w:tr w:rsidR="00CF33D9" w14:paraId="6809156C" w14:textId="77777777">
        <w:trPr>
          <w:trHeight w:val="340"/>
        </w:trPr>
        <w:tc>
          <w:tcPr>
            <w:tcW w:w="8637" w:type="dxa"/>
          </w:tcPr>
          <w:p w14:paraId="6809156A" w14:textId="77777777" w:rsidR="00CF33D9" w:rsidRDefault="00E3332A">
            <w:pPr>
              <w:pStyle w:val="TableParagraph"/>
              <w:tabs>
                <w:tab w:val="left" w:pos="674"/>
              </w:tabs>
              <w:spacing w:before="61"/>
              <w:ind w:left="107"/>
              <w:rPr>
                <w:sz w:val="20"/>
                <w:szCs w:val="20"/>
              </w:rPr>
            </w:pPr>
            <w:r>
              <w:rPr>
                <w:sz w:val="20"/>
                <w:szCs w:val="20"/>
              </w:rPr>
              <w:t>7.5</w:t>
            </w:r>
            <w:r>
              <w:rPr>
                <w:sz w:val="20"/>
                <w:szCs w:val="20"/>
              </w:rPr>
              <w:tab/>
              <w:t>discriminatory working conditions and/or lack of equal</w:t>
            </w:r>
            <w:r>
              <w:rPr>
                <w:spacing w:val="-6"/>
                <w:sz w:val="20"/>
                <w:szCs w:val="20"/>
              </w:rPr>
              <w:t xml:space="preserve"> </w:t>
            </w:r>
            <w:r>
              <w:rPr>
                <w:sz w:val="20"/>
                <w:szCs w:val="20"/>
              </w:rPr>
              <w:t>opportunity?</w:t>
            </w:r>
          </w:p>
        </w:tc>
        <w:tc>
          <w:tcPr>
            <w:tcW w:w="833" w:type="dxa"/>
          </w:tcPr>
          <w:p w14:paraId="6809156B" w14:textId="77777777" w:rsidR="00CF33D9" w:rsidRDefault="00E3332A">
            <w:pPr>
              <w:pStyle w:val="TableParagraph"/>
              <w:jc w:val="center"/>
              <w:rPr>
                <w:sz w:val="20"/>
                <w:szCs w:val="20"/>
              </w:rPr>
            </w:pPr>
            <w:r>
              <w:rPr>
                <w:sz w:val="20"/>
                <w:szCs w:val="20"/>
              </w:rPr>
              <w:t>No</w:t>
            </w:r>
          </w:p>
        </w:tc>
      </w:tr>
      <w:tr w:rsidR="00CF33D9" w14:paraId="6809156F" w14:textId="77777777">
        <w:trPr>
          <w:trHeight w:val="558"/>
        </w:trPr>
        <w:tc>
          <w:tcPr>
            <w:tcW w:w="8637" w:type="dxa"/>
          </w:tcPr>
          <w:p w14:paraId="6809156D" w14:textId="77777777" w:rsidR="00CF33D9" w:rsidRDefault="00E3332A">
            <w:pPr>
              <w:pStyle w:val="TableParagraph"/>
              <w:tabs>
                <w:tab w:val="left" w:pos="674"/>
              </w:tabs>
              <w:spacing w:before="59"/>
              <w:ind w:left="674" w:right="791" w:hanging="567"/>
              <w:rPr>
                <w:sz w:val="20"/>
                <w:szCs w:val="20"/>
              </w:rPr>
            </w:pPr>
            <w:r>
              <w:rPr>
                <w:sz w:val="20"/>
                <w:szCs w:val="20"/>
              </w:rPr>
              <w:t>7.6</w:t>
            </w:r>
            <w:r>
              <w:rPr>
                <w:sz w:val="20"/>
                <w:szCs w:val="20"/>
              </w:rPr>
              <w:tab/>
              <w:t>occupational health and safety risks due to physical, chemical, biological and psychosocial hazards (including violence and harassment) throughout the project</w:t>
            </w:r>
            <w:r>
              <w:rPr>
                <w:spacing w:val="-1"/>
                <w:sz w:val="20"/>
                <w:szCs w:val="20"/>
              </w:rPr>
              <w:t xml:space="preserve"> </w:t>
            </w:r>
            <w:r>
              <w:rPr>
                <w:sz w:val="20"/>
                <w:szCs w:val="20"/>
              </w:rPr>
              <w:t>life-cycle?</w:t>
            </w:r>
          </w:p>
        </w:tc>
        <w:tc>
          <w:tcPr>
            <w:tcW w:w="833" w:type="dxa"/>
          </w:tcPr>
          <w:p w14:paraId="6809156E" w14:textId="77777777" w:rsidR="00CF33D9" w:rsidRDefault="00E3332A">
            <w:pPr>
              <w:pStyle w:val="TableParagraph"/>
              <w:jc w:val="center"/>
              <w:rPr>
                <w:sz w:val="20"/>
                <w:szCs w:val="20"/>
              </w:rPr>
            </w:pPr>
            <w:r>
              <w:rPr>
                <w:sz w:val="20"/>
                <w:szCs w:val="20"/>
              </w:rPr>
              <w:t>No</w:t>
            </w:r>
          </w:p>
        </w:tc>
      </w:tr>
    </w:tbl>
    <w:p w14:paraId="68091570" w14:textId="77777777" w:rsidR="00CF33D9" w:rsidRDefault="00E3332A">
      <w:pPr>
        <w:pStyle w:val="BodyText"/>
        <w:spacing w:before="9"/>
        <w:rPr>
          <w:rFonts w:ascii="Calibri" w:hAnsi="Calibri" w:cs="Calibri"/>
          <w:szCs w:val="20"/>
        </w:rPr>
      </w:pPr>
      <w:r>
        <w:rPr>
          <w:rFonts w:ascii="Calibri" w:hAnsi="Calibri" w:cs="Calibri"/>
          <w:noProof/>
          <w:szCs w:val="20"/>
        </w:rPr>
        <mc:AlternateContent>
          <mc:Choice Requires="wps">
            <w:drawing>
              <wp:anchor distT="0" distB="0" distL="0" distR="0" simplePos="0" relativeHeight="251793920" behindDoc="1" locked="0" layoutInCell="1" allowOverlap="1" wp14:anchorId="680922F3" wp14:editId="680922F4">
                <wp:simplePos x="0" y="0"/>
                <wp:positionH relativeFrom="page">
                  <wp:posOffset>914400</wp:posOffset>
                </wp:positionH>
                <wp:positionV relativeFrom="paragraph">
                  <wp:posOffset>205105</wp:posOffset>
                </wp:positionV>
                <wp:extent cx="1829435" cy="1270"/>
                <wp:effectExtent l="0" t="0" r="0" b="0"/>
                <wp:wrapTopAndBottom/>
                <wp:docPr id="3" name="Freeform 2"/>
                <wp:cNvGraphicFramePr/>
                <a:graphic xmlns:a="http://schemas.openxmlformats.org/drawingml/2006/main">
                  <a:graphicData uri="http://schemas.microsoft.com/office/word/2010/wordprocessingShape">
                    <wps:wsp>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ln>
                      </wps:spPr>
                      <wps:bodyPr rot="0" vert="horz" wrap="square" lIns="91440" tIns="45720" rIns="91440" bIns="45720" anchor="t" anchorCtr="0" upright="1">
                        <a:noAutofit/>
                      </wps:bodyPr>
                    </wps:wsp>
                  </a:graphicData>
                </a:graphic>
              </wp:anchor>
            </w:drawing>
          </mc:Choice>
          <mc:Fallback>
            <w:pict>
              <v:shape w14:anchorId="68833222" id="Freeform 2" o:spid="_x0000_s1026" style="position:absolute;margin-left:1in;margin-top:16.15pt;width:144.05pt;height:.1pt;z-index:-251522560;visibility:visible;mso-wrap-style:square;mso-wrap-distance-left:0;mso-wrap-distance-top:0;mso-wrap-distance-right:0;mso-wrap-distance-bottom:0;mso-position-horizontal:absolute;mso-position-horizontal-relative:page;mso-position-vertical:absolute;mso-position-vertical-relative:text;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" path="m,l2881,e" filled="f" strokeweight=".6pt">
                <v:path arrowok="t" o:connecttype="custom" o:connectlocs="0,0;2147483646,0" o:connectangles="0,0"/>
                <w10:wrap type="topAndBottom" anchorx="page"/>
              </v:shape>
            </w:pict>
          </mc:Fallback>
        </mc:AlternateContent>
      </w:r>
    </w:p>
    <w:p w14:paraId="68091571" w14:textId="77777777" w:rsidR="00CF33D9" w:rsidRDefault="00E3332A">
      <w:pPr>
        <w:spacing w:before="63"/>
        <w:ind w:left="100" w:right="581"/>
        <w:rPr>
          <w:rFonts w:ascii="Calibri" w:hAnsi="Calibri" w:cs="Calibri"/>
          <w:sz w:val="20"/>
          <w:szCs w:val="20"/>
        </w:rPr>
      </w:pPr>
      <w:r>
        <w:rPr>
          <w:rFonts w:ascii="Calibri" w:hAnsi="Calibri" w:cs="Calibri"/>
          <w:position w:val="5"/>
          <w:sz w:val="20"/>
          <w:szCs w:val="20"/>
        </w:rPr>
        <w:lastRenderedPageBreak/>
        <w:t xml:space="preserve">19 </w:t>
      </w:r>
      <w:r>
        <w:rPr>
          <w:rFonts w:ascii="Calibri" w:hAnsi="Calibri" w:cs="Calibri"/>
          <w:sz w:val="20"/>
          <w:szCs w:val="20"/>
        </w:rPr>
        <w:t>Forced eviction is defined here as the permanent or temporary removal against their will of individuals, families or communities from the homes and/or land which they occupy, without the provision of, and access to, appropriate forms of legal or other protection. Forced evictions constitute gross violations of a range of internationally recognized human rights.</w:t>
      </w:r>
    </w:p>
    <w:p w14:paraId="68091572" w14:textId="77777777" w:rsidR="00CF33D9" w:rsidRDefault="00CF33D9">
      <w:pPr>
        <w:rPr>
          <w:rFonts w:ascii="Calibri" w:hAnsi="Calibri" w:cs="Calibri"/>
          <w:sz w:val="20"/>
          <w:szCs w:val="20"/>
        </w:rPr>
        <w:sectPr w:rsidR="00CF33D9">
          <w:pgSz w:w="12240" w:h="15840"/>
          <w:pgMar w:top="1440" w:right="1200" w:bottom="820" w:left="1340" w:header="0" w:footer="640"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637"/>
        <w:gridCol w:w="833"/>
      </w:tblGrid>
      <w:tr w:rsidR="00CF33D9" w14:paraId="68091576" w14:textId="77777777">
        <w:trPr>
          <w:trHeight w:val="602"/>
        </w:trPr>
        <w:tc>
          <w:tcPr>
            <w:tcW w:w="8637" w:type="dxa"/>
            <w:shd w:val="clear" w:color="auto" w:fill="DBE4F0"/>
          </w:tcPr>
          <w:p w14:paraId="68091573" w14:textId="77777777" w:rsidR="00CF33D9" w:rsidRDefault="00CF33D9">
            <w:pPr>
              <w:pStyle w:val="TableParagraph"/>
              <w:spacing w:before="7"/>
              <w:rPr>
                <w:sz w:val="20"/>
                <w:szCs w:val="20"/>
              </w:rPr>
            </w:pPr>
          </w:p>
          <w:p w14:paraId="68091574" w14:textId="77777777" w:rsidR="00CF33D9" w:rsidRDefault="00E3332A">
            <w:pPr>
              <w:pStyle w:val="TableParagraph"/>
              <w:ind w:left="107"/>
              <w:rPr>
                <w:b/>
                <w:sz w:val="20"/>
                <w:szCs w:val="20"/>
              </w:rPr>
            </w:pPr>
            <w:r>
              <w:rPr>
                <w:b/>
                <w:sz w:val="20"/>
                <w:szCs w:val="20"/>
              </w:rPr>
              <w:t>Standard 8: Pollution Prevention and Resource Efficiency</w:t>
            </w:r>
          </w:p>
        </w:tc>
        <w:tc>
          <w:tcPr>
            <w:tcW w:w="833" w:type="dxa"/>
            <w:shd w:val="clear" w:color="auto" w:fill="DBE4F0"/>
          </w:tcPr>
          <w:p w14:paraId="68091575" w14:textId="77777777" w:rsidR="00CF33D9" w:rsidRDefault="00CF33D9">
            <w:pPr>
              <w:pStyle w:val="TableParagraph"/>
              <w:rPr>
                <w:sz w:val="20"/>
                <w:szCs w:val="20"/>
              </w:rPr>
            </w:pPr>
          </w:p>
        </w:tc>
      </w:tr>
      <w:tr w:rsidR="00CF33D9" w14:paraId="68091579" w14:textId="77777777">
        <w:trPr>
          <w:trHeight w:val="340"/>
        </w:trPr>
        <w:tc>
          <w:tcPr>
            <w:tcW w:w="8637" w:type="dxa"/>
          </w:tcPr>
          <w:p w14:paraId="68091577" w14:textId="77777777" w:rsidR="00CF33D9" w:rsidRDefault="00E3332A">
            <w:pPr>
              <w:pStyle w:val="TableParagraph"/>
              <w:spacing w:before="61"/>
              <w:ind w:left="107"/>
              <w:rPr>
                <w:i/>
                <w:sz w:val="20"/>
                <w:szCs w:val="20"/>
              </w:rPr>
            </w:pPr>
            <w:r>
              <w:rPr>
                <w:i/>
                <w:sz w:val="20"/>
                <w:szCs w:val="20"/>
              </w:rPr>
              <w:t>Would the project potentially involve or lead to:</w:t>
            </w:r>
          </w:p>
        </w:tc>
        <w:tc>
          <w:tcPr>
            <w:tcW w:w="833" w:type="dxa"/>
          </w:tcPr>
          <w:p w14:paraId="68091578" w14:textId="77777777" w:rsidR="00CF33D9" w:rsidRDefault="00CF33D9">
            <w:pPr>
              <w:pStyle w:val="TableParagraph"/>
              <w:jc w:val="center"/>
              <w:rPr>
                <w:sz w:val="20"/>
                <w:szCs w:val="20"/>
              </w:rPr>
            </w:pPr>
          </w:p>
        </w:tc>
      </w:tr>
      <w:tr w:rsidR="00CF33D9" w14:paraId="6809157C" w14:textId="77777777">
        <w:trPr>
          <w:trHeight w:val="558"/>
        </w:trPr>
        <w:tc>
          <w:tcPr>
            <w:tcW w:w="8637" w:type="dxa"/>
          </w:tcPr>
          <w:p w14:paraId="6809157A" w14:textId="77777777" w:rsidR="00CF33D9" w:rsidRDefault="00E3332A">
            <w:pPr>
              <w:pStyle w:val="TableParagraph"/>
              <w:tabs>
                <w:tab w:val="left" w:pos="674"/>
              </w:tabs>
              <w:spacing w:before="59"/>
              <w:ind w:left="674" w:right="754" w:hanging="567"/>
              <w:rPr>
                <w:sz w:val="20"/>
                <w:szCs w:val="20"/>
              </w:rPr>
            </w:pPr>
            <w:r>
              <w:rPr>
                <w:sz w:val="20"/>
                <w:szCs w:val="20"/>
              </w:rPr>
              <w:t>8.1</w:t>
            </w:r>
            <w:r>
              <w:rPr>
                <w:sz w:val="20"/>
                <w:szCs w:val="20"/>
              </w:rPr>
              <w:tab/>
              <w:t>the release of pollutants to the environment due to routine or non-routine circumstances with the potential for adverse local, regional, and/or transboundary</w:t>
            </w:r>
            <w:r>
              <w:rPr>
                <w:spacing w:val="-6"/>
                <w:sz w:val="20"/>
                <w:szCs w:val="20"/>
              </w:rPr>
              <w:t xml:space="preserve"> </w:t>
            </w:r>
            <w:r>
              <w:rPr>
                <w:sz w:val="20"/>
                <w:szCs w:val="20"/>
              </w:rPr>
              <w:t>impacts?</w:t>
            </w:r>
          </w:p>
        </w:tc>
        <w:tc>
          <w:tcPr>
            <w:tcW w:w="833" w:type="dxa"/>
          </w:tcPr>
          <w:p w14:paraId="6809157B" w14:textId="77777777" w:rsidR="00CF33D9" w:rsidRDefault="00E3332A">
            <w:pPr>
              <w:pStyle w:val="TableParagraph"/>
              <w:jc w:val="center"/>
              <w:rPr>
                <w:sz w:val="20"/>
                <w:szCs w:val="20"/>
              </w:rPr>
            </w:pPr>
            <w:r>
              <w:rPr>
                <w:sz w:val="20"/>
                <w:szCs w:val="20"/>
              </w:rPr>
              <w:t>Yes</w:t>
            </w:r>
          </w:p>
        </w:tc>
      </w:tr>
      <w:tr w:rsidR="00CF33D9" w14:paraId="6809157F" w14:textId="77777777">
        <w:trPr>
          <w:trHeight w:val="340"/>
        </w:trPr>
        <w:tc>
          <w:tcPr>
            <w:tcW w:w="8637" w:type="dxa"/>
          </w:tcPr>
          <w:p w14:paraId="6809157D" w14:textId="77777777" w:rsidR="00CF33D9" w:rsidRDefault="00E3332A">
            <w:pPr>
              <w:pStyle w:val="TableParagraph"/>
              <w:tabs>
                <w:tab w:val="left" w:pos="674"/>
              </w:tabs>
              <w:spacing w:before="61"/>
              <w:ind w:left="107"/>
              <w:rPr>
                <w:sz w:val="20"/>
                <w:szCs w:val="20"/>
              </w:rPr>
            </w:pPr>
            <w:r>
              <w:rPr>
                <w:sz w:val="20"/>
                <w:szCs w:val="20"/>
              </w:rPr>
              <w:t>8.2</w:t>
            </w:r>
            <w:r>
              <w:rPr>
                <w:sz w:val="20"/>
                <w:szCs w:val="20"/>
              </w:rPr>
              <w:tab/>
              <w:t>the generation of waste (both hazardous and</w:t>
            </w:r>
            <w:r>
              <w:rPr>
                <w:spacing w:val="-10"/>
                <w:sz w:val="20"/>
                <w:szCs w:val="20"/>
              </w:rPr>
              <w:t xml:space="preserve"> </w:t>
            </w:r>
            <w:r>
              <w:rPr>
                <w:sz w:val="20"/>
                <w:szCs w:val="20"/>
              </w:rPr>
              <w:t>non-hazardous)?</w:t>
            </w:r>
          </w:p>
        </w:tc>
        <w:tc>
          <w:tcPr>
            <w:tcW w:w="833" w:type="dxa"/>
          </w:tcPr>
          <w:p w14:paraId="6809157E" w14:textId="77777777" w:rsidR="00CF33D9" w:rsidRDefault="00E3332A">
            <w:pPr>
              <w:pStyle w:val="TableParagraph"/>
              <w:jc w:val="center"/>
              <w:rPr>
                <w:sz w:val="20"/>
                <w:szCs w:val="20"/>
              </w:rPr>
            </w:pPr>
            <w:r>
              <w:rPr>
                <w:sz w:val="20"/>
                <w:szCs w:val="20"/>
              </w:rPr>
              <w:t>Yes</w:t>
            </w:r>
          </w:p>
        </w:tc>
      </w:tr>
      <w:tr w:rsidR="00CF33D9" w14:paraId="68091582" w14:textId="77777777">
        <w:trPr>
          <w:trHeight w:val="400"/>
        </w:trPr>
        <w:tc>
          <w:tcPr>
            <w:tcW w:w="8637" w:type="dxa"/>
          </w:tcPr>
          <w:p w14:paraId="68091580" w14:textId="77777777" w:rsidR="00CF33D9" w:rsidRDefault="00E3332A">
            <w:pPr>
              <w:pStyle w:val="TableParagraph"/>
              <w:tabs>
                <w:tab w:val="left" w:pos="674"/>
              </w:tabs>
              <w:spacing w:before="61"/>
              <w:ind w:left="107"/>
              <w:rPr>
                <w:sz w:val="20"/>
                <w:szCs w:val="20"/>
              </w:rPr>
            </w:pPr>
            <w:r>
              <w:rPr>
                <w:sz w:val="20"/>
                <w:szCs w:val="20"/>
              </w:rPr>
              <w:t>8.3</w:t>
            </w:r>
            <w:r>
              <w:rPr>
                <w:sz w:val="20"/>
                <w:szCs w:val="20"/>
              </w:rPr>
              <w:tab/>
              <w:t>the manufacture, trade, release, and/or use of hazardous materials and/or</w:t>
            </w:r>
            <w:r>
              <w:rPr>
                <w:spacing w:val="-6"/>
                <w:sz w:val="20"/>
                <w:szCs w:val="20"/>
              </w:rPr>
              <w:t xml:space="preserve"> </w:t>
            </w:r>
            <w:r>
              <w:rPr>
                <w:sz w:val="20"/>
                <w:szCs w:val="20"/>
              </w:rPr>
              <w:t>chemicals?</w:t>
            </w:r>
          </w:p>
        </w:tc>
        <w:tc>
          <w:tcPr>
            <w:tcW w:w="833" w:type="dxa"/>
          </w:tcPr>
          <w:p w14:paraId="68091581" w14:textId="77777777" w:rsidR="00CF33D9" w:rsidRDefault="00E3332A">
            <w:pPr>
              <w:pStyle w:val="TableParagraph"/>
              <w:jc w:val="center"/>
              <w:rPr>
                <w:sz w:val="20"/>
                <w:szCs w:val="20"/>
              </w:rPr>
            </w:pPr>
            <w:r>
              <w:rPr>
                <w:sz w:val="20"/>
                <w:szCs w:val="20"/>
              </w:rPr>
              <w:t>No</w:t>
            </w:r>
          </w:p>
        </w:tc>
      </w:tr>
      <w:tr w:rsidR="00CF33D9" w14:paraId="68091586" w14:textId="77777777">
        <w:trPr>
          <w:trHeight w:val="839"/>
        </w:trPr>
        <w:tc>
          <w:tcPr>
            <w:tcW w:w="8637" w:type="dxa"/>
          </w:tcPr>
          <w:p w14:paraId="68091583" w14:textId="77777777" w:rsidR="00CF33D9" w:rsidRDefault="00E3332A">
            <w:pPr>
              <w:pStyle w:val="TableParagraph"/>
              <w:tabs>
                <w:tab w:val="left" w:pos="674"/>
              </w:tabs>
              <w:spacing w:before="63"/>
              <w:ind w:left="107"/>
              <w:rPr>
                <w:sz w:val="20"/>
                <w:szCs w:val="20"/>
              </w:rPr>
            </w:pPr>
            <w:r>
              <w:rPr>
                <w:sz w:val="20"/>
                <w:szCs w:val="20"/>
              </w:rPr>
              <w:t>8.4</w:t>
            </w:r>
            <w:r>
              <w:rPr>
                <w:sz w:val="20"/>
                <w:szCs w:val="20"/>
              </w:rPr>
              <w:tab/>
              <w:t>the use of chemicals or materials subject to international bans or</w:t>
            </w:r>
            <w:r>
              <w:rPr>
                <w:spacing w:val="-8"/>
                <w:sz w:val="20"/>
                <w:szCs w:val="20"/>
              </w:rPr>
              <w:t xml:space="preserve"> </w:t>
            </w:r>
            <w:r>
              <w:rPr>
                <w:sz w:val="20"/>
                <w:szCs w:val="20"/>
              </w:rPr>
              <w:t>phase-outs?</w:t>
            </w:r>
          </w:p>
          <w:p w14:paraId="68091584" w14:textId="77777777" w:rsidR="00CF33D9" w:rsidRDefault="00E3332A">
            <w:pPr>
              <w:pStyle w:val="TableParagraph"/>
              <w:spacing w:before="59"/>
              <w:ind w:left="674" w:right="607"/>
              <w:rPr>
                <w:i/>
                <w:sz w:val="20"/>
                <w:szCs w:val="20"/>
              </w:rPr>
            </w:pPr>
            <w:r>
              <w:rPr>
                <w:i/>
                <w:sz w:val="20"/>
                <w:szCs w:val="20"/>
              </w:rPr>
              <w:t xml:space="preserve">For example, DDT, PCBs and other chemicals listed in international conventions such as the </w:t>
            </w:r>
            <w:hyperlink r:id="rId60">
              <w:r>
                <w:rPr>
                  <w:i/>
                  <w:color w:val="0000FF"/>
                  <w:sz w:val="20"/>
                  <w:szCs w:val="20"/>
                  <w:u w:val="single" w:color="0000FF"/>
                </w:rPr>
                <w:t>Montrea</w:t>
              </w:r>
              <w:r>
                <w:rPr>
                  <w:i/>
                  <w:color w:val="0000FF"/>
                  <w:sz w:val="20"/>
                  <w:szCs w:val="20"/>
                </w:rPr>
                <w:t>l</w:t>
              </w:r>
            </w:hyperlink>
            <w:r>
              <w:rPr>
                <w:i/>
                <w:color w:val="0000FF"/>
                <w:sz w:val="20"/>
                <w:szCs w:val="20"/>
              </w:rPr>
              <w:t xml:space="preserve"> </w:t>
            </w:r>
            <w:hyperlink r:id="rId61">
              <w:r>
                <w:rPr>
                  <w:i/>
                  <w:color w:val="0000FF"/>
                  <w:sz w:val="20"/>
                  <w:szCs w:val="20"/>
                  <w:u w:val="single" w:color="0000FF"/>
                </w:rPr>
                <w:t>Protocol</w:t>
              </w:r>
              <w:r>
                <w:rPr>
                  <w:i/>
                  <w:sz w:val="20"/>
                  <w:szCs w:val="20"/>
                </w:rPr>
                <w:t xml:space="preserve">, </w:t>
              </w:r>
            </w:hyperlink>
            <w:hyperlink r:id="rId62">
              <w:r>
                <w:rPr>
                  <w:i/>
                  <w:color w:val="0000FF"/>
                  <w:sz w:val="20"/>
                  <w:szCs w:val="20"/>
                  <w:u w:val="single" w:color="0000FF"/>
                </w:rPr>
                <w:t>Minamata Convention</w:t>
              </w:r>
              <w:r>
                <w:rPr>
                  <w:i/>
                  <w:sz w:val="20"/>
                  <w:szCs w:val="20"/>
                </w:rPr>
                <w:t xml:space="preserve">, </w:t>
              </w:r>
            </w:hyperlink>
            <w:hyperlink r:id="rId63">
              <w:r>
                <w:rPr>
                  <w:i/>
                  <w:color w:val="0000FF"/>
                  <w:sz w:val="20"/>
                  <w:szCs w:val="20"/>
                  <w:u w:val="single" w:color="0000FF"/>
                </w:rPr>
                <w:t>Basel Convention</w:t>
              </w:r>
              <w:r>
                <w:rPr>
                  <w:i/>
                  <w:sz w:val="20"/>
                  <w:szCs w:val="20"/>
                </w:rPr>
                <w:t xml:space="preserve">, </w:t>
              </w:r>
            </w:hyperlink>
            <w:hyperlink r:id="rId64">
              <w:r>
                <w:rPr>
                  <w:i/>
                  <w:color w:val="0000FF"/>
                  <w:sz w:val="20"/>
                  <w:szCs w:val="20"/>
                  <w:u w:val="single" w:color="0000FF"/>
                </w:rPr>
                <w:t>Rotterdam Convention</w:t>
              </w:r>
              <w:r>
                <w:rPr>
                  <w:i/>
                  <w:sz w:val="20"/>
                  <w:szCs w:val="20"/>
                </w:rPr>
                <w:t xml:space="preserve">, </w:t>
              </w:r>
            </w:hyperlink>
            <w:hyperlink r:id="rId65">
              <w:r>
                <w:rPr>
                  <w:i/>
                  <w:color w:val="0000FF"/>
                  <w:sz w:val="20"/>
                  <w:szCs w:val="20"/>
                  <w:u w:val="single" w:color="0000FF"/>
                </w:rPr>
                <w:t>Stockholm Convention</w:t>
              </w:r>
            </w:hyperlink>
          </w:p>
        </w:tc>
        <w:tc>
          <w:tcPr>
            <w:tcW w:w="833" w:type="dxa"/>
          </w:tcPr>
          <w:p w14:paraId="68091585" w14:textId="77777777" w:rsidR="00CF33D9" w:rsidRDefault="00E3332A">
            <w:pPr>
              <w:pStyle w:val="TableParagraph"/>
              <w:jc w:val="center"/>
              <w:rPr>
                <w:sz w:val="20"/>
                <w:szCs w:val="20"/>
              </w:rPr>
            </w:pPr>
            <w:r>
              <w:rPr>
                <w:sz w:val="20"/>
                <w:szCs w:val="20"/>
              </w:rPr>
              <w:t>No</w:t>
            </w:r>
          </w:p>
        </w:tc>
      </w:tr>
      <w:tr w:rsidR="00CF33D9" w14:paraId="68091589" w14:textId="77777777">
        <w:trPr>
          <w:trHeight w:val="340"/>
        </w:trPr>
        <w:tc>
          <w:tcPr>
            <w:tcW w:w="8637" w:type="dxa"/>
          </w:tcPr>
          <w:p w14:paraId="68091587" w14:textId="77777777" w:rsidR="00CF33D9" w:rsidRDefault="00E3332A">
            <w:pPr>
              <w:pStyle w:val="TableParagraph"/>
              <w:tabs>
                <w:tab w:val="left" w:pos="674"/>
              </w:tabs>
              <w:spacing w:before="61"/>
              <w:ind w:left="107"/>
              <w:rPr>
                <w:sz w:val="20"/>
                <w:szCs w:val="20"/>
              </w:rPr>
            </w:pPr>
            <w:r>
              <w:rPr>
                <w:sz w:val="20"/>
                <w:szCs w:val="20"/>
              </w:rPr>
              <w:t>8.5</w:t>
            </w:r>
            <w:r>
              <w:rPr>
                <w:sz w:val="20"/>
                <w:szCs w:val="20"/>
              </w:rPr>
              <w:tab/>
              <w:t>the application of pesticides that may have a negative effect on the environment or human</w:t>
            </w:r>
            <w:r>
              <w:rPr>
                <w:spacing w:val="-19"/>
                <w:sz w:val="20"/>
                <w:szCs w:val="20"/>
              </w:rPr>
              <w:t xml:space="preserve"> </w:t>
            </w:r>
            <w:r>
              <w:rPr>
                <w:sz w:val="20"/>
                <w:szCs w:val="20"/>
              </w:rPr>
              <w:t>health?</w:t>
            </w:r>
          </w:p>
        </w:tc>
        <w:tc>
          <w:tcPr>
            <w:tcW w:w="833" w:type="dxa"/>
          </w:tcPr>
          <w:p w14:paraId="68091588" w14:textId="77777777" w:rsidR="00CF33D9" w:rsidRDefault="00E3332A">
            <w:pPr>
              <w:pStyle w:val="TableParagraph"/>
              <w:jc w:val="center"/>
              <w:rPr>
                <w:sz w:val="20"/>
                <w:szCs w:val="20"/>
              </w:rPr>
            </w:pPr>
            <w:r>
              <w:rPr>
                <w:sz w:val="20"/>
                <w:szCs w:val="20"/>
              </w:rPr>
              <w:t>No</w:t>
            </w:r>
          </w:p>
        </w:tc>
      </w:tr>
      <w:tr w:rsidR="00CF33D9" w14:paraId="6809158C" w14:textId="77777777">
        <w:trPr>
          <w:trHeight w:val="340"/>
        </w:trPr>
        <w:tc>
          <w:tcPr>
            <w:tcW w:w="8637" w:type="dxa"/>
          </w:tcPr>
          <w:p w14:paraId="6809158A" w14:textId="77777777" w:rsidR="00CF33D9" w:rsidRDefault="00E3332A">
            <w:pPr>
              <w:pStyle w:val="TableParagraph"/>
              <w:tabs>
                <w:tab w:val="left" w:pos="674"/>
              </w:tabs>
              <w:spacing w:before="61"/>
              <w:ind w:left="107"/>
              <w:rPr>
                <w:sz w:val="20"/>
                <w:szCs w:val="20"/>
              </w:rPr>
            </w:pPr>
            <w:r>
              <w:rPr>
                <w:sz w:val="20"/>
                <w:szCs w:val="20"/>
              </w:rPr>
              <w:t>8.6</w:t>
            </w:r>
            <w:r>
              <w:rPr>
                <w:sz w:val="20"/>
                <w:szCs w:val="20"/>
              </w:rPr>
              <w:tab/>
              <w:t>significant consumption of raw materials, energy, and/or</w:t>
            </w:r>
            <w:r>
              <w:rPr>
                <w:spacing w:val="-4"/>
                <w:sz w:val="20"/>
                <w:szCs w:val="20"/>
              </w:rPr>
              <w:t xml:space="preserve"> </w:t>
            </w:r>
            <w:r>
              <w:rPr>
                <w:sz w:val="20"/>
                <w:szCs w:val="20"/>
              </w:rPr>
              <w:t>water?</w:t>
            </w:r>
          </w:p>
        </w:tc>
        <w:tc>
          <w:tcPr>
            <w:tcW w:w="833" w:type="dxa"/>
          </w:tcPr>
          <w:p w14:paraId="6809158B" w14:textId="77777777" w:rsidR="00CF33D9" w:rsidRDefault="00E3332A">
            <w:pPr>
              <w:pStyle w:val="TableParagraph"/>
              <w:jc w:val="center"/>
              <w:rPr>
                <w:sz w:val="20"/>
                <w:szCs w:val="20"/>
              </w:rPr>
            </w:pPr>
            <w:r>
              <w:rPr>
                <w:sz w:val="20"/>
                <w:szCs w:val="20"/>
              </w:rPr>
              <w:t>No</w:t>
            </w:r>
          </w:p>
        </w:tc>
      </w:tr>
    </w:tbl>
    <w:p w14:paraId="6809158D" w14:textId="77777777" w:rsidR="00CF33D9" w:rsidRDefault="00E3332A">
      <w:pPr>
        <w:pStyle w:val="BodyText"/>
        <w:spacing w:before="1"/>
        <w:rPr>
          <w:rFonts w:ascii="Calibri" w:hAnsi="Calibri" w:cs="Calibri"/>
          <w:szCs w:val="20"/>
        </w:rPr>
        <w:sectPr w:rsidR="00CF33D9">
          <w:headerReference w:type="even" r:id="rId66"/>
          <w:headerReference w:type="default" r:id="rId67"/>
          <w:footerReference w:type="default" r:id="rId68"/>
          <w:headerReference w:type="first" r:id="rId69"/>
          <w:pgSz w:w="12240" w:h="15840"/>
          <w:pgMar w:top="1440" w:right="1200" w:bottom="820" w:left="1340" w:header="0" w:footer="640" w:gutter="0"/>
          <w:cols w:space="720"/>
        </w:sectPr>
      </w:pPr>
      <w:bookmarkStart w:id="40" w:name="_TOC_250001"/>
      <w:bookmarkEnd w:id="40"/>
      <w:r>
        <w:rPr>
          <w:rFonts w:ascii="Calibri" w:hAnsi="Calibri" w:cs="Calibri"/>
          <w:noProof/>
          <w:szCs w:val="20"/>
        </w:rPr>
        <mc:AlternateContent>
          <mc:Choice Requires="wps">
            <w:drawing>
              <wp:anchor distT="0" distB="0" distL="0" distR="0" simplePos="0" relativeHeight="251483648" behindDoc="1" locked="0" layoutInCell="1" allowOverlap="1" wp14:anchorId="680922F5" wp14:editId="680922F6">
                <wp:simplePos x="0" y="0"/>
                <wp:positionH relativeFrom="page">
                  <wp:posOffset>914400</wp:posOffset>
                </wp:positionH>
                <wp:positionV relativeFrom="paragraph">
                  <wp:posOffset>208280</wp:posOffset>
                </wp:positionV>
                <wp:extent cx="1829435" cy="1270"/>
                <wp:effectExtent l="0" t="0" r="0" b="0"/>
                <wp:wrapTopAndBottom/>
                <wp:docPr id="5" name="Freeform 4"/>
                <wp:cNvGraphicFramePr/>
                <a:graphic xmlns:a="http://schemas.openxmlformats.org/drawingml/2006/main">
                  <a:graphicData uri="http://schemas.microsoft.com/office/word/2010/wordprocessingShape">
                    <wps:wsp>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ln>
                      </wps:spPr>
                      <wps:bodyPr rot="0" vert="horz" wrap="square" lIns="91440" tIns="45720" rIns="91440" bIns="45720" anchor="t" anchorCtr="0" upright="1">
                        <a:noAutofit/>
                      </wps:bodyPr>
                    </wps:wsp>
                  </a:graphicData>
                </a:graphic>
              </wp:anchor>
            </w:drawing>
          </mc:Choice>
          <mc:Fallback>
            <w:pict>
              <v:shape w14:anchorId="56D8D043" id="Freeform 4" o:spid="_x0000_s1026" style="position:absolute;margin-left:1in;margin-top:16.4pt;width:144.05pt;height:.1pt;z-index:-251832832;visibility:visible;mso-wrap-style:square;mso-wrap-distance-left:0;mso-wrap-distance-top:0;mso-wrap-distance-right:0;mso-wrap-distance-bottom:0;mso-position-horizontal:absolute;mso-position-horizontal-relative:page;mso-position-vertical:absolute;mso-position-vertical-relative:text;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" path="m,l2881,e" filled="f" strokeweight=".6pt">
                <v:path arrowok="t" o:connecttype="custom" o:connectlocs="0,0;2147483646,0" o:connectangles="0,0"/>
                <w10:wrap type="topAndBottom" anchorx="page"/>
              </v:shape>
            </w:pict>
          </mc:Fallback>
        </mc:AlternateContent>
      </w:r>
    </w:p>
    <w:p w14:paraId="6809158E" w14:textId="77777777" w:rsidR="00CF33D9" w:rsidRDefault="00E3332A">
      <w:pPr>
        <w:pStyle w:val="Heading2"/>
        <w:ind w:firstLine="720"/>
        <w:rPr>
          <w:rFonts w:ascii="Calibri" w:hAnsi="Calibri" w:cs="Calibri"/>
          <w:szCs w:val="20"/>
        </w:rPr>
      </w:pPr>
      <w:bookmarkStart w:id="41" w:name="_Toc169739174"/>
      <w:r>
        <w:rPr>
          <w:rFonts w:ascii="Calibri" w:hAnsi="Calibri" w:cs="Calibri"/>
          <w:szCs w:val="20"/>
        </w:rPr>
        <w:lastRenderedPageBreak/>
        <w:t>Annex 5: UNDP Risk Register</w:t>
      </w:r>
      <w:bookmarkEnd w:id="41"/>
    </w:p>
    <w:p w14:paraId="6809158F" w14:textId="77777777" w:rsidR="00CF33D9" w:rsidRDefault="00CF33D9">
      <w:pPr>
        <w:spacing w:after="60"/>
        <w:jc w:val="both"/>
        <w:rPr>
          <w:rFonts w:ascii="Calibri" w:hAnsi="Calibri" w:cs="Calibri"/>
          <w:i/>
          <w:sz w:val="20"/>
          <w:szCs w:val="20"/>
        </w:rPr>
      </w:pPr>
    </w:p>
    <w:p w14:paraId="68091590" w14:textId="77777777" w:rsidR="00CF33D9" w:rsidRDefault="00CF33D9">
      <w:pPr>
        <w:tabs>
          <w:tab w:val="left" w:pos="9041"/>
          <w:tab w:val="left" w:pos="12281"/>
        </w:tabs>
        <w:rPr>
          <w:rFonts w:ascii="Calibri" w:eastAsia="Arial Narrow" w:hAnsi="Calibri" w:cs="Calibri"/>
          <w:b/>
          <w:sz w:val="20"/>
          <w:szCs w:val="20"/>
        </w:rPr>
      </w:pPr>
    </w:p>
    <w:tbl>
      <w:tblPr>
        <w:tblW w:w="13891" w:type="dxa"/>
        <w:tblInd w:w="27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115" w:type="dxa"/>
          <w:right w:w="115" w:type="dxa"/>
        </w:tblCellMar>
        <w:tblLook w:val="04A0" w:firstRow="1" w:lastRow="0" w:firstColumn="1" w:lastColumn="0" w:noHBand="0" w:noVBand="1"/>
      </w:tblPr>
      <w:tblGrid>
        <w:gridCol w:w="8662"/>
        <w:gridCol w:w="3240"/>
        <w:gridCol w:w="1989"/>
      </w:tblGrid>
      <w:tr w:rsidR="00CF33D9" w14:paraId="68091594" w14:textId="77777777">
        <w:trPr>
          <w:trHeight w:val="450"/>
        </w:trPr>
        <w:tc>
          <w:tcPr>
            <w:tcW w:w="86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091591" w14:textId="77777777" w:rsidR="00CF33D9" w:rsidRDefault="00E3332A">
            <w:pPr>
              <w:spacing w:before="60" w:after="60"/>
              <w:jc w:val="both"/>
              <w:rPr>
                <w:rFonts w:ascii="Calibri" w:eastAsia="Century Gothic" w:hAnsi="Calibri" w:cs="Calibri"/>
                <w:color w:val="000000"/>
                <w:sz w:val="20"/>
                <w:szCs w:val="20"/>
              </w:rPr>
            </w:pPr>
            <w:r>
              <w:rPr>
                <w:rFonts w:ascii="Calibri" w:eastAsia="Arial Narrow" w:hAnsi="Calibri" w:cs="Calibri"/>
                <w:bCs/>
                <w:color w:val="000000"/>
                <w:sz w:val="20"/>
                <w:szCs w:val="20"/>
              </w:rPr>
              <w:t>Portfolio/Project Title:</w:t>
            </w:r>
            <w:r>
              <w:rPr>
                <w:rFonts w:ascii="Calibri" w:eastAsia="Arial Narrow" w:hAnsi="Calibri" w:cs="Calibri"/>
                <w:b/>
                <w:color w:val="000000"/>
                <w:sz w:val="20"/>
                <w:szCs w:val="20"/>
              </w:rPr>
              <w:t xml:space="preserve"> Mainstreaming climate-resilient blue economy in the BCLME Region (BLCME IV Project)</w:t>
            </w:r>
          </w:p>
        </w:tc>
        <w:tc>
          <w:tcPr>
            <w:tcW w:w="32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091592" w14:textId="77777777" w:rsidR="00CF33D9" w:rsidRDefault="00E3332A">
            <w:pPr>
              <w:spacing w:before="60" w:after="60"/>
              <w:ind w:right="930"/>
              <w:jc w:val="both"/>
              <w:rPr>
                <w:rFonts w:ascii="Calibri" w:eastAsia="Century Gothic" w:hAnsi="Calibri" w:cs="Calibri"/>
                <w:b/>
                <w:color w:val="000000"/>
                <w:sz w:val="20"/>
                <w:szCs w:val="20"/>
              </w:rPr>
            </w:pPr>
            <w:r>
              <w:rPr>
                <w:rFonts w:ascii="Calibri" w:eastAsia="Arial Narrow" w:hAnsi="Calibri" w:cs="Calibri"/>
                <w:bCs/>
                <w:color w:val="000000"/>
                <w:sz w:val="20"/>
                <w:szCs w:val="20"/>
              </w:rPr>
              <w:t xml:space="preserve">Portfolio/Project Number: </w:t>
            </w:r>
            <w:r>
              <w:rPr>
                <w:rFonts w:ascii="Calibri" w:eastAsia="Arial Narrow" w:hAnsi="Calibri" w:cs="Calibri"/>
                <w:b/>
                <w:color w:val="000000"/>
                <w:sz w:val="20"/>
                <w:szCs w:val="20"/>
              </w:rPr>
              <w:t>6732</w:t>
            </w:r>
          </w:p>
        </w:tc>
        <w:tc>
          <w:tcPr>
            <w:tcW w:w="19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091593" w14:textId="77777777" w:rsidR="00CF33D9" w:rsidRDefault="00E3332A">
            <w:pPr>
              <w:spacing w:before="60" w:after="60"/>
              <w:jc w:val="both"/>
              <w:rPr>
                <w:rFonts w:ascii="Calibri" w:eastAsia="Century Gothic" w:hAnsi="Calibri" w:cs="Calibri"/>
                <w:color w:val="000000"/>
                <w:sz w:val="20"/>
                <w:szCs w:val="20"/>
              </w:rPr>
            </w:pPr>
            <w:r>
              <w:rPr>
                <w:rFonts w:ascii="Calibri" w:eastAsia="Arial Narrow" w:hAnsi="Calibri" w:cs="Calibri"/>
                <w:bCs/>
                <w:color w:val="000000"/>
                <w:sz w:val="20"/>
                <w:szCs w:val="20"/>
              </w:rPr>
              <w:t>Date:</w:t>
            </w:r>
            <w:r>
              <w:rPr>
                <w:rFonts w:ascii="Calibri" w:eastAsia="Arial Narrow" w:hAnsi="Calibri" w:cs="Calibri"/>
                <w:b/>
                <w:color w:val="000000"/>
                <w:sz w:val="20"/>
                <w:szCs w:val="20"/>
              </w:rPr>
              <w:t xml:space="preserve"> May 10, 2024</w:t>
            </w:r>
          </w:p>
        </w:tc>
      </w:tr>
    </w:tbl>
    <w:p w14:paraId="68091595" w14:textId="77777777" w:rsidR="00CF33D9" w:rsidRDefault="00CF33D9">
      <w:pPr>
        <w:keepNext/>
        <w:spacing w:after="60"/>
        <w:jc w:val="both"/>
        <w:rPr>
          <w:rFonts w:ascii="Calibri" w:hAnsi="Calibri" w:cs="Calibri"/>
          <w:sz w:val="20"/>
          <w:szCs w:val="20"/>
        </w:rPr>
      </w:pPr>
    </w:p>
    <w:tbl>
      <w:tblPr>
        <w:tblW w:w="13892" w:type="dxa"/>
        <w:tblInd w:w="13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115" w:type="dxa"/>
          <w:right w:w="115" w:type="dxa"/>
        </w:tblCellMar>
        <w:tblLook w:val="04A0" w:firstRow="1" w:lastRow="0" w:firstColumn="1" w:lastColumn="0" w:noHBand="0" w:noVBand="1"/>
      </w:tblPr>
      <w:tblGrid>
        <w:gridCol w:w="567"/>
        <w:gridCol w:w="1843"/>
        <w:gridCol w:w="1418"/>
        <w:gridCol w:w="1843"/>
        <w:gridCol w:w="1701"/>
        <w:gridCol w:w="1559"/>
        <w:gridCol w:w="992"/>
        <w:gridCol w:w="992"/>
        <w:gridCol w:w="2977"/>
      </w:tblGrid>
      <w:tr w:rsidR="00CF33D9" w14:paraId="680915A2" w14:textId="77777777">
        <w:trPr>
          <w:trHeight w:val="850"/>
          <w:tblHeader/>
        </w:trPr>
        <w:tc>
          <w:tcPr>
            <w:tcW w:w="567" w:type="dxa"/>
            <w:tcBorders>
              <w:top w:val="single" w:sz="4" w:space="0" w:color="000000"/>
              <w:left w:val="single" w:sz="4" w:space="0" w:color="000000"/>
              <w:bottom w:val="single" w:sz="4" w:space="0" w:color="000000"/>
              <w:right w:val="single" w:sz="4" w:space="0" w:color="000000"/>
            </w:tcBorders>
            <w:shd w:val="clear" w:color="auto" w:fill="FFCC00"/>
            <w:tcMar>
              <w:top w:w="80" w:type="dxa"/>
              <w:left w:w="80" w:type="dxa"/>
              <w:bottom w:w="80" w:type="dxa"/>
              <w:right w:w="80" w:type="dxa"/>
            </w:tcMar>
          </w:tcPr>
          <w:p w14:paraId="68091596" w14:textId="77777777" w:rsidR="00CF33D9" w:rsidRDefault="00E3332A">
            <w:pPr>
              <w:jc w:val="both"/>
              <w:rPr>
                <w:rFonts w:ascii="Calibri" w:eastAsia="Century Gothic" w:hAnsi="Calibri" w:cs="Calibri"/>
                <w:color w:val="000000"/>
                <w:sz w:val="20"/>
                <w:szCs w:val="20"/>
              </w:rPr>
            </w:pPr>
            <w:r>
              <w:rPr>
                <w:rFonts w:ascii="Calibri" w:eastAsia="Arial Narrow" w:hAnsi="Calibri" w:cs="Calibri"/>
                <w:b/>
                <w:color w:val="000000"/>
                <w:sz w:val="20"/>
                <w:szCs w:val="20"/>
              </w:rPr>
              <w:t>#</w:t>
            </w:r>
          </w:p>
        </w:tc>
        <w:tc>
          <w:tcPr>
            <w:tcW w:w="1843" w:type="dxa"/>
            <w:tcBorders>
              <w:top w:val="single" w:sz="4" w:space="0" w:color="000000"/>
              <w:left w:val="single" w:sz="4" w:space="0" w:color="000000"/>
              <w:bottom w:val="single" w:sz="4" w:space="0" w:color="000000"/>
              <w:right w:val="single" w:sz="4" w:space="0" w:color="000000"/>
            </w:tcBorders>
            <w:shd w:val="clear" w:color="auto" w:fill="FFCC00"/>
            <w:tcMar>
              <w:top w:w="80" w:type="dxa"/>
              <w:left w:w="80" w:type="dxa"/>
              <w:bottom w:w="80" w:type="dxa"/>
              <w:right w:w="80" w:type="dxa"/>
            </w:tcMar>
          </w:tcPr>
          <w:p w14:paraId="68091597" w14:textId="77777777" w:rsidR="00CF33D9" w:rsidRDefault="00E3332A">
            <w:pPr>
              <w:ind w:left="62"/>
              <w:jc w:val="center"/>
              <w:rPr>
                <w:rFonts w:ascii="Calibri" w:eastAsia="Century Gothic" w:hAnsi="Calibri" w:cs="Calibri"/>
                <w:color w:val="000000"/>
                <w:sz w:val="20"/>
                <w:szCs w:val="20"/>
              </w:rPr>
            </w:pPr>
            <w:r>
              <w:rPr>
                <w:rFonts w:ascii="Calibri" w:eastAsia="Arial Narrow" w:hAnsi="Calibri" w:cs="Calibri"/>
                <w:b/>
                <w:color w:val="000000"/>
                <w:sz w:val="20"/>
                <w:szCs w:val="20"/>
              </w:rPr>
              <w:t>Event</w:t>
            </w:r>
          </w:p>
        </w:tc>
        <w:tc>
          <w:tcPr>
            <w:tcW w:w="1418" w:type="dxa"/>
            <w:tcBorders>
              <w:top w:val="single" w:sz="4" w:space="0" w:color="000000"/>
              <w:left w:val="single" w:sz="4" w:space="0" w:color="000000"/>
              <w:bottom w:val="single" w:sz="4" w:space="0" w:color="000000"/>
              <w:right w:val="single" w:sz="4" w:space="0" w:color="000000"/>
            </w:tcBorders>
            <w:shd w:val="clear" w:color="auto" w:fill="FFCC00"/>
            <w:tcMar>
              <w:top w:w="80" w:type="dxa"/>
              <w:left w:w="80" w:type="dxa"/>
              <w:bottom w:w="80" w:type="dxa"/>
              <w:right w:w="80" w:type="dxa"/>
            </w:tcMar>
          </w:tcPr>
          <w:p w14:paraId="68091598" w14:textId="77777777" w:rsidR="00CF33D9" w:rsidRDefault="00E3332A">
            <w:pPr>
              <w:jc w:val="center"/>
              <w:rPr>
                <w:rFonts w:ascii="Calibri" w:eastAsia="Arial Narrow" w:hAnsi="Calibri" w:cs="Calibri"/>
                <w:b/>
                <w:color w:val="000000"/>
                <w:sz w:val="20"/>
                <w:szCs w:val="20"/>
              </w:rPr>
            </w:pPr>
            <w:r>
              <w:rPr>
                <w:rFonts w:ascii="Calibri" w:eastAsia="Arial Narrow" w:hAnsi="Calibri" w:cs="Calibri"/>
                <w:b/>
                <w:color w:val="000000"/>
                <w:sz w:val="20"/>
                <w:szCs w:val="20"/>
              </w:rPr>
              <w:t>Cause</w:t>
            </w:r>
          </w:p>
          <w:p w14:paraId="68091599" w14:textId="77777777" w:rsidR="00CF33D9" w:rsidRDefault="00CF33D9">
            <w:pPr>
              <w:jc w:val="center"/>
              <w:rPr>
                <w:rFonts w:ascii="Calibri" w:eastAsia="Arial Narrow" w:hAnsi="Calibri" w:cs="Calibri"/>
                <w:b/>
                <w:sz w:val="20"/>
                <w:szCs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FFCC00"/>
            <w:tcMar>
              <w:top w:w="80" w:type="dxa"/>
              <w:left w:w="80" w:type="dxa"/>
              <w:bottom w:w="80" w:type="dxa"/>
              <w:right w:w="80" w:type="dxa"/>
            </w:tcMar>
          </w:tcPr>
          <w:p w14:paraId="6809159A" w14:textId="77777777" w:rsidR="00CF33D9" w:rsidRDefault="00E3332A">
            <w:pPr>
              <w:jc w:val="center"/>
              <w:rPr>
                <w:rFonts w:ascii="Calibri" w:eastAsia="Century Gothic" w:hAnsi="Calibri" w:cs="Calibri"/>
                <w:color w:val="000000"/>
                <w:sz w:val="20"/>
                <w:szCs w:val="20"/>
              </w:rPr>
            </w:pPr>
            <w:r>
              <w:rPr>
                <w:rFonts w:ascii="Calibri" w:eastAsia="Arial Narrow" w:hAnsi="Calibri" w:cs="Calibri"/>
                <w:b/>
                <w:color w:val="000000"/>
                <w:sz w:val="20"/>
                <w:szCs w:val="20"/>
              </w:rPr>
              <w:t>Impact(s)</w:t>
            </w:r>
          </w:p>
        </w:tc>
        <w:tc>
          <w:tcPr>
            <w:tcW w:w="1701" w:type="dxa"/>
            <w:tcBorders>
              <w:top w:val="single" w:sz="4" w:space="0" w:color="000000"/>
              <w:left w:val="single" w:sz="4" w:space="0" w:color="000000"/>
              <w:bottom w:val="single" w:sz="4" w:space="0" w:color="000000"/>
              <w:right w:val="single" w:sz="4" w:space="0" w:color="000000"/>
            </w:tcBorders>
            <w:shd w:val="clear" w:color="auto" w:fill="FFCC00"/>
            <w:tcMar>
              <w:top w:w="80" w:type="dxa"/>
              <w:left w:w="80" w:type="dxa"/>
              <w:bottom w:w="80" w:type="dxa"/>
              <w:right w:w="80" w:type="dxa"/>
            </w:tcMar>
          </w:tcPr>
          <w:p w14:paraId="6809159B" w14:textId="77777777" w:rsidR="00CF33D9" w:rsidRDefault="00E3332A">
            <w:pPr>
              <w:jc w:val="center"/>
              <w:rPr>
                <w:rFonts w:ascii="Calibri" w:eastAsia="Century Gothic" w:hAnsi="Calibri" w:cs="Calibri"/>
                <w:color w:val="000000"/>
                <w:sz w:val="20"/>
                <w:szCs w:val="20"/>
              </w:rPr>
            </w:pPr>
            <w:r>
              <w:rPr>
                <w:rFonts w:ascii="Calibri" w:eastAsia="Arial Narrow" w:hAnsi="Calibri" w:cs="Calibri"/>
                <w:b/>
                <w:color w:val="000000"/>
                <w:sz w:val="20"/>
                <w:szCs w:val="20"/>
              </w:rPr>
              <w:t xml:space="preserve">Risk Category and Sub-category            </w:t>
            </w:r>
            <w:r>
              <w:rPr>
                <w:rFonts w:ascii="Calibri" w:eastAsia="Arial Narrow" w:hAnsi="Calibri" w:cs="Calibri"/>
                <w:i/>
                <w:color w:val="000000"/>
                <w:sz w:val="20"/>
                <w:szCs w:val="20"/>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auto" w:fill="FFCC00"/>
            <w:tcMar>
              <w:top w:w="80" w:type="dxa"/>
              <w:left w:w="80" w:type="dxa"/>
              <w:bottom w:w="80" w:type="dxa"/>
              <w:right w:w="80" w:type="dxa"/>
            </w:tcMar>
          </w:tcPr>
          <w:p w14:paraId="6809159C" w14:textId="77777777" w:rsidR="00CF33D9" w:rsidRDefault="00E3332A">
            <w:pPr>
              <w:jc w:val="center"/>
              <w:rPr>
                <w:rFonts w:ascii="Calibri" w:eastAsia="Arial Narrow" w:hAnsi="Calibri" w:cs="Calibri"/>
                <w:b/>
                <w:color w:val="000000"/>
                <w:sz w:val="20"/>
                <w:szCs w:val="20"/>
              </w:rPr>
            </w:pPr>
            <w:r>
              <w:rPr>
                <w:rFonts w:ascii="Calibri" w:eastAsia="Arial Narrow" w:hAnsi="Calibri" w:cs="Calibri"/>
                <w:b/>
                <w:color w:val="000000"/>
                <w:sz w:val="20"/>
                <w:szCs w:val="20"/>
              </w:rPr>
              <w:t>Impact, Likelihood &amp; Risk Level</w:t>
            </w:r>
          </w:p>
          <w:p w14:paraId="6809159D" w14:textId="77777777" w:rsidR="00CF33D9" w:rsidRDefault="00CF33D9">
            <w:pPr>
              <w:jc w:val="center"/>
              <w:rPr>
                <w:rFonts w:ascii="Calibri" w:eastAsia="Century Gothic" w:hAnsi="Calibri" w:cs="Calibri"/>
                <w:color w:val="000000"/>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FFCC00"/>
            <w:tcMar>
              <w:top w:w="80" w:type="dxa"/>
              <w:left w:w="80" w:type="dxa"/>
              <w:bottom w:w="80" w:type="dxa"/>
              <w:right w:w="80" w:type="dxa"/>
            </w:tcMar>
          </w:tcPr>
          <w:p w14:paraId="6809159E" w14:textId="77777777" w:rsidR="00CF33D9" w:rsidRDefault="00E3332A">
            <w:pPr>
              <w:jc w:val="center"/>
              <w:rPr>
                <w:rFonts w:ascii="Calibri" w:eastAsia="Century Gothic" w:hAnsi="Calibri" w:cs="Calibri"/>
                <w:color w:val="000000"/>
                <w:sz w:val="20"/>
                <w:szCs w:val="20"/>
              </w:rPr>
            </w:pPr>
            <w:r>
              <w:rPr>
                <w:rFonts w:ascii="Calibri" w:eastAsia="Arial Narrow" w:hAnsi="Calibri" w:cs="Calibri"/>
                <w:b/>
                <w:color w:val="000000"/>
                <w:sz w:val="20"/>
                <w:szCs w:val="20"/>
              </w:rPr>
              <w:t>Risk Valid From/To</w:t>
            </w:r>
          </w:p>
        </w:tc>
        <w:tc>
          <w:tcPr>
            <w:tcW w:w="992" w:type="dxa"/>
            <w:tcBorders>
              <w:top w:val="single" w:sz="4" w:space="0" w:color="000000"/>
              <w:left w:val="single" w:sz="4" w:space="0" w:color="000000"/>
              <w:bottom w:val="single" w:sz="4" w:space="0" w:color="000000"/>
              <w:right w:val="single" w:sz="4" w:space="0" w:color="000000"/>
            </w:tcBorders>
            <w:shd w:val="clear" w:color="auto" w:fill="FFCC00"/>
            <w:tcMar>
              <w:top w:w="80" w:type="dxa"/>
              <w:left w:w="80" w:type="dxa"/>
              <w:bottom w:w="80" w:type="dxa"/>
              <w:right w:w="80" w:type="dxa"/>
            </w:tcMar>
          </w:tcPr>
          <w:p w14:paraId="6809159F" w14:textId="77777777" w:rsidR="00CF33D9" w:rsidRDefault="00E3332A">
            <w:pPr>
              <w:jc w:val="center"/>
              <w:rPr>
                <w:rFonts w:ascii="Calibri" w:eastAsia="Arial Narrow" w:hAnsi="Calibri" w:cs="Calibri"/>
                <w:b/>
                <w:color w:val="000000"/>
                <w:sz w:val="20"/>
                <w:szCs w:val="20"/>
              </w:rPr>
            </w:pPr>
            <w:r>
              <w:rPr>
                <w:rFonts w:ascii="Calibri" w:eastAsia="Arial Narrow" w:hAnsi="Calibri" w:cs="Calibri"/>
                <w:b/>
                <w:color w:val="000000"/>
                <w:sz w:val="20"/>
                <w:szCs w:val="20"/>
              </w:rPr>
              <w:t>Risk Owner</w:t>
            </w:r>
          </w:p>
          <w:p w14:paraId="680915A0" w14:textId="77777777" w:rsidR="00CF33D9" w:rsidRDefault="00CF33D9">
            <w:pPr>
              <w:jc w:val="center"/>
              <w:rPr>
                <w:rFonts w:ascii="Calibri" w:eastAsia="Century Gothic" w:hAnsi="Calibri" w:cs="Calibri"/>
                <w:color w:val="000000"/>
                <w:sz w:val="20"/>
                <w:szCs w:val="20"/>
              </w:rPr>
            </w:pPr>
          </w:p>
        </w:tc>
        <w:tc>
          <w:tcPr>
            <w:tcW w:w="2977" w:type="dxa"/>
            <w:tcBorders>
              <w:top w:val="single" w:sz="4" w:space="0" w:color="000000"/>
              <w:left w:val="single" w:sz="4" w:space="0" w:color="000000"/>
              <w:bottom w:val="single" w:sz="4" w:space="0" w:color="000000"/>
              <w:right w:val="single" w:sz="4" w:space="0" w:color="000000"/>
            </w:tcBorders>
            <w:shd w:val="clear" w:color="auto" w:fill="FFCC00"/>
            <w:tcMar>
              <w:top w:w="80" w:type="dxa"/>
              <w:left w:w="80" w:type="dxa"/>
              <w:bottom w:w="80" w:type="dxa"/>
              <w:right w:w="80" w:type="dxa"/>
            </w:tcMar>
          </w:tcPr>
          <w:p w14:paraId="680915A1" w14:textId="77777777" w:rsidR="00CF33D9" w:rsidRDefault="00E3332A">
            <w:pPr>
              <w:jc w:val="center"/>
              <w:rPr>
                <w:rFonts w:ascii="Calibri" w:eastAsia="Century Gothic" w:hAnsi="Calibri" w:cs="Calibri"/>
                <w:color w:val="000000"/>
                <w:sz w:val="20"/>
                <w:szCs w:val="20"/>
              </w:rPr>
            </w:pPr>
            <w:r>
              <w:rPr>
                <w:rFonts w:ascii="Calibri" w:eastAsia="Arial Narrow" w:hAnsi="Calibri" w:cs="Calibri"/>
                <w:b/>
                <w:color w:val="000000"/>
                <w:sz w:val="20"/>
                <w:szCs w:val="20"/>
              </w:rPr>
              <w:t xml:space="preserve">Risk Treatment </w:t>
            </w:r>
          </w:p>
        </w:tc>
      </w:tr>
      <w:tr w:rsidR="00CF33D9" w14:paraId="680915B8" w14:textId="77777777">
        <w:trPr>
          <w:trHeight w:val="4165"/>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0915A3" w14:textId="77777777" w:rsidR="00CF33D9" w:rsidRDefault="00E3332A">
            <w:pPr>
              <w:jc w:val="both"/>
              <w:rPr>
                <w:rFonts w:ascii="Calibri" w:eastAsia="Century Gothic" w:hAnsi="Calibri" w:cs="Calibri"/>
                <w:color w:val="000000"/>
                <w:sz w:val="20"/>
                <w:szCs w:val="20"/>
              </w:rPr>
            </w:pPr>
            <w:r>
              <w:rPr>
                <w:rFonts w:ascii="Calibri" w:eastAsia="Arial Narrow" w:hAnsi="Calibri" w:cs="Calibri"/>
                <w:color w:val="000000"/>
                <w:sz w:val="20"/>
                <w:szCs w:val="20"/>
              </w:rPr>
              <w:t>1</w:t>
            </w:r>
          </w:p>
        </w:tc>
        <w:tc>
          <w:tcPr>
            <w:tcW w:w="1843" w:type="dxa"/>
            <w:tcBorders>
              <w:top w:val="single" w:sz="4" w:space="0" w:color="000000"/>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5A4" w14:textId="77777777" w:rsidR="00CF33D9" w:rsidRDefault="00E3332A">
            <w:pPr>
              <w:pStyle w:val="TableParagraph"/>
              <w:ind w:left="62"/>
              <w:rPr>
                <w:sz w:val="20"/>
                <w:szCs w:val="20"/>
              </w:rPr>
            </w:pPr>
            <w:r>
              <w:rPr>
                <w:rFonts w:eastAsia="MS Mincho"/>
                <w:b/>
                <w:bCs/>
                <w:sz w:val="20"/>
                <w:szCs w:val="20"/>
                <w:lang w:eastAsia="ja-JP"/>
              </w:rPr>
              <w:t xml:space="preserve">SESP Risk 1: </w:t>
            </w:r>
            <w:r>
              <w:rPr>
                <w:sz w:val="20"/>
                <w:szCs w:val="20"/>
              </w:rPr>
              <w:t xml:space="preserve">Project activities under output 1.2.1, targeted to the development of community-based tourism in and around selected MPAs and coastal ecosystems in Namibia, including within Key Biodiversity Areas (KBAs), could lead to an increase in </w:t>
            </w:r>
            <w:r>
              <w:rPr>
                <w:b/>
                <w:bCs/>
                <w:sz w:val="20"/>
                <w:szCs w:val="20"/>
              </w:rPr>
              <w:t>soil erosion, solid waste and littering, sewage pollution, natural habitat loss, and greater pressure on endangered species</w:t>
            </w:r>
            <w:r>
              <w:rPr>
                <w:sz w:val="20"/>
                <w:szCs w:val="20"/>
              </w:rPr>
              <w:t>.</w:t>
            </w:r>
          </w:p>
          <w:p w14:paraId="680915A5" w14:textId="77777777" w:rsidR="00CF33D9" w:rsidRDefault="00CF33D9">
            <w:pPr>
              <w:ind w:left="62"/>
              <w:jc w:val="both"/>
              <w:rPr>
                <w:rFonts w:ascii="Calibri" w:eastAsia="Century Gothic" w:hAnsi="Calibri" w:cs="Calibri"/>
                <w:color w:val="000000"/>
                <w:sz w:val="20"/>
                <w:szCs w:val="20"/>
              </w:rPr>
            </w:pPr>
          </w:p>
        </w:tc>
        <w:tc>
          <w:tcPr>
            <w:tcW w:w="1418" w:type="dxa"/>
            <w:tcBorders>
              <w:top w:val="single" w:sz="4" w:space="0" w:color="000000"/>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5A6" w14:textId="77777777" w:rsidR="00CF33D9" w:rsidRDefault="00E3332A">
            <w:pPr>
              <w:rPr>
                <w:rFonts w:ascii="Calibri" w:eastAsia="Century Gothic" w:hAnsi="Calibri" w:cs="Calibri"/>
                <w:color w:val="000000"/>
                <w:sz w:val="20"/>
                <w:szCs w:val="20"/>
              </w:rPr>
            </w:pPr>
            <w:r>
              <w:rPr>
                <w:rFonts w:ascii="Calibri" w:eastAsia="Arial Narrow" w:hAnsi="Calibri" w:cs="Calibri"/>
                <w:color w:val="000000"/>
                <w:sz w:val="20"/>
                <w:szCs w:val="20"/>
              </w:rPr>
              <w:t>Development of community-based tourism in an around selected MPAs and coastal ecosystems in Namibia</w:t>
            </w:r>
          </w:p>
        </w:tc>
        <w:tc>
          <w:tcPr>
            <w:tcW w:w="1843" w:type="dxa"/>
            <w:tcBorders>
              <w:top w:val="single" w:sz="4" w:space="0" w:color="000000"/>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5A7" w14:textId="77777777" w:rsidR="00CF33D9" w:rsidRDefault="00E3332A">
            <w:pPr>
              <w:rPr>
                <w:rFonts w:ascii="Calibri" w:eastAsia="Century Gothic" w:hAnsi="Calibri" w:cs="Calibri"/>
                <w:color w:val="000000"/>
                <w:sz w:val="20"/>
                <w:szCs w:val="20"/>
              </w:rPr>
            </w:pPr>
            <w:r>
              <w:rPr>
                <w:rFonts w:ascii="Calibri" w:eastAsia="Arial Narrow" w:hAnsi="Calibri" w:cs="Calibri"/>
                <w:color w:val="000000"/>
                <w:sz w:val="20"/>
                <w:szCs w:val="20"/>
              </w:rPr>
              <w:t xml:space="preserve">Increasing soil erosion, solid waste and littering, sewage pollution, natural habitat loss, and greater pressure on endangered species. </w:t>
            </w:r>
          </w:p>
        </w:tc>
        <w:tc>
          <w:tcPr>
            <w:tcW w:w="1701" w:type="dxa"/>
            <w:tcBorders>
              <w:top w:val="single" w:sz="4" w:space="0" w:color="000000"/>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sdt>
            <w:sdtPr>
              <w:rPr>
                <w:rFonts w:ascii="Calibri" w:hAnsi="Calibri" w:cs="Calibri"/>
                <w:b/>
                <w:sz w:val="20"/>
                <w:szCs w:val="20"/>
                <w:highlight w:val="lightGray"/>
              </w:rPr>
              <w:alias w:val="Select Risk Categories and Sub-categories"/>
              <w:tag w:val="Select Risk Categories and Sub-categories"/>
              <w:id w:val="1657332147"/>
              <w:placeholder>
                <w:docPart w:val="3992179BCAEACB4DB0A7690FFA16E0A9"/>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680915A8" w14:textId="77777777" w:rsidR="00CF33D9" w:rsidRDefault="00E3332A">
                <w:pPr>
                  <w:spacing w:beforeLines="60" w:before="144" w:afterLines="60" w:after="144"/>
                  <w:contextualSpacing/>
                  <w:rPr>
                    <w:rFonts w:ascii="Calibri" w:hAnsi="Calibri" w:cs="Calibri"/>
                    <w:b/>
                    <w:sz w:val="20"/>
                    <w:szCs w:val="20"/>
                  </w:rPr>
                </w:pPr>
                <w:r>
                  <w:rPr>
                    <w:rFonts w:ascii="Calibri" w:hAnsi="Calibri" w:cs="Calibri"/>
                    <w:b/>
                    <w:sz w:val="20"/>
                    <w:szCs w:val="20"/>
                    <w:highlight w:val="lightGray"/>
                  </w:rPr>
                  <w:t>1. SOCIAL AND ENVIRONMENTAL (1.11. Pollution prevention and resource efficiency) - UNDP Risk Appetite: CAUTIOUS</w:t>
                </w:r>
              </w:p>
            </w:sdtContent>
          </w:sdt>
          <w:p w14:paraId="680915A9" w14:textId="77777777" w:rsidR="00CF33D9" w:rsidRDefault="00CF33D9">
            <w:pPr>
              <w:rPr>
                <w:rFonts w:ascii="Calibri" w:eastAsia="Century Gothic" w:hAnsi="Calibri" w:cs="Calibri"/>
                <w:color w:val="000000"/>
                <w:sz w:val="20"/>
                <w:szCs w:val="20"/>
              </w:rPr>
            </w:pPr>
          </w:p>
        </w:tc>
        <w:tc>
          <w:tcPr>
            <w:tcW w:w="1559" w:type="dxa"/>
            <w:tcBorders>
              <w:top w:val="single" w:sz="4" w:space="0" w:color="000000"/>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5AA" w14:textId="77777777" w:rsidR="00CF33D9" w:rsidRDefault="00E3332A">
            <w:pPr>
              <w:spacing w:after="40"/>
              <w:rPr>
                <w:rFonts w:ascii="Calibri" w:hAnsi="Calibri" w:cs="Calibri"/>
                <w:sz w:val="20"/>
                <w:szCs w:val="20"/>
              </w:rPr>
            </w:pPr>
            <w:r>
              <w:rPr>
                <w:rFonts w:ascii="Calibri" w:hAnsi="Calibri" w:cs="Calibri"/>
                <w:sz w:val="20"/>
                <w:szCs w:val="20"/>
              </w:rPr>
              <w:t>Likelihood:</w:t>
            </w:r>
          </w:p>
          <w:p w14:paraId="680915AB" w14:textId="77777777" w:rsidR="00CF33D9" w:rsidRDefault="009B0270">
            <w:pPr>
              <w:spacing w:after="40"/>
              <w:rPr>
                <w:rFonts w:ascii="Calibri" w:hAnsi="Calibri" w:cs="Calibri"/>
                <w:b/>
                <w:sz w:val="20"/>
                <w:szCs w:val="20"/>
              </w:rPr>
            </w:pPr>
            <w:sdt>
              <w:sdtPr>
                <w:rPr>
                  <w:rFonts w:ascii="Calibri" w:hAnsi="Calibri" w:cs="Calibri"/>
                  <w:b/>
                  <w:sz w:val="20"/>
                  <w:szCs w:val="20"/>
                  <w:highlight w:val="lightGray"/>
                </w:rPr>
                <w:alias w:val="Select Likelihood Level"/>
                <w:tag w:val="Select Likelihood Level"/>
                <w:id w:val="-1959714208"/>
                <w:placeholder>
                  <w:docPart w:val="A9C34D283D767B488ACD4F095A5CF0CA"/>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E3332A">
                  <w:rPr>
                    <w:rFonts w:ascii="Calibri" w:hAnsi="Calibri" w:cs="Calibri"/>
                    <w:b/>
                    <w:sz w:val="20"/>
                    <w:szCs w:val="20"/>
                    <w:highlight w:val="lightGray"/>
                  </w:rPr>
                  <w:t>3 - Moderately likely</w:t>
                </w:r>
              </w:sdtContent>
            </w:sdt>
          </w:p>
          <w:p w14:paraId="680915AC" w14:textId="77777777" w:rsidR="00CF33D9" w:rsidRDefault="00E3332A">
            <w:pPr>
              <w:spacing w:after="40"/>
              <w:rPr>
                <w:rFonts w:ascii="Calibri" w:hAnsi="Calibri" w:cs="Calibri"/>
                <w:sz w:val="20"/>
                <w:szCs w:val="20"/>
              </w:rPr>
            </w:pPr>
            <w:r>
              <w:rPr>
                <w:rFonts w:ascii="Calibri" w:hAnsi="Calibri" w:cs="Calibri"/>
                <w:sz w:val="20"/>
                <w:szCs w:val="20"/>
              </w:rPr>
              <w:t xml:space="preserve">Impact: </w:t>
            </w:r>
          </w:p>
          <w:p w14:paraId="680915AD" w14:textId="77777777" w:rsidR="00CF33D9" w:rsidRDefault="009B0270">
            <w:pPr>
              <w:spacing w:after="40"/>
              <w:rPr>
                <w:rFonts w:ascii="Calibri" w:hAnsi="Calibri" w:cs="Calibri"/>
                <w:b/>
                <w:sz w:val="20"/>
                <w:szCs w:val="20"/>
                <w:highlight w:val="lightGray"/>
              </w:rPr>
            </w:pPr>
            <w:sdt>
              <w:sdtPr>
                <w:rPr>
                  <w:rFonts w:ascii="Calibri" w:hAnsi="Calibri" w:cs="Calibri"/>
                  <w:b/>
                  <w:sz w:val="20"/>
                  <w:szCs w:val="20"/>
                  <w:highlight w:val="lightGray"/>
                </w:rPr>
                <w:alias w:val="Select Impact Level"/>
                <w:tag w:val="Select Impact Level"/>
                <w:id w:val="90288384"/>
                <w:placeholder>
                  <w:docPart w:val="A9C34D283D767B488ACD4F095A5CF0CA"/>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E3332A">
                  <w:rPr>
                    <w:rFonts w:ascii="Calibri" w:hAnsi="Calibri" w:cs="Calibri"/>
                    <w:b/>
                    <w:sz w:val="20"/>
                    <w:szCs w:val="20"/>
                    <w:highlight w:val="lightGray"/>
                  </w:rPr>
                  <w:t>4 - Extensive</w:t>
                </w:r>
              </w:sdtContent>
            </w:sdt>
          </w:p>
          <w:p w14:paraId="680915AE" w14:textId="77777777" w:rsidR="00CF33D9" w:rsidRDefault="00E3332A">
            <w:pPr>
              <w:spacing w:after="40"/>
              <w:rPr>
                <w:rFonts w:ascii="Calibri" w:hAnsi="Calibri" w:cs="Calibri"/>
                <w:sz w:val="20"/>
                <w:szCs w:val="20"/>
              </w:rPr>
            </w:pPr>
            <w:r>
              <w:rPr>
                <w:rFonts w:ascii="Calibri" w:hAnsi="Calibri" w:cs="Calibri"/>
                <w:sz w:val="20"/>
                <w:szCs w:val="20"/>
              </w:rPr>
              <w:t>Risk level:</w:t>
            </w:r>
          </w:p>
          <w:p w14:paraId="680915AF" w14:textId="77777777" w:rsidR="00CF33D9" w:rsidRDefault="009B0270">
            <w:pPr>
              <w:rPr>
                <w:rFonts w:ascii="Calibri" w:eastAsia="Century Gothic" w:hAnsi="Calibri" w:cs="Calibri"/>
                <w:color w:val="000000"/>
                <w:sz w:val="20"/>
                <w:szCs w:val="20"/>
              </w:rPr>
            </w:pPr>
            <w:sdt>
              <w:sdtPr>
                <w:rPr>
                  <w:rFonts w:ascii="Calibri" w:hAnsi="Calibri" w:cs="Calibri"/>
                  <w:b/>
                  <w:sz w:val="20"/>
                  <w:szCs w:val="20"/>
                  <w:highlight w:val="lightGray"/>
                </w:rPr>
                <w:alias w:val="Select Risk Level"/>
                <w:tag w:val="Select Risk Level"/>
                <w:id w:val="-1392494812"/>
                <w:placeholder>
                  <w:docPart w:val="A9C34D283D767B488ACD4F095A5CF0CA"/>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E3332A">
                  <w:rPr>
                    <w:rFonts w:ascii="Calibri" w:hAnsi="Calibri" w:cs="Calibri"/>
                    <w:b/>
                    <w:sz w:val="20"/>
                    <w:szCs w:val="20"/>
                    <w:highlight w:val="lightGray"/>
                  </w:rPr>
                  <w:t>SUBSTANTIAL (equates to a risk appetite of OPEN)</w:t>
                </w:r>
              </w:sdtContent>
            </w:sdt>
          </w:p>
        </w:tc>
        <w:tc>
          <w:tcPr>
            <w:tcW w:w="992" w:type="dxa"/>
            <w:tcBorders>
              <w:top w:val="single" w:sz="4" w:space="0" w:color="000000"/>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5B0" w14:textId="77777777" w:rsidR="00CF33D9" w:rsidRDefault="00E3332A">
            <w:pPr>
              <w:spacing w:before="40" w:after="40"/>
              <w:contextualSpacing/>
              <w:rPr>
                <w:rFonts w:ascii="Calibri" w:hAnsi="Calibri" w:cs="Calibri"/>
                <w:sz w:val="20"/>
                <w:szCs w:val="20"/>
                <w:highlight w:val="lightGray"/>
              </w:rPr>
            </w:pPr>
            <w:r>
              <w:rPr>
                <w:rFonts w:ascii="Calibri" w:hAnsi="Calibri" w:cs="Calibri"/>
                <w:sz w:val="20"/>
                <w:szCs w:val="20"/>
              </w:rPr>
              <w:t xml:space="preserve">From: </w:t>
            </w:r>
            <w:sdt>
              <w:sdtPr>
                <w:rPr>
                  <w:rFonts w:ascii="Calibri" w:hAnsi="Calibri" w:cs="Calibri"/>
                  <w:sz w:val="20"/>
                  <w:szCs w:val="20"/>
                  <w:highlight w:val="lightGray"/>
                </w:rPr>
                <w:alias w:val="Select starting date"/>
                <w:tag w:val="Select starting date"/>
                <w:id w:val="-1403212683"/>
                <w:placeholder>
                  <w:docPart w:val="30E7868359A7E643975FF9EF20EE3917"/>
                </w:placeholder>
                <w:date>
                  <w:dateFormat w:val="dd-MMM-yy"/>
                  <w:lid w:val="en-US"/>
                  <w:storeMappedDataAs w:val="dateTime"/>
                  <w:calendar w:val="gregorian"/>
                </w:date>
              </w:sdtPr>
              <w:sdtEndPr/>
              <w:sdtContent>
                <w:r>
                  <w:rPr>
                    <w:rFonts w:ascii="Calibri" w:hAnsi="Calibri" w:cs="Calibri"/>
                    <w:sz w:val="20"/>
                    <w:szCs w:val="20"/>
                    <w:highlight w:val="lightGray"/>
                  </w:rPr>
                  <w:t>2025</w:t>
                </w:r>
              </w:sdtContent>
            </w:sdt>
          </w:p>
          <w:p w14:paraId="680915B1" w14:textId="77777777" w:rsidR="00CF33D9" w:rsidRDefault="00CF33D9">
            <w:pPr>
              <w:spacing w:before="40" w:after="40"/>
              <w:contextualSpacing/>
              <w:rPr>
                <w:rFonts w:ascii="Calibri" w:hAnsi="Calibri" w:cs="Calibri"/>
                <w:sz w:val="20"/>
                <w:szCs w:val="20"/>
                <w:highlight w:val="lightGray"/>
              </w:rPr>
            </w:pPr>
          </w:p>
          <w:p w14:paraId="680915B2" w14:textId="77777777" w:rsidR="00CF33D9" w:rsidRDefault="00E3332A">
            <w:pPr>
              <w:jc w:val="both"/>
              <w:rPr>
                <w:rFonts w:ascii="Calibri" w:eastAsia="Century Gothic" w:hAnsi="Calibri" w:cs="Calibri"/>
                <w:color w:val="000000"/>
                <w:sz w:val="20"/>
                <w:szCs w:val="20"/>
              </w:rPr>
            </w:pPr>
            <w:r>
              <w:rPr>
                <w:rFonts w:ascii="Calibri" w:hAnsi="Calibri" w:cs="Calibri"/>
                <w:sz w:val="20"/>
                <w:szCs w:val="20"/>
              </w:rPr>
              <w:t xml:space="preserve">To: </w:t>
            </w:r>
            <w:sdt>
              <w:sdtPr>
                <w:rPr>
                  <w:rFonts w:ascii="Calibri" w:hAnsi="Calibri" w:cs="Calibri"/>
                  <w:sz w:val="20"/>
                  <w:szCs w:val="20"/>
                  <w:highlight w:val="lightGray"/>
                </w:rPr>
                <w:alias w:val="Select End Date"/>
                <w:tag w:val="Select End Date"/>
                <w:id w:val="1995367348"/>
                <w:placeholder>
                  <w:docPart w:val="30E7868359A7E643975FF9EF20EE3917"/>
                </w:placeholder>
                <w:date>
                  <w:dateFormat w:val="dd-MMM-yy"/>
                  <w:lid w:val="en-US"/>
                  <w:storeMappedDataAs w:val="dateTime"/>
                  <w:calendar w:val="gregorian"/>
                </w:date>
              </w:sdtPr>
              <w:sdtEndPr/>
              <w:sdtContent>
                <w:r>
                  <w:rPr>
                    <w:rFonts w:ascii="Calibri" w:hAnsi="Calibri" w:cs="Calibri"/>
                    <w:sz w:val="20"/>
                    <w:szCs w:val="20"/>
                    <w:highlight w:val="lightGray"/>
                  </w:rPr>
                  <w:t>2030</w:t>
                </w:r>
              </w:sdtContent>
            </w:sdt>
          </w:p>
        </w:tc>
        <w:tc>
          <w:tcPr>
            <w:tcW w:w="992" w:type="dxa"/>
            <w:tcBorders>
              <w:top w:val="single" w:sz="4" w:space="0" w:color="000000"/>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5B3" w14:textId="77777777" w:rsidR="00CF33D9" w:rsidRDefault="00E3332A">
            <w:pPr>
              <w:jc w:val="both"/>
              <w:rPr>
                <w:rFonts w:ascii="Calibri" w:eastAsia="Arial Narrow" w:hAnsi="Calibri" w:cs="Calibri"/>
                <w:color w:val="000000"/>
                <w:sz w:val="20"/>
                <w:szCs w:val="20"/>
              </w:rPr>
            </w:pPr>
            <w:r>
              <w:rPr>
                <w:rFonts w:ascii="Calibri" w:eastAsia="Arial Narrow" w:hAnsi="Calibri" w:cs="Calibri"/>
                <w:color w:val="000000"/>
                <w:sz w:val="20"/>
                <w:szCs w:val="20"/>
              </w:rPr>
              <w:t>BCC</w:t>
            </w:r>
          </w:p>
          <w:p w14:paraId="680915B4" w14:textId="77777777" w:rsidR="00CF33D9" w:rsidRDefault="00CF33D9">
            <w:pPr>
              <w:jc w:val="both"/>
              <w:rPr>
                <w:rFonts w:ascii="Calibri" w:eastAsia="Century Gothic" w:hAnsi="Calibri" w:cs="Calibri"/>
                <w:color w:val="000000"/>
                <w:sz w:val="20"/>
                <w:szCs w:val="20"/>
              </w:rPr>
            </w:pPr>
          </w:p>
        </w:tc>
        <w:tc>
          <w:tcPr>
            <w:tcW w:w="2977" w:type="dxa"/>
            <w:tcBorders>
              <w:top w:val="single" w:sz="4" w:space="0" w:color="000000"/>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5B5" w14:textId="77777777" w:rsidR="00CF33D9" w:rsidRDefault="00E3332A">
            <w:pPr>
              <w:pStyle w:val="TableParagraph"/>
              <w:ind w:left="108"/>
              <w:rPr>
                <w:sz w:val="20"/>
                <w:szCs w:val="20"/>
              </w:rPr>
            </w:pPr>
            <w:r>
              <w:rPr>
                <w:sz w:val="20"/>
                <w:szCs w:val="20"/>
              </w:rPr>
              <w:t xml:space="preserve">A </w:t>
            </w:r>
            <w:r>
              <w:rPr>
                <w:b/>
                <w:bCs/>
                <w:sz w:val="20"/>
                <w:szCs w:val="20"/>
              </w:rPr>
              <w:t>scoped Environmental and Social Impact Assessment (ESIA)</w:t>
            </w:r>
            <w:r>
              <w:rPr>
                <w:sz w:val="20"/>
                <w:szCs w:val="20"/>
              </w:rPr>
              <w:t xml:space="preserve"> will be included in activity 1.2.1.2 to ensure that the analysis of environmental feasibility considers all environmental and social impacts that activities under output 1.2.1 could pose for Key Biodiversity Areas in Namibia. ESIA should include appropriate assessments regarding pollution and resource use based on a scoping study of project risks and impacts. </w:t>
            </w:r>
          </w:p>
          <w:p w14:paraId="680915B6" w14:textId="77777777" w:rsidR="00CF33D9" w:rsidRDefault="00CF33D9">
            <w:pPr>
              <w:pStyle w:val="TableParagraph"/>
              <w:ind w:left="107"/>
              <w:rPr>
                <w:sz w:val="20"/>
                <w:szCs w:val="20"/>
              </w:rPr>
            </w:pPr>
          </w:p>
          <w:p w14:paraId="680915B7" w14:textId="77777777" w:rsidR="00CF33D9" w:rsidRDefault="00E3332A">
            <w:pPr>
              <w:pStyle w:val="TableParagraph"/>
              <w:ind w:left="108"/>
              <w:rPr>
                <w:sz w:val="20"/>
                <w:szCs w:val="20"/>
              </w:rPr>
            </w:pPr>
            <w:r>
              <w:rPr>
                <w:sz w:val="20"/>
                <w:szCs w:val="20"/>
              </w:rPr>
              <w:t xml:space="preserve">The scoped ESIA will include specialized biodiversity studies to confirm the level of risk to biodiversity and ecosystem services in the KBAs, overlapping with areas where community-based tourism will be promoted. An </w:t>
            </w:r>
            <w:r>
              <w:rPr>
                <w:b/>
                <w:bCs/>
                <w:sz w:val="20"/>
                <w:szCs w:val="20"/>
              </w:rPr>
              <w:t>Environmental and Social Management Plan (ESMP)</w:t>
            </w:r>
            <w:r>
              <w:rPr>
                <w:sz w:val="20"/>
                <w:szCs w:val="20"/>
              </w:rPr>
              <w:t xml:space="preserve">, and a more specific </w:t>
            </w:r>
            <w:r>
              <w:rPr>
                <w:b/>
                <w:bCs/>
                <w:sz w:val="20"/>
                <w:szCs w:val="20"/>
              </w:rPr>
              <w:t>Biodiversity Action Plan</w:t>
            </w:r>
            <w:r>
              <w:rPr>
                <w:sz w:val="20"/>
                <w:szCs w:val="20"/>
              </w:rPr>
              <w:t xml:space="preserve"> included in the ESMP will establish the measures to </w:t>
            </w:r>
            <w:r>
              <w:rPr>
                <w:sz w:val="20"/>
                <w:szCs w:val="20"/>
              </w:rPr>
              <w:lastRenderedPageBreak/>
              <w:t>manage the biodiversity risks in or near the protected areas and other critical habitats. The ESMP will also include the management and monitoring actions.</w:t>
            </w:r>
          </w:p>
        </w:tc>
      </w:tr>
      <w:tr w:rsidR="00CF33D9" w14:paraId="680915CC" w14:textId="77777777">
        <w:trPr>
          <w:trHeight w:val="2018"/>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0915B9" w14:textId="77777777" w:rsidR="00CF33D9" w:rsidRDefault="00E3332A">
            <w:pPr>
              <w:jc w:val="both"/>
              <w:rPr>
                <w:rFonts w:ascii="Calibri" w:eastAsia="Century Gothic" w:hAnsi="Calibri" w:cs="Calibri"/>
                <w:color w:val="000000"/>
                <w:sz w:val="20"/>
                <w:szCs w:val="20"/>
              </w:rPr>
            </w:pPr>
            <w:r>
              <w:rPr>
                <w:rFonts w:ascii="Calibri" w:eastAsia="Arial Narrow" w:hAnsi="Calibri" w:cs="Calibri"/>
                <w:color w:val="000000"/>
                <w:sz w:val="20"/>
                <w:szCs w:val="20"/>
              </w:rPr>
              <w:lastRenderedPageBreak/>
              <w:t>2</w:t>
            </w:r>
          </w:p>
        </w:tc>
        <w:tc>
          <w:tcPr>
            <w:tcW w:w="1843"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5BA" w14:textId="77777777" w:rsidR="00CF33D9" w:rsidRDefault="00E3332A">
            <w:pPr>
              <w:pStyle w:val="TableParagraph"/>
              <w:ind w:left="62"/>
              <w:rPr>
                <w:color w:val="000000"/>
                <w:sz w:val="20"/>
                <w:szCs w:val="20"/>
              </w:rPr>
            </w:pPr>
            <w:r>
              <w:rPr>
                <w:rFonts w:eastAsia="MS Mincho"/>
                <w:b/>
                <w:bCs/>
                <w:sz w:val="20"/>
                <w:szCs w:val="20"/>
                <w:lang w:eastAsia="ja-JP"/>
              </w:rPr>
              <w:t xml:space="preserve">SESP Risk 2: </w:t>
            </w:r>
            <w:r>
              <w:rPr>
                <w:color w:val="000000"/>
                <w:sz w:val="20"/>
                <w:szCs w:val="20"/>
              </w:rPr>
              <w:t xml:space="preserve">Policy and legal framework amendments/updates (1.1.3; 1.4.2; 3.1.1.2; 1.4.1.2; 3.1.1; and 4.1.1) could </w:t>
            </w:r>
            <w:r>
              <w:rPr>
                <w:b/>
                <w:bCs/>
                <w:color w:val="000000"/>
                <w:sz w:val="20"/>
                <w:szCs w:val="20"/>
              </w:rPr>
              <w:t>exclude affected stakeholders/constituents, including vulnerable groups, from participating in policy decisions</w:t>
            </w:r>
            <w:r>
              <w:rPr>
                <w:color w:val="000000"/>
                <w:sz w:val="20"/>
                <w:szCs w:val="20"/>
              </w:rPr>
              <w:t xml:space="preserve"> that could impact on their lands, territories, and resources, </w:t>
            </w:r>
            <w:r>
              <w:rPr>
                <w:color w:val="000000"/>
                <w:sz w:val="20"/>
                <w:szCs w:val="20"/>
              </w:rPr>
              <w:lastRenderedPageBreak/>
              <w:t>increasing their vulnerability to climate change.</w:t>
            </w:r>
          </w:p>
          <w:p w14:paraId="680915BB" w14:textId="77777777" w:rsidR="00CF33D9" w:rsidRDefault="00CF33D9">
            <w:pPr>
              <w:ind w:left="62"/>
              <w:jc w:val="both"/>
              <w:rPr>
                <w:rFonts w:ascii="Calibri" w:eastAsia="Century Gothic" w:hAnsi="Calibri" w:cs="Calibri"/>
                <w:color w:val="000000"/>
                <w:sz w:val="20"/>
                <w:szCs w:val="20"/>
              </w:rPr>
            </w:pPr>
          </w:p>
        </w:tc>
        <w:tc>
          <w:tcPr>
            <w:tcW w:w="1418"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5BC" w14:textId="77777777" w:rsidR="00CF33D9" w:rsidRDefault="00E3332A">
            <w:pPr>
              <w:rPr>
                <w:rFonts w:ascii="Calibri" w:eastAsia="Century Gothic" w:hAnsi="Calibri" w:cs="Calibri"/>
                <w:color w:val="000000"/>
                <w:sz w:val="20"/>
                <w:szCs w:val="20"/>
              </w:rPr>
            </w:pPr>
            <w:r>
              <w:rPr>
                <w:rFonts w:ascii="Calibri" w:hAnsi="Calibri" w:cs="Calibri"/>
                <w:sz w:val="20"/>
                <w:szCs w:val="20"/>
              </w:rPr>
              <w:lastRenderedPageBreak/>
              <w:t>The Project will develop several regulatory and policy amendments.</w:t>
            </w:r>
          </w:p>
        </w:tc>
        <w:tc>
          <w:tcPr>
            <w:tcW w:w="1843"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5BD" w14:textId="77777777" w:rsidR="00CF33D9" w:rsidRDefault="00E3332A">
            <w:pPr>
              <w:rPr>
                <w:rFonts w:ascii="Calibri" w:eastAsia="Century Gothic" w:hAnsi="Calibri" w:cs="Calibri"/>
                <w:color w:val="000000"/>
                <w:sz w:val="20"/>
                <w:szCs w:val="20"/>
              </w:rPr>
            </w:pPr>
            <w:r>
              <w:rPr>
                <w:rFonts w:ascii="Calibri" w:eastAsia="Arial Narrow" w:hAnsi="Calibri" w:cs="Calibri"/>
                <w:color w:val="000000"/>
                <w:sz w:val="20"/>
                <w:szCs w:val="20"/>
              </w:rPr>
              <w:t xml:space="preserve">The exclusion of affected stakeholders/constituents, including vulnerable groups, from participating in policy decisions. </w:t>
            </w:r>
          </w:p>
        </w:tc>
        <w:tc>
          <w:tcPr>
            <w:tcW w:w="1701"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sdt>
            <w:sdtPr>
              <w:rPr>
                <w:rFonts w:ascii="Calibri" w:hAnsi="Calibri" w:cs="Calibri"/>
                <w:b/>
                <w:sz w:val="20"/>
                <w:szCs w:val="20"/>
                <w:highlight w:val="lightGray"/>
              </w:rPr>
              <w:alias w:val="Select Risk Categories and Sub-categories"/>
              <w:tag w:val="Select Risk Categories and Sub-categories"/>
              <w:id w:val="1335879261"/>
              <w:placeholder>
                <w:docPart w:val="B39159206172934091B9D650B1E58332"/>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680915BE" w14:textId="77777777" w:rsidR="00CF33D9" w:rsidRDefault="00E3332A">
                <w:pPr>
                  <w:spacing w:beforeLines="60" w:before="144" w:afterLines="60" w:after="144"/>
                  <w:contextualSpacing/>
                  <w:rPr>
                    <w:rFonts w:ascii="Calibri" w:hAnsi="Calibri" w:cs="Calibri"/>
                    <w:b/>
                    <w:sz w:val="20"/>
                    <w:szCs w:val="20"/>
                  </w:rPr>
                </w:pPr>
                <w:r>
                  <w:rPr>
                    <w:rFonts w:ascii="Calibri" w:hAnsi="Calibri" w:cs="Calibri"/>
                    <w:b/>
                    <w:sz w:val="20"/>
                    <w:szCs w:val="20"/>
                    <w:highlight w:val="lightGray"/>
                  </w:rPr>
                  <w:t>1. SOCIAL AND ENVIRONMENTAL (1.1. Human rights) - UNDP Risk Appetite: CAUTIOUS</w:t>
                </w:r>
              </w:p>
            </w:sdtContent>
          </w:sdt>
          <w:p w14:paraId="680915BF" w14:textId="77777777" w:rsidR="00CF33D9" w:rsidRDefault="00CF33D9">
            <w:pPr>
              <w:rPr>
                <w:rFonts w:ascii="Calibri" w:eastAsia="Century Gothic" w:hAnsi="Calibri" w:cs="Calibri"/>
                <w:color w:val="000000"/>
                <w:sz w:val="20"/>
                <w:szCs w:val="20"/>
              </w:rPr>
            </w:pPr>
          </w:p>
        </w:tc>
        <w:tc>
          <w:tcPr>
            <w:tcW w:w="1559"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5C0" w14:textId="77777777" w:rsidR="00CF33D9" w:rsidRDefault="00E3332A">
            <w:pPr>
              <w:spacing w:after="40"/>
              <w:rPr>
                <w:rFonts w:ascii="Calibri" w:hAnsi="Calibri" w:cs="Calibri"/>
                <w:sz w:val="20"/>
                <w:szCs w:val="20"/>
              </w:rPr>
            </w:pPr>
            <w:r>
              <w:rPr>
                <w:rFonts w:ascii="Calibri" w:hAnsi="Calibri" w:cs="Calibri"/>
                <w:sz w:val="20"/>
                <w:szCs w:val="20"/>
              </w:rPr>
              <w:t>Likelihood:</w:t>
            </w:r>
          </w:p>
          <w:p w14:paraId="680915C1" w14:textId="77777777" w:rsidR="00CF33D9" w:rsidRDefault="009B0270">
            <w:pPr>
              <w:spacing w:after="40"/>
              <w:rPr>
                <w:rFonts w:ascii="Calibri" w:hAnsi="Calibri" w:cs="Calibri"/>
                <w:b/>
                <w:sz w:val="20"/>
                <w:szCs w:val="20"/>
              </w:rPr>
            </w:pPr>
            <w:sdt>
              <w:sdtPr>
                <w:rPr>
                  <w:rFonts w:ascii="Calibri" w:hAnsi="Calibri" w:cs="Calibri"/>
                  <w:b/>
                  <w:sz w:val="20"/>
                  <w:szCs w:val="20"/>
                  <w:highlight w:val="lightGray"/>
                </w:rPr>
                <w:alias w:val="Select Likelihood Level"/>
                <w:tag w:val="Select Likelihood Level"/>
                <w:id w:val="-594477027"/>
                <w:placeholder>
                  <w:docPart w:val="7F7CFB33697DF048A09FE0A9758F7D67"/>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E3332A">
                  <w:rPr>
                    <w:rFonts w:ascii="Calibri" w:hAnsi="Calibri" w:cs="Calibri"/>
                    <w:b/>
                    <w:sz w:val="20"/>
                    <w:szCs w:val="20"/>
                    <w:highlight w:val="lightGray"/>
                  </w:rPr>
                  <w:t>3 - Moderately likely</w:t>
                </w:r>
              </w:sdtContent>
            </w:sdt>
          </w:p>
          <w:p w14:paraId="680915C2" w14:textId="77777777" w:rsidR="00CF33D9" w:rsidRDefault="00E3332A">
            <w:pPr>
              <w:spacing w:after="40"/>
              <w:rPr>
                <w:rFonts w:ascii="Calibri" w:hAnsi="Calibri" w:cs="Calibri"/>
                <w:sz w:val="20"/>
                <w:szCs w:val="20"/>
              </w:rPr>
            </w:pPr>
            <w:r>
              <w:rPr>
                <w:rFonts w:ascii="Calibri" w:hAnsi="Calibri" w:cs="Calibri"/>
                <w:sz w:val="20"/>
                <w:szCs w:val="20"/>
              </w:rPr>
              <w:t xml:space="preserve">Impact: </w:t>
            </w:r>
          </w:p>
          <w:p w14:paraId="680915C3" w14:textId="77777777" w:rsidR="00CF33D9" w:rsidRDefault="009B0270">
            <w:pPr>
              <w:spacing w:after="40"/>
              <w:rPr>
                <w:rFonts w:ascii="Calibri" w:hAnsi="Calibri" w:cs="Calibri"/>
                <w:b/>
                <w:sz w:val="20"/>
                <w:szCs w:val="20"/>
                <w:highlight w:val="lightGray"/>
              </w:rPr>
            </w:pPr>
            <w:sdt>
              <w:sdtPr>
                <w:rPr>
                  <w:rFonts w:ascii="Calibri" w:hAnsi="Calibri" w:cs="Calibri"/>
                  <w:b/>
                  <w:sz w:val="20"/>
                  <w:szCs w:val="20"/>
                  <w:highlight w:val="lightGray"/>
                </w:rPr>
                <w:alias w:val="Select Impact Level"/>
                <w:tag w:val="Select Impact Level"/>
                <w:id w:val="-1341616752"/>
                <w:placeholder>
                  <w:docPart w:val="7F7CFB33697DF048A09FE0A9758F7D67"/>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E3332A">
                  <w:rPr>
                    <w:rFonts w:ascii="Calibri" w:hAnsi="Calibri" w:cs="Calibri"/>
                    <w:b/>
                    <w:sz w:val="20"/>
                    <w:szCs w:val="20"/>
                    <w:highlight w:val="lightGray"/>
                  </w:rPr>
                  <w:t>4 - Extensive</w:t>
                </w:r>
              </w:sdtContent>
            </w:sdt>
          </w:p>
          <w:p w14:paraId="680915C4" w14:textId="77777777" w:rsidR="00CF33D9" w:rsidRDefault="00E3332A">
            <w:pPr>
              <w:spacing w:after="40"/>
              <w:rPr>
                <w:rFonts w:ascii="Calibri" w:hAnsi="Calibri" w:cs="Calibri"/>
                <w:sz w:val="20"/>
                <w:szCs w:val="20"/>
              </w:rPr>
            </w:pPr>
            <w:r>
              <w:rPr>
                <w:rFonts w:ascii="Calibri" w:hAnsi="Calibri" w:cs="Calibri"/>
                <w:sz w:val="20"/>
                <w:szCs w:val="20"/>
              </w:rPr>
              <w:t>Risk level:</w:t>
            </w:r>
          </w:p>
          <w:p w14:paraId="680915C5" w14:textId="77777777" w:rsidR="00CF33D9" w:rsidRDefault="009B0270">
            <w:pPr>
              <w:jc w:val="both"/>
              <w:rPr>
                <w:rFonts w:ascii="Calibri" w:eastAsia="Century Gothic" w:hAnsi="Calibri" w:cs="Calibri"/>
                <w:color w:val="000000"/>
                <w:sz w:val="20"/>
                <w:szCs w:val="20"/>
              </w:rPr>
            </w:pPr>
            <w:sdt>
              <w:sdtPr>
                <w:rPr>
                  <w:rFonts w:ascii="Calibri" w:hAnsi="Calibri" w:cs="Calibri"/>
                  <w:b/>
                  <w:sz w:val="20"/>
                  <w:szCs w:val="20"/>
                  <w:highlight w:val="lightGray"/>
                </w:rPr>
                <w:alias w:val="Select Risk Level"/>
                <w:tag w:val="Select Risk Level"/>
                <w:id w:val="911433997"/>
                <w:placeholder>
                  <w:docPart w:val="7F7CFB33697DF048A09FE0A9758F7D67"/>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E3332A">
                  <w:rPr>
                    <w:rFonts w:ascii="Calibri" w:hAnsi="Calibri" w:cs="Calibri"/>
                    <w:b/>
                    <w:sz w:val="20"/>
                    <w:szCs w:val="20"/>
                    <w:highlight w:val="lightGray"/>
                  </w:rPr>
                  <w:t>SUBSTANTIAL (equates to a risk appetite of OPEN)</w:t>
                </w:r>
              </w:sdtContent>
            </w:sdt>
          </w:p>
        </w:tc>
        <w:tc>
          <w:tcPr>
            <w:tcW w:w="992"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5C6" w14:textId="77777777" w:rsidR="00CF33D9" w:rsidRDefault="00E3332A">
            <w:pPr>
              <w:spacing w:before="40" w:after="40"/>
              <w:contextualSpacing/>
              <w:rPr>
                <w:rFonts w:ascii="Calibri" w:hAnsi="Calibri" w:cs="Calibri"/>
                <w:sz w:val="20"/>
                <w:szCs w:val="20"/>
                <w:highlight w:val="lightGray"/>
              </w:rPr>
            </w:pPr>
            <w:r>
              <w:rPr>
                <w:rFonts w:ascii="Calibri" w:hAnsi="Calibri" w:cs="Calibri"/>
                <w:sz w:val="20"/>
                <w:szCs w:val="20"/>
              </w:rPr>
              <w:t xml:space="preserve">From: </w:t>
            </w:r>
            <w:sdt>
              <w:sdtPr>
                <w:rPr>
                  <w:rFonts w:ascii="Calibri" w:hAnsi="Calibri" w:cs="Calibri"/>
                  <w:sz w:val="20"/>
                  <w:szCs w:val="20"/>
                  <w:highlight w:val="lightGray"/>
                </w:rPr>
                <w:alias w:val="Select starting date"/>
                <w:tag w:val="Select starting date"/>
                <w:id w:val="-1921717664"/>
                <w:placeholder>
                  <w:docPart w:val="D292C8B9FC7E82439EC1D0FD82F43678"/>
                </w:placeholder>
                <w:date>
                  <w:dateFormat w:val="dd-MMM-yy"/>
                  <w:lid w:val="en-US"/>
                  <w:storeMappedDataAs w:val="dateTime"/>
                  <w:calendar w:val="gregorian"/>
                </w:date>
              </w:sdtPr>
              <w:sdtEndPr/>
              <w:sdtContent>
                <w:r>
                  <w:rPr>
                    <w:rFonts w:ascii="Calibri" w:hAnsi="Calibri" w:cs="Calibri"/>
                    <w:sz w:val="20"/>
                    <w:szCs w:val="20"/>
                    <w:highlight w:val="lightGray"/>
                  </w:rPr>
                  <w:t>2025</w:t>
                </w:r>
              </w:sdtContent>
            </w:sdt>
          </w:p>
          <w:p w14:paraId="680915C7" w14:textId="77777777" w:rsidR="00CF33D9" w:rsidRDefault="00CF33D9">
            <w:pPr>
              <w:spacing w:before="40" w:after="40"/>
              <w:contextualSpacing/>
              <w:rPr>
                <w:rFonts w:ascii="Calibri" w:hAnsi="Calibri" w:cs="Calibri"/>
                <w:sz w:val="20"/>
                <w:szCs w:val="20"/>
                <w:highlight w:val="lightGray"/>
              </w:rPr>
            </w:pPr>
          </w:p>
          <w:p w14:paraId="680915C8" w14:textId="77777777" w:rsidR="00CF33D9" w:rsidRDefault="00E3332A">
            <w:pPr>
              <w:jc w:val="both"/>
              <w:rPr>
                <w:rFonts w:ascii="Calibri" w:eastAsia="Century Gothic" w:hAnsi="Calibri" w:cs="Calibri"/>
                <w:color w:val="000000"/>
                <w:sz w:val="20"/>
                <w:szCs w:val="20"/>
              </w:rPr>
            </w:pPr>
            <w:r>
              <w:rPr>
                <w:rFonts w:ascii="Calibri" w:hAnsi="Calibri" w:cs="Calibri"/>
                <w:sz w:val="20"/>
                <w:szCs w:val="20"/>
              </w:rPr>
              <w:t xml:space="preserve">To: </w:t>
            </w:r>
            <w:sdt>
              <w:sdtPr>
                <w:rPr>
                  <w:rFonts w:ascii="Calibri" w:hAnsi="Calibri" w:cs="Calibri"/>
                  <w:sz w:val="20"/>
                  <w:szCs w:val="20"/>
                  <w:highlight w:val="lightGray"/>
                </w:rPr>
                <w:alias w:val="Select End Date"/>
                <w:tag w:val="Select End Date"/>
                <w:id w:val="-811707882"/>
                <w:placeholder>
                  <w:docPart w:val="D292C8B9FC7E82439EC1D0FD82F43678"/>
                </w:placeholder>
                <w:date>
                  <w:dateFormat w:val="dd-MMM-yy"/>
                  <w:lid w:val="en-US"/>
                  <w:storeMappedDataAs w:val="dateTime"/>
                  <w:calendar w:val="gregorian"/>
                </w:date>
              </w:sdtPr>
              <w:sdtEndPr/>
              <w:sdtContent>
                <w:r>
                  <w:rPr>
                    <w:rFonts w:ascii="Calibri" w:hAnsi="Calibri" w:cs="Calibri"/>
                    <w:sz w:val="20"/>
                    <w:szCs w:val="20"/>
                    <w:highlight w:val="lightGray"/>
                  </w:rPr>
                  <w:t>2030</w:t>
                </w:r>
              </w:sdtContent>
            </w:sdt>
          </w:p>
        </w:tc>
        <w:tc>
          <w:tcPr>
            <w:tcW w:w="992"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5C9" w14:textId="77777777" w:rsidR="00CF33D9" w:rsidRDefault="00E3332A">
            <w:pPr>
              <w:jc w:val="both"/>
              <w:rPr>
                <w:rFonts w:ascii="Calibri" w:eastAsia="Arial Narrow" w:hAnsi="Calibri" w:cs="Calibri"/>
                <w:color w:val="000000"/>
                <w:sz w:val="20"/>
                <w:szCs w:val="20"/>
              </w:rPr>
            </w:pPr>
            <w:r>
              <w:rPr>
                <w:rFonts w:ascii="Calibri" w:eastAsia="Arial Narrow" w:hAnsi="Calibri" w:cs="Calibri"/>
                <w:color w:val="000000"/>
                <w:sz w:val="20"/>
                <w:szCs w:val="20"/>
              </w:rPr>
              <w:t>BCC</w:t>
            </w:r>
          </w:p>
          <w:p w14:paraId="680915CA" w14:textId="77777777" w:rsidR="00CF33D9" w:rsidRDefault="00CF33D9">
            <w:pPr>
              <w:jc w:val="both"/>
              <w:rPr>
                <w:rFonts w:ascii="Calibri" w:eastAsia="Century Gothic" w:hAnsi="Calibri" w:cs="Calibri"/>
                <w:color w:val="000000"/>
                <w:sz w:val="20"/>
                <w:szCs w:val="20"/>
              </w:rPr>
            </w:pPr>
          </w:p>
        </w:tc>
        <w:tc>
          <w:tcPr>
            <w:tcW w:w="2977"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5CB" w14:textId="77777777" w:rsidR="00CF33D9" w:rsidRDefault="00E3332A">
            <w:pPr>
              <w:pStyle w:val="TableParagraph"/>
              <w:ind w:left="119"/>
              <w:rPr>
                <w:color w:val="000000"/>
                <w:sz w:val="20"/>
                <w:szCs w:val="20"/>
              </w:rPr>
            </w:pPr>
            <w:r>
              <w:rPr>
                <w:color w:val="000000"/>
                <w:sz w:val="20"/>
                <w:szCs w:val="20"/>
              </w:rPr>
              <w:t xml:space="preserve">The potential E&amp;S effects of the policy and legal frameworks of selected MPAs and coastal ecosystems of global importance will be assessed with </w:t>
            </w:r>
            <w:r>
              <w:rPr>
                <w:b/>
                <w:bCs/>
                <w:color w:val="000000"/>
                <w:sz w:val="20"/>
                <w:szCs w:val="20"/>
              </w:rPr>
              <w:t>Strategic Environmental and Social Assessment (SESA)</w:t>
            </w:r>
            <w:r>
              <w:rPr>
                <w:color w:val="000000"/>
                <w:sz w:val="20"/>
                <w:szCs w:val="20"/>
              </w:rPr>
              <w:t xml:space="preserve">, which will integrate analytic and participatory components. The information amassed in the TDA will be part of the SESA’s situation analysis, from which E&amp;S issues will be identified. Together with stakeholders, E&amp;S priorities will be selected and the institutional and organizational capacity to attend the priorities will be assessed. </w:t>
            </w:r>
            <w:r>
              <w:rPr>
                <w:color w:val="000000"/>
                <w:sz w:val="20"/>
                <w:szCs w:val="20"/>
              </w:rPr>
              <w:lastRenderedPageBreak/>
              <w:t>SESA recommendations will include policy options to improve MPAs governance and sustainability.</w:t>
            </w:r>
          </w:p>
        </w:tc>
      </w:tr>
      <w:tr w:rsidR="00CF33D9" w14:paraId="680915E0" w14:textId="77777777">
        <w:trPr>
          <w:trHeight w:val="225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0915CD" w14:textId="77777777" w:rsidR="00CF33D9" w:rsidRDefault="00E3332A">
            <w:pPr>
              <w:jc w:val="both"/>
              <w:rPr>
                <w:rFonts w:ascii="Calibri" w:eastAsia="Century Gothic" w:hAnsi="Calibri" w:cs="Calibri"/>
                <w:color w:val="000000"/>
                <w:sz w:val="20"/>
                <w:szCs w:val="20"/>
              </w:rPr>
            </w:pPr>
            <w:r>
              <w:rPr>
                <w:rFonts w:ascii="Calibri" w:eastAsia="Arial Narrow" w:hAnsi="Calibri" w:cs="Calibri"/>
                <w:color w:val="000000"/>
                <w:sz w:val="20"/>
                <w:szCs w:val="20"/>
              </w:rPr>
              <w:lastRenderedPageBreak/>
              <w:t>3</w:t>
            </w:r>
          </w:p>
        </w:tc>
        <w:tc>
          <w:tcPr>
            <w:tcW w:w="1843"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5CE" w14:textId="77777777" w:rsidR="00CF33D9" w:rsidRDefault="00E3332A">
            <w:pPr>
              <w:pStyle w:val="TableParagraph"/>
              <w:ind w:left="62"/>
              <w:rPr>
                <w:color w:val="000000"/>
                <w:sz w:val="20"/>
                <w:szCs w:val="20"/>
              </w:rPr>
            </w:pPr>
            <w:r>
              <w:rPr>
                <w:rFonts w:eastAsia="MS Mincho"/>
                <w:b/>
                <w:bCs/>
                <w:sz w:val="20"/>
                <w:szCs w:val="20"/>
                <w:lang w:eastAsia="ja-JP"/>
              </w:rPr>
              <w:t xml:space="preserve">SESP Risk 3: </w:t>
            </w:r>
            <w:r>
              <w:rPr>
                <w:color w:val="000000"/>
                <w:sz w:val="20"/>
                <w:szCs w:val="20"/>
              </w:rPr>
              <w:t xml:space="preserve">Certification requirements for fish and seafood products (Activity 2.1.3.3), as well as the market growth strategy and action plan (Activity 2.2.1.2) could lead to the </w:t>
            </w:r>
            <w:r>
              <w:rPr>
                <w:b/>
                <w:bCs/>
                <w:color w:val="000000"/>
                <w:sz w:val="20"/>
                <w:szCs w:val="20"/>
              </w:rPr>
              <w:t>exclusion of small-scale fisher groups (including women)</w:t>
            </w:r>
            <w:r>
              <w:rPr>
                <w:color w:val="000000"/>
                <w:sz w:val="20"/>
                <w:szCs w:val="20"/>
              </w:rPr>
              <w:t xml:space="preserve"> that don’t have the capacity to keep up with these requirements, leading to greater segregation and poverty levels. </w:t>
            </w:r>
          </w:p>
        </w:tc>
        <w:tc>
          <w:tcPr>
            <w:tcW w:w="1418"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5CF" w14:textId="77777777" w:rsidR="00CF33D9" w:rsidRDefault="00E3332A">
            <w:pPr>
              <w:rPr>
                <w:rFonts w:ascii="Calibri" w:eastAsia="Century Gothic" w:hAnsi="Calibri" w:cs="Calibri"/>
                <w:color w:val="000000"/>
                <w:sz w:val="20"/>
                <w:szCs w:val="20"/>
              </w:rPr>
            </w:pPr>
            <w:r>
              <w:rPr>
                <w:rFonts w:ascii="Calibri" w:eastAsia="Arial Narrow" w:hAnsi="Calibri" w:cs="Calibri"/>
                <w:color w:val="000000"/>
                <w:sz w:val="20"/>
                <w:szCs w:val="20"/>
              </w:rPr>
              <w:t>The project will promote a market growth strategy plan that includes certification for fish and seafood products.</w:t>
            </w:r>
          </w:p>
        </w:tc>
        <w:tc>
          <w:tcPr>
            <w:tcW w:w="1843"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5D0" w14:textId="77777777" w:rsidR="00CF33D9" w:rsidRDefault="00E3332A">
            <w:pPr>
              <w:rPr>
                <w:rFonts w:ascii="Calibri" w:eastAsia="Century Gothic" w:hAnsi="Calibri" w:cs="Calibri"/>
                <w:color w:val="000000"/>
                <w:sz w:val="20"/>
                <w:szCs w:val="20"/>
              </w:rPr>
            </w:pPr>
            <w:r>
              <w:rPr>
                <w:rFonts w:ascii="Calibri" w:eastAsia="Arial Narrow" w:hAnsi="Calibri" w:cs="Calibri"/>
                <w:color w:val="000000"/>
                <w:sz w:val="20"/>
                <w:szCs w:val="20"/>
              </w:rPr>
              <w:t xml:space="preserve">Which will impact in the exclusion of small-scale fisher groups (including women) that don’t have the capacity to keep up with the certification requirements. </w:t>
            </w:r>
          </w:p>
        </w:tc>
        <w:tc>
          <w:tcPr>
            <w:tcW w:w="1701"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sdt>
            <w:sdtPr>
              <w:rPr>
                <w:rFonts w:ascii="Calibri" w:hAnsi="Calibri" w:cs="Calibri"/>
                <w:b/>
                <w:sz w:val="20"/>
                <w:szCs w:val="20"/>
                <w:highlight w:val="lightGray"/>
              </w:rPr>
              <w:alias w:val="Select Risk Categories and Sub-categories"/>
              <w:tag w:val="Select Risk Categories and Sub-categories"/>
              <w:id w:val="-1126610991"/>
              <w:placeholder>
                <w:docPart w:val="1BC95FA3FBC79D42BD86690F72FFF4E3"/>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680915D1" w14:textId="77777777" w:rsidR="00CF33D9" w:rsidRDefault="00E3332A">
                <w:pPr>
                  <w:spacing w:beforeLines="60" w:before="144" w:afterLines="60" w:after="144"/>
                  <w:contextualSpacing/>
                  <w:rPr>
                    <w:rFonts w:ascii="Calibri" w:hAnsi="Calibri" w:cs="Calibri"/>
                    <w:b/>
                    <w:sz w:val="20"/>
                    <w:szCs w:val="20"/>
                  </w:rPr>
                </w:pPr>
                <w:r>
                  <w:rPr>
                    <w:rFonts w:ascii="Calibri" w:hAnsi="Calibri" w:cs="Calibri"/>
                    <w:b/>
                    <w:sz w:val="20"/>
                    <w:szCs w:val="20"/>
                    <w:highlight w:val="lightGray"/>
                  </w:rPr>
                  <w:t>1. SOCIAL AND ENVIRONMENTAL (1.1. Human rights) - UNDP Risk Appetite: CAUTIOUS</w:t>
                </w:r>
              </w:p>
            </w:sdtContent>
          </w:sdt>
          <w:p w14:paraId="680915D2" w14:textId="77777777" w:rsidR="00CF33D9" w:rsidRDefault="00CF33D9">
            <w:pPr>
              <w:rPr>
                <w:rFonts w:ascii="Calibri" w:eastAsia="Century Gothic" w:hAnsi="Calibri" w:cs="Calibri"/>
                <w:color w:val="000000"/>
                <w:sz w:val="20"/>
                <w:szCs w:val="20"/>
              </w:rPr>
            </w:pPr>
          </w:p>
        </w:tc>
        <w:tc>
          <w:tcPr>
            <w:tcW w:w="1559"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5D3" w14:textId="77777777" w:rsidR="00CF33D9" w:rsidRDefault="00E3332A">
            <w:pPr>
              <w:spacing w:after="40"/>
              <w:rPr>
                <w:rFonts w:ascii="Calibri" w:hAnsi="Calibri" w:cs="Calibri"/>
                <w:sz w:val="20"/>
                <w:szCs w:val="20"/>
              </w:rPr>
            </w:pPr>
            <w:r>
              <w:rPr>
                <w:rFonts w:ascii="Calibri" w:hAnsi="Calibri" w:cs="Calibri"/>
                <w:sz w:val="20"/>
                <w:szCs w:val="20"/>
              </w:rPr>
              <w:t>Likelihood:</w:t>
            </w:r>
          </w:p>
          <w:p w14:paraId="680915D4" w14:textId="77777777" w:rsidR="00CF33D9" w:rsidRDefault="009B0270">
            <w:pPr>
              <w:spacing w:after="40"/>
              <w:rPr>
                <w:rFonts w:ascii="Calibri" w:hAnsi="Calibri" w:cs="Calibri"/>
                <w:b/>
                <w:sz w:val="20"/>
                <w:szCs w:val="20"/>
              </w:rPr>
            </w:pPr>
            <w:sdt>
              <w:sdtPr>
                <w:rPr>
                  <w:rFonts w:ascii="Calibri" w:hAnsi="Calibri" w:cs="Calibri"/>
                  <w:b/>
                  <w:sz w:val="20"/>
                  <w:szCs w:val="20"/>
                  <w:highlight w:val="lightGray"/>
                </w:rPr>
                <w:alias w:val="Select Likelihood Level"/>
                <w:tag w:val="Select Likelihood Level"/>
                <w:id w:val="1724790829"/>
                <w:placeholder>
                  <w:docPart w:val="77D024F73C2E1D42A7F43E1336B9E059"/>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E3332A">
                  <w:rPr>
                    <w:rFonts w:ascii="Calibri" w:hAnsi="Calibri" w:cs="Calibri"/>
                    <w:b/>
                    <w:sz w:val="20"/>
                    <w:szCs w:val="20"/>
                    <w:highlight w:val="lightGray"/>
                  </w:rPr>
                  <w:t>3 - Moderately likely</w:t>
                </w:r>
              </w:sdtContent>
            </w:sdt>
          </w:p>
          <w:p w14:paraId="680915D5" w14:textId="77777777" w:rsidR="00CF33D9" w:rsidRDefault="00E3332A">
            <w:pPr>
              <w:spacing w:after="40"/>
              <w:rPr>
                <w:rFonts w:ascii="Calibri" w:hAnsi="Calibri" w:cs="Calibri"/>
                <w:sz w:val="20"/>
                <w:szCs w:val="20"/>
              </w:rPr>
            </w:pPr>
            <w:r>
              <w:rPr>
                <w:rFonts w:ascii="Calibri" w:hAnsi="Calibri" w:cs="Calibri"/>
                <w:sz w:val="20"/>
                <w:szCs w:val="20"/>
              </w:rPr>
              <w:t xml:space="preserve">Impact: </w:t>
            </w:r>
          </w:p>
          <w:p w14:paraId="680915D6" w14:textId="77777777" w:rsidR="00CF33D9" w:rsidRDefault="009B0270">
            <w:pPr>
              <w:spacing w:after="40"/>
              <w:rPr>
                <w:rFonts w:ascii="Calibri" w:hAnsi="Calibri" w:cs="Calibri"/>
                <w:b/>
                <w:sz w:val="20"/>
                <w:szCs w:val="20"/>
                <w:highlight w:val="lightGray"/>
              </w:rPr>
            </w:pPr>
            <w:sdt>
              <w:sdtPr>
                <w:rPr>
                  <w:rFonts w:ascii="Calibri" w:hAnsi="Calibri" w:cs="Calibri"/>
                  <w:b/>
                  <w:sz w:val="20"/>
                  <w:szCs w:val="20"/>
                  <w:highlight w:val="lightGray"/>
                </w:rPr>
                <w:alias w:val="Select Impact Level"/>
                <w:tag w:val="Select Impact Level"/>
                <w:id w:val="1801193641"/>
                <w:placeholder>
                  <w:docPart w:val="77D024F73C2E1D42A7F43E1336B9E059"/>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E3332A">
                  <w:rPr>
                    <w:rFonts w:ascii="Calibri" w:hAnsi="Calibri" w:cs="Calibri"/>
                    <w:b/>
                    <w:sz w:val="20"/>
                    <w:szCs w:val="20"/>
                    <w:highlight w:val="lightGray"/>
                  </w:rPr>
                  <w:t>4 - Extensive</w:t>
                </w:r>
              </w:sdtContent>
            </w:sdt>
          </w:p>
          <w:p w14:paraId="680915D7" w14:textId="77777777" w:rsidR="00CF33D9" w:rsidRDefault="00E3332A">
            <w:pPr>
              <w:spacing w:after="40"/>
              <w:rPr>
                <w:rFonts w:ascii="Calibri" w:hAnsi="Calibri" w:cs="Calibri"/>
                <w:sz w:val="20"/>
                <w:szCs w:val="20"/>
              </w:rPr>
            </w:pPr>
            <w:r>
              <w:rPr>
                <w:rFonts w:ascii="Calibri" w:hAnsi="Calibri" w:cs="Calibri"/>
                <w:sz w:val="20"/>
                <w:szCs w:val="20"/>
              </w:rPr>
              <w:t>Risk level:</w:t>
            </w:r>
          </w:p>
          <w:p w14:paraId="680915D8" w14:textId="77777777" w:rsidR="00CF33D9" w:rsidRDefault="009B0270">
            <w:pPr>
              <w:jc w:val="both"/>
              <w:rPr>
                <w:rFonts w:ascii="Calibri" w:eastAsia="Century Gothic" w:hAnsi="Calibri" w:cs="Calibri"/>
                <w:color w:val="000000"/>
                <w:sz w:val="20"/>
                <w:szCs w:val="20"/>
              </w:rPr>
            </w:pPr>
            <w:sdt>
              <w:sdtPr>
                <w:rPr>
                  <w:rFonts w:ascii="Calibri" w:hAnsi="Calibri" w:cs="Calibri"/>
                  <w:b/>
                  <w:sz w:val="20"/>
                  <w:szCs w:val="20"/>
                  <w:highlight w:val="lightGray"/>
                </w:rPr>
                <w:alias w:val="Select Risk Level"/>
                <w:tag w:val="Select Risk Level"/>
                <w:id w:val="2083714873"/>
                <w:placeholder>
                  <w:docPart w:val="77D024F73C2E1D42A7F43E1336B9E059"/>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E3332A">
                  <w:rPr>
                    <w:rFonts w:ascii="Calibri" w:hAnsi="Calibri" w:cs="Calibri"/>
                    <w:b/>
                    <w:sz w:val="20"/>
                    <w:szCs w:val="20"/>
                    <w:highlight w:val="lightGray"/>
                  </w:rPr>
                  <w:t>SUBSTANTIAL (equates to a risk appetite of OPEN)</w:t>
                </w:r>
              </w:sdtContent>
            </w:sdt>
          </w:p>
        </w:tc>
        <w:tc>
          <w:tcPr>
            <w:tcW w:w="992"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5D9" w14:textId="77777777" w:rsidR="00CF33D9" w:rsidRDefault="00E3332A">
            <w:pPr>
              <w:spacing w:before="40" w:after="40"/>
              <w:contextualSpacing/>
              <w:rPr>
                <w:rFonts w:ascii="Calibri" w:hAnsi="Calibri" w:cs="Calibri"/>
                <w:sz w:val="20"/>
                <w:szCs w:val="20"/>
                <w:highlight w:val="lightGray"/>
              </w:rPr>
            </w:pPr>
            <w:r>
              <w:rPr>
                <w:rFonts w:ascii="Calibri" w:hAnsi="Calibri" w:cs="Calibri"/>
                <w:sz w:val="20"/>
                <w:szCs w:val="20"/>
              </w:rPr>
              <w:t xml:space="preserve">From: </w:t>
            </w:r>
            <w:sdt>
              <w:sdtPr>
                <w:rPr>
                  <w:rFonts w:ascii="Calibri" w:hAnsi="Calibri" w:cs="Calibri"/>
                  <w:sz w:val="20"/>
                  <w:szCs w:val="20"/>
                  <w:highlight w:val="lightGray"/>
                </w:rPr>
                <w:alias w:val="Select starting date"/>
                <w:tag w:val="Select starting date"/>
                <w:id w:val="-1251267998"/>
                <w:placeholder>
                  <w:docPart w:val="1578F99CC84CE8428CA77676C51A196E"/>
                </w:placeholder>
                <w:date>
                  <w:dateFormat w:val="dd-MMM-yy"/>
                  <w:lid w:val="en-US"/>
                  <w:storeMappedDataAs w:val="dateTime"/>
                  <w:calendar w:val="gregorian"/>
                </w:date>
              </w:sdtPr>
              <w:sdtEndPr/>
              <w:sdtContent>
                <w:r>
                  <w:rPr>
                    <w:rFonts w:ascii="Calibri" w:hAnsi="Calibri" w:cs="Calibri"/>
                    <w:sz w:val="20"/>
                    <w:szCs w:val="20"/>
                    <w:highlight w:val="lightGray"/>
                  </w:rPr>
                  <w:t>2025</w:t>
                </w:r>
              </w:sdtContent>
            </w:sdt>
          </w:p>
          <w:p w14:paraId="680915DA" w14:textId="77777777" w:rsidR="00CF33D9" w:rsidRDefault="00CF33D9">
            <w:pPr>
              <w:spacing w:before="40" w:after="40"/>
              <w:contextualSpacing/>
              <w:rPr>
                <w:rFonts w:ascii="Calibri" w:hAnsi="Calibri" w:cs="Calibri"/>
                <w:sz w:val="20"/>
                <w:szCs w:val="20"/>
                <w:highlight w:val="lightGray"/>
              </w:rPr>
            </w:pPr>
          </w:p>
          <w:p w14:paraId="680915DB" w14:textId="77777777" w:rsidR="00CF33D9" w:rsidRDefault="00E3332A">
            <w:pPr>
              <w:ind w:left="-270"/>
              <w:jc w:val="both"/>
              <w:rPr>
                <w:rFonts w:ascii="Calibri" w:eastAsia="Century Gothic" w:hAnsi="Calibri" w:cs="Calibri"/>
                <w:color w:val="000000"/>
                <w:sz w:val="20"/>
                <w:szCs w:val="20"/>
              </w:rPr>
            </w:pPr>
            <w:r>
              <w:rPr>
                <w:rFonts w:ascii="Calibri" w:hAnsi="Calibri" w:cs="Calibri"/>
                <w:sz w:val="20"/>
                <w:szCs w:val="20"/>
              </w:rPr>
              <w:t xml:space="preserve">To: </w:t>
            </w:r>
            <w:sdt>
              <w:sdtPr>
                <w:rPr>
                  <w:rFonts w:ascii="Calibri" w:hAnsi="Calibri" w:cs="Calibri"/>
                  <w:sz w:val="20"/>
                  <w:szCs w:val="20"/>
                  <w:highlight w:val="lightGray"/>
                </w:rPr>
                <w:alias w:val="Select End Date"/>
                <w:tag w:val="Select End Date"/>
                <w:id w:val="1366720666"/>
                <w:placeholder>
                  <w:docPart w:val="1578F99CC84CE8428CA77676C51A196E"/>
                </w:placeholder>
                <w:date>
                  <w:dateFormat w:val="dd-MMM-yy"/>
                  <w:lid w:val="en-US"/>
                  <w:storeMappedDataAs w:val="dateTime"/>
                  <w:calendar w:val="gregorian"/>
                </w:date>
              </w:sdtPr>
              <w:sdtEndPr/>
              <w:sdtContent>
                <w:r>
                  <w:rPr>
                    <w:rFonts w:ascii="Calibri" w:hAnsi="Calibri" w:cs="Calibri"/>
                    <w:sz w:val="20"/>
                    <w:szCs w:val="20"/>
                    <w:highlight w:val="lightGray"/>
                  </w:rPr>
                  <w:t>2030</w:t>
                </w:r>
              </w:sdtContent>
            </w:sdt>
          </w:p>
        </w:tc>
        <w:tc>
          <w:tcPr>
            <w:tcW w:w="992"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5DC" w14:textId="77777777" w:rsidR="00CF33D9" w:rsidRDefault="00E3332A">
            <w:pPr>
              <w:jc w:val="both"/>
              <w:rPr>
                <w:rFonts w:ascii="Calibri" w:eastAsia="Arial Narrow" w:hAnsi="Calibri" w:cs="Calibri"/>
                <w:color w:val="000000"/>
                <w:sz w:val="20"/>
                <w:szCs w:val="20"/>
              </w:rPr>
            </w:pPr>
            <w:r>
              <w:rPr>
                <w:rFonts w:ascii="Calibri" w:eastAsia="Arial Narrow" w:hAnsi="Calibri" w:cs="Calibri"/>
                <w:color w:val="000000"/>
                <w:sz w:val="20"/>
                <w:szCs w:val="20"/>
              </w:rPr>
              <w:t>BCC</w:t>
            </w:r>
          </w:p>
          <w:p w14:paraId="680915DD" w14:textId="77777777" w:rsidR="00CF33D9" w:rsidRDefault="00CF33D9">
            <w:pPr>
              <w:jc w:val="both"/>
              <w:rPr>
                <w:rFonts w:ascii="Calibri" w:eastAsia="Century Gothic" w:hAnsi="Calibri" w:cs="Calibri"/>
                <w:color w:val="000000"/>
                <w:sz w:val="20"/>
                <w:szCs w:val="20"/>
              </w:rPr>
            </w:pPr>
          </w:p>
        </w:tc>
        <w:tc>
          <w:tcPr>
            <w:tcW w:w="2977"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5DE" w14:textId="77777777" w:rsidR="00CF33D9" w:rsidRDefault="00E3332A">
            <w:pPr>
              <w:pStyle w:val="TableParagraph"/>
              <w:ind w:left="108" w:right="142"/>
              <w:rPr>
                <w:sz w:val="20"/>
                <w:szCs w:val="20"/>
              </w:rPr>
            </w:pPr>
            <w:r>
              <w:rPr>
                <w:sz w:val="20"/>
                <w:szCs w:val="20"/>
              </w:rPr>
              <w:t xml:space="preserve">As part of the </w:t>
            </w:r>
            <w:r>
              <w:rPr>
                <w:b/>
                <w:bCs/>
                <w:sz w:val="20"/>
                <w:szCs w:val="20"/>
              </w:rPr>
              <w:t>SESA,</w:t>
            </w:r>
            <w:r>
              <w:rPr>
                <w:sz w:val="20"/>
                <w:szCs w:val="20"/>
              </w:rPr>
              <w:t xml:space="preserve"> a Distributional Analysis</w:t>
            </w:r>
            <w:r>
              <w:rPr>
                <w:color w:val="4D5156"/>
                <w:sz w:val="20"/>
                <w:szCs w:val="20"/>
                <w:shd w:val="clear" w:color="auto" w:fill="FFFFFF"/>
              </w:rPr>
              <w:t xml:space="preserve"> </w:t>
            </w:r>
            <w:r>
              <w:rPr>
                <w:sz w:val="20"/>
                <w:szCs w:val="20"/>
              </w:rPr>
              <w:t>will be carried out to better understand and assess how the certification requirements could affect small-scale fishers (men and women). Based on this analysis, the SESA will include options to mitigate potential inequalities will be established.</w:t>
            </w:r>
          </w:p>
          <w:p w14:paraId="680915DF" w14:textId="77777777" w:rsidR="00CF33D9" w:rsidRDefault="00CF33D9">
            <w:pPr>
              <w:spacing w:after="60"/>
              <w:jc w:val="both"/>
              <w:rPr>
                <w:rFonts w:ascii="Calibri" w:eastAsia="Century Gothic" w:hAnsi="Calibri" w:cs="Calibri"/>
                <w:color w:val="000000"/>
                <w:sz w:val="20"/>
                <w:szCs w:val="20"/>
              </w:rPr>
            </w:pPr>
          </w:p>
        </w:tc>
      </w:tr>
      <w:tr w:rsidR="00CF33D9" w14:paraId="680915F6" w14:textId="77777777">
        <w:trPr>
          <w:trHeight w:val="380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0915E1" w14:textId="77777777" w:rsidR="00CF33D9" w:rsidRDefault="00E3332A">
            <w:pPr>
              <w:jc w:val="both"/>
              <w:rPr>
                <w:rFonts w:ascii="Calibri" w:eastAsia="Century Gothic" w:hAnsi="Calibri" w:cs="Calibri"/>
                <w:color w:val="000000"/>
                <w:sz w:val="20"/>
                <w:szCs w:val="20"/>
              </w:rPr>
            </w:pPr>
            <w:r>
              <w:rPr>
                <w:rFonts w:ascii="Calibri" w:eastAsia="Arial Narrow" w:hAnsi="Calibri" w:cs="Calibri"/>
                <w:color w:val="000000"/>
                <w:sz w:val="20"/>
                <w:szCs w:val="20"/>
              </w:rPr>
              <w:lastRenderedPageBreak/>
              <w:t>4</w:t>
            </w:r>
          </w:p>
        </w:tc>
        <w:tc>
          <w:tcPr>
            <w:tcW w:w="1843"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5E2" w14:textId="77777777" w:rsidR="00CF33D9" w:rsidRDefault="00E3332A">
            <w:pPr>
              <w:ind w:left="62" w:right="-1"/>
              <w:rPr>
                <w:rFonts w:ascii="Calibri" w:hAnsi="Calibri" w:cs="Calibri"/>
                <w:color w:val="000000"/>
                <w:sz w:val="20"/>
                <w:szCs w:val="20"/>
              </w:rPr>
            </w:pPr>
            <w:r>
              <w:rPr>
                <w:rFonts w:ascii="Calibri" w:eastAsia="MS Mincho" w:hAnsi="Calibri" w:cs="Calibri"/>
                <w:b/>
                <w:bCs/>
                <w:sz w:val="20"/>
                <w:szCs w:val="20"/>
                <w:lang w:eastAsia="ja-JP"/>
              </w:rPr>
              <w:t xml:space="preserve">SESP Risk 4: </w:t>
            </w:r>
            <w:r>
              <w:rPr>
                <w:rFonts w:ascii="Calibri" w:hAnsi="Calibri" w:cs="Calibri"/>
                <w:color w:val="000000"/>
                <w:sz w:val="20"/>
                <w:szCs w:val="20"/>
              </w:rPr>
              <w:t>Enhancing management plans of selected MPAs (Activity 1.1.2); implementing sustainable and climate-resilient mariculture opportunities and exploitation of other living marine resources (2.1.2.3); and implementing alternative livelihoods linked to pollution management activities (Activity 3.2.1.1 [coastal pilot in South Africa] and 3.2.1.3) could restrict access to resources and cause</w:t>
            </w:r>
            <w:r>
              <w:rPr>
                <w:rStyle w:val="apple-converted-space"/>
                <w:rFonts w:ascii="Calibri" w:hAnsi="Calibri" w:cs="Calibri"/>
                <w:color w:val="000000"/>
                <w:sz w:val="20"/>
                <w:szCs w:val="20"/>
              </w:rPr>
              <w:t> </w:t>
            </w:r>
            <w:r>
              <w:rPr>
                <w:rFonts w:ascii="Calibri" w:hAnsi="Calibri" w:cs="Calibri"/>
                <w:b/>
                <w:bCs/>
                <w:color w:val="000000"/>
                <w:sz w:val="20"/>
                <w:szCs w:val="20"/>
              </w:rPr>
              <w:t>economic displacement</w:t>
            </w:r>
            <w:r>
              <w:rPr>
                <w:rFonts w:ascii="Calibri" w:hAnsi="Calibri" w:cs="Calibri"/>
                <w:color w:val="000000"/>
                <w:sz w:val="20"/>
                <w:szCs w:val="20"/>
              </w:rPr>
              <w:t>, impacting on traditional livelihoods, food security, and intangible cultural heritage of Indigenous peoples and local communities.</w:t>
            </w:r>
          </w:p>
        </w:tc>
        <w:tc>
          <w:tcPr>
            <w:tcW w:w="1418"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5E3" w14:textId="77777777" w:rsidR="00CF33D9" w:rsidRDefault="00E3332A">
            <w:pPr>
              <w:rPr>
                <w:rFonts w:ascii="Calibri" w:eastAsia="Century Gothic" w:hAnsi="Calibri" w:cs="Calibri"/>
                <w:color w:val="000000"/>
                <w:sz w:val="20"/>
                <w:szCs w:val="20"/>
              </w:rPr>
            </w:pPr>
            <w:r>
              <w:rPr>
                <w:rFonts w:ascii="Calibri" w:eastAsia="Century Gothic" w:hAnsi="Calibri" w:cs="Calibri"/>
                <w:color w:val="000000"/>
                <w:sz w:val="20"/>
                <w:szCs w:val="20"/>
              </w:rPr>
              <w:t>The project will enhance management plans of selected MPAs</w:t>
            </w:r>
          </w:p>
        </w:tc>
        <w:tc>
          <w:tcPr>
            <w:tcW w:w="1843"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5E4" w14:textId="77777777" w:rsidR="00CF33D9" w:rsidRDefault="00E3332A">
            <w:pPr>
              <w:rPr>
                <w:rFonts w:ascii="Calibri" w:eastAsia="Century Gothic" w:hAnsi="Calibri" w:cs="Calibri"/>
                <w:color w:val="000000"/>
                <w:sz w:val="20"/>
                <w:szCs w:val="20"/>
              </w:rPr>
            </w:pPr>
            <w:r>
              <w:rPr>
                <w:rFonts w:ascii="Calibri" w:hAnsi="Calibri" w:cs="Calibri"/>
                <w:sz w:val="20"/>
                <w:szCs w:val="20"/>
              </w:rPr>
              <w:t>Stricter regulations over natural resources use, causing potential economic displacement of individuals living near or otherwise using resources included in the targeted area.</w:t>
            </w:r>
          </w:p>
        </w:tc>
        <w:tc>
          <w:tcPr>
            <w:tcW w:w="1701"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sdt>
            <w:sdtPr>
              <w:rPr>
                <w:rFonts w:ascii="Calibri" w:hAnsi="Calibri" w:cs="Calibri"/>
                <w:b/>
                <w:sz w:val="20"/>
                <w:szCs w:val="20"/>
                <w:highlight w:val="lightGray"/>
              </w:rPr>
              <w:alias w:val="Select Risk Categories and Sub-categories"/>
              <w:tag w:val="Select Risk Categories and Sub-categories"/>
              <w:id w:val="-4586877"/>
              <w:placeholder>
                <w:docPart w:val="589A34BE27EAE74787FDBC184D276734"/>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680915E5" w14:textId="77777777" w:rsidR="00CF33D9" w:rsidRDefault="00E3332A">
                <w:pPr>
                  <w:spacing w:beforeLines="60" w:before="144" w:afterLines="60" w:after="144"/>
                  <w:contextualSpacing/>
                  <w:rPr>
                    <w:rFonts w:ascii="Calibri" w:hAnsi="Calibri" w:cs="Calibri"/>
                    <w:b/>
                    <w:sz w:val="20"/>
                    <w:szCs w:val="20"/>
                  </w:rPr>
                </w:pPr>
                <w:r>
                  <w:rPr>
                    <w:rFonts w:ascii="Calibri" w:hAnsi="Calibri" w:cs="Calibri"/>
                    <w:b/>
                    <w:sz w:val="20"/>
                    <w:szCs w:val="20"/>
                    <w:highlight w:val="lightGray"/>
                  </w:rPr>
                  <w:t>1. SOCIAL AND ENVIRONMENTAL (1.8. Displacement and resettlement) - UNDP Risk Appetite: CAUTIOUS</w:t>
                </w:r>
              </w:p>
            </w:sdtContent>
          </w:sdt>
          <w:p w14:paraId="680915E6" w14:textId="77777777" w:rsidR="00CF33D9" w:rsidRDefault="00CF33D9">
            <w:pPr>
              <w:rPr>
                <w:rFonts w:ascii="Calibri" w:eastAsia="Century Gothic" w:hAnsi="Calibri" w:cs="Calibri"/>
                <w:color w:val="000000"/>
                <w:sz w:val="20"/>
                <w:szCs w:val="20"/>
              </w:rPr>
            </w:pPr>
          </w:p>
        </w:tc>
        <w:tc>
          <w:tcPr>
            <w:tcW w:w="1559"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5E7" w14:textId="77777777" w:rsidR="00CF33D9" w:rsidRDefault="00E3332A">
            <w:pPr>
              <w:spacing w:after="40"/>
              <w:rPr>
                <w:rFonts w:ascii="Calibri" w:hAnsi="Calibri" w:cs="Calibri"/>
                <w:sz w:val="20"/>
                <w:szCs w:val="20"/>
              </w:rPr>
            </w:pPr>
            <w:r>
              <w:rPr>
                <w:rFonts w:ascii="Calibri" w:hAnsi="Calibri" w:cs="Calibri"/>
                <w:sz w:val="20"/>
                <w:szCs w:val="20"/>
              </w:rPr>
              <w:t>Likelihood:</w:t>
            </w:r>
          </w:p>
          <w:p w14:paraId="680915E8" w14:textId="77777777" w:rsidR="00CF33D9" w:rsidRDefault="009B0270">
            <w:pPr>
              <w:spacing w:after="40"/>
              <w:rPr>
                <w:rFonts w:ascii="Calibri" w:hAnsi="Calibri" w:cs="Calibri"/>
                <w:b/>
                <w:sz w:val="20"/>
                <w:szCs w:val="20"/>
              </w:rPr>
            </w:pPr>
            <w:sdt>
              <w:sdtPr>
                <w:rPr>
                  <w:rFonts w:ascii="Calibri" w:hAnsi="Calibri" w:cs="Calibri"/>
                  <w:b/>
                  <w:sz w:val="20"/>
                  <w:szCs w:val="20"/>
                  <w:highlight w:val="lightGray"/>
                </w:rPr>
                <w:alias w:val="Select Likelihood Level"/>
                <w:tag w:val="Select Likelihood Level"/>
                <w:id w:val="-1472214353"/>
                <w:placeholder>
                  <w:docPart w:val="8D99FBCD5E14BA45881BC7ECD47898C4"/>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E3332A">
                  <w:rPr>
                    <w:rFonts w:ascii="Calibri" w:hAnsi="Calibri" w:cs="Calibri"/>
                    <w:b/>
                    <w:sz w:val="20"/>
                    <w:szCs w:val="20"/>
                    <w:highlight w:val="lightGray"/>
                  </w:rPr>
                  <w:t>3 - Moderately likely</w:t>
                </w:r>
              </w:sdtContent>
            </w:sdt>
          </w:p>
          <w:p w14:paraId="680915E9" w14:textId="77777777" w:rsidR="00CF33D9" w:rsidRDefault="00E3332A">
            <w:pPr>
              <w:spacing w:after="40"/>
              <w:rPr>
                <w:rFonts w:ascii="Calibri" w:hAnsi="Calibri" w:cs="Calibri"/>
                <w:sz w:val="20"/>
                <w:szCs w:val="20"/>
              </w:rPr>
            </w:pPr>
            <w:r>
              <w:rPr>
                <w:rFonts w:ascii="Calibri" w:hAnsi="Calibri" w:cs="Calibri"/>
                <w:sz w:val="20"/>
                <w:szCs w:val="20"/>
              </w:rPr>
              <w:t xml:space="preserve">Impact: </w:t>
            </w:r>
          </w:p>
          <w:p w14:paraId="680915EA" w14:textId="77777777" w:rsidR="00CF33D9" w:rsidRDefault="009B0270">
            <w:pPr>
              <w:spacing w:after="40"/>
              <w:rPr>
                <w:rFonts w:ascii="Calibri" w:hAnsi="Calibri" w:cs="Calibri"/>
                <w:b/>
                <w:sz w:val="20"/>
                <w:szCs w:val="20"/>
                <w:highlight w:val="lightGray"/>
              </w:rPr>
            </w:pPr>
            <w:sdt>
              <w:sdtPr>
                <w:rPr>
                  <w:rFonts w:ascii="Calibri" w:hAnsi="Calibri" w:cs="Calibri"/>
                  <w:b/>
                  <w:sz w:val="20"/>
                  <w:szCs w:val="20"/>
                  <w:highlight w:val="lightGray"/>
                </w:rPr>
                <w:alias w:val="Select Impact Level"/>
                <w:tag w:val="Select Impact Level"/>
                <w:id w:val="-80452272"/>
                <w:placeholder>
                  <w:docPart w:val="8D99FBCD5E14BA45881BC7ECD47898C4"/>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E3332A">
                  <w:rPr>
                    <w:rFonts w:ascii="Calibri" w:hAnsi="Calibri" w:cs="Calibri"/>
                    <w:b/>
                    <w:sz w:val="20"/>
                    <w:szCs w:val="20"/>
                    <w:highlight w:val="lightGray"/>
                  </w:rPr>
                  <w:t>4 - Extensive</w:t>
                </w:r>
              </w:sdtContent>
            </w:sdt>
          </w:p>
          <w:p w14:paraId="680915EB" w14:textId="77777777" w:rsidR="00CF33D9" w:rsidRDefault="00E3332A">
            <w:pPr>
              <w:spacing w:after="40"/>
              <w:rPr>
                <w:rFonts w:ascii="Calibri" w:hAnsi="Calibri" w:cs="Calibri"/>
                <w:sz w:val="20"/>
                <w:szCs w:val="20"/>
              </w:rPr>
            </w:pPr>
            <w:r>
              <w:rPr>
                <w:rFonts w:ascii="Calibri" w:hAnsi="Calibri" w:cs="Calibri"/>
                <w:sz w:val="20"/>
                <w:szCs w:val="20"/>
              </w:rPr>
              <w:t>Risk level:</w:t>
            </w:r>
          </w:p>
          <w:p w14:paraId="680915EC" w14:textId="77777777" w:rsidR="00CF33D9" w:rsidRDefault="009B0270">
            <w:pPr>
              <w:jc w:val="both"/>
              <w:rPr>
                <w:rFonts w:ascii="Calibri" w:eastAsia="Century Gothic" w:hAnsi="Calibri" w:cs="Calibri"/>
                <w:color w:val="000000"/>
                <w:sz w:val="20"/>
                <w:szCs w:val="20"/>
              </w:rPr>
            </w:pPr>
            <w:sdt>
              <w:sdtPr>
                <w:rPr>
                  <w:rFonts w:ascii="Calibri" w:hAnsi="Calibri" w:cs="Calibri"/>
                  <w:b/>
                  <w:sz w:val="20"/>
                  <w:szCs w:val="20"/>
                  <w:highlight w:val="lightGray"/>
                </w:rPr>
                <w:alias w:val="Select Risk Level"/>
                <w:tag w:val="Select Risk Level"/>
                <w:id w:val="189806364"/>
                <w:placeholder>
                  <w:docPart w:val="8D99FBCD5E14BA45881BC7ECD47898C4"/>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E3332A">
                  <w:rPr>
                    <w:rFonts w:ascii="Calibri" w:hAnsi="Calibri" w:cs="Calibri"/>
                    <w:b/>
                    <w:sz w:val="20"/>
                    <w:szCs w:val="20"/>
                    <w:highlight w:val="lightGray"/>
                  </w:rPr>
                  <w:t>SUBSTANTIAL (equates to a risk appetite of OPEN)</w:t>
                </w:r>
              </w:sdtContent>
            </w:sdt>
          </w:p>
        </w:tc>
        <w:tc>
          <w:tcPr>
            <w:tcW w:w="992"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5ED" w14:textId="77777777" w:rsidR="00CF33D9" w:rsidRDefault="00E3332A">
            <w:pPr>
              <w:spacing w:before="40" w:after="40"/>
              <w:contextualSpacing/>
              <w:rPr>
                <w:rFonts w:ascii="Calibri" w:hAnsi="Calibri" w:cs="Calibri"/>
                <w:sz w:val="20"/>
                <w:szCs w:val="20"/>
                <w:highlight w:val="lightGray"/>
              </w:rPr>
            </w:pPr>
            <w:r>
              <w:rPr>
                <w:rFonts w:ascii="Calibri" w:hAnsi="Calibri" w:cs="Calibri"/>
                <w:sz w:val="20"/>
                <w:szCs w:val="20"/>
              </w:rPr>
              <w:t xml:space="preserve">From: </w:t>
            </w:r>
            <w:sdt>
              <w:sdtPr>
                <w:rPr>
                  <w:rFonts w:ascii="Calibri" w:hAnsi="Calibri" w:cs="Calibri"/>
                  <w:sz w:val="20"/>
                  <w:szCs w:val="20"/>
                  <w:highlight w:val="lightGray"/>
                </w:rPr>
                <w:alias w:val="Select starting date"/>
                <w:tag w:val="Select starting date"/>
                <w:id w:val="2037614635"/>
                <w:placeholder>
                  <w:docPart w:val="26BBFA23173C0E4499950FB8E0C8C5FC"/>
                </w:placeholder>
                <w:date>
                  <w:dateFormat w:val="dd-MMM-yy"/>
                  <w:lid w:val="en-US"/>
                  <w:storeMappedDataAs w:val="dateTime"/>
                  <w:calendar w:val="gregorian"/>
                </w:date>
              </w:sdtPr>
              <w:sdtEndPr/>
              <w:sdtContent>
                <w:r>
                  <w:rPr>
                    <w:rFonts w:ascii="Calibri" w:hAnsi="Calibri" w:cs="Calibri"/>
                    <w:sz w:val="20"/>
                    <w:szCs w:val="20"/>
                    <w:highlight w:val="lightGray"/>
                  </w:rPr>
                  <w:t>2025</w:t>
                </w:r>
              </w:sdtContent>
            </w:sdt>
          </w:p>
          <w:p w14:paraId="680915EE" w14:textId="77777777" w:rsidR="00CF33D9" w:rsidRDefault="00CF33D9">
            <w:pPr>
              <w:spacing w:before="40" w:after="40"/>
              <w:contextualSpacing/>
              <w:rPr>
                <w:rFonts w:ascii="Calibri" w:hAnsi="Calibri" w:cs="Calibri"/>
                <w:sz w:val="20"/>
                <w:szCs w:val="20"/>
                <w:highlight w:val="lightGray"/>
              </w:rPr>
            </w:pPr>
          </w:p>
          <w:p w14:paraId="680915EF" w14:textId="77777777" w:rsidR="00CF33D9" w:rsidRDefault="00E3332A">
            <w:pPr>
              <w:jc w:val="both"/>
              <w:rPr>
                <w:rFonts w:ascii="Calibri" w:eastAsia="Century Gothic" w:hAnsi="Calibri" w:cs="Calibri"/>
                <w:color w:val="000000"/>
                <w:sz w:val="20"/>
                <w:szCs w:val="20"/>
              </w:rPr>
            </w:pPr>
            <w:r>
              <w:rPr>
                <w:rFonts w:ascii="Calibri" w:hAnsi="Calibri" w:cs="Calibri"/>
                <w:sz w:val="20"/>
                <w:szCs w:val="20"/>
              </w:rPr>
              <w:t xml:space="preserve">To: </w:t>
            </w:r>
            <w:sdt>
              <w:sdtPr>
                <w:rPr>
                  <w:rFonts w:ascii="Calibri" w:hAnsi="Calibri" w:cs="Calibri"/>
                  <w:sz w:val="20"/>
                  <w:szCs w:val="20"/>
                  <w:highlight w:val="lightGray"/>
                </w:rPr>
                <w:alias w:val="Select End Date"/>
                <w:tag w:val="Select End Date"/>
                <w:id w:val="1069919569"/>
                <w:placeholder>
                  <w:docPart w:val="26BBFA23173C0E4499950FB8E0C8C5FC"/>
                </w:placeholder>
                <w:date>
                  <w:dateFormat w:val="dd-MMM-yy"/>
                  <w:lid w:val="en-US"/>
                  <w:storeMappedDataAs w:val="dateTime"/>
                  <w:calendar w:val="gregorian"/>
                </w:date>
              </w:sdtPr>
              <w:sdtEndPr/>
              <w:sdtContent>
                <w:r>
                  <w:rPr>
                    <w:rFonts w:ascii="Calibri" w:hAnsi="Calibri" w:cs="Calibri"/>
                    <w:sz w:val="20"/>
                    <w:szCs w:val="20"/>
                    <w:highlight w:val="lightGray"/>
                  </w:rPr>
                  <w:t>2030</w:t>
                </w:r>
              </w:sdtContent>
            </w:sdt>
          </w:p>
        </w:tc>
        <w:tc>
          <w:tcPr>
            <w:tcW w:w="992"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5F0" w14:textId="77777777" w:rsidR="00CF33D9" w:rsidRDefault="00E3332A">
            <w:pPr>
              <w:jc w:val="both"/>
              <w:rPr>
                <w:rFonts w:ascii="Calibri" w:eastAsia="Arial Narrow" w:hAnsi="Calibri" w:cs="Calibri"/>
                <w:color w:val="000000"/>
                <w:sz w:val="20"/>
                <w:szCs w:val="20"/>
              </w:rPr>
            </w:pPr>
            <w:r>
              <w:rPr>
                <w:rFonts w:ascii="Calibri" w:eastAsia="Arial Narrow" w:hAnsi="Calibri" w:cs="Calibri"/>
                <w:color w:val="000000"/>
                <w:sz w:val="20"/>
                <w:szCs w:val="20"/>
              </w:rPr>
              <w:t>BCC</w:t>
            </w:r>
          </w:p>
          <w:p w14:paraId="680915F1" w14:textId="77777777" w:rsidR="00CF33D9" w:rsidRDefault="00CF33D9">
            <w:pPr>
              <w:jc w:val="both"/>
              <w:rPr>
                <w:rFonts w:ascii="Calibri" w:eastAsia="Century Gothic" w:hAnsi="Calibri" w:cs="Calibri"/>
                <w:color w:val="000000"/>
                <w:sz w:val="20"/>
                <w:szCs w:val="20"/>
              </w:rPr>
            </w:pPr>
          </w:p>
        </w:tc>
        <w:tc>
          <w:tcPr>
            <w:tcW w:w="2977"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5F2" w14:textId="77777777" w:rsidR="00CF33D9" w:rsidRDefault="00E3332A">
            <w:pPr>
              <w:ind w:left="113"/>
              <w:rPr>
                <w:rFonts w:ascii="Calibri" w:hAnsi="Calibri" w:cs="Calibri"/>
                <w:color w:val="000000"/>
                <w:sz w:val="20"/>
                <w:szCs w:val="20"/>
              </w:rPr>
            </w:pPr>
            <w:r>
              <w:rPr>
                <w:rFonts w:ascii="Calibri" w:hAnsi="Calibri" w:cs="Calibri"/>
                <w:b/>
                <w:bCs/>
                <w:color w:val="000000"/>
                <w:sz w:val="20"/>
                <w:szCs w:val="20"/>
              </w:rPr>
              <w:t>ESIA/ESMP</w:t>
            </w:r>
            <w:r>
              <w:rPr>
                <w:rStyle w:val="apple-converted-space"/>
                <w:rFonts w:ascii="Calibri" w:hAnsi="Calibri" w:cs="Calibri"/>
                <w:color w:val="000000"/>
                <w:sz w:val="20"/>
                <w:szCs w:val="20"/>
              </w:rPr>
              <w:t> </w:t>
            </w:r>
            <w:r>
              <w:rPr>
                <w:rFonts w:ascii="Calibri" w:hAnsi="Calibri" w:cs="Calibri"/>
                <w:color w:val="000000"/>
                <w:sz w:val="20"/>
                <w:szCs w:val="20"/>
              </w:rPr>
              <w:t>will be developed once the final decision on the selected sites and demonstration activities is reached during the inception phase. The baseline study of the ESIA will identify the individuals who would be adversely affected by these project activities, not only in terms of their traditional subsistence practices but also in terms of their traditional knowledge and use of ritual space in the restricted areas.</w:t>
            </w:r>
          </w:p>
          <w:p w14:paraId="680915F3" w14:textId="77777777" w:rsidR="00CF33D9" w:rsidRDefault="00CF33D9">
            <w:pPr>
              <w:ind w:left="113"/>
              <w:rPr>
                <w:rFonts w:ascii="Calibri" w:hAnsi="Calibri" w:cs="Calibri"/>
                <w:color w:val="000000"/>
                <w:sz w:val="20"/>
                <w:szCs w:val="20"/>
              </w:rPr>
            </w:pPr>
          </w:p>
          <w:p w14:paraId="680915F4" w14:textId="77777777" w:rsidR="00CF33D9" w:rsidRDefault="00E3332A">
            <w:pPr>
              <w:ind w:left="113"/>
              <w:rPr>
                <w:rFonts w:ascii="Calibri" w:hAnsi="Calibri" w:cs="Calibri"/>
                <w:color w:val="000000"/>
                <w:sz w:val="20"/>
                <w:szCs w:val="20"/>
              </w:rPr>
            </w:pPr>
            <w:r>
              <w:rPr>
                <w:rFonts w:ascii="Calibri" w:hAnsi="Calibri" w:cs="Calibri"/>
                <w:color w:val="000000"/>
                <w:sz w:val="20"/>
                <w:szCs w:val="20"/>
              </w:rPr>
              <w:t>In cases where restrictions to access resources within MPA are planned, a</w:t>
            </w:r>
            <w:r>
              <w:rPr>
                <w:rStyle w:val="apple-converted-space"/>
                <w:rFonts w:ascii="Calibri" w:hAnsi="Calibri" w:cs="Calibri"/>
                <w:color w:val="000000"/>
                <w:sz w:val="20"/>
                <w:szCs w:val="20"/>
              </w:rPr>
              <w:t> </w:t>
            </w:r>
            <w:r>
              <w:rPr>
                <w:rFonts w:ascii="Calibri" w:hAnsi="Calibri" w:cs="Calibri"/>
                <w:b/>
                <w:bCs/>
                <w:color w:val="000000"/>
                <w:sz w:val="20"/>
                <w:szCs w:val="20"/>
              </w:rPr>
              <w:t>Process Framework</w:t>
            </w:r>
            <w:r>
              <w:rPr>
                <w:rFonts w:ascii="Calibri" w:hAnsi="Calibri" w:cs="Calibri"/>
                <w:color w:val="000000"/>
                <w:sz w:val="20"/>
                <w:szCs w:val="20"/>
              </w:rPr>
              <w:t> will be implemented to establish dialogue and negotiation with local communities. The PF will be the basis for preparing a</w:t>
            </w:r>
            <w:r>
              <w:rPr>
                <w:rStyle w:val="apple-converted-space"/>
                <w:rFonts w:ascii="Calibri" w:hAnsi="Calibri" w:cs="Calibri"/>
                <w:color w:val="000000"/>
                <w:sz w:val="20"/>
                <w:szCs w:val="20"/>
              </w:rPr>
              <w:t> </w:t>
            </w:r>
            <w:r>
              <w:rPr>
                <w:rFonts w:ascii="Calibri" w:hAnsi="Calibri" w:cs="Calibri"/>
                <w:b/>
                <w:bCs/>
                <w:color w:val="000000"/>
                <w:sz w:val="20"/>
                <w:szCs w:val="20"/>
              </w:rPr>
              <w:t>Livelihood Action Plan (LAP)</w:t>
            </w:r>
            <w:r>
              <w:rPr>
                <w:rFonts w:ascii="Calibri" w:hAnsi="Calibri" w:cs="Calibri"/>
                <w:color w:val="000000"/>
                <w:sz w:val="20"/>
                <w:szCs w:val="20"/>
              </w:rPr>
              <w:t>. Economic displacement outside MPAs will be managed through a LAP. The LAP will include compensation packages for affected individuals, ensuring the same or better income and livelihood status.</w:t>
            </w:r>
          </w:p>
          <w:p w14:paraId="680915F5" w14:textId="77777777" w:rsidR="00CF33D9" w:rsidRDefault="00E3332A">
            <w:pPr>
              <w:ind w:left="113"/>
              <w:rPr>
                <w:rFonts w:ascii="Calibri" w:hAnsi="Calibri" w:cs="Calibri"/>
                <w:color w:val="000000"/>
                <w:sz w:val="20"/>
                <w:szCs w:val="20"/>
              </w:rPr>
            </w:pPr>
            <w:r>
              <w:rPr>
                <w:rFonts w:ascii="Calibri" w:hAnsi="Calibri" w:cs="Calibri"/>
                <w:color w:val="000000"/>
                <w:sz w:val="20"/>
                <w:szCs w:val="20"/>
              </w:rPr>
              <w:t>To understand and assess these potential impacts on the intangible cultural component further, an</w:t>
            </w:r>
            <w:r>
              <w:rPr>
                <w:rStyle w:val="apple-converted-space"/>
                <w:rFonts w:ascii="Calibri" w:hAnsi="Calibri" w:cs="Calibri"/>
                <w:color w:val="000000"/>
                <w:sz w:val="20"/>
                <w:szCs w:val="20"/>
              </w:rPr>
              <w:t> </w:t>
            </w:r>
            <w:r>
              <w:rPr>
                <w:rFonts w:ascii="Calibri" w:hAnsi="Calibri" w:cs="Calibri"/>
                <w:b/>
                <w:bCs/>
                <w:color w:val="000000"/>
                <w:sz w:val="20"/>
                <w:szCs w:val="20"/>
              </w:rPr>
              <w:t xml:space="preserve">intangible Cultural </w:t>
            </w:r>
            <w:r>
              <w:rPr>
                <w:rFonts w:ascii="Calibri" w:hAnsi="Calibri" w:cs="Calibri"/>
                <w:b/>
                <w:bCs/>
                <w:color w:val="000000"/>
                <w:sz w:val="20"/>
                <w:szCs w:val="20"/>
              </w:rPr>
              <w:lastRenderedPageBreak/>
              <w:t>Heritage Impact Assessment (CHIA)</w:t>
            </w:r>
            <w:r>
              <w:rPr>
                <w:rFonts w:ascii="Calibri" w:hAnsi="Calibri" w:cs="Calibri"/>
                <w:color w:val="000000"/>
                <w:sz w:val="20"/>
                <w:szCs w:val="20"/>
              </w:rPr>
              <w:t> will be carried out. The</w:t>
            </w:r>
            <w:r>
              <w:rPr>
                <w:rStyle w:val="apple-converted-space"/>
                <w:rFonts w:ascii="Calibri" w:hAnsi="Calibri" w:cs="Calibri"/>
                <w:color w:val="000000"/>
                <w:sz w:val="20"/>
                <w:szCs w:val="20"/>
              </w:rPr>
              <w:t> </w:t>
            </w:r>
            <w:r>
              <w:rPr>
                <w:rFonts w:ascii="Calibri" w:hAnsi="Calibri" w:cs="Calibri"/>
                <w:b/>
                <w:bCs/>
                <w:color w:val="000000"/>
                <w:sz w:val="20"/>
                <w:szCs w:val="20"/>
              </w:rPr>
              <w:t>Cultural Heritage Management Plan (CHMP)</w:t>
            </w:r>
            <w:r>
              <w:rPr>
                <w:rStyle w:val="apple-converted-space"/>
                <w:rFonts w:ascii="Calibri" w:hAnsi="Calibri" w:cs="Calibri"/>
                <w:b/>
                <w:bCs/>
                <w:color w:val="000000"/>
                <w:sz w:val="20"/>
                <w:szCs w:val="20"/>
              </w:rPr>
              <w:t> </w:t>
            </w:r>
            <w:r>
              <w:rPr>
                <w:rFonts w:ascii="Calibri" w:hAnsi="Calibri" w:cs="Calibri"/>
                <w:color w:val="000000"/>
                <w:sz w:val="20"/>
                <w:szCs w:val="20"/>
              </w:rPr>
              <w:t>will include the appropriate management measures.</w:t>
            </w:r>
          </w:p>
        </w:tc>
      </w:tr>
      <w:tr w:rsidR="00CF33D9" w14:paraId="6809160B" w14:textId="77777777">
        <w:trPr>
          <w:trHeight w:val="2831"/>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0915F7" w14:textId="77777777" w:rsidR="00CF33D9" w:rsidRDefault="00E3332A">
            <w:pPr>
              <w:jc w:val="both"/>
              <w:rPr>
                <w:rFonts w:ascii="Calibri" w:eastAsia="Century Gothic" w:hAnsi="Calibri" w:cs="Calibri"/>
                <w:color w:val="000000"/>
                <w:sz w:val="20"/>
                <w:szCs w:val="20"/>
              </w:rPr>
            </w:pPr>
            <w:r>
              <w:rPr>
                <w:rFonts w:ascii="Calibri" w:eastAsia="Arial Narrow" w:hAnsi="Calibri" w:cs="Calibri"/>
                <w:color w:val="000000"/>
                <w:sz w:val="20"/>
                <w:szCs w:val="20"/>
              </w:rPr>
              <w:lastRenderedPageBreak/>
              <w:t>5</w:t>
            </w:r>
          </w:p>
        </w:tc>
        <w:tc>
          <w:tcPr>
            <w:tcW w:w="1843"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5F8" w14:textId="77777777" w:rsidR="00CF33D9" w:rsidRDefault="00E3332A">
            <w:pPr>
              <w:pStyle w:val="TableParagraph"/>
              <w:ind w:left="62"/>
              <w:rPr>
                <w:sz w:val="20"/>
                <w:szCs w:val="20"/>
              </w:rPr>
            </w:pPr>
            <w:r>
              <w:rPr>
                <w:rFonts w:eastAsia="MS Mincho"/>
                <w:b/>
                <w:bCs/>
                <w:sz w:val="20"/>
                <w:szCs w:val="20"/>
                <w:lang w:eastAsia="ja-JP"/>
              </w:rPr>
              <w:t xml:space="preserve">SESP Risk 5: </w:t>
            </w:r>
            <w:r>
              <w:rPr>
                <w:sz w:val="20"/>
                <w:szCs w:val="20"/>
              </w:rPr>
              <w:t xml:space="preserve">The identification of the best suitable option for management plans of selected MPAs (Activity 1.2.2.1), the establishment of a multinational transboundary committee (Activity 2.1.1.2), the drafting of bilateral agreements (2.1.1.3) and the development of Blue Carbon finance mechanisms </w:t>
            </w:r>
            <w:r>
              <w:rPr>
                <w:sz w:val="20"/>
                <w:szCs w:val="20"/>
              </w:rPr>
              <w:lastRenderedPageBreak/>
              <w:t xml:space="preserve">(Output 4.2.3) could lead to the </w:t>
            </w:r>
            <w:r>
              <w:rPr>
                <w:b/>
                <w:bCs/>
                <w:sz w:val="20"/>
                <w:szCs w:val="20"/>
              </w:rPr>
              <w:t>exclusion of vulnerable groups</w:t>
            </w:r>
            <w:r>
              <w:rPr>
                <w:sz w:val="20"/>
                <w:szCs w:val="20"/>
              </w:rPr>
              <w:t xml:space="preserve">, preventing them from accessing the project’s benefits. </w:t>
            </w:r>
          </w:p>
        </w:tc>
        <w:tc>
          <w:tcPr>
            <w:tcW w:w="1418"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5F9" w14:textId="77777777" w:rsidR="00CF33D9" w:rsidRDefault="00E3332A">
            <w:pPr>
              <w:rPr>
                <w:rFonts w:ascii="Calibri" w:eastAsia="Century Gothic" w:hAnsi="Calibri" w:cs="Calibri"/>
                <w:color w:val="000000"/>
                <w:sz w:val="20"/>
                <w:szCs w:val="20"/>
              </w:rPr>
            </w:pPr>
            <w:r>
              <w:rPr>
                <w:rFonts w:ascii="Calibri" w:eastAsia="Arial Narrow" w:hAnsi="Calibri" w:cs="Calibri"/>
                <w:color w:val="000000"/>
                <w:sz w:val="20"/>
                <w:szCs w:val="20"/>
              </w:rPr>
              <w:lastRenderedPageBreak/>
              <w:t>The project will draft bilateral agreements and will identify the best suitable option for management plans of selected MPAs</w:t>
            </w:r>
          </w:p>
        </w:tc>
        <w:tc>
          <w:tcPr>
            <w:tcW w:w="1843"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5FA" w14:textId="77777777" w:rsidR="00CF33D9" w:rsidRDefault="00E3332A">
            <w:pPr>
              <w:pStyle w:val="TableParagraph"/>
              <w:rPr>
                <w:sz w:val="20"/>
                <w:szCs w:val="20"/>
              </w:rPr>
            </w:pPr>
            <w:r>
              <w:rPr>
                <w:sz w:val="20"/>
                <w:szCs w:val="20"/>
              </w:rPr>
              <w:t xml:space="preserve">the exclusion of vulnerable groups, preventing them from accessing the project’s benefits. </w:t>
            </w:r>
          </w:p>
          <w:p w14:paraId="680915FB" w14:textId="77777777" w:rsidR="00CF33D9" w:rsidRDefault="00CF33D9">
            <w:pPr>
              <w:rPr>
                <w:rFonts w:ascii="Calibri" w:eastAsia="Century Gothic" w:hAnsi="Calibri" w:cs="Calibri"/>
                <w:color w:val="000000"/>
                <w:sz w:val="20"/>
                <w:szCs w:val="20"/>
              </w:rPr>
            </w:pPr>
          </w:p>
        </w:tc>
        <w:tc>
          <w:tcPr>
            <w:tcW w:w="1701"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sdt>
            <w:sdtPr>
              <w:rPr>
                <w:rFonts w:ascii="Calibri" w:hAnsi="Calibri" w:cs="Calibri"/>
                <w:b/>
                <w:sz w:val="20"/>
                <w:szCs w:val="20"/>
                <w:highlight w:val="lightGray"/>
              </w:rPr>
              <w:alias w:val="Select Risk Categories and Sub-categories"/>
              <w:tag w:val="Select Risk Categories and Sub-categories"/>
              <w:id w:val="-1606794316"/>
              <w:placeholder>
                <w:docPart w:val="C78AF5E00EDF0448B78474CB303760C7"/>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680915FC" w14:textId="77777777" w:rsidR="00CF33D9" w:rsidRDefault="00E3332A">
                <w:pPr>
                  <w:spacing w:beforeLines="60" w:before="144" w:afterLines="60" w:after="144"/>
                  <w:contextualSpacing/>
                  <w:rPr>
                    <w:rFonts w:ascii="Calibri" w:hAnsi="Calibri" w:cs="Calibri"/>
                    <w:b/>
                    <w:sz w:val="20"/>
                    <w:szCs w:val="20"/>
                  </w:rPr>
                </w:pPr>
                <w:r>
                  <w:rPr>
                    <w:rFonts w:ascii="Calibri" w:hAnsi="Calibri" w:cs="Calibri"/>
                    <w:b/>
                    <w:sz w:val="20"/>
                    <w:szCs w:val="20"/>
                    <w:highlight w:val="lightGray"/>
                  </w:rPr>
                  <w:t>1. SOCIAL AND ENVIRONMENTAL (1.3. Grievances (Accountability to stakeholders)) - UNDP Risk Appetite: CAUTIOUS</w:t>
                </w:r>
              </w:p>
            </w:sdtContent>
          </w:sdt>
          <w:p w14:paraId="680915FD" w14:textId="77777777" w:rsidR="00CF33D9" w:rsidRDefault="00CF33D9">
            <w:pPr>
              <w:rPr>
                <w:rFonts w:ascii="Calibri" w:eastAsia="Century Gothic" w:hAnsi="Calibri" w:cs="Calibri"/>
                <w:color w:val="000000"/>
                <w:sz w:val="20"/>
                <w:szCs w:val="20"/>
              </w:rPr>
            </w:pPr>
          </w:p>
        </w:tc>
        <w:tc>
          <w:tcPr>
            <w:tcW w:w="1559"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5FE" w14:textId="77777777" w:rsidR="00CF33D9" w:rsidRDefault="00E3332A">
            <w:pPr>
              <w:spacing w:after="40"/>
              <w:rPr>
                <w:rFonts w:ascii="Calibri" w:hAnsi="Calibri" w:cs="Calibri"/>
                <w:sz w:val="20"/>
                <w:szCs w:val="20"/>
              </w:rPr>
            </w:pPr>
            <w:r>
              <w:rPr>
                <w:rFonts w:ascii="Calibri" w:hAnsi="Calibri" w:cs="Calibri"/>
                <w:sz w:val="20"/>
                <w:szCs w:val="20"/>
              </w:rPr>
              <w:t>Likelihood:</w:t>
            </w:r>
          </w:p>
          <w:p w14:paraId="680915FF" w14:textId="77777777" w:rsidR="00CF33D9" w:rsidRDefault="009B0270">
            <w:pPr>
              <w:spacing w:after="40"/>
              <w:rPr>
                <w:rFonts w:ascii="Calibri" w:hAnsi="Calibri" w:cs="Calibri"/>
                <w:b/>
                <w:sz w:val="20"/>
                <w:szCs w:val="20"/>
              </w:rPr>
            </w:pPr>
            <w:sdt>
              <w:sdtPr>
                <w:rPr>
                  <w:rFonts w:ascii="Calibri" w:hAnsi="Calibri" w:cs="Calibri"/>
                  <w:b/>
                  <w:sz w:val="20"/>
                  <w:szCs w:val="20"/>
                  <w:highlight w:val="lightGray"/>
                </w:rPr>
                <w:alias w:val="Select Likelihood Level"/>
                <w:tag w:val="Select Likelihood Level"/>
                <w:id w:val="-1712643521"/>
                <w:placeholder>
                  <w:docPart w:val="27366CDF346BCC4B85D260542C26226D"/>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E3332A">
                  <w:rPr>
                    <w:rFonts w:ascii="Calibri" w:hAnsi="Calibri" w:cs="Calibri"/>
                    <w:b/>
                    <w:sz w:val="20"/>
                    <w:szCs w:val="20"/>
                    <w:highlight w:val="lightGray"/>
                  </w:rPr>
                  <w:t>3 - Moderately likely</w:t>
                </w:r>
              </w:sdtContent>
            </w:sdt>
          </w:p>
          <w:p w14:paraId="68091600" w14:textId="77777777" w:rsidR="00CF33D9" w:rsidRDefault="00E3332A">
            <w:pPr>
              <w:spacing w:after="40"/>
              <w:rPr>
                <w:rFonts w:ascii="Calibri" w:hAnsi="Calibri" w:cs="Calibri"/>
                <w:sz w:val="20"/>
                <w:szCs w:val="20"/>
              </w:rPr>
            </w:pPr>
            <w:r>
              <w:rPr>
                <w:rFonts w:ascii="Calibri" w:hAnsi="Calibri" w:cs="Calibri"/>
                <w:sz w:val="20"/>
                <w:szCs w:val="20"/>
              </w:rPr>
              <w:t xml:space="preserve">Impact: </w:t>
            </w:r>
          </w:p>
          <w:p w14:paraId="68091601" w14:textId="77777777" w:rsidR="00CF33D9" w:rsidRDefault="009B0270">
            <w:pPr>
              <w:spacing w:after="40"/>
              <w:rPr>
                <w:rFonts w:ascii="Calibri" w:hAnsi="Calibri" w:cs="Calibri"/>
                <w:b/>
                <w:sz w:val="20"/>
                <w:szCs w:val="20"/>
                <w:highlight w:val="lightGray"/>
              </w:rPr>
            </w:pPr>
            <w:sdt>
              <w:sdtPr>
                <w:rPr>
                  <w:rFonts w:ascii="Calibri" w:hAnsi="Calibri" w:cs="Calibri"/>
                  <w:b/>
                  <w:sz w:val="20"/>
                  <w:szCs w:val="20"/>
                  <w:highlight w:val="lightGray"/>
                </w:rPr>
                <w:alias w:val="Select Impact Level"/>
                <w:tag w:val="Select Impact Level"/>
                <w:id w:val="126981634"/>
                <w:placeholder>
                  <w:docPart w:val="27366CDF346BCC4B85D260542C26226D"/>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E3332A">
                  <w:rPr>
                    <w:rFonts w:ascii="Calibri" w:hAnsi="Calibri" w:cs="Calibri"/>
                    <w:b/>
                    <w:sz w:val="20"/>
                    <w:szCs w:val="20"/>
                    <w:highlight w:val="lightGray"/>
                  </w:rPr>
                  <w:t>3 - Intermediate</w:t>
                </w:r>
              </w:sdtContent>
            </w:sdt>
          </w:p>
          <w:p w14:paraId="68091602" w14:textId="77777777" w:rsidR="00CF33D9" w:rsidRDefault="00E3332A">
            <w:pPr>
              <w:spacing w:after="40"/>
              <w:rPr>
                <w:rFonts w:ascii="Calibri" w:hAnsi="Calibri" w:cs="Calibri"/>
                <w:sz w:val="20"/>
                <w:szCs w:val="20"/>
              </w:rPr>
            </w:pPr>
            <w:r>
              <w:rPr>
                <w:rFonts w:ascii="Calibri" w:hAnsi="Calibri" w:cs="Calibri"/>
                <w:sz w:val="20"/>
                <w:szCs w:val="20"/>
              </w:rPr>
              <w:t>Risk level:</w:t>
            </w:r>
          </w:p>
          <w:p w14:paraId="68091603" w14:textId="77777777" w:rsidR="00CF33D9" w:rsidRDefault="009B0270">
            <w:pPr>
              <w:jc w:val="both"/>
              <w:rPr>
                <w:rFonts w:ascii="Calibri" w:eastAsia="Century Gothic" w:hAnsi="Calibri" w:cs="Calibri"/>
                <w:color w:val="000000"/>
                <w:sz w:val="20"/>
                <w:szCs w:val="20"/>
              </w:rPr>
            </w:pPr>
            <w:sdt>
              <w:sdtPr>
                <w:rPr>
                  <w:rFonts w:ascii="Calibri" w:hAnsi="Calibri" w:cs="Calibri"/>
                  <w:b/>
                  <w:sz w:val="20"/>
                  <w:szCs w:val="20"/>
                  <w:highlight w:val="lightGray"/>
                </w:rPr>
                <w:alias w:val="Select Risk Level"/>
                <w:tag w:val="Select Risk Level"/>
                <w:id w:val="476956677"/>
                <w:placeholder>
                  <w:docPart w:val="27366CDF346BCC4B85D260542C26226D"/>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E3332A">
                  <w:rPr>
                    <w:rFonts w:ascii="Calibri" w:hAnsi="Calibri" w:cs="Calibri"/>
                    <w:b/>
                    <w:sz w:val="20"/>
                    <w:szCs w:val="20"/>
                    <w:highlight w:val="lightGray"/>
                  </w:rPr>
                  <w:t>MODERATE (equates to a risk appetite of EXPLORATORY)</w:t>
                </w:r>
              </w:sdtContent>
            </w:sdt>
          </w:p>
        </w:tc>
        <w:tc>
          <w:tcPr>
            <w:tcW w:w="992"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04" w14:textId="77777777" w:rsidR="00CF33D9" w:rsidRDefault="00E3332A">
            <w:pPr>
              <w:spacing w:before="40" w:after="40"/>
              <w:contextualSpacing/>
              <w:rPr>
                <w:rFonts w:ascii="Calibri" w:hAnsi="Calibri" w:cs="Calibri"/>
                <w:sz w:val="20"/>
                <w:szCs w:val="20"/>
                <w:highlight w:val="lightGray"/>
              </w:rPr>
            </w:pPr>
            <w:r>
              <w:rPr>
                <w:rFonts w:ascii="Calibri" w:hAnsi="Calibri" w:cs="Calibri"/>
                <w:sz w:val="20"/>
                <w:szCs w:val="20"/>
              </w:rPr>
              <w:t xml:space="preserve">From: </w:t>
            </w:r>
            <w:sdt>
              <w:sdtPr>
                <w:rPr>
                  <w:rFonts w:ascii="Calibri" w:hAnsi="Calibri" w:cs="Calibri"/>
                  <w:sz w:val="20"/>
                  <w:szCs w:val="20"/>
                  <w:highlight w:val="lightGray"/>
                </w:rPr>
                <w:alias w:val="Select starting date"/>
                <w:tag w:val="Select starting date"/>
                <w:id w:val="-947620608"/>
                <w:placeholder>
                  <w:docPart w:val="9C0D89E57E09544CAE8530C964486D17"/>
                </w:placeholder>
                <w:date>
                  <w:dateFormat w:val="dd-MMM-yy"/>
                  <w:lid w:val="en-US"/>
                  <w:storeMappedDataAs w:val="dateTime"/>
                  <w:calendar w:val="gregorian"/>
                </w:date>
              </w:sdtPr>
              <w:sdtEndPr/>
              <w:sdtContent>
                <w:r>
                  <w:rPr>
                    <w:rFonts w:ascii="Calibri" w:hAnsi="Calibri" w:cs="Calibri"/>
                    <w:sz w:val="20"/>
                    <w:szCs w:val="20"/>
                    <w:highlight w:val="lightGray"/>
                  </w:rPr>
                  <w:t>2025</w:t>
                </w:r>
              </w:sdtContent>
            </w:sdt>
          </w:p>
          <w:p w14:paraId="68091605" w14:textId="77777777" w:rsidR="00CF33D9" w:rsidRDefault="00CF33D9">
            <w:pPr>
              <w:spacing w:before="40" w:after="40"/>
              <w:contextualSpacing/>
              <w:rPr>
                <w:rFonts w:ascii="Calibri" w:hAnsi="Calibri" w:cs="Calibri"/>
                <w:sz w:val="20"/>
                <w:szCs w:val="20"/>
                <w:highlight w:val="lightGray"/>
              </w:rPr>
            </w:pPr>
          </w:p>
          <w:p w14:paraId="68091606" w14:textId="77777777" w:rsidR="00CF33D9" w:rsidRDefault="00E3332A">
            <w:pPr>
              <w:jc w:val="both"/>
              <w:rPr>
                <w:rFonts w:ascii="Calibri" w:eastAsia="Century Gothic" w:hAnsi="Calibri" w:cs="Calibri"/>
                <w:color w:val="000000"/>
                <w:sz w:val="20"/>
                <w:szCs w:val="20"/>
              </w:rPr>
            </w:pPr>
            <w:r>
              <w:rPr>
                <w:rFonts w:ascii="Calibri" w:hAnsi="Calibri" w:cs="Calibri"/>
                <w:sz w:val="20"/>
                <w:szCs w:val="20"/>
              </w:rPr>
              <w:t xml:space="preserve">To: </w:t>
            </w:r>
            <w:sdt>
              <w:sdtPr>
                <w:rPr>
                  <w:rFonts w:ascii="Calibri" w:hAnsi="Calibri" w:cs="Calibri"/>
                  <w:sz w:val="20"/>
                  <w:szCs w:val="20"/>
                  <w:highlight w:val="lightGray"/>
                </w:rPr>
                <w:alias w:val="Select End Date"/>
                <w:tag w:val="Select End Date"/>
                <w:id w:val="-338612182"/>
                <w:placeholder>
                  <w:docPart w:val="9C0D89E57E09544CAE8530C964486D17"/>
                </w:placeholder>
                <w:date>
                  <w:dateFormat w:val="dd-MMM-yy"/>
                  <w:lid w:val="en-US"/>
                  <w:storeMappedDataAs w:val="dateTime"/>
                  <w:calendar w:val="gregorian"/>
                </w:date>
              </w:sdtPr>
              <w:sdtEndPr/>
              <w:sdtContent>
                <w:r>
                  <w:rPr>
                    <w:rFonts w:ascii="Calibri" w:hAnsi="Calibri" w:cs="Calibri"/>
                    <w:sz w:val="20"/>
                    <w:szCs w:val="20"/>
                    <w:highlight w:val="lightGray"/>
                  </w:rPr>
                  <w:t>2030</w:t>
                </w:r>
              </w:sdtContent>
            </w:sdt>
          </w:p>
        </w:tc>
        <w:tc>
          <w:tcPr>
            <w:tcW w:w="992"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07" w14:textId="77777777" w:rsidR="00CF33D9" w:rsidRDefault="00E3332A">
            <w:pPr>
              <w:jc w:val="both"/>
              <w:rPr>
                <w:rFonts w:ascii="Calibri" w:eastAsia="Arial Narrow" w:hAnsi="Calibri" w:cs="Calibri"/>
                <w:color w:val="000000"/>
                <w:sz w:val="20"/>
                <w:szCs w:val="20"/>
              </w:rPr>
            </w:pPr>
            <w:r>
              <w:rPr>
                <w:rFonts w:ascii="Calibri" w:eastAsia="Arial Narrow" w:hAnsi="Calibri" w:cs="Calibri"/>
                <w:color w:val="000000"/>
                <w:sz w:val="20"/>
                <w:szCs w:val="20"/>
              </w:rPr>
              <w:t>BCC</w:t>
            </w:r>
          </w:p>
          <w:p w14:paraId="68091608" w14:textId="77777777" w:rsidR="00CF33D9" w:rsidRDefault="00CF33D9">
            <w:pPr>
              <w:jc w:val="both"/>
              <w:rPr>
                <w:rFonts w:ascii="Calibri" w:eastAsia="Century Gothic" w:hAnsi="Calibri" w:cs="Calibri"/>
                <w:color w:val="000000"/>
                <w:sz w:val="20"/>
                <w:szCs w:val="20"/>
              </w:rPr>
            </w:pPr>
          </w:p>
        </w:tc>
        <w:tc>
          <w:tcPr>
            <w:tcW w:w="2977"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09" w14:textId="77777777" w:rsidR="00CF33D9" w:rsidRDefault="00E3332A">
            <w:pPr>
              <w:pStyle w:val="TableParagraph"/>
              <w:ind w:left="108"/>
              <w:rPr>
                <w:sz w:val="20"/>
                <w:szCs w:val="20"/>
              </w:rPr>
            </w:pPr>
            <w:r>
              <w:rPr>
                <w:sz w:val="20"/>
                <w:szCs w:val="20"/>
              </w:rPr>
              <w:t xml:space="preserve">During the PPG phase a </w:t>
            </w:r>
            <w:r>
              <w:rPr>
                <w:b/>
                <w:bCs/>
                <w:sz w:val="20"/>
                <w:szCs w:val="20"/>
              </w:rPr>
              <w:t>Stakeholder Engagement Plan (SEP)</w:t>
            </w:r>
            <w:r>
              <w:rPr>
                <w:sz w:val="20"/>
                <w:szCs w:val="20"/>
              </w:rPr>
              <w:t xml:space="preserve"> was developed, which includes means of disclosure of information in a format that is understandable, culturally sensitive, and gender responsive. The </w:t>
            </w:r>
            <w:r>
              <w:rPr>
                <w:b/>
                <w:bCs/>
                <w:sz w:val="20"/>
                <w:szCs w:val="20"/>
              </w:rPr>
              <w:t>Comprehensive SEP</w:t>
            </w:r>
            <w:r>
              <w:rPr>
                <w:sz w:val="20"/>
                <w:szCs w:val="20"/>
              </w:rPr>
              <w:t xml:space="preserve"> will be updated during implementation, which will ensure that vulnerable groups participate in these project activities. A more detailed description of the principles and approach of the Comprehensive SEP is included in the ESMF.</w:t>
            </w:r>
          </w:p>
          <w:p w14:paraId="6809160A" w14:textId="77777777" w:rsidR="00CF33D9" w:rsidRDefault="00CF33D9">
            <w:pPr>
              <w:jc w:val="both"/>
              <w:rPr>
                <w:rFonts w:ascii="Calibri" w:eastAsia="Century Gothic" w:hAnsi="Calibri" w:cs="Calibri"/>
                <w:color w:val="000000"/>
                <w:sz w:val="20"/>
                <w:szCs w:val="20"/>
              </w:rPr>
            </w:pPr>
          </w:p>
        </w:tc>
      </w:tr>
      <w:tr w:rsidR="00CF33D9" w14:paraId="6809161F" w14:textId="77777777">
        <w:trPr>
          <w:trHeight w:val="3400"/>
        </w:trPr>
        <w:tc>
          <w:tcPr>
            <w:tcW w:w="567" w:type="dxa"/>
            <w:tcBorders>
              <w:top w:val="single" w:sz="4" w:space="0" w:color="000000"/>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0C" w14:textId="77777777" w:rsidR="00CF33D9" w:rsidRDefault="00E3332A">
            <w:pPr>
              <w:jc w:val="both"/>
              <w:rPr>
                <w:rFonts w:ascii="Calibri" w:eastAsia="Century Gothic" w:hAnsi="Calibri" w:cs="Calibri"/>
                <w:color w:val="000000"/>
                <w:sz w:val="20"/>
                <w:szCs w:val="20"/>
              </w:rPr>
            </w:pPr>
            <w:r>
              <w:rPr>
                <w:rFonts w:ascii="Calibri" w:eastAsia="Arial Narrow" w:hAnsi="Calibri" w:cs="Calibri"/>
                <w:color w:val="000000"/>
                <w:sz w:val="20"/>
                <w:szCs w:val="20"/>
              </w:rPr>
              <w:t>6</w:t>
            </w:r>
          </w:p>
        </w:tc>
        <w:tc>
          <w:tcPr>
            <w:tcW w:w="1843"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0D" w14:textId="77777777" w:rsidR="00CF33D9" w:rsidRDefault="00E3332A">
            <w:pPr>
              <w:pStyle w:val="TableParagraph"/>
              <w:ind w:left="62"/>
              <w:rPr>
                <w:color w:val="000000"/>
                <w:sz w:val="20"/>
                <w:szCs w:val="20"/>
              </w:rPr>
            </w:pPr>
            <w:r>
              <w:rPr>
                <w:rFonts w:eastAsia="MS Mincho"/>
                <w:b/>
                <w:bCs/>
                <w:sz w:val="20"/>
                <w:szCs w:val="20"/>
                <w:lang w:eastAsia="ja-JP"/>
              </w:rPr>
              <w:t xml:space="preserve">SESP Risk 6: </w:t>
            </w:r>
            <w:r>
              <w:rPr>
                <w:color w:val="000000"/>
                <w:sz w:val="20"/>
                <w:szCs w:val="20"/>
              </w:rPr>
              <w:t xml:space="preserve">Completing feasibility studies for the development and financing of new technologies for pollution control at the community level, including improvements in domestic and industrial wastewater treatment; plastic collection, recycling and re-use; and, agricultural runoff (Activity 3.2.1.2) could </w:t>
            </w:r>
            <w:r>
              <w:rPr>
                <w:b/>
                <w:bCs/>
                <w:color w:val="000000"/>
                <w:sz w:val="20"/>
                <w:szCs w:val="20"/>
              </w:rPr>
              <w:t>exclude women</w:t>
            </w:r>
            <w:r>
              <w:rPr>
                <w:color w:val="000000"/>
                <w:sz w:val="20"/>
                <w:szCs w:val="20"/>
              </w:rPr>
              <w:t xml:space="preserve"> from participating in this activity, leading to </w:t>
            </w:r>
            <w:r>
              <w:rPr>
                <w:color w:val="000000"/>
                <w:sz w:val="20"/>
                <w:szCs w:val="20"/>
              </w:rPr>
              <w:lastRenderedPageBreak/>
              <w:t>less effective waste management practices and the persistence of pollution at the community level.</w:t>
            </w:r>
          </w:p>
        </w:tc>
        <w:tc>
          <w:tcPr>
            <w:tcW w:w="1418"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0E" w14:textId="77777777" w:rsidR="00CF33D9" w:rsidRDefault="00E3332A">
            <w:pPr>
              <w:rPr>
                <w:rFonts w:ascii="Calibri" w:eastAsia="Century Gothic" w:hAnsi="Calibri" w:cs="Calibri"/>
                <w:color w:val="000000"/>
                <w:sz w:val="20"/>
                <w:szCs w:val="20"/>
              </w:rPr>
            </w:pPr>
            <w:r>
              <w:rPr>
                <w:rFonts w:ascii="Calibri" w:eastAsia="Arial Narrow" w:hAnsi="Calibri" w:cs="Calibri"/>
                <w:color w:val="000000"/>
                <w:sz w:val="20"/>
                <w:szCs w:val="20"/>
              </w:rPr>
              <w:lastRenderedPageBreak/>
              <w:t xml:space="preserve">As a result of the development and financing of new technologies for pollution control at the community level excluding women from participating </w:t>
            </w:r>
          </w:p>
        </w:tc>
        <w:tc>
          <w:tcPr>
            <w:tcW w:w="1843"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0F" w14:textId="77777777" w:rsidR="00CF33D9" w:rsidRDefault="00E3332A">
            <w:pPr>
              <w:rPr>
                <w:rFonts w:ascii="Calibri" w:eastAsia="Century Gothic" w:hAnsi="Calibri" w:cs="Calibri"/>
                <w:color w:val="000000"/>
                <w:sz w:val="20"/>
                <w:szCs w:val="20"/>
              </w:rPr>
            </w:pPr>
            <w:r>
              <w:rPr>
                <w:rFonts w:ascii="Calibri" w:eastAsia="Arial Narrow" w:hAnsi="Calibri" w:cs="Calibri"/>
                <w:color w:val="000000"/>
                <w:sz w:val="20"/>
                <w:szCs w:val="20"/>
              </w:rPr>
              <w:t xml:space="preserve">Which will impact in the less effective waste management practices and the persistence of pollution at the community level. </w:t>
            </w:r>
          </w:p>
        </w:tc>
        <w:tc>
          <w:tcPr>
            <w:tcW w:w="1701"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sdt>
            <w:sdtPr>
              <w:rPr>
                <w:rFonts w:ascii="Calibri" w:hAnsi="Calibri" w:cs="Calibri"/>
                <w:b/>
                <w:sz w:val="20"/>
                <w:szCs w:val="20"/>
                <w:highlight w:val="lightGray"/>
              </w:rPr>
              <w:alias w:val="Select Risk Categories and Sub-categories"/>
              <w:tag w:val="Select Risk Categories and Sub-categories"/>
              <w:id w:val="-14777395"/>
              <w:placeholder>
                <w:docPart w:val="A07E8F3483AA5440867C2F7CD0381227"/>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68091610" w14:textId="77777777" w:rsidR="00CF33D9" w:rsidRDefault="00E3332A">
                <w:pPr>
                  <w:spacing w:beforeLines="60" w:before="144" w:afterLines="60" w:after="144"/>
                  <w:contextualSpacing/>
                  <w:rPr>
                    <w:rFonts w:ascii="Calibri" w:hAnsi="Calibri" w:cs="Calibri"/>
                    <w:b/>
                    <w:sz w:val="20"/>
                    <w:szCs w:val="20"/>
                  </w:rPr>
                </w:pPr>
                <w:r>
                  <w:rPr>
                    <w:rFonts w:ascii="Calibri" w:hAnsi="Calibri" w:cs="Calibri"/>
                    <w:b/>
                    <w:sz w:val="20"/>
                    <w:szCs w:val="20"/>
                    <w:highlight w:val="lightGray"/>
                  </w:rPr>
                  <w:t>1. SOCIAL AND ENVIRONMENTAL (1.2. Gender equality and women’s empowerment) - UNDP Risk Appetite: CAUTIOUS</w:t>
                </w:r>
              </w:p>
            </w:sdtContent>
          </w:sdt>
          <w:p w14:paraId="68091611" w14:textId="77777777" w:rsidR="00CF33D9" w:rsidRDefault="00CF33D9">
            <w:pPr>
              <w:rPr>
                <w:rFonts w:ascii="Calibri" w:eastAsia="Century Gothic" w:hAnsi="Calibri" w:cs="Calibri"/>
                <w:color w:val="000000"/>
                <w:sz w:val="20"/>
                <w:szCs w:val="20"/>
              </w:rPr>
            </w:pPr>
          </w:p>
        </w:tc>
        <w:tc>
          <w:tcPr>
            <w:tcW w:w="1559"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12" w14:textId="77777777" w:rsidR="00CF33D9" w:rsidRDefault="00E3332A">
            <w:pPr>
              <w:spacing w:after="40"/>
              <w:rPr>
                <w:rFonts w:ascii="Calibri" w:hAnsi="Calibri" w:cs="Calibri"/>
                <w:sz w:val="20"/>
                <w:szCs w:val="20"/>
              </w:rPr>
            </w:pPr>
            <w:r>
              <w:rPr>
                <w:rFonts w:ascii="Calibri" w:hAnsi="Calibri" w:cs="Calibri"/>
                <w:sz w:val="20"/>
                <w:szCs w:val="20"/>
              </w:rPr>
              <w:t>Likelihood:</w:t>
            </w:r>
          </w:p>
          <w:p w14:paraId="68091613" w14:textId="77777777" w:rsidR="00CF33D9" w:rsidRDefault="009B0270">
            <w:pPr>
              <w:spacing w:after="40"/>
              <w:rPr>
                <w:rFonts w:ascii="Calibri" w:hAnsi="Calibri" w:cs="Calibri"/>
                <w:b/>
                <w:sz w:val="20"/>
                <w:szCs w:val="20"/>
              </w:rPr>
            </w:pPr>
            <w:sdt>
              <w:sdtPr>
                <w:rPr>
                  <w:rFonts w:ascii="Calibri" w:hAnsi="Calibri" w:cs="Calibri"/>
                  <w:b/>
                  <w:sz w:val="20"/>
                  <w:szCs w:val="20"/>
                  <w:highlight w:val="lightGray"/>
                </w:rPr>
                <w:alias w:val="Select Likelihood Level"/>
                <w:tag w:val="Select Likelihood Level"/>
                <w:id w:val="-1681428476"/>
                <w:placeholder>
                  <w:docPart w:val="D657FBF698749D49AB230D7D9969161E"/>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E3332A">
                  <w:rPr>
                    <w:rFonts w:ascii="Calibri" w:hAnsi="Calibri" w:cs="Calibri"/>
                    <w:b/>
                    <w:sz w:val="20"/>
                    <w:szCs w:val="20"/>
                    <w:highlight w:val="lightGray"/>
                  </w:rPr>
                  <w:t>3 - Moderately likely</w:t>
                </w:r>
              </w:sdtContent>
            </w:sdt>
          </w:p>
          <w:p w14:paraId="68091614" w14:textId="77777777" w:rsidR="00CF33D9" w:rsidRDefault="00E3332A">
            <w:pPr>
              <w:spacing w:after="40"/>
              <w:rPr>
                <w:rFonts w:ascii="Calibri" w:hAnsi="Calibri" w:cs="Calibri"/>
                <w:sz w:val="20"/>
                <w:szCs w:val="20"/>
              </w:rPr>
            </w:pPr>
            <w:r>
              <w:rPr>
                <w:rFonts w:ascii="Calibri" w:hAnsi="Calibri" w:cs="Calibri"/>
                <w:sz w:val="20"/>
                <w:szCs w:val="20"/>
              </w:rPr>
              <w:t xml:space="preserve">Impact: </w:t>
            </w:r>
          </w:p>
          <w:p w14:paraId="68091615" w14:textId="77777777" w:rsidR="00CF33D9" w:rsidRDefault="009B0270">
            <w:pPr>
              <w:spacing w:after="40"/>
              <w:rPr>
                <w:rFonts w:ascii="Calibri" w:hAnsi="Calibri" w:cs="Calibri"/>
                <w:b/>
                <w:sz w:val="20"/>
                <w:szCs w:val="20"/>
                <w:highlight w:val="lightGray"/>
              </w:rPr>
            </w:pPr>
            <w:sdt>
              <w:sdtPr>
                <w:rPr>
                  <w:rFonts w:ascii="Calibri" w:hAnsi="Calibri" w:cs="Calibri"/>
                  <w:b/>
                  <w:sz w:val="20"/>
                  <w:szCs w:val="20"/>
                  <w:highlight w:val="lightGray"/>
                </w:rPr>
                <w:alias w:val="Select Impact Level"/>
                <w:tag w:val="Select Impact Level"/>
                <w:id w:val="-1794200571"/>
                <w:placeholder>
                  <w:docPart w:val="D657FBF698749D49AB230D7D9969161E"/>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E3332A">
                  <w:rPr>
                    <w:rFonts w:ascii="Calibri" w:hAnsi="Calibri" w:cs="Calibri"/>
                    <w:b/>
                    <w:sz w:val="20"/>
                    <w:szCs w:val="20"/>
                    <w:highlight w:val="lightGray"/>
                  </w:rPr>
                  <w:t>3 - Intermediate</w:t>
                </w:r>
              </w:sdtContent>
            </w:sdt>
          </w:p>
          <w:p w14:paraId="68091616" w14:textId="77777777" w:rsidR="00CF33D9" w:rsidRDefault="00E3332A">
            <w:pPr>
              <w:spacing w:after="40"/>
              <w:rPr>
                <w:rFonts w:ascii="Calibri" w:hAnsi="Calibri" w:cs="Calibri"/>
                <w:sz w:val="20"/>
                <w:szCs w:val="20"/>
              </w:rPr>
            </w:pPr>
            <w:r>
              <w:rPr>
                <w:rFonts w:ascii="Calibri" w:hAnsi="Calibri" w:cs="Calibri"/>
                <w:sz w:val="20"/>
                <w:szCs w:val="20"/>
              </w:rPr>
              <w:t>Risk level:</w:t>
            </w:r>
          </w:p>
          <w:p w14:paraId="68091617" w14:textId="77777777" w:rsidR="00CF33D9" w:rsidRDefault="009B0270">
            <w:pPr>
              <w:jc w:val="both"/>
              <w:rPr>
                <w:rFonts w:ascii="Calibri" w:eastAsia="Century Gothic" w:hAnsi="Calibri" w:cs="Calibri"/>
                <w:color w:val="000000"/>
                <w:sz w:val="20"/>
                <w:szCs w:val="20"/>
              </w:rPr>
            </w:pPr>
            <w:sdt>
              <w:sdtPr>
                <w:rPr>
                  <w:rFonts w:ascii="Calibri" w:hAnsi="Calibri" w:cs="Calibri"/>
                  <w:b/>
                  <w:sz w:val="20"/>
                  <w:szCs w:val="20"/>
                  <w:highlight w:val="lightGray"/>
                </w:rPr>
                <w:alias w:val="Select Risk Level"/>
                <w:tag w:val="Select Risk Level"/>
                <w:id w:val="-1640101484"/>
                <w:placeholder>
                  <w:docPart w:val="D657FBF698749D49AB230D7D9969161E"/>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E3332A">
                  <w:rPr>
                    <w:rFonts w:ascii="Calibri" w:hAnsi="Calibri" w:cs="Calibri"/>
                    <w:b/>
                    <w:sz w:val="20"/>
                    <w:szCs w:val="20"/>
                    <w:highlight w:val="lightGray"/>
                  </w:rPr>
                  <w:t>MODERATE (equates to a risk appetite of EXPLORATORY)</w:t>
                </w:r>
              </w:sdtContent>
            </w:sdt>
          </w:p>
        </w:tc>
        <w:tc>
          <w:tcPr>
            <w:tcW w:w="992"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18" w14:textId="77777777" w:rsidR="00CF33D9" w:rsidRDefault="00E3332A">
            <w:pPr>
              <w:spacing w:before="40" w:after="40"/>
              <w:contextualSpacing/>
              <w:rPr>
                <w:rFonts w:ascii="Calibri" w:hAnsi="Calibri" w:cs="Calibri"/>
                <w:sz w:val="20"/>
                <w:szCs w:val="20"/>
                <w:highlight w:val="lightGray"/>
              </w:rPr>
            </w:pPr>
            <w:r>
              <w:rPr>
                <w:rFonts w:ascii="Calibri" w:hAnsi="Calibri" w:cs="Calibri"/>
                <w:sz w:val="20"/>
                <w:szCs w:val="20"/>
              </w:rPr>
              <w:t xml:space="preserve">From: </w:t>
            </w:r>
            <w:sdt>
              <w:sdtPr>
                <w:rPr>
                  <w:rFonts w:ascii="Calibri" w:hAnsi="Calibri" w:cs="Calibri"/>
                  <w:sz w:val="20"/>
                  <w:szCs w:val="20"/>
                  <w:highlight w:val="lightGray"/>
                </w:rPr>
                <w:alias w:val="Select starting date"/>
                <w:tag w:val="Select starting date"/>
                <w:id w:val="-957107835"/>
                <w:placeholder>
                  <w:docPart w:val="48F83C8C56F4DD45A881BD5E42228D98"/>
                </w:placeholder>
                <w:date>
                  <w:dateFormat w:val="dd-MMM-yy"/>
                  <w:lid w:val="en-US"/>
                  <w:storeMappedDataAs w:val="dateTime"/>
                  <w:calendar w:val="gregorian"/>
                </w:date>
              </w:sdtPr>
              <w:sdtEndPr/>
              <w:sdtContent>
                <w:r>
                  <w:rPr>
                    <w:rFonts w:ascii="Calibri" w:hAnsi="Calibri" w:cs="Calibri"/>
                    <w:sz w:val="20"/>
                    <w:szCs w:val="20"/>
                    <w:highlight w:val="lightGray"/>
                  </w:rPr>
                  <w:t>2025</w:t>
                </w:r>
              </w:sdtContent>
            </w:sdt>
          </w:p>
          <w:p w14:paraId="68091619" w14:textId="77777777" w:rsidR="00CF33D9" w:rsidRDefault="00CF33D9">
            <w:pPr>
              <w:spacing w:before="40" w:after="40"/>
              <w:contextualSpacing/>
              <w:rPr>
                <w:rFonts w:ascii="Calibri" w:hAnsi="Calibri" w:cs="Calibri"/>
                <w:sz w:val="20"/>
                <w:szCs w:val="20"/>
                <w:highlight w:val="lightGray"/>
              </w:rPr>
            </w:pPr>
          </w:p>
          <w:p w14:paraId="6809161A" w14:textId="77777777" w:rsidR="00CF33D9" w:rsidRDefault="00E3332A">
            <w:pPr>
              <w:jc w:val="both"/>
              <w:rPr>
                <w:rFonts w:ascii="Calibri" w:eastAsia="Century Gothic" w:hAnsi="Calibri" w:cs="Calibri"/>
                <w:color w:val="000000"/>
                <w:sz w:val="20"/>
                <w:szCs w:val="20"/>
              </w:rPr>
            </w:pPr>
            <w:r>
              <w:rPr>
                <w:rFonts w:ascii="Calibri" w:hAnsi="Calibri" w:cs="Calibri"/>
                <w:sz w:val="20"/>
                <w:szCs w:val="20"/>
              </w:rPr>
              <w:t xml:space="preserve">To: </w:t>
            </w:r>
            <w:sdt>
              <w:sdtPr>
                <w:rPr>
                  <w:rFonts w:ascii="Calibri" w:hAnsi="Calibri" w:cs="Calibri"/>
                  <w:sz w:val="20"/>
                  <w:szCs w:val="20"/>
                  <w:highlight w:val="lightGray"/>
                </w:rPr>
                <w:alias w:val="Select End Date"/>
                <w:tag w:val="Select End Date"/>
                <w:id w:val="-1584608518"/>
                <w:placeholder>
                  <w:docPart w:val="48F83C8C56F4DD45A881BD5E42228D98"/>
                </w:placeholder>
                <w:date>
                  <w:dateFormat w:val="dd-MMM-yy"/>
                  <w:lid w:val="en-US"/>
                  <w:storeMappedDataAs w:val="dateTime"/>
                  <w:calendar w:val="gregorian"/>
                </w:date>
              </w:sdtPr>
              <w:sdtEndPr/>
              <w:sdtContent>
                <w:r>
                  <w:rPr>
                    <w:rFonts w:ascii="Calibri" w:hAnsi="Calibri" w:cs="Calibri"/>
                    <w:sz w:val="20"/>
                    <w:szCs w:val="20"/>
                    <w:highlight w:val="lightGray"/>
                  </w:rPr>
                  <w:t>2030</w:t>
                </w:r>
              </w:sdtContent>
            </w:sdt>
          </w:p>
        </w:tc>
        <w:tc>
          <w:tcPr>
            <w:tcW w:w="992"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1B" w14:textId="77777777" w:rsidR="00CF33D9" w:rsidRDefault="00E3332A">
            <w:pPr>
              <w:jc w:val="both"/>
              <w:rPr>
                <w:rFonts w:ascii="Calibri" w:eastAsia="Arial Narrow" w:hAnsi="Calibri" w:cs="Calibri"/>
                <w:color w:val="000000"/>
                <w:sz w:val="20"/>
                <w:szCs w:val="20"/>
              </w:rPr>
            </w:pPr>
            <w:r>
              <w:rPr>
                <w:rFonts w:ascii="Calibri" w:eastAsia="Arial Narrow" w:hAnsi="Calibri" w:cs="Calibri"/>
                <w:color w:val="000000"/>
                <w:sz w:val="20"/>
                <w:szCs w:val="20"/>
              </w:rPr>
              <w:t>…</w:t>
            </w:r>
          </w:p>
          <w:p w14:paraId="6809161C" w14:textId="77777777" w:rsidR="00CF33D9" w:rsidRDefault="00CF33D9">
            <w:pPr>
              <w:jc w:val="both"/>
              <w:rPr>
                <w:rFonts w:ascii="Calibri" w:eastAsia="Century Gothic" w:hAnsi="Calibri" w:cs="Calibri"/>
                <w:color w:val="000000"/>
                <w:sz w:val="20"/>
                <w:szCs w:val="20"/>
              </w:rPr>
            </w:pPr>
          </w:p>
        </w:tc>
        <w:tc>
          <w:tcPr>
            <w:tcW w:w="2977"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1D" w14:textId="77777777" w:rsidR="00CF33D9" w:rsidRDefault="00E3332A">
            <w:pPr>
              <w:pStyle w:val="TableParagraph"/>
              <w:ind w:left="66"/>
              <w:rPr>
                <w:color w:val="000000"/>
                <w:sz w:val="20"/>
                <w:szCs w:val="20"/>
              </w:rPr>
            </w:pPr>
            <w:r>
              <w:rPr>
                <w:color w:val="000000"/>
                <w:sz w:val="20"/>
                <w:szCs w:val="20"/>
              </w:rPr>
              <w:t xml:space="preserve">During the PPG phase a </w:t>
            </w:r>
            <w:r>
              <w:rPr>
                <w:b/>
                <w:bCs/>
                <w:color w:val="000000"/>
                <w:sz w:val="20"/>
                <w:szCs w:val="20"/>
              </w:rPr>
              <w:t>Gender Analysis and Gender Action Plan (GAP)</w:t>
            </w:r>
            <w:r>
              <w:rPr>
                <w:color w:val="000000"/>
                <w:sz w:val="20"/>
                <w:szCs w:val="20"/>
              </w:rPr>
              <w:t xml:space="preserve"> have been developed to ensure that women’s needs are considered, and specific measures are undertaken to mainstream gender within project’s activities. During project implementation, the GAP will ensure women and men have equal access to resources, services, and capacity development.</w:t>
            </w:r>
          </w:p>
          <w:p w14:paraId="6809161E" w14:textId="77777777" w:rsidR="00CF33D9" w:rsidRDefault="00CF33D9">
            <w:pPr>
              <w:jc w:val="both"/>
              <w:rPr>
                <w:rFonts w:ascii="Calibri" w:eastAsia="Century Gothic" w:hAnsi="Calibri" w:cs="Calibri"/>
                <w:color w:val="000000"/>
                <w:sz w:val="20"/>
                <w:szCs w:val="20"/>
              </w:rPr>
            </w:pPr>
          </w:p>
        </w:tc>
      </w:tr>
      <w:tr w:rsidR="00CF33D9" w14:paraId="68091634" w14:textId="77777777">
        <w:trPr>
          <w:trHeight w:val="2417"/>
        </w:trPr>
        <w:tc>
          <w:tcPr>
            <w:tcW w:w="567"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20" w14:textId="77777777" w:rsidR="00CF33D9" w:rsidRDefault="00E3332A">
            <w:pPr>
              <w:jc w:val="both"/>
              <w:rPr>
                <w:rFonts w:ascii="Calibri" w:eastAsia="Century Gothic" w:hAnsi="Calibri" w:cs="Calibri"/>
                <w:color w:val="000000"/>
                <w:sz w:val="20"/>
                <w:szCs w:val="20"/>
              </w:rPr>
            </w:pPr>
            <w:r>
              <w:rPr>
                <w:rFonts w:ascii="Calibri" w:eastAsia="Arial Narrow" w:hAnsi="Calibri" w:cs="Calibri"/>
                <w:color w:val="000000"/>
                <w:sz w:val="20"/>
                <w:szCs w:val="20"/>
              </w:rPr>
              <w:t>7</w:t>
            </w:r>
          </w:p>
        </w:tc>
        <w:tc>
          <w:tcPr>
            <w:tcW w:w="1843"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21" w14:textId="77777777" w:rsidR="00CF33D9" w:rsidRDefault="00E3332A">
            <w:pPr>
              <w:pStyle w:val="TableParagraph"/>
              <w:ind w:left="62"/>
              <w:rPr>
                <w:color w:val="000000"/>
                <w:sz w:val="20"/>
                <w:szCs w:val="20"/>
                <w:lang w:val="en-GB"/>
              </w:rPr>
            </w:pPr>
            <w:r>
              <w:rPr>
                <w:rFonts w:eastAsia="MS Mincho"/>
                <w:b/>
                <w:bCs/>
                <w:sz w:val="20"/>
                <w:szCs w:val="20"/>
                <w:lang w:eastAsia="ja-JP"/>
              </w:rPr>
              <w:t xml:space="preserve">SESP Risk 7: </w:t>
            </w:r>
            <w:r>
              <w:rPr>
                <w:color w:val="000000"/>
                <w:sz w:val="20"/>
                <w:szCs w:val="20"/>
                <w:lang w:val="en-GB"/>
              </w:rPr>
              <w:t xml:space="preserve">The implementation of market growth strategies and action plans in mariculture and exploitation of other living marine resources at national levels (all three countries) (Output 2.1.2; Activities 2.2.1.2 and 2.2.1.5) could unintentionally involve </w:t>
            </w:r>
            <w:r>
              <w:rPr>
                <w:b/>
                <w:bCs/>
                <w:color w:val="000000"/>
                <w:sz w:val="20"/>
                <w:szCs w:val="20"/>
                <w:lang w:val="en-GB"/>
              </w:rPr>
              <w:t>child labour</w:t>
            </w:r>
            <w:r>
              <w:rPr>
                <w:color w:val="000000"/>
                <w:sz w:val="20"/>
                <w:szCs w:val="20"/>
                <w:lang w:val="en-GB"/>
              </w:rPr>
              <w:t>.</w:t>
            </w:r>
          </w:p>
          <w:p w14:paraId="68091622" w14:textId="77777777" w:rsidR="00CF33D9" w:rsidRDefault="00CF33D9">
            <w:pPr>
              <w:ind w:left="62"/>
              <w:jc w:val="both"/>
              <w:rPr>
                <w:rFonts w:ascii="Calibri" w:eastAsia="Century Gothic" w:hAnsi="Calibri" w:cs="Calibri"/>
                <w:color w:val="000000"/>
                <w:sz w:val="20"/>
                <w:szCs w:val="20"/>
              </w:rPr>
            </w:pPr>
          </w:p>
        </w:tc>
        <w:tc>
          <w:tcPr>
            <w:tcW w:w="1418"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23" w14:textId="77777777" w:rsidR="00CF33D9" w:rsidRDefault="00E3332A">
            <w:pPr>
              <w:rPr>
                <w:rFonts w:ascii="Calibri" w:eastAsia="Century Gothic" w:hAnsi="Calibri" w:cs="Calibri"/>
                <w:color w:val="000000"/>
                <w:sz w:val="20"/>
                <w:szCs w:val="20"/>
              </w:rPr>
            </w:pPr>
            <w:r>
              <w:rPr>
                <w:rFonts w:ascii="Calibri" w:eastAsia="Arial Narrow" w:hAnsi="Calibri" w:cs="Calibri"/>
                <w:color w:val="000000"/>
                <w:sz w:val="20"/>
                <w:szCs w:val="20"/>
              </w:rPr>
              <w:t>As a result of the implementation of market growth strategies that promote mariculture exploitation and other living marine resources</w:t>
            </w:r>
          </w:p>
        </w:tc>
        <w:tc>
          <w:tcPr>
            <w:tcW w:w="1843"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24" w14:textId="77777777" w:rsidR="00CF33D9" w:rsidRDefault="00E3332A">
            <w:pPr>
              <w:rPr>
                <w:rFonts w:ascii="Calibri" w:eastAsia="Century Gothic" w:hAnsi="Calibri" w:cs="Calibri"/>
                <w:color w:val="000000"/>
                <w:sz w:val="20"/>
                <w:szCs w:val="20"/>
              </w:rPr>
            </w:pPr>
            <w:r>
              <w:rPr>
                <w:rFonts w:ascii="Calibri" w:eastAsia="Arial Narrow" w:hAnsi="Calibri" w:cs="Calibri"/>
                <w:color w:val="000000"/>
                <w:sz w:val="20"/>
                <w:szCs w:val="20"/>
              </w:rPr>
              <w:t>Which will impact in unintentional child labour.</w:t>
            </w:r>
          </w:p>
        </w:tc>
        <w:tc>
          <w:tcPr>
            <w:tcW w:w="1701"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sdt>
            <w:sdtPr>
              <w:rPr>
                <w:rFonts w:ascii="Calibri" w:hAnsi="Calibri" w:cs="Calibri"/>
                <w:b/>
                <w:sz w:val="20"/>
                <w:szCs w:val="20"/>
                <w:highlight w:val="lightGray"/>
              </w:rPr>
              <w:alias w:val="Select Risk Categories and Sub-categories"/>
              <w:tag w:val="Select Risk Categories and Sub-categories"/>
              <w:id w:val="-87319777"/>
              <w:placeholder>
                <w:docPart w:val="761E27E3AA770D46953D231F3FCF7494"/>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68091625" w14:textId="77777777" w:rsidR="00CF33D9" w:rsidRDefault="00E3332A">
                <w:pPr>
                  <w:spacing w:beforeLines="60" w:before="144" w:afterLines="60" w:after="144"/>
                  <w:contextualSpacing/>
                  <w:rPr>
                    <w:rFonts w:ascii="Calibri" w:hAnsi="Calibri" w:cs="Calibri"/>
                    <w:b/>
                    <w:sz w:val="20"/>
                    <w:szCs w:val="20"/>
                  </w:rPr>
                </w:pPr>
                <w:r>
                  <w:rPr>
                    <w:rFonts w:ascii="Calibri" w:hAnsi="Calibri" w:cs="Calibri"/>
                    <w:b/>
                    <w:sz w:val="20"/>
                    <w:szCs w:val="20"/>
                    <w:highlight w:val="lightGray"/>
                  </w:rPr>
                  <w:t>1. SOCIAL AND ENVIRONMENTAL (1.10. Labour and working conditions) - UNDP Risk Appetite: CAUTIOUS</w:t>
                </w:r>
              </w:p>
            </w:sdtContent>
          </w:sdt>
          <w:p w14:paraId="68091626" w14:textId="77777777" w:rsidR="00CF33D9" w:rsidRDefault="00CF33D9">
            <w:pPr>
              <w:rPr>
                <w:rFonts w:ascii="Calibri" w:eastAsia="Century Gothic" w:hAnsi="Calibri" w:cs="Calibri"/>
                <w:color w:val="000000"/>
                <w:sz w:val="20"/>
                <w:szCs w:val="20"/>
              </w:rPr>
            </w:pPr>
          </w:p>
        </w:tc>
        <w:tc>
          <w:tcPr>
            <w:tcW w:w="1559"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27" w14:textId="77777777" w:rsidR="00CF33D9" w:rsidRDefault="00E3332A">
            <w:pPr>
              <w:spacing w:after="40"/>
              <w:rPr>
                <w:rFonts w:ascii="Calibri" w:hAnsi="Calibri" w:cs="Calibri"/>
                <w:sz w:val="20"/>
                <w:szCs w:val="20"/>
              </w:rPr>
            </w:pPr>
            <w:r>
              <w:rPr>
                <w:rFonts w:ascii="Calibri" w:hAnsi="Calibri" w:cs="Calibri"/>
                <w:sz w:val="20"/>
                <w:szCs w:val="20"/>
              </w:rPr>
              <w:t>Likelihood:</w:t>
            </w:r>
          </w:p>
          <w:p w14:paraId="68091628" w14:textId="77777777" w:rsidR="00CF33D9" w:rsidRDefault="009B0270">
            <w:pPr>
              <w:spacing w:after="40"/>
              <w:rPr>
                <w:rFonts w:ascii="Calibri" w:hAnsi="Calibri" w:cs="Calibri"/>
                <w:b/>
                <w:sz w:val="20"/>
                <w:szCs w:val="20"/>
              </w:rPr>
            </w:pPr>
            <w:sdt>
              <w:sdtPr>
                <w:rPr>
                  <w:rFonts w:ascii="Calibri" w:hAnsi="Calibri" w:cs="Calibri"/>
                  <w:b/>
                  <w:sz w:val="20"/>
                  <w:szCs w:val="20"/>
                  <w:highlight w:val="lightGray"/>
                </w:rPr>
                <w:alias w:val="Select Likelihood Level"/>
                <w:tag w:val="Select Likelihood Level"/>
                <w:id w:val="1259946357"/>
                <w:placeholder>
                  <w:docPart w:val="7CEB88E8410B204989E440565663DE37"/>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E3332A">
                  <w:rPr>
                    <w:rFonts w:ascii="Calibri" w:hAnsi="Calibri" w:cs="Calibri"/>
                    <w:b/>
                    <w:sz w:val="20"/>
                    <w:szCs w:val="20"/>
                    <w:highlight w:val="lightGray"/>
                  </w:rPr>
                  <w:t>3 - Moderately likely</w:t>
                </w:r>
              </w:sdtContent>
            </w:sdt>
          </w:p>
          <w:p w14:paraId="68091629" w14:textId="77777777" w:rsidR="00CF33D9" w:rsidRDefault="00E3332A">
            <w:pPr>
              <w:spacing w:after="40"/>
              <w:rPr>
                <w:rFonts w:ascii="Calibri" w:hAnsi="Calibri" w:cs="Calibri"/>
                <w:sz w:val="20"/>
                <w:szCs w:val="20"/>
              </w:rPr>
            </w:pPr>
            <w:r>
              <w:rPr>
                <w:rFonts w:ascii="Calibri" w:hAnsi="Calibri" w:cs="Calibri"/>
                <w:sz w:val="20"/>
                <w:szCs w:val="20"/>
              </w:rPr>
              <w:t xml:space="preserve">Impact: </w:t>
            </w:r>
          </w:p>
          <w:p w14:paraId="6809162A" w14:textId="77777777" w:rsidR="00CF33D9" w:rsidRDefault="009B0270">
            <w:pPr>
              <w:spacing w:after="40"/>
              <w:rPr>
                <w:rFonts w:ascii="Calibri" w:hAnsi="Calibri" w:cs="Calibri"/>
                <w:b/>
                <w:sz w:val="20"/>
                <w:szCs w:val="20"/>
                <w:highlight w:val="lightGray"/>
              </w:rPr>
            </w:pPr>
            <w:sdt>
              <w:sdtPr>
                <w:rPr>
                  <w:rFonts w:ascii="Calibri" w:hAnsi="Calibri" w:cs="Calibri"/>
                  <w:b/>
                  <w:sz w:val="20"/>
                  <w:szCs w:val="20"/>
                  <w:highlight w:val="lightGray"/>
                </w:rPr>
                <w:alias w:val="Select Impact Level"/>
                <w:tag w:val="Select Impact Level"/>
                <w:id w:val="2043859152"/>
                <w:placeholder>
                  <w:docPart w:val="7CEB88E8410B204989E440565663DE37"/>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E3332A">
                  <w:rPr>
                    <w:rFonts w:ascii="Calibri" w:hAnsi="Calibri" w:cs="Calibri"/>
                    <w:b/>
                    <w:sz w:val="20"/>
                    <w:szCs w:val="20"/>
                    <w:highlight w:val="lightGray"/>
                  </w:rPr>
                  <w:t>4 - Extensive</w:t>
                </w:r>
              </w:sdtContent>
            </w:sdt>
          </w:p>
          <w:p w14:paraId="6809162B" w14:textId="77777777" w:rsidR="00CF33D9" w:rsidRDefault="00E3332A">
            <w:pPr>
              <w:spacing w:after="40"/>
              <w:rPr>
                <w:rFonts w:ascii="Calibri" w:hAnsi="Calibri" w:cs="Calibri"/>
                <w:sz w:val="20"/>
                <w:szCs w:val="20"/>
              </w:rPr>
            </w:pPr>
            <w:r>
              <w:rPr>
                <w:rFonts w:ascii="Calibri" w:hAnsi="Calibri" w:cs="Calibri"/>
                <w:sz w:val="20"/>
                <w:szCs w:val="20"/>
              </w:rPr>
              <w:t>Risk level:</w:t>
            </w:r>
          </w:p>
          <w:p w14:paraId="6809162C" w14:textId="77777777" w:rsidR="00CF33D9" w:rsidRDefault="009B0270">
            <w:pPr>
              <w:jc w:val="both"/>
              <w:rPr>
                <w:rFonts w:ascii="Calibri" w:eastAsia="Century Gothic" w:hAnsi="Calibri" w:cs="Calibri"/>
                <w:color w:val="000000"/>
                <w:sz w:val="20"/>
                <w:szCs w:val="20"/>
              </w:rPr>
            </w:pPr>
            <w:sdt>
              <w:sdtPr>
                <w:rPr>
                  <w:rFonts w:ascii="Calibri" w:hAnsi="Calibri" w:cs="Calibri"/>
                  <w:b/>
                  <w:sz w:val="20"/>
                  <w:szCs w:val="20"/>
                  <w:highlight w:val="lightGray"/>
                </w:rPr>
                <w:alias w:val="Select Risk Level"/>
                <w:tag w:val="Select Risk Level"/>
                <w:id w:val="472796691"/>
                <w:placeholder>
                  <w:docPart w:val="7CEB88E8410B204989E440565663DE37"/>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E3332A">
                  <w:rPr>
                    <w:rFonts w:ascii="Calibri" w:hAnsi="Calibri" w:cs="Calibri"/>
                    <w:b/>
                    <w:sz w:val="20"/>
                    <w:szCs w:val="20"/>
                    <w:highlight w:val="lightGray"/>
                  </w:rPr>
                  <w:t>SUBSTANTIAL (equates to a risk appetite of OPEN)</w:t>
                </w:r>
              </w:sdtContent>
            </w:sdt>
          </w:p>
        </w:tc>
        <w:tc>
          <w:tcPr>
            <w:tcW w:w="992"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2D" w14:textId="77777777" w:rsidR="00CF33D9" w:rsidRDefault="00E3332A">
            <w:pPr>
              <w:spacing w:before="40" w:after="40"/>
              <w:contextualSpacing/>
              <w:rPr>
                <w:rFonts w:ascii="Calibri" w:hAnsi="Calibri" w:cs="Calibri"/>
                <w:sz w:val="20"/>
                <w:szCs w:val="20"/>
                <w:highlight w:val="lightGray"/>
              </w:rPr>
            </w:pPr>
            <w:r>
              <w:rPr>
                <w:rFonts w:ascii="Calibri" w:hAnsi="Calibri" w:cs="Calibri"/>
                <w:sz w:val="20"/>
                <w:szCs w:val="20"/>
              </w:rPr>
              <w:t xml:space="preserve">From: </w:t>
            </w:r>
            <w:sdt>
              <w:sdtPr>
                <w:rPr>
                  <w:rFonts w:ascii="Calibri" w:hAnsi="Calibri" w:cs="Calibri"/>
                  <w:sz w:val="20"/>
                  <w:szCs w:val="20"/>
                  <w:highlight w:val="lightGray"/>
                </w:rPr>
                <w:alias w:val="Select starting date"/>
                <w:tag w:val="Select starting date"/>
                <w:id w:val="-1850023213"/>
                <w:placeholder>
                  <w:docPart w:val="32BD93A3FB90644C9EAAE0EB41E24A70"/>
                </w:placeholder>
                <w:date>
                  <w:dateFormat w:val="dd-MMM-yy"/>
                  <w:lid w:val="en-US"/>
                  <w:storeMappedDataAs w:val="dateTime"/>
                  <w:calendar w:val="gregorian"/>
                </w:date>
              </w:sdtPr>
              <w:sdtEndPr/>
              <w:sdtContent>
                <w:r>
                  <w:rPr>
                    <w:rFonts w:ascii="Calibri" w:hAnsi="Calibri" w:cs="Calibri"/>
                    <w:sz w:val="20"/>
                    <w:szCs w:val="20"/>
                    <w:highlight w:val="lightGray"/>
                  </w:rPr>
                  <w:t>2025</w:t>
                </w:r>
              </w:sdtContent>
            </w:sdt>
          </w:p>
          <w:p w14:paraId="6809162E" w14:textId="77777777" w:rsidR="00CF33D9" w:rsidRDefault="00CF33D9">
            <w:pPr>
              <w:spacing w:before="40" w:after="40"/>
              <w:contextualSpacing/>
              <w:rPr>
                <w:rFonts w:ascii="Calibri" w:hAnsi="Calibri" w:cs="Calibri"/>
                <w:sz w:val="20"/>
                <w:szCs w:val="20"/>
                <w:highlight w:val="lightGray"/>
              </w:rPr>
            </w:pPr>
          </w:p>
          <w:p w14:paraId="6809162F" w14:textId="77777777" w:rsidR="00CF33D9" w:rsidRDefault="00E3332A">
            <w:pPr>
              <w:jc w:val="both"/>
              <w:rPr>
                <w:rFonts w:ascii="Calibri" w:eastAsia="Century Gothic" w:hAnsi="Calibri" w:cs="Calibri"/>
                <w:color w:val="000000"/>
                <w:sz w:val="20"/>
                <w:szCs w:val="20"/>
              </w:rPr>
            </w:pPr>
            <w:r>
              <w:rPr>
                <w:rFonts w:ascii="Calibri" w:hAnsi="Calibri" w:cs="Calibri"/>
                <w:sz w:val="20"/>
                <w:szCs w:val="20"/>
              </w:rPr>
              <w:t xml:space="preserve">To: </w:t>
            </w:r>
            <w:sdt>
              <w:sdtPr>
                <w:rPr>
                  <w:rFonts w:ascii="Calibri" w:hAnsi="Calibri" w:cs="Calibri"/>
                  <w:sz w:val="20"/>
                  <w:szCs w:val="20"/>
                  <w:highlight w:val="lightGray"/>
                </w:rPr>
                <w:alias w:val="Select End Date"/>
                <w:tag w:val="Select End Date"/>
                <w:id w:val="585048082"/>
                <w:placeholder>
                  <w:docPart w:val="32BD93A3FB90644C9EAAE0EB41E24A70"/>
                </w:placeholder>
                <w:date>
                  <w:dateFormat w:val="dd-MMM-yy"/>
                  <w:lid w:val="en-US"/>
                  <w:storeMappedDataAs w:val="dateTime"/>
                  <w:calendar w:val="gregorian"/>
                </w:date>
              </w:sdtPr>
              <w:sdtEndPr/>
              <w:sdtContent>
                <w:r>
                  <w:rPr>
                    <w:rFonts w:ascii="Calibri" w:hAnsi="Calibri" w:cs="Calibri"/>
                    <w:sz w:val="20"/>
                    <w:szCs w:val="20"/>
                    <w:highlight w:val="lightGray"/>
                  </w:rPr>
                  <w:t>2030</w:t>
                </w:r>
              </w:sdtContent>
            </w:sdt>
          </w:p>
        </w:tc>
        <w:tc>
          <w:tcPr>
            <w:tcW w:w="992"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30" w14:textId="77777777" w:rsidR="00CF33D9" w:rsidRDefault="00E3332A">
            <w:pPr>
              <w:jc w:val="both"/>
              <w:rPr>
                <w:rFonts w:ascii="Calibri" w:eastAsia="Arial Narrow" w:hAnsi="Calibri" w:cs="Calibri"/>
                <w:color w:val="000000"/>
                <w:sz w:val="20"/>
                <w:szCs w:val="20"/>
              </w:rPr>
            </w:pPr>
            <w:r>
              <w:rPr>
                <w:rFonts w:ascii="Calibri" w:eastAsia="Arial Narrow" w:hAnsi="Calibri" w:cs="Calibri"/>
                <w:color w:val="000000"/>
                <w:sz w:val="20"/>
                <w:szCs w:val="20"/>
              </w:rPr>
              <w:t>BBC</w:t>
            </w:r>
          </w:p>
          <w:p w14:paraId="68091631" w14:textId="77777777" w:rsidR="00CF33D9" w:rsidRDefault="00CF33D9">
            <w:pPr>
              <w:jc w:val="both"/>
              <w:rPr>
                <w:rFonts w:ascii="Calibri" w:eastAsia="Century Gothic" w:hAnsi="Calibri" w:cs="Calibri"/>
                <w:color w:val="000000"/>
                <w:sz w:val="20"/>
                <w:szCs w:val="20"/>
              </w:rPr>
            </w:pPr>
          </w:p>
        </w:tc>
        <w:tc>
          <w:tcPr>
            <w:tcW w:w="2977"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32" w14:textId="77777777" w:rsidR="00CF33D9" w:rsidRDefault="00E3332A">
            <w:pPr>
              <w:pStyle w:val="TableParagraph"/>
              <w:ind w:left="66"/>
              <w:rPr>
                <w:color w:val="000000"/>
                <w:sz w:val="20"/>
                <w:szCs w:val="20"/>
                <w:lang w:val="en-GB"/>
              </w:rPr>
            </w:pPr>
            <w:r>
              <w:rPr>
                <w:color w:val="000000"/>
                <w:sz w:val="20"/>
                <w:szCs w:val="20"/>
                <w:lang w:val="en-GB"/>
              </w:rPr>
              <w:t xml:space="preserve">To address this </w:t>
            </w:r>
            <w:r>
              <w:rPr>
                <w:b/>
                <w:bCs/>
                <w:color w:val="000000"/>
                <w:sz w:val="20"/>
                <w:szCs w:val="20"/>
                <w:lang w:val="en-GB"/>
              </w:rPr>
              <w:t>contextual risk</w:t>
            </w:r>
            <w:r>
              <w:rPr>
                <w:color w:val="000000"/>
                <w:sz w:val="20"/>
                <w:szCs w:val="20"/>
                <w:lang w:val="en-GB"/>
              </w:rPr>
              <w:t xml:space="preserve">, the project </w:t>
            </w:r>
            <w:r>
              <w:rPr>
                <w:b/>
                <w:bCs/>
                <w:color w:val="000000"/>
                <w:sz w:val="20"/>
                <w:szCs w:val="20"/>
                <w:lang w:val="en-GB"/>
              </w:rPr>
              <w:t>will monitor</w:t>
            </w:r>
            <w:r>
              <w:rPr>
                <w:color w:val="000000"/>
                <w:sz w:val="20"/>
                <w:szCs w:val="20"/>
                <w:lang w:val="en-GB"/>
              </w:rPr>
              <w:t xml:space="preserve"> the project activities that could involve child labour, establishing verification mechanisms to comply with national laws and regulations, as well as with ILO Convention No 138.</w:t>
            </w:r>
          </w:p>
          <w:p w14:paraId="68091633" w14:textId="77777777" w:rsidR="00CF33D9" w:rsidRDefault="00CF33D9">
            <w:pPr>
              <w:jc w:val="both"/>
              <w:rPr>
                <w:rFonts w:ascii="Calibri" w:eastAsia="Century Gothic" w:hAnsi="Calibri" w:cs="Calibri"/>
                <w:color w:val="000000"/>
                <w:sz w:val="20"/>
                <w:szCs w:val="20"/>
              </w:rPr>
            </w:pPr>
          </w:p>
        </w:tc>
      </w:tr>
      <w:tr w:rsidR="00CF33D9" w14:paraId="68091648" w14:textId="77777777">
        <w:trPr>
          <w:trHeight w:val="2417"/>
        </w:trPr>
        <w:tc>
          <w:tcPr>
            <w:tcW w:w="567"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35" w14:textId="77777777" w:rsidR="00CF33D9" w:rsidRDefault="00E3332A">
            <w:pPr>
              <w:jc w:val="both"/>
              <w:rPr>
                <w:rFonts w:ascii="Calibri" w:eastAsia="Arial Narrow" w:hAnsi="Calibri" w:cs="Calibri"/>
                <w:color w:val="000000"/>
                <w:sz w:val="20"/>
                <w:szCs w:val="20"/>
              </w:rPr>
            </w:pPr>
            <w:r>
              <w:rPr>
                <w:rFonts w:ascii="Calibri" w:eastAsia="Arial Narrow" w:hAnsi="Calibri" w:cs="Calibri"/>
                <w:color w:val="000000"/>
                <w:sz w:val="20"/>
                <w:szCs w:val="20"/>
              </w:rPr>
              <w:lastRenderedPageBreak/>
              <w:t>8</w:t>
            </w:r>
          </w:p>
        </w:tc>
        <w:tc>
          <w:tcPr>
            <w:tcW w:w="1843"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36" w14:textId="77777777" w:rsidR="00CF33D9" w:rsidRDefault="00E3332A">
            <w:pPr>
              <w:pStyle w:val="TableParagraph"/>
              <w:ind w:left="62"/>
              <w:rPr>
                <w:sz w:val="20"/>
                <w:szCs w:val="20"/>
              </w:rPr>
            </w:pPr>
            <w:r>
              <w:rPr>
                <w:rFonts w:eastAsia="MS Mincho"/>
                <w:b/>
                <w:bCs/>
                <w:sz w:val="20"/>
                <w:szCs w:val="20"/>
                <w:lang w:eastAsia="ja-JP"/>
              </w:rPr>
              <w:t xml:space="preserve">SESP Risk 8: </w:t>
            </w:r>
            <w:r>
              <w:rPr>
                <w:sz w:val="20"/>
                <w:szCs w:val="20"/>
              </w:rPr>
              <w:t xml:space="preserve">Bilateral agreements for joint sustainable management of transboundary fish stock (Cape horse mackerel, Cape hakes) could affect the EBSA zoning (Namibia and Angola), </w:t>
            </w:r>
            <w:r>
              <w:rPr>
                <w:b/>
                <w:bCs/>
                <w:sz w:val="20"/>
                <w:szCs w:val="20"/>
              </w:rPr>
              <w:t>impacting negatively on other species’ habitats</w:t>
            </w:r>
            <w:r>
              <w:rPr>
                <w:sz w:val="20"/>
                <w:szCs w:val="20"/>
              </w:rPr>
              <w:t xml:space="preserve">, other country’s sustainable coastal development; the marine ecosystem, and/or other fish stock availability. </w:t>
            </w:r>
          </w:p>
          <w:p w14:paraId="68091637" w14:textId="77777777" w:rsidR="00CF33D9" w:rsidRDefault="00CF33D9">
            <w:pPr>
              <w:pStyle w:val="TableParagraph"/>
              <w:ind w:left="62"/>
              <w:rPr>
                <w:rFonts w:eastAsia="MS Mincho"/>
                <w:b/>
                <w:bCs/>
                <w:sz w:val="20"/>
                <w:szCs w:val="20"/>
                <w:lang w:eastAsia="ja-JP"/>
              </w:rPr>
            </w:pPr>
          </w:p>
        </w:tc>
        <w:tc>
          <w:tcPr>
            <w:tcW w:w="1418"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38" w14:textId="77777777" w:rsidR="00CF33D9" w:rsidRDefault="00E3332A">
            <w:pPr>
              <w:rPr>
                <w:rFonts w:ascii="Calibri" w:eastAsia="Arial Narrow" w:hAnsi="Calibri" w:cs="Calibri"/>
                <w:color w:val="000000"/>
                <w:sz w:val="20"/>
                <w:szCs w:val="20"/>
              </w:rPr>
            </w:pPr>
            <w:r>
              <w:rPr>
                <w:rFonts w:ascii="Calibri" w:eastAsia="Arial Narrow" w:hAnsi="Calibri" w:cs="Calibri"/>
                <w:color w:val="000000"/>
                <w:sz w:val="20"/>
                <w:szCs w:val="20"/>
              </w:rPr>
              <w:t>As a result of the implementation of bilateral agreements for joint sustainable transboundary fish stock</w:t>
            </w:r>
          </w:p>
        </w:tc>
        <w:tc>
          <w:tcPr>
            <w:tcW w:w="1843"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39" w14:textId="77777777" w:rsidR="00CF33D9" w:rsidRDefault="00E3332A">
            <w:pPr>
              <w:rPr>
                <w:rFonts w:ascii="Calibri" w:eastAsia="Arial Narrow" w:hAnsi="Calibri" w:cs="Calibri"/>
                <w:color w:val="000000"/>
                <w:sz w:val="20"/>
                <w:szCs w:val="20"/>
              </w:rPr>
            </w:pPr>
            <w:r>
              <w:rPr>
                <w:rFonts w:ascii="Calibri" w:eastAsia="Arial Narrow" w:hAnsi="Calibri" w:cs="Calibri"/>
                <w:color w:val="000000"/>
                <w:sz w:val="20"/>
                <w:szCs w:val="20"/>
              </w:rPr>
              <w:t>Which will impact negatively on other species’ habitats, other country’s sustainable coastal development, the marine ecosystem and/or other fish stock availability.</w:t>
            </w:r>
          </w:p>
        </w:tc>
        <w:tc>
          <w:tcPr>
            <w:tcW w:w="1701"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sdt>
            <w:sdtPr>
              <w:rPr>
                <w:rFonts w:ascii="Calibri" w:hAnsi="Calibri" w:cs="Calibri"/>
                <w:b/>
                <w:sz w:val="20"/>
                <w:szCs w:val="20"/>
                <w:highlight w:val="lightGray"/>
              </w:rPr>
              <w:alias w:val="Select Risk Categories and Sub-categories"/>
              <w:tag w:val="Select Risk Categories and Sub-categories"/>
              <w:id w:val="540874790"/>
              <w:placeholder>
                <w:docPart w:val="1564963559FB1448A59BB879D7EBE43B"/>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6809163A" w14:textId="77777777" w:rsidR="00CF33D9" w:rsidRDefault="00E3332A">
                <w:pPr>
                  <w:spacing w:beforeLines="60" w:before="144" w:afterLines="60" w:after="144"/>
                  <w:contextualSpacing/>
                  <w:rPr>
                    <w:rFonts w:ascii="Calibri" w:hAnsi="Calibri" w:cs="Calibri"/>
                    <w:b/>
                    <w:sz w:val="20"/>
                    <w:szCs w:val="20"/>
                  </w:rPr>
                </w:pPr>
                <w:r>
                  <w:rPr>
                    <w:rFonts w:ascii="Calibri" w:hAnsi="Calibri" w:cs="Calibri"/>
                    <w:b/>
                    <w:sz w:val="20"/>
                    <w:szCs w:val="20"/>
                    <w:highlight w:val="lightGray"/>
                  </w:rPr>
                  <w:t>1. SOCIAL AND ENVIRONMENTAL (1.4. Biodiversity conservation and sustainable natural resource management) - UNDP Risk Appetite: CAUTIOUS</w:t>
                </w:r>
              </w:p>
            </w:sdtContent>
          </w:sdt>
          <w:p w14:paraId="6809163B" w14:textId="77777777" w:rsidR="00CF33D9" w:rsidRDefault="00CF33D9">
            <w:pPr>
              <w:spacing w:beforeLines="60" w:before="144" w:afterLines="60" w:after="144"/>
              <w:contextualSpacing/>
              <w:rPr>
                <w:rFonts w:ascii="Calibri" w:hAnsi="Calibri" w:cs="Calibri"/>
                <w:b/>
                <w:sz w:val="20"/>
                <w:szCs w:val="20"/>
                <w:highlight w:val="lightGray"/>
              </w:rPr>
            </w:pPr>
          </w:p>
        </w:tc>
        <w:tc>
          <w:tcPr>
            <w:tcW w:w="1559"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3C" w14:textId="77777777" w:rsidR="00CF33D9" w:rsidRDefault="00E3332A">
            <w:pPr>
              <w:spacing w:after="40"/>
              <w:rPr>
                <w:rFonts w:ascii="Calibri" w:hAnsi="Calibri" w:cs="Calibri"/>
                <w:sz w:val="20"/>
                <w:szCs w:val="20"/>
              </w:rPr>
            </w:pPr>
            <w:r>
              <w:rPr>
                <w:rFonts w:ascii="Calibri" w:hAnsi="Calibri" w:cs="Calibri"/>
                <w:sz w:val="20"/>
                <w:szCs w:val="20"/>
              </w:rPr>
              <w:t>Likelihood:</w:t>
            </w:r>
          </w:p>
          <w:p w14:paraId="6809163D" w14:textId="77777777" w:rsidR="00CF33D9" w:rsidRDefault="009B0270">
            <w:pPr>
              <w:spacing w:after="40"/>
              <w:rPr>
                <w:rFonts w:ascii="Calibri" w:hAnsi="Calibri" w:cs="Calibri"/>
                <w:b/>
                <w:sz w:val="20"/>
                <w:szCs w:val="20"/>
              </w:rPr>
            </w:pPr>
            <w:sdt>
              <w:sdtPr>
                <w:rPr>
                  <w:rFonts w:ascii="Calibri" w:hAnsi="Calibri" w:cs="Calibri"/>
                  <w:b/>
                  <w:sz w:val="20"/>
                  <w:szCs w:val="20"/>
                  <w:highlight w:val="lightGray"/>
                </w:rPr>
                <w:alias w:val="Select Likelihood Level"/>
                <w:tag w:val="Select Likelihood Level"/>
                <w:id w:val="-941603386"/>
                <w:placeholder>
                  <w:docPart w:val="E24CD773319BA84D909A724C648F440E"/>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E3332A">
                  <w:rPr>
                    <w:rFonts w:ascii="Calibri" w:hAnsi="Calibri" w:cs="Calibri"/>
                    <w:b/>
                    <w:sz w:val="20"/>
                    <w:szCs w:val="20"/>
                    <w:highlight w:val="lightGray"/>
                  </w:rPr>
                  <w:t>3 - Moderately likely</w:t>
                </w:r>
              </w:sdtContent>
            </w:sdt>
          </w:p>
          <w:p w14:paraId="6809163E" w14:textId="77777777" w:rsidR="00CF33D9" w:rsidRDefault="00E3332A">
            <w:pPr>
              <w:spacing w:after="40"/>
              <w:rPr>
                <w:rFonts w:ascii="Calibri" w:hAnsi="Calibri" w:cs="Calibri"/>
                <w:sz w:val="20"/>
                <w:szCs w:val="20"/>
              </w:rPr>
            </w:pPr>
            <w:r>
              <w:rPr>
                <w:rFonts w:ascii="Calibri" w:hAnsi="Calibri" w:cs="Calibri"/>
                <w:sz w:val="20"/>
                <w:szCs w:val="20"/>
              </w:rPr>
              <w:t xml:space="preserve">Impact: </w:t>
            </w:r>
          </w:p>
          <w:p w14:paraId="6809163F" w14:textId="77777777" w:rsidR="00CF33D9" w:rsidRDefault="009B0270">
            <w:pPr>
              <w:spacing w:after="40"/>
              <w:rPr>
                <w:rFonts w:ascii="Calibri" w:hAnsi="Calibri" w:cs="Calibri"/>
                <w:b/>
                <w:sz w:val="20"/>
                <w:szCs w:val="20"/>
                <w:highlight w:val="lightGray"/>
              </w:rPr>
            </w:pPr>
            <w:sdt>
              <w:sdtPr>
                <w:rPr>
                  <w:rFonts w:ascii="Calibri" w:hAnsi="Calibri" w:cs="Calibri"/>
                  <w:b/>
                  <w:sz w:val="20"/>
                  <w:szCs w:val="20"/>
                  <w:highlight w:val="lightGray"/>
                </w:rPr>
                <w:alias w:val="Select Impact Level"/>
                <w:tag w:val="Select Impact Level"/>
                <w:id w:val="-35039963"/>
                <w:placeholder>
                  <w:docPart w:val="E24CD773319BA84D909A724C648F440E"/>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E3332A">
                  <w:rPr>
                    <w:rFonts w:ascii="Calibri" w:hAnsi="Calibri" w:cs="Calibri"/>
                    <w:b/>
                    <w:sz w:val="20"/>
                    <w:szCs w:val="20"/>
                    <w:highlight w:val="lightGray"/>
                  </w:rPr>
                  <w:t>3 - Intermediate</w:t>
                </w:r>
              </w:sdtContent>
            </w:sdt>
          </w:p>
          <w:p w14:paraId="68091640" w14:textId="77777777" w:rsidR="00CF33D9" w:rsidRDefault="00E3332A">
            <w:pPr>
              <w:spacing w:after="40"/>
              <w:rPr>
                <w:rFonts w:ascii="Calibri" w:hAnsi="Calibri" w:cs="Calibri"/>
                <w:sz w:val="20"/>
                <w:szCs w:val="20"/>
              </w:rPr>
            </w:pPr>
            <w:r>
              <w:rPr>
                <w:rFonts w:ascii="Calibri" w:hAnsi="Calibri" w:cs="Calibri"/>
                <w:sz w:val="20"/>
                <w:szCs w:val="20"/>
              </w:rPr>
              <w:t>Risk level:</w:t>
            </w:r>
          </w:p>
          <w:p w14:paraId="68091641" w14:textId="77777777" w:rsidR="00CF33D9" w:rsidRDefault="009B0270">
            <w:pPr>
              <w:spacing w:after="40"/>
              <w:rPr>
                <w:rFonts w:ascii="Calibri" w:hAnsi="Calibri" w:cs="Calibri"/>
                <w:sz w:val="20"/>
                <w:szCs w:val="20"/>
              </w:rPr>
            </w:pPr>
            <w:sdt>
              <w:sdtPr>
                <w:rPr>
                  <w:rFonts w:ascii="Calibri" w:hAnsi="Calibri" w:cs="Calibri"/>
                  <w:b/>
                  <w:sz w:val="20"/>
                  <w:szCs w:val="20"/>
                  <w:highlight w:val="lightGray"/>
                </w:rPr>
                <w:alias w:val="Select Risk Level"/>
                <w:tag w:val="Select Risk Level"/>
                <w:id w:val="-804392187"/>
                <w:placeholder>
                  <w:docPart w:val="E24CD773319BA84D909A724C648F440E"/>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E3332A">
                  <w:rPr>
                    <w:rFonts w:ascii="Calibri" w:hAnsi="Calibri" w:cs="Calibri"/>
                    <w:b/>
                    <w:sz w:val="20"/>
                    <w:szCs w:val="20"/>
                    <w:highlight w:val="lightGray"/>
                  </w:rPr>
                  <w:t>MODERATE (equates to a risk appetite of EXPLORATORY)</w:t>
                </w:r>
              </w:sdtContent>
            </w:sdt>
          </w:p>
        </w:tc>
        <w:tc>
          <w:tcPr>
            <w:tcW w:w="992"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42" w14:textId="77777777" w:rsidR="00CF33D9" w:rsidRDefault="00E3332A">
            <w:pPr>
              <w:spacing w:before="40" w:after="40"/>
              <w:contextualSpacing/>
              <w:rPr>
                <w:rFonts w:ascii="Calibri" w:hAnsi="Calibri" w:cs="Calibri"/>
                <w:sz w:val="20"/>
                <w:szCs w:val="20"/>
                <w:highlight w:val="lightGray"/>
              </w:rPr>
            </w:pPr>
            <w:r>
              <w:rPr>
                <w:rFonts w:ascii="Calibri" w:hAnsi="Calibri" w:cs="Calibri"/>
                <w:sz w:val="20"/>
                <w:szCs w:val="20"/>
              </w:rPr>
              <w:t xml:space="preserve">From: </w:t>
            </w:r>
            <w:sdt>
              <w:sdtPr>
                <w:rPr>
                  <w:rFonts w:ascii="Calibri" w:hAnsi="Calibri" w:cs="Calibri"/>
                  <w:sz w:val="20"/>
                  <w:szCs w:val="20"/>
                  <w:highlight w:val="lightGray"/>
                </w:rPr>
                <w:alias w:val="Select starting date"/>
                <w:tag w:val="Select starting date"/>
                <w:id w:val="1834181255"/>
                <w:placeholder>
                  <w:docPart w:val="85A1BC1F1205A245A56CE4BF65BDAA95"/>
                </w:placeholder>
                <w:date>
                  <w:dateFormat w:val="dd-MMM-yy"/>
                  <w:lid w:val="en-US"/>
                  <w:storeMappedDataAs w:val="dateTime"/>
                  <w:calendar w:val="gregorian"/>
                </w:date>
              </w:sdtPr>
              <w:sdtEndPr/>
              <w:sdtContent>
                <w:r>
                  <w:rPr>
                    <w:rFonts w:ascii="Calibri" w:hAnsi="Calibri" w:cs="Calibri"/>
                    <w:sz w:val="20"/>
                    <w:szCs w:val="20"/>
                    <w:highlight w:val="lightGray"/>
                  </w:rPr>
                  <w:t>2025</w:t>
                </w:r>
              </w:sdtContent>
            </w:sdt>
          </w:p>
          <w:p w14:paraId="68091643" w14:textId="77777777" w:rsidR="00CF33D9" w:rsidRDefault="00CF33D9">
            <w:pPr>
              <w:spacing w:before="40" w:after="40"/>
              <w:contextualSpacing/>
              <w:rPr>
                <w:rFonts w:ascii="Calibri" w:hAnsi="Calibri" w:cs="Calibri"/>
                <w:sz w:val="20"/>
                <w:szCs w:val="20"/>
                <w:highlight w:val="lightGray"/>
              </w:rPr>
            </w:pPr>
          </w:p>
          <w:p w14:paraId="68091644" w14:textId="77777777" w:rsidR="00CF33D9" w:rsidRDefault="00E3332A">
            <w:pPr>
              <w:spacing w:before="40" w:after="40"/>
              <w:contextualSpacing/>
              <w:rPr>
                <w:rFonts w:ascii="Calibri" w:hAnsi="Calibri" w:cs="Calibri"/>
                <w:sz w:val="20"/>
                <w:szCs w:val="20"/>
              </w:rPr>
            </w:pPr>
            <w:r>
              <w:rPr>
                <w:rFonts w:ascii="Calibri" w:hAnsi="Calibri" w:cs="Calibri"/>
                <w:sz w:val="20"/>
                <w:szCs w:val="20"/>
              </w:rPr>
              <w:t xml:space="preserve">To: </w:t>
            </w:r>
            <w:sdt>
              <w:sdtPr>
                <w:rPr>
                  <w:rFonts w:ascii="Calibri" w:hAnsi="Calibri" w:cs="Calibri"/>
                  <w:sz w:val="20"/>
                  <w:szCs w:val="20"/>
                  <w:highlight w:val="lightGray"/>
                </w:rPr>
                <w:alias w:val="Select End Date"/>
                <w:tag w:val="Select End Date"/>
                <w:id w:val="898327005"/>
                <w:placeholder>
                  <w:docPart w:val="85A1BC1F1205A245A56CE4BF65BDAA95"/>
                </w:placeholder>
                <w:date>
                  <w:dateFormat w:val="dd-MMM-yy"/>
                  <w:lid w:val="en-US"/>
                  <w:storeMappedDataAs w:val="dateTime"/>
                  <w:calendar w:val="gregorian"/>
                </w:date>
              </w:sdtPr>
              <w:sdtEndPr/>
              <w:sdtContent>
                <w:r>
                  <w:rPr>
                    <w:rFonts w:ascii="Calibri" w:hAnsi="Calibri" w:cs="Calibri"/>
                    <w:sz w:val="20"/>
                    <w:szCs w:val="20"/>
                    <w:highlight w:val="lightGray"/>
                  </w:rPr>
                  <w:t>2030</w:t>
                </w:r>
              </w:sdtContent>
            </w:sdt>
          </w:p>
        </w:tc>
        <w:tc>
          <w:tcPr>
            <w:tcW w:w="992"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45" w14:textId="77777777" w:rsidR="00CF33D9" w:rsidRDefault="00E3332A">
            <w:pPr>
              <w:jc w:val="both"/>
              <w:rPr>
                <w:rFonts w:ascii="Calibri" w:eastAsia="Arial Narrow" w:hAnsi="Calibri" w:cs="Calibri"/>
                <w:color w:val="000000"/>
                <w:sz w:val="20"/>
                <w:szCs w:val="20"/>
              </w:rPr>
            </w:pPr>
            <w:r>
              <w:rPr>
                <w:rFonts w:ascii="Calibri" w:eastAsia="Arial Narrow" w:hAnsi="Calibri" w:cs="Calibri"/>
                <w:color w:val="000000"/>
                <w:sz w:val="20"/>
                <w:szCs w:val="20"/>
              </w:rPr>
              <w:t>BBC</w:t>
            </w:r>
          </w:p>
          <w:p w14:paraId="68091646" w14:textId="77777777" w:rsidR="00CF33D9" w:rsidRDefault="00CF33D9">
            <w:pPr>
              <w:jc w:val="both"/>
              <w:rPr>
                <w:rFonts w:ascii="Calibri" w:eastAsia="Arial Narrow" w:hAnsi="Calibri" w:cs="Calibri"/>
                <w:color w:val="000000"/>
                <w:sz w:val="20"/>
                <w:szCs w:val="20"/>
              </w:rPr>
            </w:pPr>
          </w:p>
        </w:tc>
        <w:tc>
          <w:tcPr>
            <w:tcW w:w="2977"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47" w14:textId="77777777" w:rsidR="00CF33D9" w:rsidRDefault="00E3332A">
            <w:pPr>
              <w:pStyle w:val="TableParagraph"/>
              <w:ind w:left="66"/>
              <w:rPr>
                <w:color w:val="000000"/>
                <w:sz w:val="20"/>
                <w:szCs w:val="20"/>
                <w:lang w:val="en-GB"/>
              </w:rPr>
            </w:pPr>
            <w:r>
              <w:rPr>
                <w:sz w:val="20"/>
                <w:szCs w:val="20"/>
              </w:rPr>
              <w:t xml:space="preserve">A </w:t>
            </w:r>
            <w:r>
              <w:rPr>
                <w:b/>
                <w:bCs/>
                <w:sz w:val="20"/>
                <w:szCs w:val="20"/>
              </w:rPr>
              <w:t>targeted assessment</w:t>
            </w:r>
            <w:r>
              <w:rPr>
                <w:sz w:val="20"/>
                <w:szCs w:val="20"/>
              </w:rPr>
              <w:t xml:space="preserve"> for activity 2.1.1.1 will be incorporated into a </w:t>
            </w:r>
            <w:r>
              <w:rPr>
                <w:b/>
                <w:bCs/>
                <w:sz w:val="20"/>
                <w:szCs w:val="20"/>
              </w:rPr>
              <w:t>scoped ESIA</w:t>
            </w:r>
            <w:r>
              <w:rPr>
                <w:sz w:val="20"/>
                <w:szCs w:val="20"/>
              </w:rPr>
              <w:t xml:space="preserve"> that will focus on the potential negative and cumulative environmental and social impacts for joint management of transboundary fish stock (Cape horse mackerel; Cape hakes). Upon completion of the scoped ESIA, the project will develop an </w:t>
            </w:r>
            <w:r>
              <w:rPr>
                <w:b/>
                <w:bCs/>
                <w:sz w:val="20"/>
                <w:szCs w:val="20"/>
              </w:rPr>
              <w:t>ESMP</w:t>
            </w:r>
            <w:r>
              <w:rPr>
                <w:sz w:val="20"/>
                <w:szCs w:val="20"/>
              </w:rPr>
              <w:t xml:space="preserve"> that will layout the measures to prevent transboundary negative impacts on fish stock availability. </w:t>
            </w:r>
          </w:p>
        </w:tc>
      </w:tr>
      <w:tr w:rsidR="00CF33D9" w14:paraId="6809165E" w14:textId="77777777">
        <w:trPr>
          <w:trHeight w:val="138"/>
        </w:trPr>
        <w:tc>
          <w:tcPr>
            <w:tcW w:w="567"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49" w14:textId="77777777" w:rsidR="00CF33D9" w:rsidRDefault="00E3332A">
            <w:pPr>
              <w:jc w:val="both"/>
              <w:rPr>
                <w:rFonts w:ascii="Calibri" w:eastAsia="Arial Narrow" w:hAnsi="Calibri" w:cs="Calibri"/>
                <w:color w:val="000000"/>
                <w:sz w:val="20"/>
                <w:szCs w:val="20"/>
              </w:rPr>
            </w:pPr>
            <w:r>
              <w:rPr>
                <w:rFonts w:ascii="Calibri" w:eastAsia="Arial Narrow" w:hAnsi="Calibri" w:cs="Calibri"/>
                <w:color w:val="000000"/>
                <w:sz w:val="20"/>
                <w:szCs w:val="20"/>
              </w:rPr>
              <w:t>9</w:t>
            </w:r>
          </w:p>
        </w:tc>
        <w:tc>
          <w:tcPr>
            <w:tcW w:w="1843"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4A" w14:textId="77777777" w:rsidR="00CF33D9" w:rsidRDefault="00E3332A">
            <w:pPr>
              <w:pStyle w:val="TableParagraph"/>
              <w:ind w:left="62"/>
              <w:rPr>
                <w:color w:val="000000"/>
                <w:sz w:val="20"/>
                <w:szCs w:val="20"/>
              </w:rPr>
            </w:pPr>
            <w:r>
              <w:rPr>
                <w:rFonts w:eastAsia="MS Mincho"/>
                <w:b/>
                <w:bCs/>
                <w:sz w:val="20"/>
                <w:szCs w:val="20"/>
                <w:lang w:eastAsia="ja-JP"/>
              </w:rPr>
              <w:t xml:space="preserve">SESP Risk 9: </w:t>
            </w:r>
            <w:r>
              <w:rPr>
                <w:b/>
                <w:bCs/>
                <w:color w:val="000000"/>
                <w:sz w:val="20"/>
                <w:szCs w:val="20"/>
              </w:rPr>
              <w:t>Climate change</w:t>
            </w:r>
            <w:r>
              <w:rPr>
                <w:color w:val="000000"/>
                <w:sz w:val="20"/>
                <w:szCs w:val="20"/>
              </w:rPr>
              <w:t xml:space="preserve"> (floods, natural disasters, etc.) on near-shore ecosystems, could potentially affect the provision of eco-tourism services (Output 1.2.1), worsening the economic situation and livelihoods of the </w:t>
            </w:r>
            <w:r>
              <w:rPr>
                <w:color w:val="000000"/>
                <w:sz w:val="20"/>
                <w:szCs w:val="20"/>
              </w:rPr>
              <w:lastRenderedPageBreak/>
              <w:t xml:space="preserve">communities involved. </w:t>
            </w:r>
          </w:p>
          <w:p w14:paraId="6809164B" w14:textId="77777777" w:rsidR="00CF33D9" w:rsidRDefault="00CF33D9">
            <w:pPr>
              <w:pStyle w:val="TableParagraph"/>
              <w:ind w:left="62"/>
              <w:rPr>
                <w:sz w:val="20"/>
                <w:szCs w:val="20"/>
              </w:rPr>
            </w:pPr>
          </w:p>
          <w:p w14:paraId="6809164C" w14:textId="77777777" w:rsidR="00CF33D9" w:rsidRDefault="00CF33D9">
            <w:pPr>
              <w:pStyle w:val="TableParagraph"/>
              <w:ind w:left="62"/>
              <w:rPr>
                <w:rFonts w:eastAsia="MS Mincho"/>
                <w:b/>
                <w:bCs/>
                <w:sz w:val="20"/>
                <w:szCs w:val="20"/>
                <w:lang w:eastAsia="ja-JP"/>
              </w:rPr>
            </w:pPr>
          </w:p>
        </w:tc>
        <w:tc>
          <w:tcPr>
            <w:tcW w:w="1418"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4D" w14:textId="77777777" w:rsidR="00CF33D9" w:rsidRDefault="00E3332A">
            <w:pPr>
              <w:rPr>
                <w:rFonts w:ascii="Calibri" w:eastAsia="Arial Narrow" w:hAnsi="Calibri" w:cs="Calibri"/>
                <w:color w:val="000000"/>
                <w:sz w:val="20"/>
                <w:szCs w:val="20"/>
              </w:rPr>
            </w:pPr>
            <w:r>
              <w:rPr>
                <w:rFonts w:ascii="Calibri" w:eastAsia="Arial Narrow" w:hAnsi="Calibri" w:cs="Calibri"/>
                <w:color w:val="000000"/>
                <w:sz w:val="20"/>
                <w:szCs w:val="20"/>
              </w:rPr>
              <w:lastRenderedPageBreak/>
              <w:t>As a result of the floods, natural disasters or other climate-induced event the provision of eco-tourism could be affected.</w:t>
            </w:r>
          </w:p>
        </w:tc>
        <w:tc>
          <w:tcPr>
            <w:tcW w:w="1843"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4E" w14:textId="77777777" w:rsidR="00CF33D9" w:rsidRDefault="00E3332A">
            <w:pPr>
              <w:rPr>
                <w:rFonts w:ascii="Calibri" w:eastAsia="Arial Narrow" w:hAnsi="Calibri" w:cs="Calibri"/>
                <w:color w:val="000000"/>
                <w:sz w:val="20"/>
                <w:szCs w:val="20"/>
              </w:rPr>
            </w:pPr>
            <w:r>
              <w:rPr>
                <w:rFonts w:ascii="Calibri" w:eastAsia="Arial Narrow" w:hAnsi="Calibri" w:cs="Calibri"/>
                <w:color w:val="000000"/>
                <w:sz w:val="20"/>
                <w:szCs w:val="20"/>
              </w:rPr>
              <w:t xml:space="preserve">Which will impact on the economic situation and livelihoods of the communities involved. </w:t>
            </w:r>
          </w:p>
        </w:tc>
        <w:tc>
          <w:tcPr>
            <w:tcW w:w="1701"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sdt>
            <w:sdtPr>
              <w:rPr>
                <w:rFonts w:ascii="Calibri" w:hAnsi="Calibri" w:cs="Calibri"/>
                <w:b/>
                <w:sz w:val="20"/>
                <w:szCs w:val="20"/>
                <w:highlight w:val="lightGray"/>
              </w:rPr>
              <w:alias w:val="Select Risk Categories and Sub-categories"/>
              <w:tag w:val="Select Risk Categories and Sub-categories"/>
              <w:id w:val="1952746926"/>
              <w:placeholder>
                <w:docPart w:val="F1B41FA5D615E647A5A5A8D05817329D"/>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6809164F" w14:textId="77777777" w:rsidR="00CF33D9" w:rsidRDefault="00E3332A">
                <w:pPr>
                  <w:spacing w:beforeLines="60" w:before="144" w:afterLines="60" w:after="144"/>
                  <w:contextualSpacing/>
                  <w:rPr>
                    <w:rFonts w:ascii="Calibri" w:hAnsi="Calibri" w:cs="Calibri"/>
                    <w:b/>
                    <w:sz w:val="20"/>
                    <w:szCs w:val="20"/>
                  </w:rPr>
                </w:pPr>
                <w:r>
                  <w:rPr>
                    <w:rFonts w:ascii="Calibri" w:hAnsi="Calibri" w:cs="Calibri"/>
                    <w:b/>
                    <w:sz w:val="20"/>
                    <w:szCs w:val="20"/>
                    <w:highlight w:val="lightGray"/>
                  </w:rPr>
                  <w:t>1. SOCIAL AND ENVIRONMENTAL (1.5. Climate change and disaster risks) - UNDP Risk Appetite: CAUTIOUS</w:t>
                </w:r>
              </w:p>
            </w:sdtContent>
          </w:sdt>
          <w:p w14:paraId="68091650" w14:textId="77777777" w:rsidR="00CF33D9" w:rsidRDefault="00CF33D9">
            <w:pPr>
              <w:spacing w:beforeLines="60" w:before="144" w:afterLines="60" w:after="144"/>
              <w:contextualSpacing/>
              <w:rPr>
                <w:rFonts w:ascii="Calibri" w:hAnsi="Calibri" w:cs="Calibri"/>
                <w:b/>
                <w:sz w:val="20"/>
                <w:szCs w:val="20"/>
                <w:highlight w:val="lightGray"/>
              </w:rPr>
            </w:pPr>
          </w:p>
        </w:tc>
        <w:tc>
          <w:tcPr>
            <w:tcW w:w="1559"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51" w14:textId="77777777" w:rsidR="00CF33D9" w:rsidRDefault="00E3332A">
            <w:pPr>
              <w:spacing w:after="40"/>
              <w:rPr>
                <w:rFonts w:ascii="Calibri" w:hAnsi="Calibri" w:cs="Calibri"/>
                <w:sz w:val="20"/>
                <w:szCs w:val="20"/>
              </w:rPr>
            </w:pPr>
            <w:r>
              <w:rPr>
                <w:rFonts w:ascii="Calibri" w:hAnsi="Calibri" w:cs="Calibri"/>
                <w:sz w:val="20"/>
                <w:szCs w:val="20"/>
              </w:rPr>
              <w:t>Likelihood:</w:t>
            </w:r>
          </w:p>
          <w:p w14:paraId="68091652" w14:textId="77777777" w:rsidR="00CF33D9" w:rsidRDefault="009B0270">
            <w:pPr>
              <w:spacing w:after="40"/>
              <w:rPr>
                <w:rFonts w:ascii="Calibri" w:hAnsi="Calibri" w:cs="Calibri"/>
                <w:b/>
                <w:sz w:val="20"/>
                <w:szCs w:val="20"/>
              </w:rPr>
            </w:pPr>
            <w:sdt>
              <w:sdtPr>
                <w:rPr>
                  <w:rFonts w:ascii="Calibri" w:hAnsi="Calibri" w:cs="Calibri"/>
                  <w:b/>
                  <w:sz w:val="20"/>
                  <w:szCs w:val="20"/>
                  <w:highlight w:val="lightGray"/>
                </w:rPr>
                <w:alias w:val="Select Likelihood Level"/>
                <w:tag w:val="Select Likelihood Level"/>
                <w:id w:val="-1230462110"/>
                <w:placeholder>
                  <w:docPart w:val="7EC632359FADBC4E80410131E7F7B89E"/>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E3332A">
                  <w:rPr>
                    <w:rFonts w:ascii="Calibri" w:hAnsi="Calibri" w:cs="Calibri"/>
                    <w:b/>
                    <w:sz w:val="20"/>
                    <w:szCs w:val="20"/>
                    <w:highlight w:val="lightGray"/>
                  </w:rPr>
                  <w:t>3 - Moderately likely</w:t>
                </w:r>
              </w:sdtContent>
            </w:sdt>
          </w:p>
          <w:p w14:paraId="68091653" w14:textId="77777777" w:rsidR="00CF33D9" w:rsidRDefault="00E3332A">
            <w:pPr>
              <w:spacing w:after="40"/>
              <w:rPr>
                <w:rFonts w:ascii="Calibri" w:hAnsi="Calibri" w:cs="Calibri"/>
                <w:sz w:val="20"/>
                <w:szCs w:val="20"/>
              </w:rPr>
            </w:pPr>
            <w:r>
              <w:rPr>
                <w:rFonts w:ascii="Calibri" w:hAnsi="Calibri" w:cs="Calibri"/>
                <w:sz w:val="20"/>
                <w:szCs w:val="20"/>
              </w:rPr>
              <w:t xml:space="preserve">Impact: </w:t>
            </w:r>
          </w:p>
          <w:p w14:paraId="68091654" w14:textId="77777777" w:rsidR="00CF33D9" w:rsidRDefault="009B0270">
            <w:pPr>
              <w:spacing w:after="40"/>
              <w:rPr>
                <w:rFonts w:ascii="Calibri" w:hAnsi="Calibri" w:cs="Calibri"/>
                <w:b/>
                <w:sz w:val="20"/>
                <w:szCs w:val="20"/>
                <w:highlight w:val="lightGray"/>
              </w:rPr>
            </w:pPr>
            <w:sdt>
              <w:sdtPr>
                <w:rPr>
                  <w:rFonts w:ascii="Calibri" w:hAnsi="Calibri" w:cs="Calibri"/>
                  <w:b/>
                  <w:sz w:val="20"/>
                  <w:szCs w:val="20"/>
                  <w:highlight w:val="lightGray"/>
                </w:rPr>
                <w:alias w:val="Select Impact Level"/>
                <w:tag w:val="Select Impact Level"/>
                <w:id w:val="1187871601"/>
                <w:placeholder>
                  <w:docPart w:val="7EC632359FADBC4E80410131E7F7B89E"/>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E3332A">
                  <w:rPr>
                    <w:rFonts w:ascii="Calibri" w:hAnsi="Calibri" w:cs="Calibri"/>
                    <w:b/>
                    <w:sz w:val="20"/>
                    <w:szCs w:val="20"/>
                    <w:highlight w:val="lightGray"/>
                  </w:rPr>
                  <w:t>4 - Extensive</w:t>
                </w:r>
              </w:sdtContent>
            </w:sdt>
          </w:p>
          <w:p w14:paraId="68091655" w14:textId="77777777" w:rsidR="00CF33D9" w:rsidRDefault="00E3332A">
            <w:pPr>
              <w:spacing w:after="40"/>
              <w:rPr>
                <w:rFonts w:ascii="Calibri" w:hAnsi="Calibri" w:cs="Calibri"/>
                <w:sz w:val="20"/>
                <w:szCs w:val="20"/>
              </w:rPr>
            </w:pPr>
            <w:r>
              <w:rPr>
                <w:rFonts w:ascii="Calibri" w:hAnsi="Calibri" w:cs="Calibri"/>
                <w:sz w:val="20"/>
                <w:szCs w:val="20"/>
              </w:rPr>
              <w:t>Risk level:</w:t>
            </w:r>
          </w:p>
          <w:p w14:paraId="68091656" w14:textId="77777777" w:rsidR="00CF33D9" w:rsidRDefault="009B0270">
            <w:pPr>
              <w:spacing w:after="40"/>
              <w:rPr>
                <w:rFonts w:ascii="Calibri" w:hAnsi="Calibri" w:cs="Calibri"/>
                <w:sz w:val="20"/>
                <w:szCs w:val="20"/>
              </w:rPr>
            </w:pPr>
            <w:sdt>
              <w:sdtPr>
                <w:rPr>
                  <w:rFonts w:ascii="Calibri" w:hAnsi="Calibri" w:cs="Calibri"/>
                  <w:b/>
                  <w:sz w:val="20"/>
                  <w:szCs w:val="20"/>
                  <w:highlight w:val="lightGray"/>
                </w:rPr>
                <w:alias w:val="Select Risk Level"/>
                <w:tag w:val="Select Risk Level"/>
                <w:id w:val="-69282596"/>
                <w:placeholder>
                  <w:docPart w:val="7EC632359FADBC4E80410131E7F7B89E"/>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E3332A">
                  <w:rPr>
                    <w:rFonts w:ascii="Calibri" w:hAnsi="Calibri" w:cs="Calibri"/>
                    <w:b/>
                    <w:sz w:val="20"/>
                    <w:szCs w:val="20"/>
                    <w:highlight w:val="lightGray"/>
                  </w:rPr>
                  <w:t>MODERATE (equates to a risk appetite of EXPLORATORY)</w:t>
                </w:r>
              </w:sdtContent>
            </w:sdt>
          </w:p>
        </w:tc>
        <w:tc>
          <w:tcPr>
            <w:tcW w:w="992"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57" w14:textId="77777777" w:rsidR="00CF33D9" w:rsidRDefault="00E3332A">
            <w:pPr>
              <w:spacing w:before="40" w:after="40"/>
              <w:contextualSpacing/>
              <w:rPr>
                <w:rFonts w:ascii="Calibri" w:hAnsi="Calibri" w:cs="Calibri"/>
                <w:sz w:val="20"/>
                <w:szCs w:val="20"/>
                <w:highlight w:val="lightGray"/>
              </w:rPr>
            </w:pPr>
            <w:r>
              <w:rPr>
                <w:rFonts w:ascii="Calibri" w:hAnsi="Calibri" w:cs="Calibri"/>
                <w:sz w:val="20"/>
                <w:szCs w:val="20"/>
              </w:rPr>
              <w:t xml:space="preserve">From: </w:t>
            </w:r>
            <w:sdt>
              <w:sdtPr>
                <w:rPr>
                  <w:rFonts w:ascii="Calibri" w:hAnsi="Calibri" w:cs="Calibri"/>
                  <w:sz w:val="20"/>
                  <w:szCs w:val="20"/>
                  <w:highlight w:val="lightGray"/>
                </w:rPr>
                <w:alias w:val="Select starting date"/>
                <w:tag w:val="Select starting date"/>
                <w:id w:val="1380980634"/>
                <w:placeholder>
                  <w:docPart w:val="0775BE4266957447BCCCA355358D0F29"/>
                </w:placeholder>
                <w:date>
                  <w:dateFormat w:val="dd-MMM-yy"/>
                  <w:lid w:val="en-US"/>
                  <w:storeMappedDataAs w:val="dateTime"/>
                  <w:calendar w:val="gregorian"/>
                </w:date>
              </w:sdtPr>
              <w:sdtEndPr/>
              <w:sdtContent>
                <w:r>
                  <w:rPr>
                    <w:rFonts w:ascii="Calibri" w:hAnsi="Calibri" w:cs="Calibri"/>
                    <w:sz w:val="20"/>
                    <w:szCs w:val="20"/>
                    <w:highlight w:val="lightGray"/>
                  </w:rPr>
                  <w:t>2025</w:t>
                </w:r>
              </w:sdtContent>
            </w:sdt>
          </w:p>
          <w:p w14:paraId="68091658" w14:textId="77777777" w:rsidR="00CF33D9" w:rsidRDefault="00CF33D9">
            <w:pPr>
              <w:spacing w:before="40" w:after="40"/>
              <w:contextualSpacing/>
              <w:rPr>
                <w:rFonts w:ascii="Calibri" w:hAnsi="Calibri" w:cs="Calibri"/>
                <w:sz w:val="20"/>
                <w:szCs w:val="20"/>
                <w:highlight w:val="lightGray"/>
              </w:rPr>
            </w:pPr>
          </w:p>
          <w:p w14:paraId="68091659" w14:textId="77777777" w:rsidR="00CF33D9" w:rsidRDefault="00E3332A">
            <w:pPr>
              <w:spacing w:before="40" w:after="40"/>
              <w:contextualSpacing/>
              <w:rPr>
                <w:rFonts w:ascii="Calibri" w:hAnsi="Calibri" w:cs="Calibri"/>
                <w:sz w:val="20"/>
                <w:szCs w:val="20"/>
              </w:rPr>
            </w:pPr>
            <w:r>
              <w:rPr>
                <w:rFonts w:ascii="Calibri" w:hAnsi="Calibri" w:cs="Calibri"/>
                <w:sz w:val="20"/>
                <w:szCs w:val="20"/>
              </w:rPr>
              <w:t xml:space="preserve">To: </w:t>
            </w:r>
            <w:sdt>
              <w:sdtPr>
                <w:rPr>
                  <w:rFonts w:ascii="Calibri" w:hAnsi="Calibri" w:cs="Calibri"/>
                  <w:sz w:val="20"/>
                  <w:szCs w:val="20"/>
                  <w:highlight w:val="lightGray"/>
                </w:rPr>
                <w:alias w:val="Select End Date"/>
                <w:tag w:val="Select End Date"/>
                <w:id w:val="-908840604"/>
                <w:placeholder>
                  <w:docPart w:val="0775BE4266957447BCCCA355358D0F29"/>
                </w:placeholder>
                <w:date>
                  <w:dateFormat w:val="dd-MMM-yy"/>
                  <w:lid w:val="en-US"/>
                  <w:storeMappedDataAs w:val="dateTime"/>
                  <w:calendar w:val="gregorian"/>
                </w:date>
              </w:sdtPr>
              <w:sdtEndPr/>
              <w:sdtContent>
                <w:r>
                  <w:rPr>
                    <w:rFonts w:ascii="Calibri" w:hAnsi="Calibri" w:cs="Calibri"/>
                    <w:sz w:val="20"/>
                    <w:szCs w:val="20"/>
                    <w:highlight w:val="lightGray"/>
                  </w:rPr>
                  <w:t>2030</w:t>
                </w:r>
              </w:sdtContent>
            </w:sdt>
          </w:p>
        </w:tc>
        <w:tc>
          <w:tcPr>
            <w:tcW w:w="992"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5A" w14:textId="77777777" w:rsidR="00CF33D9" w:rsidRDefault="00E3332A">
            <w:pPr>
              <w:jc w:val="both"/>
              <w:rPr>
                <w:rFonts w:ascii="Calibri" w:eastAsia="Arial Narrow" w:hAnsi="Calibri" w:cs="Calibri"/>
                <w:color w:val="000000"/>
                <w:sz w:val="20"/>
                <w:szCs w:val="20"/>
              </w:rPr>
            </w:pPr>
            <w:r>
              <w:rPr>
                <w:rFonts w:ascii="Calibri" w:eastAsia="Arial Narrow" w:hAnsi="Calibri" w:cs="Calibri"/>
                <w:color w:val="000000"/>
                <w:sz w:val="20"/>
                <w:szCs w:val="20"/>
              </w:rPr>
              <w:t>BBC</w:t>
            </w:r>
          </w:p>
          <w:p w14:paraId="6809165B" w14:textId="77777777" w:rsidR="00CF33D9" w:rsidRDefault="00CF33D9">
            <w:pPr>
              <w:jc w:val="both"/>
              <w:rPr>
                <w:rFonts w:ascii="Calibri" w:eastAsia="Arial Narrow" w:hAnsi="Calibri" w:cs="Calibri"/>
                <w:color w:val="000000"/>
                <w:sz w:val="20"/>
                <w:szCs w:val="20"/>
              </w:rPr>
            </w:pPr>
          </w:p>
        </w:tc>
        <w:tc>
          <w:tcPr>
            <w:tcW w:w="2977"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5C" w14:textId="77777777" w:rsidR="00CF33D9" w:rsidRDefault="00E3332A">
            <w:pPr>
              <w:pStyle w:val="TableParagraph"/>
              <w:ind w:left="107" w:right="139"/>
              <w:rPr>
                <w:sz w:val="20"/>
                <w:szCs w:val="20"/>
              </w:rPr>
            </w:pPr>
            <w:r>
              <w:rPr>
                <w:sz w:val="20"/>
                <w:szCs w:val="20"/>
              </w:rPr>
              <w:t xml:space="preserve">To address this </w:t>
            </w:r>
            <w:r>
              <w:rPr>
                <w:b/>
                <w:bCs/>
                <w:sz w:val="20"/>
                <w:szCs w:val="20"/>
              </w:rPr>
              <w:t>contextual risk</w:t>
            </w:r>
            <w:r>
              <w:rPr>
                <w:sz w:val="20"/>
                <w:szCs w:val="20"/>
              </w:rPr>
              <w:t xml:space="preserve">, potentially affecting project activities, the project will implement climate change resilient management, </w:t>
            </w:r>
            <w:r>
              <w:rPr>
                <w:b/>
                <w:bCs/>
                <w:sz w:val="20"/>
                <w:szCs w:val="20"/>
              </w:rPr>
              <w:t>monitoring climate change trends</w:t>
            </w:r>
            <w:r>
              <w:rPr>
                <w:sz w:val="20"/>
                <w:szCs w:val="20"/>
              </w:rPr>
              <w:t xml:space="preserve">, allowing activities, such as the promotion of community-based tourism, to be climate-resilient socio-economic development  The </w:t>
            </w:r>
            <w:r>
              <w:rPr>
                <w:b/>
                <w:bCs/>
                <w:sz w:val="20"/>
                <w:szCs w:val="20"/>
              </w:rPr>
              <w:t>SEP</w:t>
            </w:r>
            <w:r>
              <w:rPr>
                <w:sz w:val="20"/>
                <w:szCs w:val="20"/>
              </w:rPr>
              <w:t xml:space="preserve"> that has been developed in the PPG phase will serve as the basis for the consultation </w:t>
            </w:r>
            <w:r>
              <w:rPr>
                <w:sz w:val="20"/>
                <w:szCs w:val="20"/>
              </w:rPr>
              <w:lastRenderedPageBreak/>
              <w:t xml:space="preserve">(Activity 1.2.1.3) to develop a climate-resilient community-based tourism plan for MPAs and coastal ecosystems. </w:t>
            </w:r>
          </w:p>
          <w:p w14:paraId="6809165D" w14:textId="77777777" w:rsidR="00CF33D9" w:rsidRDefault="00CF33D9">
            <w:pPr>
              <w:pStyle w:val="TableParagraph"/>
              <w:ind w:left="66"/>
              <w:rPr>
                <w:sz w:val="20"/>
                <w:szCs w:val="20"/>
              </w:rPr>
            </w:pPr>
          </w:p>
        </w:tc>
      </w:tr>
      <w:tr w:rsidR="00CF33D9" w14:paraId="68091672" w14:textId="77777777">
        <w:trPr>
          <w:trHeight w:val="2417"/>
        </w:trPr>
        <w:tc>
          <w:tcPr>
            <w:tcW w:w="567"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5F" w14:textId="77777777" w:rsidR="00CF33D9" w:rsidRDefault="00E3332A">
            <w:pPr>
              <w:jc w:val="both"/>
              <w:rPr>
                <w:rFonts w:ascii="Calibri" w:eastAsia="Arial Narrow" w:hAnsi="Calibri" w:cs="Calibri"/>
                <w:color w:val="000000"/>
                <w:sz w:val="20"/>
                <w:szCs w:val="20"/>
              </w:rPr>
            </w:pPr>
            <w:r>
              <w:rPr>
                <w:rFonts w:ascii="Calibri" w:eastAsia="Arial Narrow" w:hAnsi="Calibri" w:cs="Calibri"/>
                <w:color w:val="000000"/>
                <w:sz w:val="20"/>
                <w:szCs w:val="20"/>
              </w:rPr>
              <w:lastRenderedPageBreak/>
              <w:t>10</w:t>
            </w:r>
          </w:p>
        </w:tc>
        <w:tc>
          <w:tcPr>
            <w:tcW w:w="1843"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60" w14:textId="77777777" w:rsidR="00CF33D9" w:rsidRDefault="00E3332A">
            <w:pPr>
              <w:pStyle w:val="TableParagraph"/>
              <w:ind w:left="62"/>
              <w:rPr>
                <w:color w:val="000000"/>
                <w:sz w:val="20"/>
                <w:szCs w:val="20"/>
              </w:rPr>
            </w:pPr>
            <w:r>
              <w:rPr>
                <w:rFonts w:eastAsia="MS Mincho"/>
                <w:b/>
                <w:bCs/>
                <w:sz w:val="20"/>
                <w:szCs w:val="20"/>
                <w:lang w:eastAsia="ja-JP"/>
              </w:rPr>
              <w:t xml:space="preserve">SESP Risk 10: </w:t>
            </w:r>
            <w:r>
              <w:rPr>
                <w:color w:val="000000"/>
                <w:sz w:val="20"/>
                <w:szCs w:val="20"/>
              </w:rPr>
              <w:t xml:space="preserve">The introduction of mariculture (Activity 2.1.2.1), which is associated not only with food production but also with the production of raw materials for cosmetics, medicines, and food activities, among others, could lead to effluents and excretions that can further </w:t>
            </w:r>
            <w:r>
              <w:rPr>
                <w:b/>
                <w:bCs/>
                <w:color w:val="000000"/>
                <w:sz w:val="20"/>
                <w:szCs w:val="20"/>
              </w:rPr>
              <w:t>pollute ocean waters</w:t>
            </w:r>
            <w:r>
              <w:rPr>
                <w:color w:val="000000"/>
                <w:sz w:val="20"/>
                <w:szCs w:val="20"/>
              </w:rPr>
              <w:t>.</w:t>
            </w:r>
          </w:p>
          <w:p w14:paraId="68091661" w14:textId="77777777" w:rsidR="00CF33D9" w:rsidRDefault="00CF33D9">
            <w:pPr>
              <w:pStyle w:val="TableParagraph"/>
              <w:ind w:left="62"/>
              <w:rPr>
                <w:color w:val="000000"/>
                <w:sz w:val="20"/>
                <w:szCs w:val="20"/>
              </w:rPr>
            </w:pPr>
          </w:p>
          <w:p w14:paraId="68091662" w14:textId="77777777" w:rsidR="00CF33D9" w:rsidRDefault="00CF33D9">
            <w:pPr>
              <w:pStyle w:val="TableParagraph"/>
              <w:ind w:left="62"/>
              <w:rPr>
                <w:rFonts w:eastAsia="MS Mincho"/>
                <w:b/>
                <w:bCs/>
                <w:sz w:val="20"/>
                <w:szCs w:val="20"/>
                <w:lang w:eastAsia="ja-JP"/>
              </w:rPr>
            </w:pPr>
          </w:p>
        </w:tc>
        <w:tc>
          <w:tcPr>
            <w:tcW w:w="1418"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63" w14:textId="77777777" w:rsidR="00CF33D9" w:rsidRDefault="00E3332A">
            <w:pPr>
              <w:rPr>
                <w:rFonts w:ascii="Calibri" w:eastAsia="Arial Narrow" w:hAnsi="Calibri" w:cs="Calibri"/>
                <w:color w:val="000000"/>
                <w:sz w:val="20"/>
                <w:szCs w:val="20"/>
              </w:rPr>
            </w:pPr>
            <w:r>
              <w:rPr>
                <w:rFonts w:ascii="Calibri" w:eastAsia="Arial Narrow" w:hAnsi="Calibri" w:cs="Calibri"/>
                <w:color w:val="000000"/>
                <w:sz w:val="20"/>
                <w:szCs w:val="20"/>
              </w:rPr>
              <w:t>The project will aim to introduce mariculture which could lead to effluents and excretions.</w:t>
            </w:r>
          </w:p>
        </w:tc>
        <w:tc>
          <w:tcPr>
            <w:tcW w:w="1843"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64" w14:textId="77777777" w:rsidR="00CF33D9" w:rsidRDefault="00E3332A">
            <w:pPr>
              <w:rPr>
                <w:rFonts w:ascii="Calibri" w:eastAsia="Arial Narrow" w:hAnsi="Calibri" w:cs="Calibri"/>
                <w:color w:val="000000"/>
                <w:sz w:val="20"/>
                <w:szCs w:val="20"/>
              </w:rPr>
            </w:pPr>
            <w:r>
              <w:rPr>
                <w:rFonts w:ascii="Calibri" w:eastAsia="Arial Narrow" w:hAnsi="Calibri" w:cs="Calibri"/>
                <w:color w:val="000000"/>
                <w:sz w:val="20"/>
                <w:szCs w:val="20"/>
              </w:rPr>
              <w:t>Which could impact on further pollute ocean waters.</w:t>
            </w:r>
          </w:p>
        </w:tc>
        <w:tc>
          <w:tcPr>
            <w:tcW w:w="1701"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sdt>
            <w:sdtPr>
              <w:rPr>
                <w:rFonts w:ascii="Calibri" w:hAnsi="Calibri" w:cs="Calibri"/>
                <w:b/>
                <w:sz w:val="20"/>
                <w:szCs w:val="20"/>
                <w:highlight w:val="lightGray"/>
              </w:rPr>
              <w:alias w:val="Select Risk Categories and Sub-categories"/>
              <w:tag w:val="Select Risk Categories and Sub-categories"/>
              <w:id w:val="-2143026805"/>
              <w:placeholder>
                <w:docPart w:val="FA6AAB7826D5A441937579B39E568650"/>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68091665" w14:textId="77777777" w:rsidR="00CF33D9" w:rsidRDefault="00E3332A">
                <w:pPr>
                  <w:spacing w:beforeLines="60" w:before="144" w:afterLines="60" w:after="144"/>
                  <w:contextualSpacing/>
                  <w:rPr>
                    <w:rFonts w:ascii="Calibri" w:hAnsi="Calibri" w:cs="Calibri"/>
                    <w:b/>
                    <w:sz w:val="20"/>
                    <w:szCs w:val="20"/>
                  </w:rPr>
                </w:pPr>
                <w:r>
                  <w:rPr>
                    <w:rFonts w:ascii="Calibri" w:hAnsi="Calibri" w:cs="Calibri"/>
                    <w:b/>
                    <w:sz w:val="20"/>
                    <w:szCs w:val="20"/>
                    <w:highlight w:val="lightGray"/>
                  </w:rPr>
                  <w:t>1. SOCIAL AND ENVIRONMENTAL (1.11. Pollution prevention and resource efficiency) - UNDP Risk Appetite: CAUTIOUS</w:t>
                </w:r>
              </w:p>
            </w:sdtContent>
          </w:sdt>
          <w:p w14:paraId="68091666" w14:textId="77777777" w:rsidR="00CF33D9" w:rsidRDefault="00CF33D9">
            <w:pPr>
              <w:spacing w:beforeLines="60" w:before="144" w:afterLines="60" w:after="144"/>
              <w:contextualSpacing/>
              <w:rPr>
                <w:rFonts w:ascii="Calibri" w:hAnsi="Calibri" w:cs="Calibri"/>
                <w:b/>
                <w:sz w:val="20"/>
                <w:szCs w:val="20"/>
                <w:highlight w:val="lightGray"/>
              </w:rPr>
            </w:pPr>
          </w:p>
        </w:tc>
        <w:tc>
          <w:tcPr>
            <w:tcW w:w="1559"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67" w14:textId="77777777" w:rsidR="00CF33D9" w:rsidRDefault="00E3332A">
            <w:pPr>
              <w:spacing w:after="40"/>
              <w:rPr>
                <w:rFonts w:ascii="Calibri" w:hAnsi="Calibri" w:cs="Calibri"/>
                <w:sz w:val="20"/>
                <w:szCs w:val="20"/>
              </w:rPr>
            </w:pPr>
            <w:r>
              <w:rPr>
                <w:rFonts w:ascii="Calibri" w:hAnsi="Calibri" w:cs="Calibri"/>
                <w:sz w:val="20"/>
                <w:szCs w:val="20"/>
              </w:rPr>
              <w:t>Likelihood:</w:t>
            </w:r>
          </w:p>
          <w:p w14:paraId="68091668" w14:textId="77777777" w:rsidR="00CF33D9" w:rsidRDefault="009B0270">
            <w:pPr>
              <w:spacing w:after="40"/>
              <w:rPr>
                <w:rFonts w:ascii="Calibri" w:hAnsi="Calibri" w:cs="Calibri"/>
                <w:b/>
                <w:sz w:val="20"/>
                <w:szCs w:val="20"/>
              </w:rPr>
            </w:pPr>
            <w:sdt>
              <w:sdtPr>
                <w:rPr>
                  <w:rFonts w:ascii="Calibri" w:hAnsi="Calibri" w:cs="Calibri"/>
                  <w:b/>
                  <w:sz w:val="20"/>
                  <w:szCs w:val="20"/>
                  <w:highlight w:val="lightGray"/>
                </w:rPr>
                <w:alias w:val="Select Likelihood Level"/>
                <w:tag w:val="Select Likelihood Level"/>
                <w:id w:val="1963693070"/>
                <w:placeholder>
                  <w:docPart w:val="F39677C893950442B86878341A9F2922"/>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E3332A">
                  <w:rPr>
                    <w:rFonts w:ascii="Calibri" w:hAnsi="Calibri" w:cs="Calibri"/>
                    <w:b/>
                    <w:sz w:val="20"/>
                    <w:szCs w:val="20"/>
                    <w:highlight w:val="lightGray"/>
                  </w:rPr>
                  <w:t>3 - Moderately likely</w:t>
                </w:r>
              </w:sdtContent>
            </w:sdt>
          </w:p>
          <w:p w14:paraId="68091669" w14:textId="77777777" w:rsidR="00CF33D9" w:rsidRDefault="00E3332A">
            <w:pPr>
              <w:spacing w:after="40"/>
              <w:rPr>
                <w:rFonts w:ascii="Calibri" w:hAnsi="Calibri" w:cs="Calibri"/>
                <w:sz w:val="20"/>
                <w:szCs w:val="20"/>
              </w:rPr>
            </w:pPr>
            <w:r>
              <w:rPr>
                <w:rFonts w:ascii="Calibri" w:hAnsi="Calibri" w:cs="Calibri"/>
                <w:sz w:val="20"/>
                <w:szCs w:val="20"/>
              </w:rPr>
              <w:t xml:space="preserve">Impact: </w:t>
            </w:r>
          </w:p>
          <w:p w14:paraId="6809166A" w14:textId="77777777" w:rsidR="00CF33D9" w:rsidRDefault="009B0270">
            <w:pPr>
              <w:spacing w:after="40"/>
              <w:rPr>
                <w:rFonts w:ascii="Calibri" w:hAnsi="Calibri" w:cs="Calibri"/>
                <w:b/>
                <w:sz w:val="20"/>
                <w:szCs w:val="20"/>
                <w:highlight w:val="lightGray"/>
              </w:rPr>
            </w:pPr>
            <w:sdt>
              <w:sdtPr>
                <w:rPr>
                  <w:rFonts w:ascii="Calibri" w:hAnsi="Calibri" w:cs="Calibri"/>
                  <w:b/>
                  <w:sz w:val="20"/>
                  <w:szCs w:val="20"/>
                  <w:highlight w:val="lightGray"/>
                </w:rPr>
                <w:alias w:val="Select Impact Level"/>
                <w:tag w:val="Select Impact Level"/>
                <w:id w:val="1208226019"/>
                <w:placeholder>
                  <w:docPart w:val="F39677C893950442B86878341A9F2922"/>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E3332A">
                  <w:rPr>
                    <w:rFonts w:ascii="Calibri" w:hAnsi="Calibri" w:cs="Calibri"/>
                    <w:b/>
                    <w:sz w:val="20"/>
                    <w:szCs w:val="20"/>
                    <w:highlight w:val="lightGray"/>
                  </w:rPr>
                  <w:t>3 - Intermediate</w:t>
                </w:r>
              </w:sdtContent>
            </w:sdt>
          </w:p>
          <w:p w14:paraId="6809166B" w14:textId="77777777" w:rsidR="00CF33D9" w:rsidRDefault="00E3332A">
            <w:pPr>
              <w:spacing w:after="40"/>
              <w:rPr>
                <w:rFonts w:ascii="Calibri" w:hAnsi="Calibri" w:cs="Calibri"/>
                <w:sz w:val="20"/>
                <w:szCs w:val="20"/>
              </w:rPr>
            </w:pPr>
            <w:r>
              <w:rPr>
                <w:rFonts w:ascii="Calibri" w:hAnsi="Calibri" w:cs="Calibri"/>
                <w:sz w:val="20"/>
                <w:szCs w:val="20"/>
              </w:rPr>
              <w:t>Risk level:</w:t>
            </w:r>
          </w:p>
          <w:p w14:paraId="6809166C" w14:textId="77777777" w:rsidR="00CF33D9" w:rsidRDefault="009B0270">
            <w:pPr>
              <w:spacing w:after="40"/>
              <w:rPr>
                <w:rFonts w:ascii="Calibri" w:hAnsi="Calibri" w:cs="Calibri"/>
                <w:sz w:val="20"/>
                <w:szCs w:val="20"/>
              </w:rPr>
            </w:pPr>
            <w:sdt>
              <w:sdtPr>
                <w:rPr>
                  <w:rFonts w:ascii="Calibri" w:hAnsi="Calibri" w:cs="Calibri"/>
                  <w:b/>
                  <w:sz w:val="20"/>
                  <w:szCs w:val="20"/>
                  <w:highlight w:val="lightGray"/>
                </w:rPr>
                <w:alias w:val="Select Risk Level"/>
                <w:tag w:val="Select Risk Level"/>
                <w:id w:val="483206929"/>
                <w:placeholder>
                  <w:docPart w:val="F39677C893950442B86878341A9F2922"/>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E3332A">
                  <w:rPr>
                    <w:rFonts w:ascii="Calibri" w:hAnsi="Calibri" w:cs="Calibri"/>
                    <w:b/>
                    <w:sz w:val="20"/>
                    <w:szCs w:val="20"/>
                    <w:highlight w:val="lightGray"/>
                  </w:rPr>
                  <w:t>MODERATE (equates to a risk appetite of EXPLORATORY)</w:t>
                </w:r>
              </w:sdtContent>
            </w:sdt>
          </w:p>
        </w:tc>
        <w:tc>
          <w:tcPr>
            <w:tcW w:w="992"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6D" w14:textId="77777777" w:rsidR="00CF33D9" w:rsidRDefault="00E3332A">
            <w:pPr>
              <w:spacing w:before="40" w:after="40"/>
              <w:contextualSpacing/>
              <w:rPr>
                <w:rFonts w:ascii="Calibri" w:hAnsi="Calibri" w:cs="Calibri"/>
                <w:sz w:val="20"/>
                <w:szCs w:val="20"/>
                <w:highlight w:val="lightGray"/>
              </w:rPr>
            </w:pPr>
            <w:r>
              <w:rPr>
                <w:rFonts w:ascii="Calibri" w:hAnsi="Calibri" w:cs="Calibri"/>
                <w:sz w:val="20"/>
                <w:szCs w:val="20"/>
              </w:rPr>
              <w:t xml:space="preserve">From: </w:t>
            </w:r>
            <w:sdt>
              <w:sdtPr>
                <w:rPr>
                  <w:rFonts w:ascii="Calibri" w:hAnsi="Calibri" w:cs="Calibri"/>
                  <w:sz w:val="20"/>
                  <w:szCs w:val="20"/>
                  <w:highlight w:val="lightGray"/>
                </w:rPr>
                <w:alias w:val="Select starting date"/>
                <w:tag w:val="Select starting date"/>
                <w:id w:val="308594896"/>
                <w:placeholder>
                  <w:docPart w:val="56AFCBA83245D24C9324E510D9BFB800"/>
                </w:placeholder>
                <w:date>
                  <w:dateFormat w:val="dd-MMM-yy"/>
                  <w:lid w:val="en-US"/>
                  <w:storeMappedDataAs w:val="dateTime"/>
                  <w:calendar w:val="gregorian"/>
                </w:date>
              </w:sdtPr>
              <w:sdtEndPr/>
              <w:sdtContent>
                <w:r>
                  <w:rPr>
                    <w:rFonts w:ascii="Calibri" w:hAnsi="Calibri" w:cs="Calibri"/>
                    <w:sz w:val="20"/>
                    <w:szCs w:val="20"/>
                    <w:highlight w:val="lightGray"/>
                  </w:rPr>
                  <w:t>2025</w:t>
                </w:r>
              </w:sdtContent>
            </w:sdt>
          </w:p>
          <w:p w14:paraId="6809166E" w14:textId="77777777" w:rsidR="00CF33D9" w:rsidRDefault="00CF33D9">
            <w:pPr>
              <w:spacing w:before="40" w:after="40"/>
              <w:contextualSpacing/>
              <w:rPr>
                <w:rFonts w:ascii="Calibri" w:hAnsi="Calibri" w:cs="Calibri"/>
                <w:sz w:val="20"/>
                <w:szCs w:val="20"/>
                <w:highlight w:val="lightGray"/>
              </w:rPr>
            </w:pPr>
          </w:p>
          <w:p w14:paraId="6809166F" w14:textId="77777777" w:rsidR="00CF33D9" w:rsidRDefault="00E3332A">
            <w:pPr>
              <w:spacing w:before="40" w:after="40"/>
              <w:contextualSpacing/>
              <w:rPr>
                <w:rFonts w:ascii="Calibri" w:hAnsi="Calibri" w:cs="Calibri"/>
                <w:sz w:val="20"/>
                <w:szCs w:val="20"/>
              </w:rPr>
            </w:pPr>
            <w:r>
              <w:rPr>
                <w:rFonts w:ascii="Calibri" w:hAnsi="Calibri" w:cs="Calibri"/>
                <w:sz w:val="20"/>
                <w:szCs w:val="20"/>
              </w:rPr>
              <w:t xml:space="preserve">To: </w:t>
            </w:r>
            <w:sdt>
              <w:sdtPr>
                <w:rPr>
                  <w:rFonts w:ascii="Calibri" w:hAnsi="Calibri" w:cs="Calibri"/>
                  <w:sz w:val="20"/>
                  <w:szCs w:val="20"/>
                  <w:highlight w:val="lightGray"/>
                </w:rPr>
                <w:alias w:val="Select End Date"/>
                <w:tag w:val="Select End Date"/>
                <w:id w:val="1279995625"/>
                <w:placeholder>
                  <w:docPart w:val="56AFCBA83245D24C9324E510D9BFB800"/>
                </w:placeholder>
                <w:date>
                  <w:dateFormat w:val="dd-MMM-yy"/>
                  <w:lid w:val="en-US"/>
                  <w:storeMappedDataAs w:val="dateTime"/>
                  <w:calendar w:val="gregorian"/>
                </w:date>
              </w:sdtPr>
              <w:sdtEndPr/>
              <w:sdtContent>
                <w:r>
                  <w:rPr>
                    <w:rFonts w:ascii="Calibri" w:hAnsi="Calibri" w:cs="Calibri"/>
                    <w:sz w:val="20"/>
                    <w:szCs w:val="20"/>
                    <w:highlight w:val="lightGray"/>
                  </w:rPr>
                  <w:t>2030</w:t>
                </w:r>
              </w:sdtContent>
            </w:sdt>
          </w:p>
        </w:tc>
        <w:tc>
          <w:tcPr>
            <w:tcW w:w="992"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70" w14:textId="77777777" w:rsidR="00CF33D9" w:rsidRDefault="00E3332A">
            <w:pPr>
              <w:jc w:val="both"/>
              <w:rPr>
                <w:rFonts w:ascii="Calibri" w:eastAsia="Arial Narrow" w:hAnsi="Calibri" w:cs="Calibri"/>
                <w:color w:val="000000"/>
                <w:sz w:val="20"/>
                <w:szCs w:val="20"/>
              </w:rPr>
            </w:pPr>
            <w:r>
              <w:rPr>
                <w:rFonts w:ascii="Calibri" w:eastAsia="Arial Narrow" w:hAnsi="Calibri" w:cs="Calibri"/>
                <w:color w:val="000000"/>
                <w:sz w:val="20"/>
                <w:szCs w:val="20"/>
              </w:rPr>
              <w:t>BCC</w:t>
            </w:r>
          </w:p>
        </w:tc>
        <w:tc>
          <w:tcPr>
            <w:tcW w:w="2977"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71" w14:textId="77777777" w:rsidR="00CF33D9" w:rsidRDefault="00E3332A">
            <w:pPr>
              <w:pStyle w:val="TableParagraph"/>
              <w:ind w:left="107" w:right="139"/>
              <w:rPr>
                <w:sz w:val="20"/>
                <w:szCs w:val="20"/>
              </w:rPr>
            </w:pPr>
            <w:r>
              <w:rPr>
                <w:color w:val="000000"/>
                <w:sz w:val="20"/>
                <w:szCs w:val="20"/>
              </w:rPr>
              <w:t xml:space="preserve">A </w:t>
            </w:r>
            <w:r>
              <w:rPr>
                <w:b/>
                <w:bCs/>
                <w:color w:val="000000"/>
                <w:sz w:val="20"/>
                <w:szCs w:val="20"/>
              </w:rPr>
              <w:t>scoped ESIA</w:t>
            </w:r>
            <w:r>
              <w:rPr>
                <w:color w:val="000000"/>
                <w:sz w:val="20"/>
                <w:szCs w:val="20"/>
              </w:rPr>
              <w:t xml:space="preserve"> will be developed in each country where mariculture is introduced to assess the potential negative environmental and social impacts of mariculture. The </w:t>
            </w:r>
            <w:r>
              <w:rPr>
                <w:b/>
                <w:bCs/>
                <w:color w:val="000000"/>
                <w:sz w:val="20"/>
                <w:szCs w:val="20"/>
              </w:rPr>
              <w:t>ESMP</w:t>
            </w:r>
            <w:r>
              <w:rPr>
                <w:color w:val="000000"/>
                <w:sz w:val="20"/>
                <w:szCs w:val="20"/>
              </w:rPr>
              <w:t xml:space="preserve"> will establish mitigation measures to ensure proper waste management associates with these activities.</w:t>
            </w:r>
          </w:p>
        </w:tc>
      </w:tr>
      <w:tr w:rsidR="00CF33D9" w14:paraId="68091684" w14:textId="77777777">
        <w:trPr>
          <w:trHeight w:val="2417"/>
        </w:trPr>
        <w:tc>
          <w:tcPr>
            <w:tcW w:w="567"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73" w14:textId="77777777" w:rsidR="00CF33D9" w:rsidRDefault="00E3332A">
            <w:pPr>
              <w:jc w:val="both"/>
              <w:rPr>
                <w:rFonts w:ascii="Calibri" w:eastAsia="Arial Narrow" w:hAnsi="Calibri" w:cs="Calibri"/>
                <w:color w:val="000000"/>
                <w:sz w:val="20"/>
                <w:szCs w:val="20"/>
              </w:rPr>
            </w:pPr>
            <w:r>
              <w:rPr>
                <w:rFonts w:ascii="Calibri" w:eastAsia="Arial Narrow" w:hAnsi="Calibri" w:cs="Calibri"/>
                <w:color w:val="000000"/>
                <w:sz w:val="20"/>
                <w:szCs w:val="20"/>
              </w:rPr>
              <w:lastRenderedPageBreak/>
              <w:t>11</w:t>
            </w:r>
          </w:p>
        </w:tc>
        <w:tc>
          <w:tcPr>
            <w:tcW w:w="1843"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74" w14:textId="77777777" w:rsidR="00CF33D9" w:rsidRDefault="00E3332A">
            <w:pPr>
              <w:pStyle w:val="TableParagraph"/>
              <w:ind w:left="62"/>
              <w:rPr>
                <w:rFonts w:eastAsia="MS Mincho"/>
                <w:b/>
                <w:bCs/>
                <w:sz w:val="20"/>
                <w:szCs w:val="20"/>
                <w:lang w:eastAsia="ja-JP"/>
              </w:rPr>
            </w:pPr>
            <w:r>
              <w:rPr>
                <w:b/>
                <w:sz w:val="20"/>
                <w:szCs w:val="20"/>
              </w:rPr>
              <w:t>Other Risks 1</w:t>
            </w:r>
            <w:r>
              <w:rPr>
                <w:sz w:val="20"/>
                <w:szCs w:val="20"/>
              </w:rPr>
              <w:t>: Lack of political and other stakeholder commitment</w:t>
            </w:r>
          </w:p>
        </w:tc>
        <w:tc>
          <w:tcPr>
            <w:tcW w:w="1418"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75" w14:textId="77777777" w:rsidR="00CF33D9" w:rsidRDefault="00E3332A">
            <w:pPr>
              <w:rPr>
                <w:rFonts w:ascii="Calibri" w:eastAsia="Arial Narrow" w:hAnsi="Calibri" w:cs="Calibri"/>
                <w:color w:val="000000"/>
                <w:sz w:val="20"/>
                <w:szCs w:val="20"/>
              </w:rPr>
            </w:pPr>
            <w:r>
              <w:rPr>
                <w:rFonts w:ascii="Calibri" w:hAnsi="Calibri" w:cs="Calibri"/>
                <w:sz w:val="20"/>
                <w:szCs w:val="20"/>
              </w:rPr>
              <w:t>Changes in key officers, ministers in each country</w:t>
            </w:r>
          </w:p>
        </w:tc>
        <w:tc>
          <w:tcPr>
            <w:tcW w:w="1843"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76" w14:textId="77777777" w:rsidR="00CF33D9" w:rsidRDefault="00E3332A">
            <w:pPr>
              <w:rPr>
                <w:rFonts w:ascii="Calibri" w:eastAsia="Arial Narrow" w:hAnsi="Calibri" w:cs="Calibri"/>
                <w:color w:val="000000"/>
                <w:sz w:val="20"/>
                <w:szCs w:val="20"/>
              </w:rPr>
            </w:pPr>
            <w:r>
              <w:rPr>
                <w:rFonts w:ascii="Calibri" w:hAnsi="Calibri" w:cs="Calibri"/>
                <w:sz w:val="20"/>
                <w:szCs w:val="20"/>
              </w:rPr>
              <w:t xml:space="preserve">Increased or decreased support to the proposed regulatory amendments and development of management plans of MPAs </w:t>
            </w:r>
          </w:p>
        </w:tc>
        <w:tc>
          <w:tcPr>
            <w:tcW w:w="1701"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sdt>
            <w:sdtPr>
              <w:rPr>
                <w:rFonts w:ascii="Calibri" w:hAnsi="Calibri" w:cs="Calibri"/>
                <w:b/>
                <w:sz w:val="20"/>
                <w:szCs w:val="20"/>
                <w:highlight w:val="lightGray"/>
              </w:rPr>
              <w:alias w:val="Select Risk Categories and Sub-categories"/>
              <w:tag w:val="Select Risk Categories and Sub-categories"/>
              <w:id w:val="-39985636"/>
              <w:placeholder>
                <w:docPart w:val="36C46A3E06C37F4DA469F9B3686D8D5A"/>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68091677" w14:textId="77777777" w:rsidR="00CF33D9" w:rsidRDefault="00E3332A">
                <w:pPr>
                  <w:spacing w:beforeLines="60" w:before="144" w:afterLines="60" w:after="144"/>
                  <w:contextualSpacing/>
                  <w:rPr>
                    <w:rFonts w:ascii="Calibri" w:hAnsi="Calibri" w:cs="Calibri"/>
                    <w:b/>
                    <w:sz w:val="20"/>
                    <w:szCs w:val="20"/>
                  </w:rPr>
                </w:pPr>
                <w:r>
                  <w:rPr>
                    <w:rFonts w:ascii="Calibri" w:hAnsi="Calibri" w:cs="Calibri"/>
                    <w:b/>
                    <w:sz w:val="20"/>
                    <w:szCs w:val="20"/>
                    <w:highlight w:val="lightGray"/>
                  </w:rPr>
                  <w:t>7. STRATEGIC (7.6. Change/turnover in government) - UNDP Risk Appetite: OPEN TO SEEKING</w:t>
                </w:r>
              </w:p>
            </w:sdtContent>
          </w:sdt>
          <w:p w14:paraId="68091678" w14:textId="77777777" w:rsidR="00CF33D9" w:rsidRDefault="00CF33D9">
            <w:pPr>
              <w:spacing w:beforeLines="60" w:before="144" w:afterLines="60" w:after="144"/>
              <w:contextualSpacing/>
              <w:rPr>
                <w:rFonts w:ascii="Calibri" w:hAnsi="Calibri" w:cs="Calibri"/>
                <w:b/>
                <w:sz w:val="20"/>
                <w:szCs w:val="20"/>
                <w:highlight w:val="lightGray"/>
              </w:rPr>
            </w:pPr>
          </w:p>
        </w:tc>
        <w:tc>
          <w:tcPr>
            <w:tcW w:w="1559"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79" w14:textId="77777777" w:rsidR="00CF33D9" w:rsidRDefault="00E3332A">
            <w:pPr>
              <w:spacing w:after="40"/>
              <w:rPr>
                <w:rFonts w:ascii="Calibri" w:hAnsi="Calibri" w:cs="Calibri"/>
                <w:sz w:val="20"/>
                <w:szCs w:val="20"/>
              </w:rPr>
            </w:pPr>
            <w:r>
              <w:rPr>
                <w:rFonts w:ascii="Calibri" w:hAnsi="Calibri" w:cs="Calibri"/>
                <w:sz w:val="20"/>
                <w:szCs w:val="20"/>
              </w:rPr>
              <w:t>Likelihood:</w:t>
            </w:r>
          </w:p>
          <w:p w14:paraId="6809167A" w14:textId="77777777" w:rsidR="00CF33D9" w:rsidRDefault="009B0270">
            <w:pPr>
              <w:spacing w:after="40"/>
              <w:rPr>
                <w:rFonts w:ascii="Calibri" w:hAnsi="Calibri" w:cs="Calibri"/>
                <w:b/>
                <w:sz w:val="20"/>
                <w:szCs w:val="20"/>
              </w:rPr>
            </w:pPr>
            <w:sdt>
              <w:sdtPr>
                <w:rPr>
                  <w:rFonts w:ascii="Calibri" w:hAnsi="Calibri" w:cs="Calibri"/>
                  <w:b/>
                  <w:sz w:val="20"/>
                  <w:szCs w:val="20"/>
                  <w:highlight w:val="lightGray"/>
                </w:rPr>
                <w:alias w:val="Select Likelihood Level"/>
                <w:tag w:val="Select Likelihood Level"/>
                <w:id w:val="1192876143"/>
                <w:placeholder>
                  <w:docPart w:val="6E3DBC0937B85644887778B9B7AB7A6A"/>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E3332A">
                  <w:rPr>
                    <w:rFonts w:ascii="Calibri" w:hAnsi="Calibri" w:cs="Calibri"/>
                    <w:b/>
                    <w:sz w:val="20"/>
                    <w:szCs w:val="20"/>
                    <w:highlight w:val="lightGray"/>
                  </w:rPr>
                  <w:t>3 - Moderately likely</w:t>
                </w:r>
              </w:sdtContent>
            </w:sdt>
          </w:p>
          <w:p w14:paraId="6809167B" w14:textId="77777777" w:rsidR="00CF33D9" w:rsidRDefault="00E3332A">
            <w:pPr>
              <w:spacing w:after="40"/>
              <w:rPr>
                <w:rFonts w:ascii="Calibri" w:hAnsi="Calibri" w:cs="Calibri"/>
                <w:sz w:val="20"/>
                <w:szCs w:val="20"/>
              </w:rPr>
            </w:pPr>
            <w:r>
              <w:rPr>
                <w:rFonts w:ascii="Calibri" w:hAnsi="Calibri" w:cs="Calibri"/>
                <w:sz w:val="20"/>
                <w:szCs w:val="20"/>
              </w:rPr>
              <w:t xml:space="preserve">Impact: </w:t>
            </w:r>
          </w:p>
          <w:p w14:paraId="6809167C" w14:textId="77777777" w:rsidR="00CF33D9" w:rsidRDefault="009B0270">
            <w:pPr>
              <w:spacing w:after="40"/>
              <w:rPr>
                <w:rFonts w:ascii="Calibri" w:hAnsi="Calibri" w:cs="Calibri"/>
                <w:b/>
                <w:sz w:val="20"/>
                <w:szCs w:val="20"/>
                <w:highlight w:val="lightGray"/>
              </w:rPr>
            </w:pPr>
            <w:sdt>
              <w:sdtPr>
                <w:rPr>
                  <w:rFonts w:ascii="Calibri" w:hAnsi="Calibri" w:cs="Calibri"/>
                  <w:b/>
                  <w:sz w:val="20"/>
                  <w:szCs w:val="20"/>
                  <w:highlight w:val="lightGray"/>
                </w:rPr>
                <w:alias w:val="Select Impact Level"/>
                <w:tag w:val="Select Impact Level"/>
                <w:id w:val="2045246970"/>
                <w:placeholder>
                  <w:docPart w:val="6E3DBC0937B85644887778B9B7AB7A6A"/>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E3332A">
                  <w:rPr>
                    <w:rFonts w:ascii="Calibri" w:hAnsi="Calibri" w:cs="Calibri"/>
                    <w:b/>
                    <w:sz w:val="20"/>
                    <w:szCs w:val="20"/>
                    <w:highlight w:val="lightGray"/>
                  </w:rPr>
                  <w:t>3 - Intermediate</w:t>
                </w:r>
              </w:sdtContent>
            </w:sdt>
          </w:p>
          <w:p w14:paraId="6809167D" w14:textId="77777777" w:rsidR="00CF33D9" w:rsidRDefault="00E3332A">
            <w:pPr>
              <w:spacing w:after="40"/>
              <w:rPr>
                <w:rFonts w:ascii="Calibri" w:hAnsi="Calibri" w:cs="Calibri"/>
                <w:sz w:val="20"/>
                <w:szCs w:val="20"/>
              </w:rPr>
            </w:pPr>
            <w:r>
              <w:rPr>
                <w:rFonts w:ascii="Calibri" w:hAnsi="Calibri" w:cs="Calibri"/>
                <w:sz w:val="20"/>
                <w:szCs w:val="20"/>
              </w:rPr>
              <w:t>Risk level:</w:t>
            </w:r>
          </w:p>
          <w:p w14:paraId="6809167E" w14:textId="77777777" w:rsidR="00CF33D9" w:rsidRDefault="009B0270">
            <w:pPr>
              <w:spacing w:after="40"/>
              <w:rPr>
                <w:rFonts w:ascii="Calibri" w:hAnsi="Calibri" w:cs="Calibri"/>
                <w:sz w:val="20"/>
                <w:szCs w:val="20"/>
              </w:rPr>
            </w:pPr>
            <w:sdt>
              <w:sdtPr>
                <w:rPr>
                  <w:rFonts w:ascii="Calibri" w:hAnsi="Calibri" w:cs="Calibri"/>
                  <w:b/>
                  <w:sz w:val="20"/>
                  <w:szCs w:val="20"/>
                  <w:highlight w:val="lightGray"/>
                </w:rPr>
                <w:alias w:val="Select Risk Level"/>
                <w:tag w:val="Select Risk Level"/>
                <w:id w:val="-830599439"/>
                <w:placeholder>
                  <w:docPart w:val="6E3DBC0937B85644887778B9B7AB7A6A"/>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E3332A">
                  <w:rPr>
                    <w:rFonts w:ascii="Calibri" w:hAnsi="Calibri" w:cs="Calibri"/>
                    <w:b/>
                    <w:sz w:val="20"/>
                    <w:szCs w:val="20"/>
                    <w:highlight w:val="lightGray"/>
                  </w:rPr>
                  <w:t>MODERATE (equates to a risk appetite of EXPLORATORY)</w:t>
                </w:r>
              </w:sdtContent>
            </w:sdt>
          </w:p>
        </w:tc>
        <w:tc>
          <w:tcPr>
            <w:tcW w:w="992"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7F" w14:textId="77777777" w:rsidR="00CF33D9" w:rsidRDefault="00E3332A">
            <w:pPr>
              <w:spacing w:before="40" w:after="40"/>
              <w:contextualSpacing/>
              <w:rPr>
                <w:rFonts w:ascii="Calibri" w:hAnsi="Calibri" w:cs="Calibri"/>
                <w:sz w:val="20"/>
                <w:szCs w:val="20"/>
                <w:highlight w:val="lightGray"/>
              </w:rPr>
            </w:pPr>
            <w:r>
              <w:rPr>
                <w:rFonts w:ascii="Calibri" w:hAnsi="Calibri" w:cs="Calibri"/>
                <w:sz w:val="20"/>
                <w:szCs w:val="20"/>
              </w:rPr>
              <w:t xml:space="preserve">From: </w:t>
            </w:r>
            <w:sdt>
              <w:sdtPr>
                <w:rPr>
                  <w:rFonts w:ascii="Calibri" w:hAnsi="Calibri" w:cs="Calibri"/>
                  <w:sz w:val="20"/>
                  <w:szCs w:val="20"/>
                  <w:highlight w:val="lightGray"/>
                </w:rPr>
                <w:alias w:val="Select starting date"/>
                <w:tag w:val="Select starting date"/>
                <w:id w:val="-2120909262"/>
                <w:placeholder>
                  <w:docPart w:val="F249057957A93E49BDA1B3B6E35B52C2"/>
                </w:placeholder>
                <w:date>
                  <w:dateFormat w:val="dd-MMM-yy"/>
                  <w:lid w:val="en-US"/>
                  <w:storeMappedDataAs w:val="dateTime"/>
                  <w:calendar w:val="gregorian"/>
                </w:date>
              </w:sdtPr>
              <w:sdtEndPr/>
              <w:sdtContent>
                <w:r>
                  <w:rPr>
                    <w:rFonts w:ascii="Calibri" w:hAnsi="Calibri" w:cs="Calibri"/>
                    <w:sz w:val="20"/>
                    <w:szCs w:val="20"/>
                    <w:highlight w:val="lightGray"/>
                  </w:rPr>
                  <w:t>2025</w:t>
                </w:r>
              </w:sdtContent>
            </w:sdt>
          </w:p>
          <w:p w14:paraId="68091680" w14:textId="77777777" w:rsidR="00CF33D9" w:rsidRDefault="00CF33D9">
            <w:pPr>
              <w:spacing w:before="40" w:after="40"/>
              <w:contextualSpacing/>
              <w:rPr>
                <w:rFonts w:ascii="Calibri" w:hAnsi="Calibri" w:cs="Calibri"/>
                <w:sz w:val="20"/>
                <w:szCs w:val="20"/>
                <w:highlight w:val="lightGray"/>
              </w:rPr>
            </w:pPr>
          </w:p>
          <w:p w14:paraId="68091681" w14:textId="77777777" w:rsidR="00CF33D9" w:rsidRDefault="00E3332A">
            <w:pPr>
              <w:spacing w:before="40" w:after="40"/>
              <w:contextualSpacing/>
              <w:rPr>
                <w:rFonts w:ascii="Calibri" w:hAnsi="Calibri" w:cs="Calibri"/>
                <w:sz w:val="20"/>
                <w:szCs w:val="20"/>
              </w:rPr>
            </w:pPr>
            <w:r>
              <w:rPr>
                <w:rFonts w:ascii="Calibri" w:hAnsi="Calibri" w:cs="Calibri"/>
                <w:sz w:val="20"/>
                <w:szCs w:val="20"/>
              </w:rPr>
              <w:t xml:space="preserve">To: </w:t>
            </w:r>
            <w:sdt>
              <w:sdtPr>
                <w:rPr>
                  <w:rFonts w:ascii="Calibri" w:hAnsi="Calibri" w:cs="Calibri"/>
                  <w:sz w:val="20"/>
                  <w:szCs w:val="20"/>
                  <w:highlight w:val="lightGray"/>
                </w:rPr>
                <w:alias w:val="Select End Date"/>
                <w:tag w:val="Select End Date"/>
                <w:id w:val="-1603256163"/>
                <w:placeholder>
                  <w:docPart w:val="F249057957A93E49BDA1B3B6E35B52C2"/>
                </w:placeholder>
                <w:date>
                  <w:dateFormat w:val="dd-MMM-yy"/>
                  <w:lid w:val="en-US"/>
                  <w:storeMappedDataAs w:val="dateTime"/>
                  <w:calendar w:val="gregorian"/>
                </w:date>
              </w:sdtPr>
              <w:sdtEndPr/>
              <w:sdtContent>
                <w:r>
                  <w:rPr>
                    <w:rFonts w:ascii="Calibri" w:hAnsi="Calibri" w:cs="Calibri"/>
                    <w:sz w:val="20"/>
                    <w:szCs w:val="20"/>
                    <w:highlight w:val="lightGray"/>
                  </w:rPr>
                  <w:t>2030</w:t>
                </w:r>
              </w:sdtContent>
            </w:sdt>
          </w:p>
        </w:tc>
        <w:tc>
          <w:tcPr>
            <w:tcW w:w="992"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82" w14:textId="77777777" w:rsidR="00CF33D9" w:rsidRDefault="00E3332A">
            <w:pPr>
              <w:jc w:val="both"/>
              <w:rPr>
                <w:rFonts w:ascii="Calibri" w:eastAsia="Arial Narrow" w:hAnsi="Calibri" w:cs="Calibri"/>
                <w:color w:val="000000"/>
                <w:sz w:val="20"/>
                <w:szCs w:val="20"/>
              </w:rPr>
            </w:pPr>
            <w:r>
              <w:rPr>
                <w:rFonts w:ascii="Calibri" w:eastAsia="Arial Narrow" w:hAnsi="Calibri" w:cs="Calibri"/>
                <w:color w:val="000000"/>
                <w:sz w:val="20"/>
                <w:szCs w:val="20"/>
              </w:rPr>
              <w:t>BCC</w:t>
            </w:r>
          </w:p>
        </w:tc>
        <w:tc>
          <w:tcPr>
            <w:tcW w:w="2977"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83" w14:textId="77777777" w:rsidR="00CF33D9" w:rsidRDefault="00E3332A">
            <w:pPr>
              <w:pStyle w:val="TableParagraph"/>
              <w:ind w:left="107" w:right="139"/>
              <w:rPr>
                <w:color w:val="000000"/>
                <w:sz w:val="20"/>
                <w:szCs w:val="20"/>
              </w:rPr>
            </w:pPr>
            <w:r>
              <w:rPr>
                <w:sz w:val="20"/>
                <w:szCs w:val="20"/>
              </w:rPr>
              <w:t xml:space="preserve">To mitigate this risk, the project will conduct consultations directly with local stakeholders to ensure their participation in the project. In addition, the project will engage regularly with local governments in each country and will ensure appropriate lobbing and advocacy targeting local and national decision-makers in each country. </w:t>
            </w:r>
          </w:p>
        </w:tc>
      </w:tr>
      <w:tr w:rsidR="00CF33D9" w14:paraId="68091696" w14:textId="77777777">
        <w:trPr>
          <w:trHeight w:val="2417"/>
        </w:trPr>
        <w:tc>
          <w:tcPr>
            <w:tcW w:w="567"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85" w14:textId="77777777" w:rsidR="00CF33D9" w:rsidRDefault="00CF33D9">
            <w:pPr>
              <w:jc w:val="both"/>
              <w:rPr>
                <w:rFonts w:ascii="Calibri" w:eastAsia="Arial Narrow" w:hAnsi="Calibri" w:cs="Calibri"/>
                <w:color w:val="000000"/>
                <w:sz w:val="20"/>
                <w:szCs w:val="20"/>
              </w:rPr>
            </w:pPr>
          </w:p>
        </w:tc>
        <w:tc>
          <w:tcPr>
            <w:tcW w:w="1843"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86" w14:textId="77777777" w:rsidR="00CF33D9" w:rsidRDefault="00E3332A">
            <w:pPr>
              <w:pStyle w:val="TableParagraph"/>
              <w:ind w:left="62"/>
              <w:rPr>
                <w:b/>
                <w:sz w:val="20"/>
                <w:szCs w:val="20"/>
              </w:rPr>
            </w:pPr>
            <w:r>
              <w:rPr>
                <w:rFonts w:eastAsia="Arial Narrow"/>
                <w:color w:val="000000"/>
                <w:sz w:val="20"/>
                <w:szCs w:val="20"/>
              </w:rPr>
              <w:t>12</w:t>
            </w:r>
          </w:p>
        </w:tc>
        <w:tc>
          <w:tcPr>
            <w:tcW w:w="1418"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87" w14:textId="77777777" w:rsidR="00CF33D9" w:rsidRDefault="00E3332A">
            <w:pPr>
              <w:rPr>
                <w:rFonts w:ascii="Calibri" w:hAnsi="Calibri" w:cs="Calibri"/>
                <w:sz w:val="20"/>
                <w:szCs w:val="20"/>
              </w:rPr>
            </w:pPr>
            <w:r>
              <w:rPr>
                <w:rFonts w:ascii="Calibri" w:hAnsi="Calibri" w:cs="Calibri"/>
                <w:sz w:val="20"/>
                <w:szCs w:val="20"/>
              </w:rPr>
              <w:t xml:space="preserve">Local authorities and organizations don’t have the expertise in transboundary marine spatial planning. </w:t>
            </w:r>
          </w:p>
        </w:tc>
        <w:tc>
          <w:tcPr>
            <w:tcW w:w="1843"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88" w14:textId="77777777" w:rsidR="00CF33D9" w:rsidRDefault="00E3332A">
            <w:pPr>
              <w:rPr>
                <w:rFonts w:ascii="Calibri" w:hAnsi="Calibri" w:cs="Calibri"/>
                <w:sz w:val="20"/>
                <w:szCs w:val="20"/>
              </w:rPr>
            </w:pPr>
            <w:r>
              <w:rPr>
                <w:rFonts w:ascii="Calibri" w:hAnsi="Calibri" w:cs="Calibri"/>
                <w:sz w:val="20"/>
                <w:szCs w:val="20"/>
              </w:rPr>
              <w:t>Delays in implementation as capacities needs to be build first.</w:t>
            </w:r>
          </w:p>
        </w:tc>
        <w:tc>
          <w:tcPr>
            <w:tcW w:w="1701"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sdt>
            <w:sdtPr>
              <w:rPr>
                <w:rFonts w:ascii="Calibri" w:hAnsi="Calibri" w:cs="Calibri"/>
                <w:b/>
                <w:sz w:val="20"/>
                <w:szCs w:val="20"/>
                <w:highlight w:val="lightGray"/>
              </w:rPr>
              <w:alias w:val="Select Risk Categories and Sub-categories"/>
              <w:tag w:val="Select Risk Categories and Sub-categories"/>
              <w:id w:val="39252832"/>
              <w:placeholder>
                <w:docPart w:val="50CFA17128B0D3469F647DAED4BA1225"/>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68091689" w14:textId="77777777" w:rsidR="00CF33D9" w:rsidRDefault="00E3332A">
                <w:pPr>
                  <w:spacing w:beforeLines="60" w:before="144" w:afterLines="60" w:after="144"/>
                  <w:contextualSpacing/>
                  <w:rPr>
                    <w:rFonts w:ascii="Calibri" w:hAnsi="Calibri" w:cs="Calibri"/>
                    <w:b/>
                    <w:sz w:val="20"/>
                    <w:szCs w:val="20"/>
                  </w:rPr>
                </w:pPr>
                <w:r>
                  <w:rPr>
                    <w:rFonts w:ascii="Calibri" w:hAnsi="Calibri" w:cs="Calibri"/>
                    <w:b/>
                    <w:sz w:val="20"/>
                    <w:szCs w:val="20"/>
                    <w:highlight w:val="lightGray"/>
                  </w:rPr>
                  <w:t>3. OPERATIONAL (3.8. Capacities of the partners) - UNDP Risk Appetite: EXPLORATORY TO OPEN</w:t>
                </w:r>
              </w:p>
            </w:sdtContent>
          </w:sdt>
          <w:p w14:paraId="6809168A" w14:textId="77777777" w:rsidR="00CF33D9" w:rsidRDefault="00CF33D9">
            <w:pPr>
              <w:spacing w:beforeLines="60" w:before="144" w:afterLines="60" w:after="144"/>
              <w:contextualSpacing/>
              <w:rPr>
                <w:rFonts w:ascii="Calibri" w:hAnsi="Calibri" w:cs="Calibri"/>
                <w:b/>
                <w:sz w:val="20"/>
                <w:szCs w:val="20"/>
                <w:highlight w:val="lightGray"/>
              </w:rPr>
            </w:pPr>
          </w:p>
        </w:tc>
        <w:tc>
          <w:tcPr>
            <w:tcW w:w="1559"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8B" w14:textId="77777777" w:rsidR="00CF33D9" w:rsidRDefault="00E3332A">
            <w:pPr>
              <w:spacing w:after="40"/>
              <w:rPr>
                <w:rFonts w:ascii="Calibri" w:hAnsi="Calibri" w:cs="Calibri"/>
                <w:sz w:val="20"/>
                <w:szCs w:val="20"/>
              </w:rPr>
            </w:pPr>
            <w:r>
              <w:rPr>
                <w:rFonts w:ascii="Calibri" w:hAnsi="Calibri" w:cs="Calibri"/>
                <w:sz w:val="20"/>
                <w:szCs w:val="20"/>
              </w:rPr>
              <w:t>Likelihood:</w:t>
            </w:r>
          </w:p>
          <w:p w14:paraId="6809168C" w14:textId="77777777" w:rsidR="00CF33D9" w:rsidRDefault="009B0270">
            <w:pPr>
              <w:spacing w:after="40"/>
              <w:rPr>
                <w:rFonts w:ascii="Calibri" w:hAnsi="Calibri" w:cs="Calibri"/>
                <w:b/>
                <w:sz w:val="20"/>
                <w:szCs w:val="20"/>
              </w:rPr>
            </w:pPr>
            <w:sdt>
              <w:sdtPr>
                <w:rPr>
                  <w:rFonts w:ascii="Calibri" w:hAnsi="Calibri" w:cs="Calibri"/>
                  <w:b/>
                  <w:sz w:val="20"/>
                  <w:szCs w:val="20"/>
                  <w:highlight w:val="lightGray"/>
                </w:rPr>
                <w:alias w:val="Select Likelihood Level"/>
                <w:tag w:val="Select Likelihood Level"/>
                <w:id w:val="374270216"/>
                <w:placeholder>
                  <w:docPart w:val="29721D2625798A46BC982A04002CDD05"/>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E3332A">
                  <w:rPr>
                    <w:rFonts w:ascii="Calibri" w:hAnsi="Calibri" w:cs="Calibri"/>
                    <w:b/>
                    <w:sz w:val="20"/>
                    <w:szCs w:val="20"/>
                    <w:highlight w:val="lightGray"/>
                  </w:rPr>
                  <w:t>3 - Moderately likely</w:t>
                </w:r>
              </w:sdtContent>
            </w:sdt>
          </w:p>
          <w:p w14:paraId="6809168D" w14:textId="77777777" w:rsidR="00CF33D9" w:rsidRDefault="00E3332A">
            <w:pPr>
              <w:spacing w:after="40"/>
              <w:rPr>
                <w:rFonts w:ascii="Calibri" w:hAnsi="Calibri" w:cs="Calibri"/>
                <w:sz w:val="20"/>
                <w:szCs w:val="20"/>
              </w:rPr>
            </w:pPr>
            <w:r>
              <w:rPr>
                <w:rFonts w:ascii="Calibri" w:hAnsi="Calibri" w:cs="Calibri"/>
                <w:sz w:val="20"/>
                <w:szCs w:val="20"/>
              </w:rPr>
              <w:t xml:space="preserve">Impact: </w:t>
            </w:r>
          </w:p>
          <w:p w14:paraId="6809168E" w14:textId="77777777" w:rsidR="00CF33D9" w:rsidRDefault="009B0270">
            <w:pPr>
              <w:spacing w:after="40"/>
              <w:rPr>
                <w:rFonts w:ascii="Calibri" w:hAnsi="Calibri" w:cs="Calibri"/>
                <w:b/>
                <w:sz w:val="20"/>
                <w:szCs w:val="20"/>
                <w:highlight w:val="lightGray"/>
              </w:rPr>
            </w:pPr>
            <w:sdt>
              <w:sdtPr>
                <w:rPr>
                  <w:rFonts w:ascii="Calibri" w:hAnsi="Calibri" w:cs="Calibri"/>
                  <w:b/>
                  <w:sz w:val="20"/>
                  <w:szCs w:val="20"/>
                  <w:highlight w:val="lightGray"/>
                </w:rPr>
                <w:alias w:val="Select Impact Level"/>
                <w:tag w:val="Select Impact Level"/>
                <w:id w:val="1339508559"/>
                <w:placeholder>
                  <w:docPart w:val="29721D2625798A46BC982A04002CDD05"/>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E3332A">
                  <w:rPr>
                    <w:rFonts w:ascii="Calibri" w:hAnsi="Calibri" w:cs="Calibri"/>
                    <w:b/>
                    <w:sz w:val="20"/>
                    <w:szCs w:val="20"/>
                    <w:highlight w:val="lightGray"/>
                  </w:rPr>
                  <w:t>3 - Intermediate</w:t>
                </w:r>
              </w:sdtContent>
            </w:sdt>
          </w:p>
          <w:p w14:paraId="6809168F" w14:textId="77777777" w:rsidR="00CF33D9" w:rsidRDefault="00E3332A">
            <w:pPr>
              <w:spacing w:after="40"/>
              <w:rPr>
                <w:rFonts w:ascii="Calibri" w:hAnsi="Calibri" w:cs="Calibri"/>
                <w:sz w:val="20"/>
                <w:szCs w:val="20"/>
              </w:rPr>
            </w:pPr>
            <w:r>
              <w:rPr>
                <w:rFonts w:ascii="Calibri" w:hAnsi="Calibri" w:cs="Calibri"/>
                <w:sz w:val="20"/>
                <w:szCs w:val="20"/>
              </w:rPr>
              <w:t>Risk level:</w:t>
            </w:r>
          </w:p>
          <w:p w14:paraId="68091690" w14:textId="77777777" w:rsidR="00CF33D9" w:rsidRDefault="009B0270">
            <w:pPr>
              <w:spacing w:after="40"/>
              <w:rPr>
                <w:rFonts w:ascii="Calibri" w:hAnsi="Calibri" w:cs="Calibri"/>
                <w:sz w:val="20"/>
                <w:szCs w:val="20"/>
              </w:rPr>
            </w:pPr>
            <w:sdt>
              <w:sdtPr>
                <w:rPr>
                  <w:rFonts w:ascii="Calibri" w:hAnsi="Calibri" w:cs="Calibri"/>
                  <w:b/>
                  <w:sz w:val="20"/>
                  <w:szCs w:val="20"/>
                  <w:highlight w:val="lightGray"/>
                </w:rPr>
                <w:alias w:val="Select Risk Level"/>
                <w:tag w:val="Select Risk Level"/>
                <w:id w:val="9338620"/>
                <w:placeholder>
                  <w:docPart w:val="29721D2625798A46BC982A04002CDD05"/>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E3332A">
                  <w:rPr>
                    <w:rFonts w:ascii="Calibri" w:hAnsi="Calibri" w:cs="Calibri"/>
                    <w:b/>
                    <w:sz w:val="20"/>
                    <w:szCs w:val="20"/>
                    <w:highlight w:val="lightGray"/>
                  </w:rPr>
                  <w:t>MODERATE (equates to a risk appetite of EXPLORATORY)</w:t>
                </w:r>
              </w:sdtContent>
            </w:sdt>
          </w:p>
        </w:tc>
        <w:tc>
          <w:tcPr>
            <w:tcW w:w="992"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91" w14:textId="77777777" w:rsidR="00CF33D9" w:rsidRDefault="00E3332A">
            <w:pPr>
              <w:spacing w:before="40" w:after="40"/>
              <w:contextualSpacing/>
              <w:rPr>
                <w:rFonts w:ascii="Calibri" w:hAnsi="Calibri" w:cs="Calibri"/>
                <w:sz w:val="20"/>
                <w:szCs w:val="20"/>
                <w:highlight w:val="lightGray"/>
              </w:rPr>
            </w:pPr>
            <w:r>
              <w:rPr>
                <w:rFonts w:ascii="Calibri" w:hAnsi="Calibri" w:cs="Calibri"/>
                <w:sz w:val="20"/>
                <w:szCs w:val="20"/>
              </w:rPr>
              <w:t xml:space="preserve">From: </w:t>
            </w:r>
            <w:sdt>
              <w:sdtPr>
                <w:rPr>
                  <w:rFonts w:ascii="Calibri" w:hAnsi="Calibri" w:cs="Calibri"/>
                  <w:sz w:val="20"/>
                  <w:szCs w:val="20"/>
                  <w:highlight w:val="lightGray"/>
                </w:rPr>
                <w:alias w:val="Select starting date"/>
                <w:tag w:val="Select starting date"/>
                <w:id w:val="-366521175"/>
                <w:placeholder>
                  <w:docPart w:val="B897C8ADE6AFD8478680BC06493910DF"/>
                </w:placeholder>
                <w:date>
                  <w:dateFormat w:val="dd-MMM-yy"/>
                  <w:lid w:val="en-US"/>
                  <w:storeMappedDataAs w:val="dateTime"/>
                  <w:calendar w:val="gregorian"/>
                </w:date>
              </w:sdtPr>
              <w:sdtEndPr/>
              <w:sdtContent>
                <w:r>
                  <w:rPr>
                    <w:rFonts w:ascii="Calibri" w:hAnsi="Calibri" w:cs="Calibri"/>
                    <w:sz w:val="20"/>
                    <w:szCs w:val="20"/>
                    <w:highlight w:val="lightGray"/>
                  </w:rPr>
                  <w:t>2025</w:t>
                </w:r>
              </w:sdtContent>
            </w:sdt>
          </w:p>
          <w:p w14:paraId="68091692" w14:textId="77777777" w:rsidR="00CF33D9" w:rsidRDefault="00CF33D9">
            <w:pPr>
              <w:spacing w:before="40" w:after="40"/>
              <w:contextualSpacing/>
              <w:rPr>
                <w:rFonts w:ascii="Calibri" w:hAnsi="Calibri" w:cs="Calibri"/>
                <w:sz w:val="20"/>
                <w:szCs w:val="20"/>
                <w:highlight w:val="lightGray"/>
              </w:rPr>
            </w:pPr>
          </w:p>
          <w:p w14:paraId="68091693" w14:textId="77777777" w:rsidR="00CF33D9" w:rsidRDefault="00E3332A">
            <w:pPr>
              <w:spacing w:before="40" w:after="40"/>
              <w:contextualSpacing/>
              <w:rPr>
                <w:rFonts w:ascii="Calibri" w:hAnsi="Calibri" w:cs="Calibri"/>
                <w:sz w:val="20"/>
                <w:szCs w:val="20"/>
              </w:rPr>
            </w:pPr>
            <w:r>
              <w:rPr>
                <w:rFonts w:ascii="Calibri" w:hAnsi="Calibri" w:cs="Calibri"/>
                <w:sz w:val="20"/>
                <w:szCs w:val="20"/>
              </w:rPr>
              <w:t xml:space="preserve">To: </w:t>
            </w:r>
            <w:sdt>
              <w:sdtPr>
                <w:rPr>
                  <w:rFonts w:ascii="Calibri" w:hAnsi="Calibri" w:cs="Calibri"/>
                  <w:sz w:val="20"/>
                  <w:szCs w:val="20"/>
                  <w:highlight w:val="lightGray"/>
                </w:rPr>
                <w:alias w:val="Select End Date"/>
                <w:tag w:val="Select End Date"/>
                <w:id w:val="519980986"/>
                <w:placeholder>
                  <w:docPart w:val="B897C8ADE6AFD8478680BC06493910DF"/>
                </w:placeholder>
                <w:date>
                  <w:dateFormat w:val="dd-MMM-yy"/>
                  <w:lid w:val="en-US"/>
                  <w:storeMappedDataAs w:val="dateTime"/>
                  <w:calendar w:val="gregorian"/>
                </w:date>
              </w:sdtPr>
              <w:sdtEndPr/>
              <w:sdtContent>
                <w:r>
                  <w:rPr>
                    <w:rFonts w:ascii="Calibri" w:hAnsi="Calibri" w:cs="Calibri"/>
                    <w:sz w:val="20"/>
                    <w:szCs w:val="20"/>
                    <w:highlight w:val="lightGray"/>
                  </w:rPr>
                  <w:t>2030</w:t>
                </w:r>
              </w:sdtContent>
            </w:sdt>
          </w:p>
        </w:tc>
        <w:tc>
          <w:tcPr>
            <w:tcW w:w="992"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94" w14:textId="77777777" w:rsidR="00CF33D9" w:rsidRDefault="00E3332A">
            <w:pPr>
              <w:jc w:val="both"/>
              <w:rPr>
                <w:rFonts w:ascii="Calibri" w:eastAsia="Arial Narrow" w:hAnsi="Calibri" w:cs="Calibri"/>
                <w:color w:val="000000"/>
                <w:sz w:val="20"/>
                <w:szCs w:val="20"/>
              </w:rPr>
            </w:pPr>
            <w:r>
              <w:rPr>
                <w:rFonts w:ascii="Calibri" w:eastAsia="Arial Narrow" w:hAnsi="Calibri" w:cs="Calibri"/>
                <w:color w:val="000000"/>
                <w:sz w:val="20"/>
                <w:szCs w:val="20"/>
              </w:rPr>
              <w:t>BCC</w:t>
            </w:r>
          </w:p>
        </w:tc>
        <w:tc>
          <w:tcPr>
            <w:tcW w:w="2977"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95" w14:textId="77777777" w:rsidR="00CF33D9" w:rsidRDefault="00E3332A">
            <w:pPr>
              <w:pStyle w:val="TableParagraph"/>
              <w:ind w:left="107" w:right="139"/>
              <w:rPr>
                <w:sz w:val="20"/>
                <w:szCs w:val="20"/>
              </w:rPr>
            </w:pPr>
            <w:r>
              <w:rPr>
                <w:sz w:val="20"/>
                <w:szCs w:val="20"/>
              </w:rPr>
              <w:t>The project will mitigate this risk by developing adequate training for all relevant stakeholders on marine spatial planning. Given the expertise needed, the project will hire an expert to deliver the trainings. The project will also develop guidelines and brochures to facilitate learning (including videos and other visual resources).</w:t>
            </w:r>
          </w:p>
        </w:tc>
      </w:tr>
      <w:tr w:rsidR="00CF33D9" w14:paraId="680916A8" w14:textId="77777777">
        <w:trPr>
          <w:trHeight w:val="2417"/>
        </w:trPr>
        <w:tc>
          <w:tcPr>
            <w:tcW w:w="567"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97" w14:textId="77777777" w:rsidR="00CF33D9" w:rsidRDefault="00E3332A">
            <w:pPr>
              <w:jc w:val="both"/>
              <w:rPr>
                <w:rFonts w:ascii="Calibri" w:eastAsia="Arial Narrow" w:hAnsi="Calibri" w:cs="Calibri"/>
                <w:color w:val="000000"/>
                <w:sz w:val="20"/>
                <w:szCs w:val="20"/>
              </w:rPr>
            </w:pPr>
            <w:r>
              <w:rPr>
                <w:rFonts w:ascii="Calibri" w:eastAsia="Arial Narrow" w:hAnsi="Calibri" w:cs="Calibri"/>
                <w:color w:val="000000"/>
                <w:sz w:val="20"/>
                <w:szCs w:val="20"/>
              </w:rPr>
              <w:t>13</w:t>
            </w:r>
          </w:p>
        </w:tc>
        <w:tc>
          <w:tcPr>
            <w:tcW w:w="1843"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98" w14:textId="77777777" w:rsidR="00CF33D9" w:rsidRDefault="00E3332A">
            <w:pPr>
              <w:pStyle w:val="TableParagraph"/>
              <w:ind w:left="62"/>
              <w:rPr>
                <w:b/>
                <w:sz w:val="20"/>
                <w:szCs w:val="20"/>
              </w:rPr>
            </w:pPr>
            <w:r>
              <w:rPr>
                <w:b/>
                <w:sz w:val="20"/>
                <w:szCs w:val="20"/>
              </w:rPr>
              <w:t xml:space="preserve">Other Risks 4: </w:t>
            </w:r>
            <w:r>
              <w:rPr>
                <w:bCs/>
                <w:sz w:val="20"/>
                <w:szCs w:val="20"/>
              </w:rPr>
              <w:t xml:space="preserve">The successful implementation of the project largely depends on effective sectoral coordination and communication from different governmental </w:t>
            </w:r>
            <w:r>
              <w:rPr>
                <w:bCs/>
                <w:sz w:val="20"/>
                <w:szCs w:val="20"/>
              </w:rPr>
              <w:lastRenderedPageBreak/>
              <w:t>parties of three different countries. There’s a risk that this coordination among so many stakeholders become challenging and time consuming to take decisions relevant to the project’s activities causing delays in the implementation and increasing costs if more workshops/ meetings than expected are necessary.</w:t>
            </w:r>
          </w:p>
        </w:tc>
        <w:tc>
          <w:tcPr>
            <w:tcW w:w="1418"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99" w14:textId="77777777" w:rsidR="00CF33D9" w:rsidRDefault="00E3332A">
            <w:pPr>
              <w:rPr>
                <w:rFonts w:ascii="Calibri" w:hAnsi="Calibri" w:cs="Calibri"/>
                <w:sz w:val="20"/>
                <w:szCs w:val="20"/>
              </w:rPr>
            </w:pPr>
            <w:r>
              <w:rPr>
                <w:rFonts w:ascii="Calibri" w:hAnsi="Calibri" w:cs="Calibri"/>
                <w:sz w:val="20"/>
                <w:szCs w:val="20"/>
              </w:rPr>
              <w:lastRenderedPageBreak/>
              <w:t>Intersectoral coordination is challenging due to constant changes/ turnover in key personnel.</w:t>
            </w:r>
          </w:p>
        </w:tc>
        <w:tc>
          <w:tcPr>
            <w:tcW w:w="1843"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9A" w14:textId="77777777" w:rsidR="00CF33D9" w:rsidRDefault="00E3332A">
            <w:pPr>
              <w:rPr>
                <w:rFonts w:ascii="Calibri" w:hAnsi="Calibri" w:cs="Calibri"/>
                <w:sz w:val="20"/>
                <w:szCs w:val="20"/>
              </w:rPr>
            </w:pPr>
            <w:r>
              <w:rPr>
                <w:rFonts w:ascii="Calibri" w:hAnsi="Calibri" w:cs="Calibri"/>
                <w:sz w:val="20"/>
                <w:szCs w:val="20"/>
              </w:rPr>
              <w:t>Delays in implementation and lack of support in regulatory amendments.</w:t>
            </w:r>
          </w:p>
        </w:tc>
        <w:tc>
          <w:tcPr>
            <w:tcW w:w="1701"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sdt>
            <w:sdtPr>
              <w:rPr>
                <w:rFonts w:ascii="Calibri" w:hAnsi="Calibri" w:cs="Calibri"/>
                <w:b/>
                <w:sz w:val="20"/>
                <w:szCs w:val="20"/>
                <w:highlight w:val="lightGray"/>
              </w:rPr>
              <w:alias w:val="Select Risk Categories and Sub-categories"/>
              <w:tag w:val="Select Risk Categories and Sub-categories"/>
              <w:id w:val="-1043439361"/>
              <w:placeholder>
                <w:docPart w:val="35AA67BBA3471E4CB7E87EA6F14084E1"/>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6809169B" w14:textId="77777777" w:rsidR="00CF33D9" w:rsidRDefault="00E3332A">
                <w:pPr>
                  <w:spacing w:beforeLines="60" w:before="144" w:afterLines="60" w:after="144"/>
                  <w:contextualSpacing/>
                  <w:rPr>
                    <w:rFonts w:ascii="Calibri" w:hAnsi="Calibri" w:cs="Calibri"/>
                    <w:b/>
                    <w:sz w:val="20"/>
                    <w:szCs w:val="20"/>
                  </w:rPr>
                </w:pPr>
                <w:r>
                  <w:rPr>
                    <w:rFonts w:ascii="Calibri" w:hAnsi="Calibri" w:cs="Calibri"/>
                    <w:b/>
                    <w:sz w:val="20"/>
                    <w:szCs w:val="20"/>
                    <w:highlight w:val="lightGray"/>
                  </w:rPr>
                  <w:t>7. STRATEGIC (7.5. Government commitment) - UNDP Risk Appetite: OPEN TO SEEKING</w:t>
                </w:r>
              </w:p>
            </w:sdtContent>
          </w:sdt>
          <w:p w14:paraId="6809169C" w14:textId="77777777" w:rsidR="00CF33D9" w:rsidRDefault="00CF33D9">
            <w:pPr>
              <w:spacing w:beforeLines="60" w:before="144" w:afterLines="60" w:after="144"/>
              <w:contextualSpacing/>
              <w:rPr>
                <w:rFonts w:ascii="Calibri" w:hAnsi="Calibri" w:cs="Calibri"/>
                <w:b/>
                <w:sz w:val="20"/>
                <w:szCs w:val="20"/>
                <w:highlight w:val="lightGray"/>
              </w:rPr>
            </w:pPr>
          </w:p>
        </w:tc>
        <w:tc>
          <w:tcPr>
            <w:tcW w:w="1559"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9D" w14:textId="77777777" w:rsidR="00CF33D9" w:rsidRDefault="00E3332A">
            <w:pPr>
              <w:spacing w:after="40"/>
              <w:rPr>
                <w:rFonts w:ascii="Calibri" w:hAnsi="Calibri" w:cs="Calibri"/>
                <w:sz w:val="20"/>
                <w:szCs w:val="20"/>
              </w:rPr>
            </w:pPr>
            <w:r>
              <w:rPr>
                <w:rFonts w:ascii="Calibri" w:hAnsi="Calibri" w:cs="Calibri"/>
                <w:sz w:val="20"/>
                <w:szCs w:val="20"/>
              </w:rPr>
              <w:t>Likelihood:</w:t>
            </w:r>
          </w:p>
          <w:p w14:paraId="6809169E" w14:textId="77777777" w:rsidR="00CF33D9" w:rsidRDefault="009B0270">
            <w:pPr>
              <w:spacing w:after="40"/>
              <w:rPr>
                <w:rFonts w:ascii="Calibri" w:hAnsi="Calibri" w:cs="Calibri"/>
                <w:b/>
                <w:sz w:val="20"/>
                <w:szCs w:val="20"/>
              </w:rPr>
            </w:pPr>
            <w:sdt>
              <w:sdtPr>
                <w:rPr>
                  <w:rFonts w:ascii="Calibri" w:hAnsi="Calibri" w:cs="Calibri"/>
                  <w:b/>
                  <w:sz w:val="20"/>
                  <w:szCs w:val="20"/>
                  <w:highlight w:val="lightGray"/>
                </w:rPr>
                <w:alias w:val="Select Likelihood Level"/>
                <w:tag w:val="Select Likelihood Level"/>
                <w:id w:val="2114623047"/>
                <w:placeholder>
                  <w:docPart w:val="7704A114E7915E4CBA949BDAD71CE6AF"/>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E3332A">
                  <w:rPr>
                    <w:rFonts w:ascii="Calibri" w:hAnsi="Calibri" w:cs="Calibri"/>
                    <w:b/>
                    <w:sz w:val="20"/>
                    <w:szCs w:val="20"/>
                    <w:highlight w:val="lightGray"/>
                  </w:rPr>
                  <w:t>3 - Moderately likely</w:t>
                </w:r>
              </w:sdtContent>
            </w:sdt>
          </w:p>
          <w:p w14:paraId="6809169F" w14:textId="77777777" w:rsidR="00CF33D9" w:rsidRDefault="00E3332A">
            <w:pPr>
              <w:spacing w:after="40"/>
              <w:rPr>
                <w:rFonts w:ascii="Calibri" w:hAnsi="Calibri" w:cs="Calibri"/>
                <w:sz w:val="20"/>
                <w:szCs w:val="20"/>
              </w:rPr>
            </w:pPr>
            <w:r>
              <w:rPr>
                <w:rFonts w:ascii="Calibri" w:hAnsi="Calibri" w:cs="Calibri"/>
                <w:sz w:val="20"/>
                <w:szCs w:val="20"/>
              </w:rPr>
              <w:t xml:space="preserve">Impact: </w:t>
            </w:r>
          </w:p>
          <w:p w14:paraId="680916A0" w14:textId="77777777" w:rsidR="00CF33D9" w:rsidRDefault="009B0270">
            <w:pPr>
              <w:spacing w:after="40"/>
              <w:rPr>
                <w:rFonts w:ascii="Calibri" w:hAnsi="Calibri" w:cs="Calibri"/>
                <w:b/>
                <w:sz w:val="20"/>
                <w:szCs w:val="20"/>
                <w:highlight w:val="lightGray"/>
              </w:rPr>
            </w:pPr>
            <w:sdt>
              <w:sdtPr>
                <w:rPr>
                  <w:rFonts w:ascii="Calibri" w:hAnsi="Calibri" w:cs="Calibri"/>
                  <w:b/>
                  <w:sz w:val="20"/>
                  <w:szCs w:val="20"/>
                  <w:highlight w:val="lightGray"/>
                </w:rPr>
                <w:alias w:val="Select Impact Level"/>
                <w:tag w:val="Select Impact Level"/>
                <w:id w:val="-2019379818"/>
                <w:placeholder>
                  <w:docPart w:val="7704A114E7915E4CBA949BDAD71CE6AF"/>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E3332A">
                  <w:rPr>
                    <w:rFonts w:ascii="Calibri" w:hAnsi="Calibri" w:cs="Calibri"/>
                    <w:b/>
                    <w:sz w:val="20"/>
                    <w:szCs w:val="20"/>
                    <w:highlight w:val="lightGray"/>
                  </w:rPr>
                  <w:t>3 - Intermediate</w:t>
                </w:r>
              </w:sdtContent>
            </w:sdt>
          </w:p>
          <w:p w14:paraId="680916A1" w14:textId="77777777" w:rsidR="00CF33D9" w:rsidRDefault="00E3332A">
            <w:pPr>
              <w:spacing w:after="40"/>
              <w:rPr>
                <w:rFonts w:ascii="Calibri" w:hAnsi="Calibri" w:cs="Calibri"/>
                <w:sz w:val="20"/>
                <w:szCs w:val="20"/>
              </w:rPr>
            </w:pPr>
            <w:r>
              <w:rPr>
                <w:rFonts w:ascii="Calibri" w:hAnsi="Calibri" w:cs="Calibri"/>
                <w:sz w:val="20"/>
                <w:szCs w:val="20"/>
              </w:rPr>
              <w:t>Risk level:</w:t>
            </w:r>
          </w:p>
          <w:p w14:paraId="680916A2" w14:textId="77777777" w:rsidR="00CF33D9" w:rsidRDefault="009B0270">
            <w:pPr>
              <w:spacing w:after="40"/>
              <w:rPr>
                <w:rFonts w:ascii="Calibri" w:hAnsi="Calibri" w:cs="Calibri"/>
                <w:sz w:val="20"/>
                <w:szCs w:val="20"/>
              </w:rPr>
            </w:pPr>
            <w:sdt>
              <w:sdtPr>
                <w:rPr>
                  <w:rFonts w:ascii="Calibri" w:hAnsi="Calibri" w:cs="Calibri"/>
                  <w:b/>
                  <w:sz w:val="20"/>
                  <w:szCs w:val="20"/>
                  <w:highlight w:val="lightGray"/>
                </w:rPr>
                <w:alias w:val="Select Risk Level"/>
                <w:tag w:val="Select Risk Level"/>
                <w:id w:val="1813750609"/>
                <w:placeholder>
                  <w:docPart w:val="7704A114E7915E4CBA949BDAD71CE6AF"/>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E3332A">
                  <w:rPr>
                    <w:rFonts w:ascii="Calibri" w:hAnsi="Calibri" w:cs="Calibri"/>
                    <w:b/>
                    <w:sz w:val="20"/>
                    <w:szCs w:val="20"/>
                    <w:highlight w:val="lightGray"/>
                  </w:rPr>
                  <w:t xml:space="preserve">MODERATE (equates to a </w:t>
                </w:r>
                <w:r w:rsidR="00E3332A">
                  <w:rPr>
                    <w:rFonts w:ascii="Calibri" w:hAnsi="Calibri" w:cs="Calibri"/>
                    <w:b/>
                    <w:sz w:val="20"/>
                    <w:szCs w:val="20"/>
                    <w:highlight w:val="lightGray"/>
                  </w:rPr>
                  <w:lastRenderedPageBreak/>
                  <w:t>risk appetite of EXPLORATORY)</w:t>
                </w:r>
              </w:sdtContent>
            </w:sdt>
          </w:p>
        </w:tc>
        <w:tc>
          <w:tcPr>
            <w:tcW w:w="992"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A3" w14:textId="77777777" w:rsidR="00CF33D9" w:rsidRDefault="00E3332A">
            <w:pPr>
              <w:spacing w:before="40" w:after="40"/>
              <w:contextualSpacing/>
              <w:rPr>
                <w:rFonts w:ascii="Calibri" w:hAnsi="Calibri" w:cs="Calibri"/>
                <w:sz w:val="20"/>
                <w:szCs w:val="20"/>
                <w:highlight w:val="lightGray"/>
              </w:rPr>
            </w:pPr>
            <w:r>
              <w:rPr>
                <w:rFonts w:ascii="Calibri" w:hAnsi="Calibri" w:cs="Calibri"/>
                <w:sz w:val="20"/>
                <w:szCs w:val="20"/>
              </w:rPr>
              <w:lastRenderedPageBreak/>
              <w:t xml:space="preserve">From: </w:t>
            </w:r>
            <w:sdt>
              <w:sdtPr>
                <w:rPr>
                  <w:rFonts w:ascii="Calibri" w:hAnsi="Calibri" w:cs="Calibri"/>
                  <w:sz w:val="20"/>
                  <w:szCs w:val="20"/>
                  <w:highlight w:val="lightGray"/>
                </w:rPr>
                <w:alias w:val="Select starting date"/>
                <w:tag w:val="Select starting date"/>
                <w:id w:val="-1050690660"/>
                <w:placeholder>
                  <w:docPart w:val="84D43B148A90734EBA9237723109BFB1"/>
                </w:placeholder>
                <w:date>
                  <w:dateFormat w:val="dd-MMM-yy"/>
                  <w:lid w:val="en-US"/>
                  <w:storeMappedDataAs w:val="dateTime"/>
                  <w:calendar w:val="gregorian"/>
                </w:date>
              </w:sdtPr>
              <w:sdtEndPr/>
              <w:sdtContent>
                <w:r>
                  <w:rPr>
                    <w:rFonts w:ascii="Calibri" w:hAnsi="Calibri" w:cs="Calibri"/>
                    <w:sz w:val="20"/>
                    <w:szCs w:val="20"/>
                    <w:highlight w:val="lightGray"/>
                  </w:rPr>
                  <w:t>2025</w:t>
                </w:r>
              </w:sdtContent>
            </w:sdt>
          </w:p>
          <w:p w14:paraId="680916A4" w14:textId="77777777" w:rsidR="00CF33D9" w:rsidRDefault="00CF33D9">
            <w:pPr>
              <w:spacing w:before="40" w:after="40"/>
              <w:contextualSpacing/>
              <w:rPr>
                <w:rFonts w:ascii="Calibri" w:hAnsi="Calibri" w:cs="Calibri"/>
                <w:sz w:val="20"/>
                <w:szCs w:val="20"/>
                <w:highlight w:val="lightGray"/>
              </w:rPr>
            </w:pPr>
          </w:p>
          <w:p w14:paraId="680916A5" w14:textId="77777777" w:rsidR="00CF33D9" w:rsidRDefault="00E3332A">
            <w:pPr>
              <w:spacing w:before="40" w:after="40"/>
              <w:contextualSpacing/>
              <w:rPr>
                <w:rFonts w:ascii="Calibri" w:hAnsi="Calibri" w:cs="Calibri"/>
                <w:sz w:val="20"/>
                <w:szCs w:val="20"/>
              </w:rPr>
            </w:pPr>
            <w:r>
              <w:rPr>
                <w:rFonts w:ascii="Calibri" w:hAnsi="Calibri" w:cs="Calibri"/>
                <w:sz w:val="20"/>
                <w:szCs w:val="20"/>
              </w:rPr>
              <w:t xml:space="preserve">To: </w:t>
            </w:r>
            <w:sdt>
              <w:sdtPr>
                <w:rPr>
                  <w:rFonts w:ascii="Calibri" w:hAnsi="Calibri" w:cs="Calibri"/>
                  <w:sz w:val="20"/>
                  <w:szCs w:val="20"/>
                  <w:highlight w:val="lightGray"/>
                </w:rPr>
                <w:alias w:val="Select End Date"/>
                <w:tag w:val="Select End Date"/>
                <w:id w:val="-1470895829"/>
                <w:placeholder>
                  <w:docPart w:val="84D43B148A90734EBA9237723109BFB1"/>
                </w:placeholder>
                <w:date>
                  <w:dateFormat w:val="dd-MMM-yy"/>
                  <w:lid w:val="en-US"/>
                  <w:storeMappedDataAs w:val="dateTime"/>
                  <w:calendar w:val="gregorian"/>
                </w:date>
              </w:sdtPr>
              <w:sdtEndPr/>
              <w:sdtContent>
                <w:r>
                  <w:rPr>
                    <w:rFonts w:ascii="Calibri" w:hAnsi="Calibri" w:cs="Calibri"/>
                    <w:sz w:val="20"/>
                    <w:szCs w:val="20"/>
                    <w:highlight w:val="lightGray"/>
                  </w:rPr>
                  <w:t>2030</w:t>
                </w:r>
              </w:sdtContent>
            </w:sdt>
          </w:p>
        </w:tc>
        <w:tc>
          <w:tcPr>
            <w:tcW w:w="992"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A6" w14:textId="77777777" w:rsidR="00CF33D9" w:rsidRDefault="00E3332A">
            <w:pPr>
              <w:jc w:val="both"/>
              <w:rPr>
                <w:rFonts w:ascii="Calibri" w:eastAsia="Arial Narrow" w:hAnsi="Calibri" w:cs="Calibri"/>
                <w:color w:val="000000"/>
                <w:sz w:val="20"/>
                <w:szCs w:val="20"/>
              </w:rPr>
            </w:pPr>
            <w:r>
              <w:rPr>
                <w:rFonts w:ascii="Calibri" w:eastAsia="Arial Narrow" w:hAnsi="Calibri" w:cs="Calibri"/>
                <w:color w:val="000000"/>
                <w:sz w:val="20"/>
                <w:szCs w:val="20"/>
              </w:rPr>
              <w:t>BCC</w:t>
            </w:r>
          </w:p>
        </w:tc>
        <w:tc>
          <w:tcPr>
            <w:tcW w:w="2977" w:type="dxa"/>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16A7" w14:textId="77777777" w:rsidR="00CF33D9" w:rsidRDefault="00E3332A">
            <w:pPr>
              <w:pStyle w:val="TableParagraph"/>
              <w:ind w:left="107" w:right="139"/>
              <w:rPr>
                <w:sz w:val="20"/>
                <w:szCs w:val="20"/>
              </w:rPr>
            </w:pPr>
            <w:r>
              <w:rPr>
                <w:sz w:val="20"/>
                <w:szCs w:val="20"/>
              </w:rPr>
              <w:t xml:space="preserve">During the PPG, a stakeholder analysis was conducted, and where the main stakeholders of the project, participation mechanisms and consultations during project formulation, governance aspects of the project, the communication and information management strategy, dispute resolution </w:t>
            </w:r>
            <w:r>
              <w:rPr>
                <w:sz w:val="20"/>
                <w:szCs w:val="20"/>
              </w:rPr>
              <w:lastRenderedPageBreak/>
              <w:t>mechanisms, among others, are identified. In addition, the role of each stakeholder in project implementation is detailed. Various mechanisms depending on the degree of involvement required of the stakeholders and their role in the project will be used, these may include workshops, meetings, field visits, and interviews, among others.</w:t>
            </w:r>
          </w:p>
        </w:tc>
      </w:tr>
    </w:tbl>
    <w:p w14:paraId="680916A9" w14:textId="77777777" w:rsidR="00CF33D9" w:rsidRDefault="00E3332A">
      <w:pPr>
        <w:keepNext/>
        <w:spacing w:after="60"/>
        <w:jc w:val="both"/>
        <w:rPr>
          <w:rFonts w:ascii="Calibri" w:eastAsia="Arial Narrow" w:hAnsi="Calibri" w:cs="Calibri"/>
          <w:sz w:val="20"/>
          <w:szCs w:val="20"/>
        </w:rPr>
        <w:sectPr w:rsidR="00CF33D9">
          <w:headerReference w:type="even" r:id="rId70"/>
          <w:headerReference w:type="default" r:id="rId71"/>
          <w:footerReference w:type="default" r:id="rId72"/>
          <w:headerReference w:type="first" r:id="rId73"/>
          <w:pgSz w:w="15840" w:h="12240" w:orient="landscape"/>
          <w:pgMar w:top="720" w:right="720" w:bottom="720" w:left="720" w:header="720" w:footer="720" w:gutter="0"/>
          <w:cols w:space="720"/>
        </w:sectPr>
      </w:pPr>
      <w:r>
        <w:rPr>
          <w:rFonts w:ascii="Calibri" w:hAnsi="Calibri" w:cs="Calibri"/>
          <w:sz w:val="20"/>
          <w:szCs w:val="20"/>
        </w:rPr>
        <w:lastRenderedPageBreak/>
        <w:br w:type="page"/>
      </w:r>
    </w:p>
    <w:p w14:paraId="680916AA" w14:textId="77777777" w:rsidR="00CF33D9" w:rsidRDefault="00E3332A">
      <w:pPr>
        <w:pStyle w:val="Heading2"/>
        <w:ind w:firstLine="720"/>
        <w:rPr>
          <w:rFonts w:ascii="Calibri" w:hAnsi="Calibri" w:cs="Calibri"/>
          <w:szCs w:val="20"/>
        </w:rPr>
      </w:pPr>
      <w:bookmarkStart w:id="42" w:name="_Toc169739175"/>
      <w:r>
        <w:rPr>
          <w:rFonts w:ascii="Calibri" w:hAnsi="Calibri" w:cs="Calibri"/>
          <w:szCs w:val="20"/>
        </w:rPr>
        <w:lastRenderedPageBreak/>
        <w:t xml:space="preserve">Annex 6: </w:t>
      </w:r>
      <w:r>
        <w:rPr>
          <w:rFonts w:ascii="Calibri" w:eastAsia="Calibri" w:hAnsi="Calibri" w:cs="Calibri"/>
          <w:szCs w:val="20"/>
        </w:rPr>
        <w:t>Overview of Technical Consultancies</w:t>
      </w:r>
      <w:bookmarkEnd w:id="42"/>
    </w:p>
    <w:p w14:paraId="680916AB" w14:textId="77777777" w:rsidR="00CF33D9" w:rsidRDefault="00E3332A">
      <w:pPr>
        <w:spacing w:after="60"/>
        <w:jc w:val="both"/>
        <w:rPr>
          <w:rFonts w:ascii="Calibri" w:eastAsia="Calibri" w:hAnsi="Calibri" w:cs="Calibri"/>
          <w:i/>
          <w:sz w:val="20"/>
          <w:szCs w:val="20"/>
        </w:rPr>
      </w:pPr>
      <w:r>
        <w:rPr>
          <w:rFonts w:ascii="Calibri" w:eastAsia="Calibri" w:hAnsi="Calibri" w:cs="Calibri"/>
          <w:sz w:val="20"/>
          <w:szCs w:val="20"/>
        </w:rPr>
        <w:br/>
      </w:r>
    </w:p>
    <w:tbl>
      <w:tblPr>
        <w:tblStyle w:val="TableGrid"/>
        <w:tblW w:w="0" w:type="auto"/>
        <w:tblLook w:val="04A0" w:firstRow="1" w:lastRow="0" w:firstColumn="1" w:lastColumn="0" w:noHBand="0" w:noVBand="1"/>
      </w:tblPr>
      <w:tblGrid>
        <w:gridCol w:w="1555"/>
        <w:gridCol w:w="1842"/>
        <w:gridCol w:w="5619"/>
      </w:tblGrid>
      <w:tr w:rsidR="00CF33D9" w14:paraId="680916AF" w14:textId="77777777">
        <w:trPr>
          <w:tblHeader/>
        </w:trPr>
        <w:tc>
          <w:tcPr>
            <w:tcW w:w="1555" w:type="dxa"/>
            <w:shd w:val="clear" w:color="auto" w:fill="E7E6E6" w:themeFill="background2"/>
          </w:tcPr>
          <w:p w14:paraId="680916AC" w14:textId="77777777" w:rsidR="00CF33D9" w:rsidRDefault="00E3332A">
            <w:pPr>
              <w:jc w:val="center"/>
              <w:rPr>
                <w:rFonts w:eastAsia="SimSun" w:cs="Calibri"/>
                <w:b/>
                <w:bCs/>
                <w:sz w:val="20"/>
                <w:szCs w:val="20"/>
              </w:rPr>
            </w:pPr>
            <w:r>
              <w:rPr>
                <w:rFonts w:eastAsia="SimSun" w:cs="Calibri"/>
                <w:b/>
                <w:bCs/>
                <w:sz w:val="20"/>
                <w:szCs w:val="20"/>
              </w:rPr>
              <w:t>Consultant</w:t>
            </w:r>
          </w:p>
        </w:tc>
        <w:tc>
          <w:tcPr>
            <w:tcW w:w="1842" w:type="dxa"/>
            <w:shd w:val="clear" w:color="auto" w:fill="E7E6E6" w:themeFill="background2"/>
          </w:tcPr>
          <w:p w14:paraId="680916AD" w14:textId="77777777" w:rsidR="00CF33D9" w:rsidRDefault="00E3332A">
            <w:pPr>
              <w:jc w:val="center"/>
              <w:rPr>
                <w:rFonts w:eastAsia="SimSun" w:cs="Calibri"/>
                <w:b/>
                <w:bCs/>
                <w:sz w:val="20"/>
                <w:szCs w:val="20"/>
              </w:rPr>
            </w:pPr>
            <w:r>
              <w:rPr>
                <w:rFonts w:eastAsia="SimSun" w:cs="Calibri"/>
                <w:b/>
                <w:bCs/>
                <w:sz w:val="20"/>
                <w:szCs w:val="20"/>
              </w:rPr>
              <w:t>Input</w:t>
            </w:r>
          </w:p>
        </w:tc>
        <w:tc>
          <w:tcPr>
            <w:tcW w:w="5619" w:type="dxa"/>
            <w:shd w:val="clear" w:color="auto" w:fill="E7E6E6" w:themeFill="background2"/>
          </w:tcPr>
          <w:p w14:paraId="680916AE" w14:textId="77777777" w:rsidR="00CF33D9" w:rsidRDefault="00E3332A">
            <w:pPr>
              <w:jc w:val="center"/>
              <w:rPr>
                <w:rFonts w:eastAsia="SimSun" w:cs="Calibri"/>
                <w:b/>
                <w:bCs/>
                <w:sz w:val="20"/>
                <w:szCs w:val="20"/>
              </w:rPr>
            </w:pPr>
            <w:r>
              <w:rPr>
                <w:rFonts w:eastAsia="SimSun" w:cs="Calibri"/>
                <w:b/>
                <w:bCs/>
                <w:sz w:val="20"/>
                <w:szCs w:val="20"/>
              </w:rPr>
              <w:t>Tasks, expertise</w:t>
            </w:r>
          </w:p>
        </w:tc>
      </w:tr>
      <w:tr w:rsidR="00CF33D9" w14:paraId="680916BC" w14:textId="77777777">
        <w:tc>
          <w:tcPr>
            <w:tcW w:w="1555" w:type="dxa"/>
          </w:tcPr>
          <w:p w14:paraId="680916B0" w14:textId="77777777" w:rsidR="00CF33D9" w:rsidRDefault="00E3332A">
            <w:pPr>
              <w:rPr>
                <w:rFonts w:eastAsia="SimSun" w:cs="Calibri"/>
                <w:b/>
                <w:bCs/>
                <w:sz w:val="20"/>
                <w:szCs w:val="20"/>
              </w:rPr>
            </w:pPr>
            <w:r>
              <w:rPr>
                <w:rFonts w:eastAsia="SimSun" w:cs="Calibri"/>
                <w:b/>
                <w:bCs/>
                <w:sz w:val="20"/>
                <w:szCs w:val="20"/>
              </w:rPr>
              <w:t>Knowledge Management Expert</w:t>
            </w:r>
          </w:p>
        </w:tc>
        <w:tc>
          <w:tcPr>
            <w:tcW w:w="1842" w:type="dxa"/>
          </w:tcPr>
          <w:p w14:paraId="680916B1" w14:textId="77777777" w:rsidR="00CF33D9" w:rsidRDefault="00E3332A">
            <w:pPr>
              <w:rPr>
                <w:rFonts w:eastAsia="SimSun" w:cs="Calibri"/>
                <w:sz w:val="20"/>
                <w:szCs w:val="20"/>
              </w:rPr>
            </w:pPr>
            <w:r>
              <w:rPr>
                <w:rFonts w:eastAsia="SimSun" w:cs="Calibri"/>
                <w:sz w:val="20"/>
                <w:szCs w:val="20"/>
              </w:rPr>
              <w:t>50 working weeks over 6 years</w:t>
            </w:r>
          </w:p>
        </w:tc>
        <w:tc>
          <w:tcPr>
            <w:tcW w:w="5619" w:type="dxa"/>
          </w:tcPr>
          <w:p w14:paraId="680916B2" w14:textId="77777777" w:rsidR="00CF33D9" w:rsidRDefault="00E3332A">
            <w:pPr>
              <w:numPr>
                <w:ilvl w:val="0"/>
                <w:numId w:val="74"/>
              </w:numPr>
              <w:contextualSpacing/>
              <w:rPr>
                <w:rFonts w:eastAsia="SimSun" w:cs="Calibri"/>
                <w:iCs/>
                <w:sz w:val="20"/>
                <w:szCs w:val="20"/>
              </w:rPr>
            </w:pPr>
            <w:r>
              <w:rPr>
                <w:rFonts w:eastAsia="SimSun" w:cs="Calibri"/>
                <w:iCs/>
                <w:sz w:val="20"/>
                <w:szCs w:val="20"/>
              </w:rPr>
              <w:t>Be responsible for the organisation of the Knowledge Management activities of the project</w:t>
            </w:r>
          </w:p>
          <w:p w14:paraId="680916B3" w14:textId="77777777" w:rsidR="00CF33D9" w:rsidRDefault="00E3332A">
            <w:pPr>
              <w:numPr>
                <w:ilvl w:val="0"/>
                <w:numId w:val="74"/>
              </w:numPr>
              <w:contextualSpacing/>
              <w:rPr>
                <w:rFonts w:eastAsia="SimSun" w:cs="Calibri"/>
                <w:iCs/>
                <w:sz w:val="20"/>
                <w:szCs w:val="20"/>
              </w:rPr>
            </w:pPr>
            <w:r>
              <w:rPr>
                <w:rFonts w:eastAsia="SimSun" w:cs="Calibri"/>
                <w:color w:val="000000"/>
                <w:sz w:val="20"/>
                <w:szCs w:val="20"/>
              </w:rPr>
              <w:t>Assisting to design and put into operation the SBE Observatory and information and knowledge exchange platform in coordination;</w:t>
            </w:r>
          </w:p>
          <w:p w14:paraId="680916B4" w14:textId="77777777" w:rsidR="00CF33D9" w:rsidRDefault="00E3332A">
            <w:pPr>
              <w:numPr>
                <w:ilvl w:val="0"/>
                <w:numId w:val="74"/>
              </w:numPr>
              <w:contextualSpacing/>
              <w:rPr>
                <w:rFonts w:eastAsia="SimSun" w:cs="Calibri"/>
                <w:iCs/>
                <w:sz w:val="20"/>
                <w:szCs w:val="20"/>
              </w:rPr>
            </w:pPr>
            <w:r>
              <w:rPr>
                <w:rFonts w:eastAsia="SimSun" w:cs="Calibri"/>
                <w:color w:val="000000"/>
                <w:sz w:val="20"/>
                <w:szCs w:val="20"/>
              </w:rPr>
              <w:t>Develop Communications Strategy of the project and conduct an awareness-raising campaign to publicize the results of the project;</w:t>
            </w:r>
          </w:p>
          <w:p w14:paraId="680916B5" w14:textId="77777777" w:rsidR="00CF33D9" w:rsidRDefault="00E3332A">
            <w:pPr>
              <w:numPr>
                <w:ilvl w:val="0"/>
                <w:numId w:val="74"/>
              </w:numPr>
              <w:contextualSpacing/>
              <w:rPr>
                <w:rFonts w:eastAsia="SimSun" w:cs="Calibri"/>
                <w:iCs/>
                <w:sz w:val="20"/>
                <w:szCs w:val="20"/>
              </w:rPr>
            </w:pPr>
            <w:r>
              <w:rPr>
                <w:rFonts w:eastAsia="SimSun" w:cs="Calibri"/>
                <w:color w:val="000000"/>
                <w:sz w:val="20"/>
                <w:szCs w:val="20"/>
              </w:rPr>
              <w:t>Assist to design of the project's web page</w:t>
            </w:r>
            <w:r>
              <w:rPr>
                <w:rFonts w:eastAsia="SimSun" w:cs="Calibri"/>
                <w:iCs/>
                <w:sz w:val="20"/>
                <w:szCs w:val="20"/>
              </w:rPr>
              <w:t>;</w:t>
            </w:r>
          </w:p>
          <w:p w14:paraId="680916B6" w14:textId="77777777" w:rsidR="00CF33D9" w:rsidRDefault="00E3332A">
            <w:pPr>
              <w:numPr>
                <w:ilvl w:val="0"/>
                <w:numId w:val="74"/>
              </w:numPr>
              <w:contextualSpacing/>
              <w:rPr>
                <w:rFonts w:eastAsia="SimSun" w:cs="Calibri"/>
                <w:iCs/>
                <w:sz w:val="20"/>
                <w:szCs w:val="20"/>
              </w:rPr>
            </w:pPr>
            <w:r>
              <w:rPr>
                <w:rFonts w:eastAsia="SimSun" w:cs="Calibri"/>
                <w:iCs/>
                <w:sz w:val="20"/>
                <w:szCs w:val="20"/>
              </w:rPr>
              <w:t>Assist in the preparation of progress reports;</w:t>
            </w:r>
          </w:p>
          <w:p w14:paraId="680916B7" w14:textId="77777777" w:rsidR="00CF33D9" w:rsidRDefault="00E3332A">
            <w:pPr>
              <w:numPr>
                <w:ilvl w:val="0"/>
                <w:numId w:val="74"/>
              </w:numPr>
              <w:contextualSpacing/>
              <w:rPr>
                <w:rFonts w:eastAsia="SimSun" w:cs="Calibri"/>
                <w:iCs/>
                <w:sz w:val="20"/>
                <w:szCs w:val="20"/>
              </w:rPr>
            </w:pPr>
            <w:r>
              <w:rPr>
                <w:rFonts w:eastAsia="SimSun" w:cs="Calibri"/>
                <w:color w:val="000000"/>
                <w:sz w:val="20"/>
                <w:szCs w:val="20"/>
              </w:rPr>
              <w:t>Assist in developing training materials for the national and regional trainings;</w:t>
            </w:r>
          </w:p>
          <w:p w14:paraId="680916B8" w14:textId="77777777" w:rsidR="00CF33D9" w:rsidRDefault="00E3332A">
            <w:pPr>
              <w:numPr>
                <w:ilvl w:val="0"/>
                <w:numId w:val="74"/>
              </w:numPr>
              <w:contextualSpacing/>
              <w:rPr>
                <w:rFonts w:eastAsia="SimSun" w:cs="Calibri"/>
                <w:iCs/>
                <w:sz w:val="20"/>
                <w:szCs w:val="20"/>
              </w:rPr>
            </w:pPr>
            <w:r>
              <w:rPr>
                <w:rFonts w:eastAsia="SimSun" w:cs="Calibri"/>
                <w:color w:val="000000"/>
                <w:sz w:val="20"/>
                <w:szCs w:val="20"/>
              </w:rPr>
              <w:t>Ensure the production and distribution of materials relative to project’s technical subjects;</w:t>
            </w:r>
          </w:p>
          <w:p w14:paraId="680916B9" w14:textId="77777777" w:rsidR="00CF33D9" w:rsidRDefault="00E3332A">
            <w:pPr>
              <w:numPr>
                <w:ilvl w:val="0"/>
                <w:numId w:val="74"/>
              </w:numPr>
              <w:contextualSpacing/>
              <w:rPr>
                <w:rFonts w:eastAsia="SimSun" w:cs="Calibri"/>
                <w:iCs/>
                <w:sz w:val="20"/>
                <w:szCs w:val="20"/>
              </w:rPr>
            </w:pPr>
            <w:r>
              <w:rPr>
                <w:rFonts w:eastAsia="SimSun" w:cs="Calibri"/>
                <w:iCs/>
                <w:sz w:val="20"/>
                <w:szCs w:val="20"/>
              </w:rPr>
              <w:t>Ensure all project documentation (progress reports, consulting and other technical reports, minutes of meetings, etc.) are properly maintained in hard and electronic copies in an efficient and readily accessible filing system, for when required by PB, TAC, UNDP, project consultants and other PMU staff;</w:t>
            </w:r>
          </w:p>
          <w:p w14:paraId="680916BA" w14:textId="77777777" w:rsidR="00CF33D9" w:rsidRDefault="00E3332A">
            <w:pPr>
              <w:numPr>
                <w:ilvl w:val="0"/>
                <w:numId w:val="74"/>
              </w:numPr>
              <w:contextualSpacing/>
              <w:rPr>
                <w:rFonts w:eastAsia="SimSun" w:cs="Calibri"/>
                <w:i/>
                <w:sz w:val="20"/>
                <w:szCs w:val="20"/>
              </w:rPr>
            </w:pPr>
            <w:r>
              <w:rPr>
                <w:rFonts w:eastAsia="SimSun" w:cs="Calibri"/>
                <w:iCs/>
                <w:sz w:val="20"/>
                <w:szCs w:val="20"/>
              </w:rPr>
              <w:t>Provide KM-related administrative and logistical assistance;</w:t>
            </w:r>
          </w:p>
          <w:p w14:paraId="680916BB" w14:textId="77777777" w:rsidR="00CF33D9" w:rsidRDefault="00E3332A">
            <w:pPr>
              <w:numPr>
                <w:ilvl w:val="0"/>
                <w:numId w:val="74"/>
              </w:numPr>
              <w:contextualSpacing/>
              <w:rPr>
                <w:rFonts w:eastAsia="SimSun" w:cs="Calibri"/>
                <w:i/>
                <w:sz w:val="20"/>
                <w:szCs w:val="20"/>
              </w:rPr>
            </w:pPr>
            <w:r>
              <w:rPr>
                <w:rFonts w:eastAsia="SimSun" w:cs="Calibri"/>
                <w:color w:val="000000"/>
                <w:sz w:val="20"/>
                <w:szCs w:val="20"/>
              </w:rPr>
              <w:t>Support the integration of project learnings and knowledge products into IW: LEARN</w:t>
            </w:r>
          </w:p>
        </w:tc>
      </w:tr>
    </w:tbl>
    <w:p w14:paraId="680916BD" w14:textId="77777777" w:rsidR="00CF33D9" w:rsidRDefault="00CF33D9">
      <w:pPr>
        <w:spacing w:after="60"/>
        <w:jc w:val="both"/>
        <w:rPr>
          <w:rFonts w:ascii="Calibri" w:eastAsia="Calibri" w:hAnsi="Calibri" w:cs="Calibri"/>
          <w:i/>
          <w:sz w:val="20"/>
          <w:szCs w:val="20"/>
        </w:rPr>
      </w:pPr>
    </w:p>
    <w:p w14:paraId="680916BE" w14:textId="77777777" w:rsidR="00CF33D9" w:rsidRDefault="00CF33D9">
      <w:pPr>
        <w:spacing w:after="60"/>
        <w:jc w:val="both"/>
        <w:rPr>
          <w:rFonts w:ascii="Calibri" w:eastAsia="Calibri" w:hAnsi="Calibri" w:cs="Calibri"/>
          <w:b/>
          <w:sz w:val="20"/>
          <w:szCs w:val="20"/>
        </w:rPr>
      </w:pPr>
    </w:p>
    <w:p w14:paraId="680916BF" w14:textId="77777777" w:rsidR="00CF33D9" w:rsidRDefault="00E3332A">
      <w:pPr>
        <w:jc w:val="both"/>
        <w:rPr>
          <w:rFonts w:ascii="Calibri" w:eastAsia="Arial Narrow" w:hAnsi="Calibri" w:cs="Calibri"/>
          <w:b/>
          <w:sz w:val="20"/>
          <w:szCs w:val="20"/>
        </w:rPr>
        <w:sectPr w:rsidR="00CF33D9">
          <w:pgSz w:w="12220" w:h="15840"/>
          <w:pgMar w:top="720" w:right="720" w:bottom="720" w:left="720" w:header="720" w:footer="720" w:gutter="0"/>
          <w:cols w:space="720"/>
          <w:docGrid w:linePitch="326"/>
        </w:sectPr>
      </w:pPr>
      <w:r>
        <w:rPr>
          <w:rFonts w:ascii="Calibri" w:hAnsi="Calibri" w:cs="Calibri"/>
          <w:sz w:val="20"/>
          <w:szCs w:val="20"/>
        </w:rPr>
        <w:br w:type="page"/>
      </w:r>
    </w:p>
    <w:p w14:paraId="680916C0" w14:textId="77777777" w:rsidR="00CF33D9" w:rsidRDefault="00E3332A">
      <w:pPr>
        <w:pStyle w:val="Heading2"/>
        <w:rPr>
          <w:rFonts w:ascii="Calibri" w:hAnsi="Calibri" w:cs="Calibri"/>
          <w:szCs w:val="20"/>
        </w:rPr>
      </w:pPr>
      <w:bookmarkStart w:id="43" w:name="_Toc169739176"/>
      <w:r>
        <w:rPr>
          <w:rFonts w:ascii="Calibri" w:hAnsi="Calibri" w:cs="Calibri"/>
          <w:szCs w:val="20"/>
        </w:rPr>
        <w:lastRenderedPageBreak/>
        <w:t>Annex 7: Stakeholder Engagement Plan</w:t>
      </w:r>
      <w:bookmarkEnd w:id="43"/>
      <w:r>
        <w:rPr>
          <w:rFonts w:ascii="Calibri" w:hAnsi="Calibri" w:cs="Calibri"/>
          <w:szCs w:val="20"/>
        </w:rPr>
        <w:t xml:space="preserve"> </w:t>
      </w:r>
    </w:p>
    <w:p w14:paraId="680916C1" w14:textId="77777777" w:rsidR="00CF33D9" w:rsidRDefault="00CF33D9">
      <w:pPr>
        <w:rPr>
          <w:rFonts w:ascii="Calibri" w:eastAsia="Calibri" w:hAnsi="Calibri" w:cs="Calibri"/>
          <w:sz w:val="20"/>
          <w:szCs w:val="20"/>
        </w:rPr>
      </w:pPr>
    </w:p>
    <w:p w14:paraId="680916C2" w14:textId="77777777" w:rsidR="00CF33D9" w:rsidRDefault="00E3332A">
      <w:pPr>
        <w:pStyle w:val="NoSpacing"/>
        <w:spacing w:after="160" w:line="259" w:lineRule="auto"/>
        <w:rPr>
          <w:rFonts w:ascii="Calibri" w:eastAsia="Calibri" w:hAnsi="Calibri" w:cs="Calibri"/>
          <w:sz w:val="20"/>
          <w:szCs w:val="20"/>
        </w:rPr>
      </w:pPr>
      <w:r>
        <w:rPr>
          <w:rFonts w:ascii="Calibri" w:eastAsia="Calibri" w:hAnsi="Calibri" w:cs="Calibri"/>
          <w:sz w:val="20"/>
          <w:szCs w:val="20"/>
        </w:rPr>
        <w:br w:type="page"/>
      </w:r>
    </w:p>
    <w:sdt>
      <w:sdtPr>
        <w:rPr>
          <w:rFonts w:ascii="Calibri" w:eastAsiaTheme="minorHAnsi" w:hAnsi="Calibri" w:cs="Calibri"/>
          <w:sz w:val="20"/>
          <w:szCs w:val="20"/>
        </w:rPr>
        <w:id w:val="-527868103"/>
        <w:docPartObj>
          <w:docPartGallery w:val="AutoText"/>
        </w:docPartObj>
      </w:sdtPr>
      <w:sdtEndPr>
        <w:rPr>
          <w:rFonts w:eastAsia="Times New Roman"/>
        </w:rPr>
      </w:sdtEndPr>
      <w:sdtContent>
        <w:p w14:paraId="680916C3" w14:textId="77777777" w:rsidR="00CF33D9" w:rsidRDefault="00E3332A">
          <w:pPr>
            <w:pStyle w:val="NoSpacing"/>
            <w:spacing w:after="160" w:line="259" w:lineRule="auto"/>
            <w:rPr>
              <w:rFonts w:ascii="Calibri" w:eastAsiaTheme="minorHAnsi" w:hAnsi="Calibri" w:cs="Calibri"/>
              <w:sz w:val="20"/>
              <w:szCs w:val="20"/>
            </w:rPr>
          </w:pPr>
          <w:r>
            <w:rPr>
              <w:rFonts w:ascii="Calibri" w:eastAsiaTheme="minorHAnsi" w:hAnsi="Calibri" w:cs="Calibri"/>
              <w:noProof/>
              <w:sz w:val="20"/>
              <w:szCs w:val="20"/>
              <w14:ligatures w14:val="standardContextual"/>
            </w:rPr>
            <w:drawing>
              <wp:inline distT="0" distB="0" distL="0" distR="0" wp14:anchorId="680922F7" wp14:editId="680922F8">
                <wp:extent cx="1894205" cy="1219200"/>
                <wp:effectExtent l="0" t="0" r="0" b="0"/>
                <wp:docPr id="11018769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876965" name="Picture 1"/>
                        <pic:cNvPicPr>
                          <a:picLocks noChangeAspect="1"/>
                        </pic:cNvPicPr>
                      </pic:nvPicPr>
                      <pic:blipFill>
                        <a:blip r:embed="rId74">
                          <a:extLst>
                            <a:ext uri="{28A0092B-C50C-407E-A947-70E740481C1C}">
                              <a14:useLocalDpi xmlns:a14="http://schemas.microsoft.com/office/drawing/2010/main" val="0"/>
                            </a:ext>
                          </a:extLst>
                        </a:blip>
                        <a:stretch>
                          <a:fillRect/>
                        </a:stretch>
                      </pic:blipFill>
                      <pic:spPr>
                        <a:xfrm>
                          <a:off x="0" y="0"/>
                          <a:ext cx="1914798" cy="1232131"/>
                        </a:xfrm>
                        <a:prstGeom prst="rect">
                          <a:avLst/>
                        </a:prstGeom>
                      </pic:spPr>
                    </pic:pic>
                  </a:graphicData>
                </a:graphic>
              </wp:inline>
            </w:drawing>
          </w:r>
          <w:r>
            <w:rPr>
              <w:rFonts w:ascii="Calibri" w:eastAsiaTheme="minorHAnsi" w:hAnsi="Calibri" w:cs="Calibri"/>
              <w:sz w:val="20"/>
              <w:szCs w:val="20"/>
            </w:rPr>
            <w:t xml:space="preserve">    </w:t>
          </w:r>
          <w:r>
            <w:rPr>
              <w:rFonts w:ascii="Calibri" w:eastAsiaTheme="minorHAnsi" w:hAnsi="Calibri" w:cs="Calibri"/>
              <w:noProof/>
              <w:sz w:val="20"/>
              <w:szCs w:val="20"/>
            </w:rPr>
            <w:drawing>
              <wp:inline distT="0" distB="0" distL="0" distR="0" wp14:anchorId="680922F9" wp14:editId="680922FA">
                <wp:extent cx="1957070" cy="1066800"/>
                <wp:effectExtent l="0" t="0" r="0" b="0"/>
                <wp:docPr id="1018087662" name="Picture 1018087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087662" name="Picture 1018087662"/>
                        <pic:cNvPicPr>
                          <a:picLocks noChangeAspect="1"/>
                        </pic:cNvPicPr>
                      </pic:nvPicPr>
                      <pic:blipFill>
                        <a:blip r:embed="rId75"/>
                        <a:stretch>
                          <a:fillRect/>
                        </a:stretch>
                      </pic:blipFill>
                      <pic:spPr>
                        <a:xfrm>
                          <a:off x="0" y="0"/>
                          <a:ext cx="2042309" cy="1113233"/>
                        </a:xfrm>
                        <a:prstGeom prst="rect">
                          <a:avLst/>
                        </a:prstGeom>
                      </pic:spPr>
                    </pic:pic>
                  </a:graphicData>
                </a:graphic>
              </wp:inline>
            </w:drawing>
          </w:r>
          <w:r>
            <w:rPr>
              <w:rFonts w:ascii="Calibri" w:eastAsiaTheme="minorHAnsi" w:hAnsi="Calibri" w:cs="Calibri"/>
              <w:sz w:val="20"/>
              <w:szCs w:val="20"/>
            </w:rPr>
            <w:t xml:space="preserve">              </w:t>
          </w:r>
          <w:r>
            <w:rPr>
              <w:rFonts w:ascii="Calibri" w:eastAsiaTheme="minorHAnsi" w:hAnsi="Calibri" w:cs="Calibri"/>
              <w:noProof/>
              <w:sz w:val="20"/>
              <w:szCs w:val="20"/>
            </w:rPr>
            <w:drawing>
              <wp:inline distT="0" distB="0" distL="0" distR="0" wp14:anchorId="680922FB" wp14:editId="680922FC">
                <wp:extent cx="843915" cy="1247140"/>
                <wp:effectExtent l="0" t="0" r="0" b="0"/>
                <wp:docPr id="207578785" name="Picture 207578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78785" name="Picture 207578785"/>
                        <pic:cNvPicPr>
                          <a:picLocks noChangeAspect="1" noChangeArrowheads="1"/>
                        </pic:cNvPicPr>
                      </pic:nvPicPr>
                      <pic:blipFill>
                        <a:blip r:embed="rId76">
                          <a:extLst>
                            <a:ext uri="{28A0092B-C50C-407E-A947-70E740481C1C}">
                              <a14:useLocalDpi xmlns:a14="http://schemas.microsoft.com/office/drawing/2010/main" val="0"/>
                            </a:ext>
                          </a:extLst>
                        </a:blip>
                        <a:srcRect b="21698"/>
                        <a:stretch>
                          <a:fillRect/>
                        </a:stretch>
                      </pic:blipFill>
                      <pic:spPr>
                        <a:xfrm>
                          <a:off x="0" y="0"/>
                          <a:ext cx="872299" cy="1288950"/>
                        </a:xfrm>
                        <a:prstGeom prst="rect">
                          <a:avLst/>
                        </a:prstGeom>
                        <a:noFill/>
                        <a:ln>
                          <a:noFill/>
                        </a:ln>
                      </pic:spPr>
                    </pic:pic>
                  </a:graphicData>
                </a:graphic>
              </wp:inline>
            </w:drawing>
          </w:r>
        </w:p>
        <w:p w14:paraId="680916C4" w14:textId="77777777" w:rsidR="00CF33D9" w:rsidRDefault="00CF33D9">
          <w:pPr>
            <w:pStyle w:val="NoSpacing"/>
            <w:spacing w:before="1540" w:after="240"/>
            <w:jc w:val="center"/>
            <w:rPr>
              <w:rFonts w:ascii="Calibri" w:hAnsi="Calibri" w:cs="Calibri"/>
              <w:sz w:val="20"/>
              <w:szCs w:val="20"/>
            </w:rPr>
          </w:pPr>
        </w:p>
        <w:p w14:paraId="680916C5" w14:textId="77777777" w:rsidR="00CF33D9" w:rsidRDefault="00E3332A">
          <w:pPr>
            <w:pStyle w:val="NoSpacing"/>
            <w:pBdr>
              <w:top w:val="single" w:sz="12" w:space="1" w:color="2E74B5" w:themeColor="accent1" w:themeShade="BF"/>
              <w:bottom w:val="single" w:sz="12" w:space="1" w:color="2E74B5" w:themeColor="accent1" w:themeShade="BF"/>
            </w:pBdr>
            <w:spacing w:before="480"/>
            <w:jc w:val="center"/>
            <w:rPr>
              <w:rFonts w:ascii="Calibri" w:hAnsi="Calibri" w:cs="Calibri"/>
              <w:b/>
              <w:sz w:val="20"/>
              <w:szCs w:val="20"/>
            </w:rPr>
          </w:pPr>
          <w:r>
            <w:rPr>
              <w:rFonts w:ascii="Calibri" w:hAnsi="Calibri" w:cs="Calibri"/>
              <w:b/>
              <w:sz w:val="20"/>
              <w:szCs w:val="20"/>
            </w:rPr>
            <w:t xml:space="preserve">STAKEHOLDER ANALYSIS &amp; ENGAGEMENT PLAN: </w:t>
          </w:r>
        </w:p>
        <w:p w14:paraId="680916C6" w14:textId="77777777" w:rsidR="00CF33D9" w:rsidRDefault="00E3332A">
          <w:pPr>
            <w:pStyle w:val="NoSpacing"/>
            <w:pBdr>
              <w:top w:val="single" w:sz="12" w:space="1" w:color="2E74B5" w:themeColor="accent1" w:themeShade="BF"/>
              <w:bottom w:val="single" w:sz="12" w:space="1" w:color="2E74B5" w:themeColor="accent1" w:themeShade="BF"/>
            </w:pBdr>
            <w:spacing w:before="480"/>
            <w:jc w:val="center"/>
            <w:rPr>
              <w:rFonts w:ascii="Calibri" w:hAnsi="Calibri" w:cs="Calibri"/>
              <w:b/>
              <w:sz w:val="20"/>
              <w:szCs w:val="20"/>
            </w:rPr>
          </w:pPr>
          <w:r>
            <w:rPr>
              <w:rFonts w:ascii="Calibri" w:hAnsi="Calibri" w:cs="Calibri"/>
              <w:b/>
              <w:sz w:val="20"/>
              <w:szCs w:val="20"/>
            </w:rPr>
            <w:t xml:space="preserve">MAINSTREAMING CLIMATE RESILIENT BLUE ECONOMY IN THE BENGUELA CURRENT LARGE MARINE ECOSYSTEM </w:t>
          </w:r>
        </w:p>
        <w:p w14:paraId="680916C7" w14:textId="77777777" w:rsidR="00CF33D9" w:rsidRDefault="00E3332A">
          <w:pPr>
            <w:pStyle w:val="NoSpacing"/>
            <w:pBdr>
              <w:top w:val="single" w:sz="12" w:space="1" w:color="2E74B5" w:themeColor="accent1" w:themeShade="BF"/>
              <w:bottom w:val="single" w:sz="12" w:space="1" w:color="2E74B5" w:themeColor="accent1" w:themeShade="BF"/>
            </w:pBdr>
            <w:spacing w:before="480"/>
            <w:jc w:val="center"/>
            <w:rPr>
              <w:rFonts w:ascii="Calibri" w:hAnsi="Calibri" w:cs="Calibri"/>
              <w:b/>
              <w:sz w:val="20"/>
              <w:szCs w:val="20"/>
            </w:rPr>
          </w:pPr>
          <w:r>
            <w:rPr>
              <w:rFonts w:ascii="Calibri" w:hAnsi="Calibri" w:cs="Calibri"/>
              <w:b/>
              <w:sz w:val="20"/>
              <w:szCs w:val="20"/>
            </w:rPr>
            <w:t>(BCLME IV PROJECT)</w:t>
          </w:r>
        </w:p>
        <w:p w14:paraId="680916C8" w14:textId="77777777" w:rsidR="00CF33D9" w:rsidRDefault="00CF33D9">
          <w:pPr>
            <w:jc w:val="center"/>
            <w:rPr>
              <w:rFonts w:ascii="Calibri" w:hAnsi="Calibri" w:cs="Calibri"/>
              <w:sz w:val="20"/>
              <w:szCs w:val="20"/>
            </w:rPr>
          </w:pPr>
        </w:p>
        <w:p w14:paraId="680916C9" w14:textId="77777777" w:rsidR="00CF33D9" w:rsidRDefault="00CF33D9">
          <w:pPr>
            <w:rPr>
              <w:rFonts w:ascii="Calibri" w:hAnsi="Calibri" w:cs="Calibri"/>
              <w:sz w:val="20"/>
              <w:szCs w:val="20"/>
            </w:rPr>
          </w:pPr>
        </w:p>
        <w:p w14:paraId="680916CA" w14:textId="77777777" w:rsidR="00CF33D9" w:rsidRDefault="00E3332A">
          <w:pPr>
            <w:rPr>
              <w:rFonts w:ascii="Calibri" w:hAnsi="Calibri" w:cs="Calibri"/>
              <w:b/>
              <w:bCs/>
              <w:sz w:val="20"/>
              <w:szCs w:val="20"/>
            </w:rPr>
          </w:pP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p>
        <w:p w14:paraId="680916CB" w14:textId="77777777" w:rsidR="00CF33D9" w:rsidRDefault="00E3332A">
          <w:pPr>
            <w:rPr>
              <w:rFonts w:ascii="Calibri" w:hAnsi="Calibri" w:cs="Calibri"/>
              <w:sz w:val="20"/>
              <w:szCs w:val="20"/>
            </w:rPr>
          </w:pP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p>
        <w:p w14:paraId="680916CC" w14:textId="77777777" w:rsidR="00CF33D9" w:rsidRDefault="00CF33D9">
          <w:pPr>
            <w:rPr>
              <w:rFonts w:ascii="Calibri" w:hAnsi="Calibri" w:cs="Calibri"/>
              <w:sz w:val="20"/>
              <w:szCs w:val="20"/>
            </w:rPr>
          </w:pPr>
        </w:p>
        <w:p w14:paraId="680916CD" w14:textId="77777777" w:rsidR="00CF33D9" w:rsidRDefault="00CF33D9">
          <w:pPr>
            <w:rPr>
              <w:rFonts w:ascii="Calibri" w:hAnsi="Calibri" w:cs="Calibri"/>
              <w:sz w:val="20"/>
              <w:szCs w:val="20"/>
            </w:rPr>
          </w:pPr>
        </w:p>
        <w:p w14:paraId="680916CE" w14:textId="77777777" w:rsidR="00CF33D9" w:rsidRDefault="00CF33D9">
          <w:pPr>
            <w:rPr>
              <w:rFonts w:ascii="Calibri" w:hAnsi="Calibri" w:cs="Calibri"/>
              <w:sz w:val="20"/>
              <w:szCs w:val="20"/>
            </w:rPr>
          </w:pPr>
        </w:p>
        <w:p w14:paraId="680916CF" w14:textId="77777777" w:rsidR="00CF33D9" w:rsidRDefault="00E3332A">
          <w:pPr>
            <w:rPr>
              <w:rFonts w:ascii="Calibri" w:hAnsi="Calibri" w:cs="Calibri"/>
              <w:sz w:val="20"/>
              <w:szCs w:val="20"/>
            </w:rPr>
          </w:pPr>
          <w:r>
            <w:rPr>
              <w:rFonts w:ascii="Calibri" w:hAnsi="Calibri" w:cs="Calibri"/>
              <w:b/>
              <w:noProof/>
              <w:sz w:val="20"/>
              <w:szCs w:val="20"/>
            </w:rPr>
            <mc:AlternateContent>
              <mc:Choice Requires="wps">
                <w:drawing>
                  <wp:anchor distT="0" distB="0" distL="114300" distR="114300" simplePos="0" relativeHeight="251833856" behindDoc="0" locked="0" layoutInCell="1" allowOverlap="1" wp14:anchorId="680922FD" wp14:editId="680922FE">
                    <wp:simplePos x="0" y="0"/>
                    <wp:positionH relativeFrom="margin">
                      <wp:posOffset>12700</wp:posOffset>
                    </wp:positionH>
                    <wp:positionV relativeFrom="page">
                      <wp:posOffset>8549640</wp:posOffset>
                    </wp:positionV>
                    <wp:extent cx="6553200" cy="557530"/>
                    <wp:effectExtent l="0" t="0" r="0" b="0"/>
                    <wp:wrapNone/>
                    <wp:docPr id="142" name="Text Box 142"/>
                    <wp:cNvGraphicFramePr/>
                    <a:graphic xmlns:a="http://schemas.openxmlformats.org/drawingml/2006/main">
                      <a:graphicData uri="http://schemas.microsoft.com/office/word/2010/wordprocessingShape">
                        <wps:wsp>
                          <wps:cNvSpPr txBox="1"/>
                          <wps:spPr>
                            <a:xfrm>
                              <a:off x="0" y="0"/>
                              <a:ext cx="6553200" cy="5575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imes New Roman" w:hAnsi="Times New Roman"/>
                                    <w:sz w:val="19"/>
                                    <w:szCs w:val="19"/>
                                  </w:rPr>
                                  <w:alias w:val="Date"/>
                                  <w:id w:val="-1863120895"/>
                                  <w:showingPlcHdr/>
                                  <w:dataBinding w:prefixMappings="xmlns:ns0='http://schemas.microsoft.com/office/2006/coverPageProps' " w:xpath="/ns0:CoverPageProperties[1]/ns0:PublishDate[1]" w:storeItemID="{55AF091B-3C7A-41E3-B477-F2FDAA23CFDA}"/>
                                  <w:date w:fullDate="2023-11-21T00:00:00Z">
                                    <w:dateFormat w:val="MMMM d, yyyy"/>
                                    <w:lid w:val="en-US"/>
                                    <w:storeMappedDataAs w:val="dateTime"/>
                                    <w:calendar w:val="gregorian"/>
                                  </w:date>
                                </w:sdtPr>
                                <w:sdtEndPr/>
                                <w:sdtContent>
                                  <w:p w14:paraId="68092406" w14:textId="77777777" w:rsidR="00CF33D9" w:rsidRDefault="00E3332A">
                                    <w:pPr>
                                      <w:pStyle w:val="NoSpacing"/>
                                      <w:spacing w:after="40"/>
                                      <w:jc w:val="center"/>
                                      <w:rPr>
                                        <w:rFonts w:ascii="Times New Roman" w:hAnsi="Times New Roman"/>
                                        <w:caps/>
                                        <w:sz w:val="28"/>
                                        <w:szCs w:val="28"/>
                                      </w:rPr>
                                    </w:pPr>
                                    <w:r>
                                      <w:rPr>
                                        <w:rFonts w:ascii="Times New Roman" w:hAnsi="Times New Roman"/>
                                        <w:sz w:val="19"/>
                                        <w:szCs w:val="19"/>
                                      </w:rPr>
                                      <w:t xml:space="preserve">     </w:t>
                                    </w:r>
                                  </w:p>
                                </w:sdtContent>
                              </w:sdt>
                              <w:p w14:paraId="68092407" w14:textId="77777777" w:rsidR="00CF33D9" w:rsidRDefault="00CF33D9">
                                <w:pPr>
                                  <w:pStyle w:val="NoSpacing"/>
                                  <w:jc w:val="center"/>
                                  <w:rPr>
                                    <w:rFonts w:ascii="Times New Roman" w:hAnsi="Times New Roman"/>
                                  </w:rPr>
                                </w:pPr>
                              </w:p>
                            </w:txbxContent>
                          </wps:txbx>
                          <wps:bodyPr rot="0" spcFirstLastPara="0" vertOverflow="overflow" horzOverflow="overflow" vert="horz" wrap="square" lIns="0" tIns="0" rIns="0" bIns="0" numCol="1" spcCol="0" rtlCol="0" fromWordArt="0" anchor="b" anchorCtr="0" forceAA="0" compatLnSpc="1">
                            <a:spAutoFit/>
                          </wps:bodyPr>
                        </wps:wsp>
                      </a:graphicData>
                    </a:graphic>
                    <wp14:sizeRelH relativeFrom="margin">
                      <wp14:pctWidth>100000</wp14:pctWidth>
                    </wp14:sizeRelH>
                    <wp14:sizeRelV relativeFrom="page">
                      <wp14:pctHeight>0</wp14:pctHeight>
                    </wp14:sizeRelV>
                  </wp:anchor>
                </w:drawing>
              </mc:Choice>
              <mc:Fallback>
                <w:pict>
                  <v:shapetype w14:anchorId="680922FD" id="_x0000_t202" coordsize="21600,21600" o:spt="202" path="m,l,21600r21600,l21600,xe">
                    <v:stroke joinstyle="miter"/>
                    <v:path gradientshapeok="t" o:connecttype="rect"/>
                  </v:shapetype>
                  <v:shape id="Text Box 142" o:spid="_x0000_s1094" type="#_x0000_t202" style="position:absolute;margin-left:1pt;margin-top:673.2pt;width:516pt;height:43.9pt;z-index:251833856;visibility:visible;mso-wrap-style:square;mso-width-percent:1000;mso-height-percent:0;mso-wrap-distance-left:9pt;mso-wrap-distance-top:0;mso-wrap-distance-right:9pt;mso-wrap-distance-bottom:0;mso-position-horizontal:absolute;mso-position-horizontal-relative:margin;mso-position-vertical:absolute;mso-position-vertical-relative:page;mso-width-percent:1000;mso-height-percent:0;mso-width-relative:margin;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" filled="f" stroked="f" strokeweight=".5pt">
                    <v:textbox style="mso-fit-shape-to-text:t" inset="0,0,0,0">
                      <w:txbxContent>
                        <w:sdt>
                          <w:sdtPr>
                            <w:rPr>
                              <w:rFonts w:ascii="Times New Roman" w:hAnsi="Times New Roman"/>
                              <w:sz w:val="19"/>
                              <w:szCs w:val="19"/>
                            </w:rPr>
                            <w:alias w:val="Date"/>
                            <w:id w:val="-1863120895"/>
                            <w:showingPlcHdr/>
                            <w:dataBinding w:prefixMappings="xmlns:ns0='http://schemas.microsoft.com/office/2006/coverPageProps' " w:xpath="/ns0:CoverPageProperties[1]/ns0:PublishDate[1]" w:storeItemID="{55AF091B-3C7A-41E3-B477-F2FDAA23CFDA}"/>
                            <w:date w:fullDate="2023-11-21T00:00:00Z">
                              <w:dateFormat w:val="MMMM d, yyyy"/>
                              <w:lid w:val="en-US"/>
                              <w:storeMappedDataAs w:val="dateTime"/>
                              <w:calendar w:val="gregorian"/>
                            </w:date>
                          </w:sdtPr>
                          <w:sdtEndPr/>
                          <w:sdtContent>
                            <w:p w14:paraId="68092406" w14:textId="77777777" w:rsidR="00CF33D9" w:rsidRDefault="00E3332A">
                              <w:pPr>
                                <w:pStyle w:val="NoSpacing"/>
                                <w:spacing w:after="40"/>
                                <w:jc w:val="center"/>
                                <w:rPr>
                                  <w:rFonts w:ascii="Times New Roman" w:hAnsi="Times New Roman"/>
                                  <w:caps/>
                                  <w:sz w:val="28"/>
                                  <w:szCs w:val="28"/>
                                </w:rPr>
                              </w:pPr>
                              <w:r>
                                <w:rPr>
                                  <w:rFonts w:ascii="Times New Roman" w:hAnsi="Times New Roman"/>
                                  <w:sz w:val="19"/>
                                  <w:szCs w:val="19"/>
                                </w:rPr>
                                <w:t xml:space="preserve">     </w:t>
                              </w:r>
                            </w:p>
                          </w:sdtContent>
                        </w:sdt>
                        <w:p w14:paraId="68092407" w14:textId="77777777" w:rsidR="00CF33D9" w:rsidRDefault="00CF33D9">
                          <w:pPr>
                            <w:pStyle w:val="NoSpacing"/>
                            <w:jc w:val="center"/>
                            <w:rPr>
                              <w:rFonts w:ascii="Times New Roman" w:hAnsi="Times New Roman"/>
                            </w:rPr>
                          </w:pPr>
                        </w:p>
                      </w:txbxContent>
                    </v:textbox>
                    <w10:wrap anchorx="margin" anchory="page"/>
                  </v:shape>
                </w:pict>
              </mc:Fallback>
            </mc:AlternateContent>
          </w:r>
          <w:r>
            <w:rPr>
              <w:rFonts w:ascii="Calibri" w:hAnsi="Calibri" w:cs="Calibri"/>
              <w:sz w:val="20"/>
              <w:szCs w:val="20"/>
            </w:rPr>
            <w:br w:type="page"/>
          </w:r>
        </w:p>
      </w:sdtContent>
    </w:sdt>
    <w:p w14:paraId="680916D0" w14:textId="77777777" w:rsidR="00CF33D9" w:rsidRDefault="00CF33D9">
      <w:pPr>
        <w:ind w:left="-142" w:right="-563"/>
        <w:jc w:val="both"/>
        <w:rPr>
          <w:rFonts w:ascii="Calibri" w:hAnsi="Calibri" w:cs="Calibri"/>
          <w:sz w:val="20"/>
          <w:szCs w:val="20"/>
        </w:rPr>
      </w:pPr>
    </w:p>
    <w:p w14:paraId="680916D1" w14:textId="77777777" w:rsidR="00CF33D9" w:rsidRDefault="00CF33D9">
      <w:pPr>
        <w:ind w:left="-142" w:right="-563"/>
        <w:jc w:val="both"/>
        <w:rPr>
          <w:rFonts w:ascii="Calibri" w:hAnsi="Calibri" w:cs="Calibri"/>
          <w:b/>
          <w:sz w:val="20"/>
          <w:szCs w:val="20"/>
        </w:rPr>
      </w:pPr>
    </w:p>
    <w:p w14:paraId="680916D2" w14:textId="77777777" w:rsidR="00CF33D9" w:rsidRDefault="00E3332A">
      <w:pPr>
        <w:pStyle w:val="Heading1"/>
        <w:numPr>
          <w:ilvl w:val="0"/>
          <w:numId w:val="75"/>
        </w:numPr>
        <w:rPr>
          <w:rFonts w:ascii="Calibri" w:hAnsi="Calibri" w:cs="Calibri"/>
          <w:color w:val="auto"/>
          <w:sz w:val="20"/>
          <w:szCs w:val="20"/>
        </w:rPr>
      </w:pPr>
      <w:r>
        <w:rPr>
          <w:rFonts w:ascii="Calibri" w:hAnsi="Calibri" w:cs="Calibri"/>
          <w:color w:val="auto"/>
          <w:sz w:val="20"/>
          <w:szCs w:val="20"/>
        </w:rPr>
        <w:t>Introduction</w:t>
      </w:r>
    </w:p>
    <w:p w14:paraId="680916D3" w14:textId="77777777" w:rsidR="00CF33D9" w:rsidRDefault="00CF33D9">
      <w:pPr>
        <w:ind w:left="-142" w:right="-563"/>
        <w:jc w:val="both"/>
        <w:rPr>
          <w:rFonts w:ascii="Calibri" w:hAnsi="Calibri" w:cs="Calibri"/>
          <w:b/>
          <w:sz w:val="20"/>
          <w:szCs w:val="20"/>
        </w:rPr>
      </w:pPr>
    </w:p>
    <w:p w14:paraId="680916D4" w14:textId="77777777" w:rsidR="00CF33D9" w:rsidRDefault="00E3332A">
      <w:pPr>
        <w:jc w:val="both"/>
        <w:rPr>
          <w:rFonts w:ascii="Calibri" w:hAnsi="Calibri" w:cs="Calibri"/>
          <w:sz w:val="20"/>
          <w:szCs w:val="20"/>
        </w:rPr>
      </w:pPr>
      <w:r>
        <w:rPr>
          <w:rFonts w:ascii="Calibri" w:hAnsi="Calibri" w:cs="Calibri"/>
          <w:sz w:val="20"/>
          <w:szCs w:val="20"/>
        </w:rPr>
        <w:t>The Benguela Current Convention (BCC) is a multi-sectoral organisation established by the republics of Angola, Namibia and South Africa (Parties) to spearhead regional collaboration for integrated management, sustainable development and protection of the environment, using an ecosystem approach to ocean governance in the Benguela Current Large Marine Ecosystem (BCLME). Over the past decades, the United National Development Programme (UNDP) supported the BCC to access funding from the Global Environmental Facility (GEF) for the sustainable management of the regional BCLME Programme.</w:t>
      </w:r>
    </w:p>
    <w:p w14:paraId="680916D5" w14:textId="77777777" w:rsidR="00CF33D9" w:rsidRDefault="00CF33D9">
      <w:pPr>
        <w:jc w:val="both"/>
        <w:rPr>
          <w:rFonts w:ascii="Calibri" w:hAnsi="Calibri" w:cs="Calibri"/>
          <w:sz w:val="20"/>
          <w:szCs w:val="20"/>
        </w:rPr>
      </w:pPr>
    </w:p>
    <w:p w14:paraId="680916D6" w14:textId="77777777" w:rsidR="00CF33D9" w:rsidRDefault="00E3332A">
      <w:pPr>
        <w:jc w:val="both"/>
        <w:rPr>
          <w:rFonts w:ascii="Calibri" w:hAnsi="Calibri" w:cs="Calibri"/>
          <w:sz w:val="20"/>
          <w:szCs w:val="20"/>
        </w:rPr>
      </w:pPr>
      <w:r>
        <w:rPr>
          <w:rFonts w:ascii="Calibri" w:hAnsi="Calibri" w:cs="Calibri"/>
          <w:sz w:val="20"/>
          <w:szCs w:val="20"/>
        </w:rPr>
        <w:t>The BCC in partnership with UNDP once more embarked on a project development process that is aimed at establishing the concluded Project Identification Form (PIF) into a full project. The project titled “Mainstreaming Climate Resilient Blue Economy in the Benguela Current Large Marine Ecosystem (BCLME)”; aims to mainstream the development of climate-resilient sustainable blue/ocean economies as part of implementing the Strategic Action Programme of the BCLME.</w:t>
      </w:r>
    </w:p>
    <w:p w14:paraId="680916D7" w14:textId="77777777" w:rsidR="00CF33D9" w:rsidRDefault="00CF33D9">
      <w:pPr>
        <w:jc w:val="both"/>
        <w:rPr>
          <w:rFonts w:ascii="Calibri" w:hAnsi="Calibri" w:cs="Calibri"/>
          <w:sz w:val="20"/>
          <w:szCs w:val="20"/>
        </w:rPr>
      </w:pPr>
    </w:p>
    <w:p w14:paraId="680916D8" w14:textId="77777777" w:rsidR="00CF33D9" w:rsidRDefault="00E3332A">
      <w:pPr>
        <w:jc w:val="both"/>
        <w:rPr>
          <w:rFonts w:ascii="Calibri" w:hAnsi="Calibri" w:cs="Calibri"/>
          <w:sz w:val="20"/>
          <w:szCs w:val="20"/>
        </w:rPr>
      </w:pPr>
      <w:r>
        <w:rPr>
          <w:rFonts w:ascii="Calibri" w:hAnsi="Calibri" w:cs="Calibri"/>
          <w:sz w:val="20"/>
          <w:szCs w:val="20"/>
        </w:rPr>
        <w:t>In accordance with UNDP’s and GEF stakeholder engagement framework, public participation is critical for effective development of robust projects. Effective stakeholder participation improves project ownership and acceptance; and strengthens the social and environmental sustainability and benefits of supported project interventions, particularly with civil society, indigenous people, communities and the private sector. For purposes of maintaining an inclusive integration of stakeholders, a stakeholder analysis was carried out to support the future implementation of the project. The analysis will further enable development of respective outreach approaches for the identified stakeholders, and by leveraging the knowledge, experience and capacities of affected and interested individuals and groups. It should be noted that this analysis is based on information gathered during the PPG phase of the BCLME IV project which may vary by the time project implementation starts. It is likely that some principal stakeholders identified in this analysis could change overtime, hence a periodic review and updating of the stakeholder list is recommended.</w:t>
      </w:r>
    </w:p>
    <w:p w14:paraId="680916D9" w14:textId="77777777" w:rsidR="00CF33D9" w:rsidRDefault="00CF33D9">
      <w:pPr>
        <w:jc w:val="both"/>
        <w:rPr>
          <w:rFonts w:ascii="Calibri" w:hAnsi="Calibri" w:cs="Calibri"/>
          <w:sz w:val="20"/>
          <w:szCs w:val="20"/>
        </w:rPr>
      </w:pPr>
    </w:p>
    <w:p w14:paraId="680916DA" w14:textId="77777777" w:rsidR="00CF33D9" w:rsidRDefault="00CF33D9">
      <w:pPr>
        <w:rPr>
          <w:rFonts w:ascii="Calibri" w:hAnsi="Calibri" w:cs="Calibri"/>
          <w:sz w:val="20"/>
          <w:szCs w:val="20"/>
        </w:rPr>
      </w:pPr>
    </w:p>
    <w:p w14:paraId="680916DB" w14:textId="77777777" w:rsidR="00CF33D9" w:rsidRDefault="00CF33D9">
      <w:pPr>
        <w:jc w:val="both"/>
        <w:rPr>
          <w:rFonts w:ascii="Calibri" w:hAnsi="Calibri" w:cs="Calibri"/>
          <w:sz w:val="20"/>
          <w:szCs w:val="20"/>
        </w:rPr>
      </w:pPr>
    </w:p>
    <w:p w14:paraId="680916DC" w14:textId="77777777" w:rsidR="00CF33D9" w:rsidRDefault="00E3332A">
      <w:pPr>
        <w:pStyle w:val="Heading2"/>
        <w:numPr>
          <w:ilvl w:val="1"/>
          <w:numId w:val="75"/>
        </w:numPr>
        <w:ind w:left="1440" w:hanging="360"/>
        <w:rPr>
          <w:rFonts w:ascii="Calibri" w:hAnsi="Calibri" w:cs="Calibri"/>
          <w:szCs w:val="20"/>
        </w:rPr>
      </w:pPr>
      <w:r>
        <w:rPr>
          <w:rFonts w:ascii="Calibri" w:hAnsi="Calibri" w:cs="Calibri"/>
          <w:szCs w:val="20"/>
        </w:rPr>
        <w:t>Key Concepts</w:t>
      </w:r>
    </w:p>
    <w:p w14:paraId="680916DD" w14:textId="77777777" w:rsidR="00CF33D9" w:rsidRDefault="00E3332A">
      <w:pPr>
        <w:spacing w:before="100" w:beforeAutospacing="1" w:after="100" w:afterAutospacing="1"/>
        <w:jc w:val="both"/>
        <w:rPr>
          <w:rFonts w:ascii="Calibri" w:hAnsi="Calibri" w:cs="Calibri"/>
          <w:sz w:val="20"/>
          <w:szCs w:val="20"/>
          <w:lang w:val="en-US"/>
        </w:rPr>
      </w:pPr>
      <w:r>
        <w:rPr>
          <w:rFonts w:ascii="Calibri" w:hAnsi="Calibri" w:cs="Calibri"/>
          <w:b/>
          <w:bCs/>
          <w:sz w:val="20"/>
          <w:szCs w:val="20"/>
          <w:lang w:val="en-US"/>
        </w:rPr>
        <w:t>Stakeholders</w:t>
      </w:r>
      <w:r>
        <w:rPr>
          <w:rFonts w:ascii="Calibri" w:hAnsi="Calibri" w:cs="Calibri"/>
          <w:sz w:val="20"/>
          <w:szCs w:val="20"/>
          <w:lang w:val="en-US"/>
        </w:rPr>
        <w:t xml:space="preserve"> are persons, groups, or institutions with an interest in the project or the ability to influence the project outcomes, either positively or negatively. Stakeholders may be directly or indirectly affected by the project. The range of potential stakeholders is diverse and may include target beneficiary groups, locally affected communities or individuals, national and local government authorities, civil society actors, including non-governmental organizations (NGOs), indigenous peoples, the academic community, private sector entities, and other special interest groups. </w:t>
      </w:r>
    </w:p>
    <w:p w14:paraId="680916DE" w14:textId="77777777" w:rsidR="00CF33D9" w:rsidRDefault="00E3332A">
      <w:pPr>
        <w:spacing w:before="100" w:beforeAutospacing="1" w:after="100" w:afterAutospacing="1"/>
        <w:jc w:val="both"/>
        <w:rPr>
          <w:rFonts w:ascii="Calibri" w:hAnsi="Calibri" w:cs="Calibri"/>
          <w:sz w:val="20"/>
          <w:szCs w:val="20"/>
          <w:lang w:val="en-US"/>
        </w:rPr>
      </w:pPr>
      <w:r>
        <w:rPr>
          <w:rFonts w:ascii="Calibri" w:hAnsi="Calibri" w:cs="Calibri"/>
          <w:b/>
          <w:bCs/>
          <w:sz w:val="20"/>
          <w:szCs w:val="20"/>
          <w:lang w:val="en-US"/>
        </w:rPr>
        <w:t>Stakeholder participation</w:t>
      </w:r>
      <w:r>
        <w:rPr>
          <w:rFonts w:ascii="Calibri" w:hAnsi="Calibri" w:cs="Calibri"/>
          <w:sz w:val="20"/>
          <w:szCs w:val="20"/>
          <w:lang w:val="en-US"/>
        </w:rPr>
        <w:t xml:space="preserve"> is a process of involving stakeholders and engagement in planning, information disclosure, consultation and participation, monitoring, evaluation and learning throughout the project cycle, including complaint resolution, and permanent reporting to stakeholders. The BCLME IV PPG process collaboratively involved stakeholders in the identification of project concepts and objectives, selection of demonstration sites and proposing activities in alignment to national priorities.</w:t>
      </w:r>
    </w:p>
    <w:p w14:paraId="680916DF" w14:textId="77777777" w:rsidR="00CF33D9" w:rsidRDefault="00E3332A">
      <w:pPr>
        <w:spacing w:before="100" w:beforeAutospacing="1" w:after="100" w:afterAutospacing="1"/>
        <w:jc w:val="both"/>
        <w:rPr>
          <w:rFonts w:ascii="Calibri" w:hAnsi="Calibri" w:cs="Calibri"/>
          <w:sz w:val="20"/>
          <w:szCs w:val="20"/>
          <w:lang w:val="en-US"/>
        </w:rPr>
      </w:pPr>
      <w:r>
        <w:rPr>
          <w:rFonts w:ascii="Calibri" w:hAnsi="Calibri" w:cs="Calibri"/>
          <w:b/>
          <w:bCs/>
          <w:sz w:val="20"/>
          <w:szCs w:val="20"/>
          <w:lang w:val="en-US"/>
        </w:rPr>
        <w:t xml:space="preserve">Stakeholder Engagement: </w:t>
      </w:r>
      <w:r>
        <w:rPr>
          <w:rFonts w:ascii="Calibri" w:hAnsi="Calibri" w:cs="Calibri"/>
          <w:sz w:val="20"/>
          <w:szCs w:val="20"/>
          <w:lang w:val="en-US"/>
        </w:rPr>
        <w:t xml:space="preserve">an overarching term that encompasses a range of activities and interactions with stakeholders throughout the project cycle. The UNDP defines stakeholder engagement as an ongoing process that may involve, to varying degrees, the following elements: - stakeholder analysis and planning; -disclosure and dissemination of information; - consultation and meaningful participation; - dispute resolution and grievance redress; - stakeholder involvement in monitoring and evaluation; - ongoing reporting to affected communities and other stakeholders. Stakeholder engagement involves more than just occasional consultations; it also seeks to involve beneficiaries and interested parties in decision-making processes. </w:t>
      </w:r>
    </w:p>
    <w:p w14:paraId="680916E0" w14:textId="77777777" w:rsidR="00CF33D9" w:rsidRDefault="00E3332A">
      <w:pPr>
        <w:spacing w:before="100" w:beforeAutospacing="1" w:after="100" w:afterAutospacing="1"/>
        <w:jc w:val="both"/>
        <w:rPr>
          <w:rFonts w:ascii="Calibri" w:hAnsi="Calibri" w:cs="Calibri"/>
          <w:sz w:val="20"/>
          <w:szCs w:val="20"/>
          <w:lang w:val="en-US"/>
        </w:rPr>
      </w:pPr>
      <w:r>
        <w:rPr>
          <w:rFonts w:ascii="Calibri" w:hAnsi="Calibri" w:cs="Calibri"/>
          <w:b/>
          <w:bCs/>
          <w:sz w:val="20"/>
          <w:szCs w:val="20"/>
          <w:lang w:val="en-US"/>
        </w:rPr>
        <w:lastRenderedPageBreak/>
        <w:t xml:space="preserve">Information Disclosure: </w:t>
      </w:r>
      <w:r>
        <w:rPr>
          <w:rFonts w:ascii="Calibri" w:hAnsi="Calibri" w:cs="Calibri"/>
          <w:sz w:val="20"/>
          <w:szCs w:val="20"/>
          <w:lang w:val="en-US"/>
        </w:rPr>
        <w:t>the provision of timely, accessible information regarding the project and its potential social and environmental impacts to stakeholders in order to facilitate their meaningful, effective and informed participation in project design and implementation.</w:t>
      </w:r>
    </w:p>
    <w:p w14:paraId="680916E1" w14:textId="77777777" w:rsidR="00CF33D9" w:rsidRDefault="00E3332A">
      <w:pPr>
        <w:spacing w:before="100" w:beforeAutospacing="1" w:after="100" w:afterAutospacing="1"/>
        <w:jc w:val="both"/>
        <w:rPr>
          <w:rFonts w:ascii="Calibri" w:hAnsi="Calibri" w:cs="Calibri"/>
          <w:sz w:val="20"/>
          <w:szCs w:val="20"/>
          <w:lang w:val="en-US"/>
        </w:rPr>
      </w:pPr>
      <w:r>
        <w:rPr>
          <w:rFonts w:ascii="Calibri" w:hAnsi="Calibri" w:cs="Calibri"/>
          <w:b/>
          <w:bCs/>
          <w:sz w:val="20"/>
          <w:szCs w:val="20"/>
          <w:lang w:val="en-US"/>
        </w:rPr>
        <w:t xml:space="preserve">Free, Prior, Informed Consent (FPIC): </w:t>
      </w:r>
      <w:r>
        <w:rPr>
          <w:rFonts w:ascii="Calibri" w:hAnsi="Calibri" w:cs="Calibri"/>
          <w:sz w:val="20"/>
          <w:szCs w:val="20"/>
          <w:lang w:val="en-US"/>
        </w:rPr>
        <w:t xml:space="preserve"> The collective right to give or withhold consent. It applies to all project activities that may directly impact the land, territories, resources and livelihoods of indigenous communities. Consent must be sought and granted or withheld in accordance with the unique decision-making processes of each community. From the preparatory stages of project conceptualization and design, and throughout the implementation and closure processes, mechanisms need to be identified and implemented to guarantee the meaningful, effective and informed participation of indigenous peoples on all matters that may affect them. Culturally appropriate consultation and FPIC will be ensured on any matters that may affect the indigenous peoples’ rights and interests, lands, territories, resources </w:t>
      </w:r>
    </w:p>
    <w:p w14:paraId="680916E2" w14:textId="77777777" w:rsidR="00CF33D9" w:rsidRDefault="00CF33D9">
      <w:pPr>
        <w:spacing w:before="100" w:beforeAutospacing="1" w:after="100" w:afterAutospacing="1"/>
        <w:jc w:val="both"/>
        <w:rPr>
          <w:rFonts w:ascii="Calibri" w:hAnsi="Calibri" w:cs="Calibri"/>
          <w:sz w:val="20"/>
          <w:szCs w:val="20"/>
          <w:highlight w:val="yellow"/>
          <w:lang w:val="en-US"/>
        </w:rPr>
      </w:pPr>
    </w:p>
    <w:p w14:paraId="680916E3" w14:textId="77777777" w:rsidR="00CF33D9" w:rsidRDefault="00E3332A">
      <w:pPr>
        <w:pStyle w:val="Heading1"/>
        <w:numPr>
          <w:ilvl w:val="0"/>
          <w:numId w:val="75"/>
        </w:numPr>
        <w:ind w:left="426" w:hanging="426"/>
        <w:rPr>
          <w:rFonts w:ascii="Calibri" w:hAnsi="Calibri" w:cs="Calibri"/>
          <w:color w:val="auto"/>
          <w:sz w:val="20"/>
          <w:szCs w:val="20"/>
        </w:rPr>
      </w:pPr>
      <w:r>
        <w:rPr>
          <w:rFonts w:ascii="Calibri" w:hAnsi="Calibri" w:cs="Calibri"/>
          <w:color w:val="auto"/>
          <w:sz w:val="20"/>
          <w:szCs w:val="20"/>
        </w:rPr>
        <w:t>Regulations &amp; Requirements of the Stakeholder Engagement Plan</w:t>
      </w:r>
    </w:p>
    <w:p w14:paraId="680916E4" w14:textId="77777777" w:rsidR="00CF33D9" w:rsidRDefault="00CF33D9">
      <w:pPr>
        <w:pStyle w:val="Heading2"/>
        <w:spacing w:after="240"/>
        <w:ind w:left="1440"/>
        <w:rPr>
          <w:rFonts w:ascii="Calibri" w:hAnsi="Calibri" w:cs="Calibri"/>
          <w:szCs w:val="20"/>
        </w:rPr>
      </w:pPr>
    </w:p>
    <w:p w14:paraId="680916E5" w14:textId="77777777" w:rsidR="00CF33D9" w:rsidRDefault="00E3332A">
      <w:pPr>
        <w:pStyle w:val="Heading2"/>
        <w:numPr>
          <w:ilvl w:val="1"/>
          <w:numId w:val="75"/>
        </w:numPr>
        <w:spacing w:after="240"/>
        <w:ind w:left="284" w:hanging="360"/>
        <w:rPr>
          <w:rFonts w:ascii="Calibri" w:hAnsi="Calibri" w:cs="Calibri"/>
          <w:szCs w:val="20"/>
        </w:rPr>
      </w:pPr>
      <w:r>
        <w:rPr>
          <w:rFonts w:ascii="Calibri" w:hAnsi="Calibri" w:cs="Calibri"/>
          <w:szCs w:val="20"/>
        </w:rPr>
        <w:t>UNDP Commitment to Stakeholder Engagement</w:t>
      </w:r>
    </w:p>
    <w:p w14:paraId="680916E6" w14:textId="77777777" w:rsidR="00CF33D9" w:rsidRDefault="00E3332A">
      <w:pPr>
        <w:jc w:val="both"/>
        <w:rPr>
          <w:rFonts w:ascii="Calibri" w:eastAsia="Calibri" w:hAnsi="Calibri" w:cs="Calibri"/>
          <w:sz w:val="20"/>
          <w:szCs w:val="20"/>
          <w:lang w:val="en-ZA"/>
        </w:rPr>
      </w:pPr>
      <w:r>
        <w:rPr>
          <w:rFonts w:ascii="Calibri" w:eastAsia="Calibri" w:hAnsi="Calibri" w:cs="Calibri"/>
          <w:sz w:val="20"/>
          <w:szCs w:val="20"/>
          <w:lang w:val="en-ZA"/>
        </w:rPr>
        <w:t>UNDP is committed to meaningful, effective and informed stakeholder engagement in the design and implementation of all UNDP projects and ensures the incorporation of social and environmental standards and safeguards. Effective stakeholder engagement is fundamental to attaining Sustainable Development Goals (SDGs) and applying the principle of “</w:t>
      </w:r>
      <w:r>
        <w:rPr>
          <w:rFonts w:ascii="Calibri" w:eastAsia="Calibri" w:hAnsi="Calibri" w:cs="Calibri"/>
          <w:i/>
          <w:iCs/>
          <w:sz w:val="20"/>
          <w:szCs w:val="20"/>
          <w:lang w:val="en-ZA"/>
        </w:rPr>
        <w:t>Leave no one behind”</w:t>
      </w:r>
      <w:r>
        <w:rPr>
          <w:rFonts w:ascii="Calibri" w:eastAsia="Calibri" w:hAnsi="Calibri" w:cs="Calibri"/>
          <w:sz w:val="20"/>
          <w:szCs w:val="20"/>
          <w:lang w:val="en-ZA"/>
        </w:rPr>
        <w:t xml:space="preserve"> in ensuring equity and non-discrimination across all programming areas. It is critical to securing multi-stakeholder partnerships to advance the SDGs. </w:t>
      </w:r>
    </w:p>
    <w:p w14:paraId="680916E7" w14:textId="77777777" w:rsidR="00CF33D9" w:rsidRDefault="00E3332A">
      <w:pPr>
        <w:pStyle w:val="NormalWeb"/>
        <w:rPr>
          <w:rFonts w:ascii="Calibri" w:eastAsia="Calibri" w:hAnsi="Calibri" w:cs="Calibri"/>
          <w:sz w:val="20"/>
          <w:szCs w:val="20"/>
          <w:lang w:val="en-ZA" w:eastAsia="en-US"/>
        </w:rPr>
      </w:pPr>
      <w:r>
        <w:rPr>
          <w:rFonts w:ascii="Calibri" w:eastAsia="Calibri" w:hAnsi="Calibri" w:cs="Calibri"/>
          <w:sz w:val="20"/>
          <w:szCs w:val="20"/>
          <w:lang w:val="en-ZA" w:eastAsia="en-US"/>
        </w:rPr>
        <w:t xml:space="preserve">UNDP’s commitment to stakeholder engagement arises from internal policies, procedures and strategy documents as well as key international human rights instruments, principles and numerous decisions of international bodies, particularly as they relate to the protection of citizens’ rights related to freedom of expression and participation. UNDP also follows the UN Statement of Common Understanding on Human Rights-Based Approaches to Development Cooperation which provides for: </w:t>
      </w:r>
      <w:r>
        <w:rPr>
          <w:rFonts w:ascii="Calibri" w:eastAsia="Calibri" w:hAnsi="Calibri" w:cs="Calibri"/>
          <w:i/>
          <w:iCs/>
          <w:sz w:val="20"/>
          <w:szCs w:val="20"/>
          <w:lang w:val="en-ZA" w:eastAsia="en-US"/>
        </w:rPr>
        <w:t>Participation and Inclusion: Every person and all peoples are entitled to active, free and meaningful participation in, contribution to, and enjoyment of civil, economic, social, cultural and political development in which human rights and fundamental freedoms can be realized.</w:t>
      </w:r>
      <w:r>
        <w:rPr>
          <w:rFonts w:ascii="Calibri" w:eastAsia="Calibri" w:hAnsi="Calibri" w:cs="Calibri"/>
          <w:sz w:val="20"/>
          <w:szCs w:val="20"/>
          <w:lang w:val="en-ZA" w:eastAsia="en-US"/>
        </w:rPr>
        <w:t xml:space="preserve"> </w:t>
      </w:r>
    </w:p>
    <w:p w14:paraId="680916E8" w14:textId="77777777" w:rsidR="00CF33D9" w:rsidRDefault="00E3332A">
      <w:pPr>
        <w:pStyle w:val="NormalWeb"/>
        <w:rPr>
          <w:rFonts w:ascii="Calibri" w:eastAsia="Calibri" w:hAnsi="Calibri" w:cs="Calibri"/>
          <w:sz w:val="20"/>
          <w:szCs w:val="20"/>
          <w:lang w:val="en-ZA" w:eastAsia="en-US"/>
        </w:rPr>
      </w:pPr>
      <w:r>
        <w:rPr>
          <w:rFonts w:ascii="Calibri" w:eastAsia="Calibri" w:hAnsi="Calibri" w:cs="Calibri"/>
          <w:sz w:val="20"/>
          <w:szCs w:val="20"/>
          <w:lang w:val="en-ZA" w:eastAsia="en-US"/>
        </w:rPr>
        <w:t xml:space="preserve">Stakeholder engagement supports the development of strong, constructive, and responsive relationships that are critical for sound project design and implementation. Effective stakeholder engagement enhances project acceptance and ownership and strengthens the social and environmental sustainability and benefits of supported interventions. It is both a goal in itself – upholding the rights of citizens and others to participate in decisions that may affect them – as well as an effective means for achieving project outcomes, including those related to democratic governance, protecting the environment, promoting respect for human rights, and preventing and resolving conflict. </w:t>
      </w:r>
    </w:p>
    <w:p w14:paraId="680916E9" w14:textId="77777777" w:rsidR="00CF33D9" w:rsidRDefault="00E3332A">
      <w:pPr>
        <w:pStyle w:val="NormalWeb"/>
        <w:rPr>
          <w:rFonts w:ascii="Calibri" w:eastAsia="Calibri" w:hAnsi="Calibri" w:cs="Calibri"/>
          <w:sz w:val="20"/>
          <w:szCs w:val="20"/>
          <w:lang w:val="en-ZA" w:eastAsia="en-US"/>
        </w:rPr>
      </w:pPr>
      <w:r>
        <w:rPr>
          <w:rFonts w:ascii="Calibri" w:eastAsia="Calibri" w:hAnsi="Calibri" w:cs="Calibri"/>
          <w:sz w:val="20"/>
          <w:szCs w:val="20"/>
          <w:lang w:val="en-ZA" w:eastAsia="en-US"/>
        </w:rPr>
        <w:t xml:space="preserve">UNDP’s Social and Environmental Standards (SES) underpin their commitment to mainstream social and environmental sustainability in Programmes and Projects. The objectives of the standards are to: strengthen the quality of programming by ensuring a principled approach; maximize social and environmental opportunities and benefits; avoid adverse impacts to people and the environment; minimize, mitigate, and manage adverse impacts where avoidance is not possible; strengthen UNDP and partner capacities for managing social and environmental risks; and ensure full and effective stakeholder engagement, including through a mechanism to respond to complaints from project-affected people. </w:t>
      </w:r>
    </w:p>
    <w:p w14:paraId="680916EA" w14:textId="77777777" w:rsidR="00CF33D9" w:rsidRDefault="00E3332A">
      <w:pPr>
        <w:pStyle w:val="Heading2"/>
        <w:numPr>
          <w:ilvl w:val="1"/>
          <w:numId w:val="75"/>
        </w:numPr>
        <w:spacing w:after="240"/>
        <w:ind w:left="426" w:hanging="426"/>
        <w:rPr>
          <w:rFonts w:ascii="Calibri" w:hAnsi="Calibri" w:cs="Calibri"/>
          <w:szCs w:val="20"/>
        </w:rPr>
      </w:pPr>
      <w:r>
        <w:rPr>
          <w:rFonts w:ascii="Calibri" w:hAnsi="Calibri" w:cs="Calibri"/>
          <w:szCs w:val="20"/>
        </w:rPr>
        <w:t>GEF Guidelines on Stakeholder Engagement</w:t>
      </w:r>
    </w:p>
    <w:p w14:paraId="680916EB" w14:textId="77777777" w:rsidR="00CF33D9" w:rsidRDefault="00E3332A">
      <w:pPr>
        <w:pStyle w:val="NormalWeb"/>
        <w:rPr>
          <w:rFonts w:ascii="Calibri" w:eastAsia="Calibri" w:hAnsi="Calibri" w:cs="Calibri"/>
          <w:sz w:val="20"/>
          <w:szCs w:val="20"/>
          <w:lang w:val="en-ZA" w:eastAsia="en-US"/>
        </w:rPr>
      </w:pPr>
      <w:r>
        <w:rPr>
          <w:rFonts w:ascii="Calibri" w:eastAsia="Calibri" w:hAnsi="Calibri" w:cs="Calibri"/>
          <w:sz w:val="20"/>
          <w:szCs w:val="20"/>
          <w:lang w:val="en-ZA" w:eastAsia="en-US"/>
        </w:rPr>
        <w:t xml:space="preserve">GEF funded projects are required to meet best international practice and specifically the requirements for stakeholder engagement and public consultations. Consultation meetings for the BCLME IV PPG process were undertaken in accordance with the GEF Policy on Public Involvement in GEF Projects and including the Free </w:t>
      </w:r>
      <w:r>
        <w:rPr>
          <w:rFonts w:ascii="Calibri" w:eastAsia="Calibri" w:hAnsi="Calibri" w:cs="Calibri"/>
          <w:sz w:val="20"/>
          <w:szCs w:val="20"/>
          <w:lang w:val="en-ZA" w:eastAsia="en-US"/>
        </w:rPr>
        <w:lastRenderedPageBreak/>
        <w:t xml:space="preserve">Prior Informed Consent (FPIC) process to ensure agreement between the project team and the stakeholders being consulted about being open and transparent and encouraging free and open expression of stakeholder concerns in relation to the project objectives. Information about project stakeholder engagement programme and activities was shared at onset of the PPG process to promote better awareness and understanding of the project’s strategies, policies and operations. </w:t>
      </w:r>
    </w:p>
    <w:p w14:paraId="680916EC" w14:textId="77777777" w:rsidR="00CF33D9" w:rsidRDefault="00E3332A">
      <w:pPr>
        <w:pStyle w:val="Heading2"/>
        <w:numPr>
          <w:ilvl w:val="1"/>
          <w:numId w:val="75"/>
        </w:numPr>
        <w:spacing w:after="240"/>
        <w:ind w:left="426" w:hanging="426"/>
        <w:rPr>
          <w:rFonts w:ascii="Calibri" w:hAnsi="Calibri" w:cs="Calibri"/>
          <w:szCs w:val="20"/>
        </w:rPr>
      </w:pPr>
      <w:r>
        <w:rPr>
          <w:rFonts w:ascii="Calibri" w:hAnsi="Calibri" w:cs="Calibri"/>
          <w:szCs w:val="20"/>
        </w:rPr>
        <w:t>Guiding Principles for Stakeholder Engagement</w:t>
      </w:r>
    </w:p>
    <w:p w14:paraId="680916ED" w14:textId="77777777" w:rsidR="00CF33D9" w:rsidRDefault="00E3332A">
      <w:pPr>
        <w:pStyle w:val="NormalWeb"/>
        <w:spacing w:after="0" w:afterAutospacing="0"/>
        <w:rPr>
          <w:rFonts w:ascii="Calibri" w:hAnsi="Calibri" w:cs="Calibri"/>
          <w:sz w:val="20"/>
          <w:szCs w:val="20"/>
        </w:rPr>
      </w:pPr>
      <w:r>
        <w:rPr>
          <w:rFonts w:ascii="Calibri" w:eastAsia="Calibri" w:hAnsi="Calibri" w:cs="Calibri"/>
          <w:sz w:val="20"/>
          <w:szCs w:val="20"/>
          <w:lang w:val="en-ZA" w:eastAsia="en-US"/>
        </w:rPr>
        <w:t xml:space="preserve">Stakeholder consultations are an on-going process that should take place during the project life necessary to ensure that stakeholders are informed about environmental and social consequences of the project implementation and ensure the opportunity for feedback. A communication plan will ensure that there is frequent communication between the implementing agencies and communities about progress of implementation activities and achieving project goals that have been incorporated in collaboration with community involvement. </w:t>
      </w:r>
      <w:r>
        <w:rPr>
          <w:rFonts w:ascii="Calibri" w:hAnsi="Calibri" w:cs="Calibri"/>
          <w:sz w:val="20"/>
          <w:szCs w:val="20"/>
        </w:rPr>
        <w:t xml:space="preserve">The project stakeholder engagement plan, following UNDP and GEF stakeholder engagement policies and guidelines, encourages adherence to the following guiding principles: </w:t>
      </w:r>
    </w:p>
    <w:p w14:paraId="680916EE" w14:textId="77777777" w:rsidR="00CF33D9" w:rsidRDefault="00E3332A">
      <w:pPr>
        <w:pStyle w:val="NormalWeb"/>
        <w:numPr>
          <w:ilvl w:val="0"/>
          <w:numId w:val="76"/>
        </w:numPr>
        <w:rPr>
          <w:rFonts w:ascii="Calibri" w:hAnsi="Calibri" w:cs="Calibri"/>
          <w:sz w:val="20"/>
          <w:szCs w:val="20"/>
        </w:rPr>
      </w:pPr>
      <w:r>
        <w:rPr>
          <w:rFonts w:ascii="Calibri" w:hAnsi="Calibri" w:cs="Calibri"/>
          <w:sz w:val="20"/>
          <w:szCs w:val="20"/>
        </w:rPr>
        <w:t xml:space="preserve">Promoting an inclusive and diverse stakeholder engagement with a tailored approach for constructive, responsive, accountable, and transparent stakeholder engagement. </w:t>
      </w:r>
    </w:p>
    <w:p w14:paraId="680916EF" w14:textId="77777777" w:rsidR="00CF33D9" w:rsidRDefault="00E3332A">
      <w:pPr>
        <w:pStyle w:val="NormalWeb"/>
        <w:numPr>
          <w:ilvl w:val="0"/>
          <w:numId w:val="76"/>
        </w:numPr>
        <w:rPr>
          <w:rFonts w:ascii="Calibri" w:hAnsi="Calibri" w:cs="Calibri"/>
          <w:sz w:val="20"/>
          <w:szCs w:val="20"/>
        </w:rPr>
      </w:pPr>
      <w:r>
        <w:rPr>
          <w:rFonts w:ascii="Calibri" w:hAnsi="Calibri" w:cs="Calibri"/>
          <w:sz w:val="20"/>
          <w:szCs w:val="20"/>
        </w:rPr>
        <w:t xml:space="preserve">Engaging stakeholders early on (in the designing stage) and throughout project implementation for ensuring fair, balanced, and inclusive participation in project governance and operation </w:t>
      </w:r>
    </w:p>
    <w:p w14:paraId="680916F0" w14:textId="77777777" w:rsidR="00CF33D9" w:rsidRDefault="00E3332A">
      <w:pPr>
        <w:pStyle w:val="NormalWeb"/>
        <w:numPr>
          <w:ilvl w:val="0"/>
          <w:numId w:val="76"/>
        </w:numPr>
        <w:rPr>
          <w:rFonts w:ascii="Calibri" w:hAnsi="Calibri" w:cs="Calibri"/>
          <w:sz w:val="20"/>
          <w:szCs w:val="20"/>
        </w:rPr>
      </w:pPr>
      <w:r>
        <w:rPr>
          <w:rFonts w:ascii="Calibri" w:hAnsi="Calibri" w:cs="Calibri"/>
          <w:sz w:val="20"/>
          <w:szCs w:val="20"/>
        </w:rPr>
        <w:t xml:space="preserve">Ensuring clear and transparent communication with relevant stakeholders. </w:t>
      </w:r>
    </w:p>
    <w:p w14:paraId="680916F1" w14:textId="77777777" w:rsidR="00CF33D9" w:rsidRDefault="00E3332A">
      <w:pPr>
        <w:pStyle w:val="NormalWeb"/>
        <w:numPr>
          <w:ilvl w:val="0"/>
          <w:numId w:val="76"/>
        </w:numPr>
        <w:rPr>
          <w:rFonts w:ascii="Calibri" w:hAnsi="Calibri" w:cs="Calibri"/>
          <w:sz w:val="20"/>
          <w:szCs w:val="20"/>
        </w:rPr>
      </w:pPr>
      <w:r>
        <w:rPr>
          <w:rFonts w:ascii="Calibri" w:hAnsi="Calibri" w:cs="Calibri"/>
          <w:sz w:val="20"/>
          <w:szCs w:val="20"/>
        </w:rPr>
        <w:t xml:space="preserve">Ensuring project’s commitment for effective and meaningful stakeholder engagement by allocating sufficient budgetary resources. </w:t>
      </w:r>
    </w:p>
    <w:p w14:paraId="680916F2" w14:textId="77777777" w:rsidR="00CF33D9" w:rsidRDefault="00E3332A">
      <w:pPr>
        <w:pStyle w:val="NormalWeb"/>
        <w:numPr>
          <w:ilvl w:val="0"/>
          <w:numId w:val="76"/>
        </w:numPr>
        <w:rPr>
          <w:rFonts w:ascii="Calibri" w:hAnsi="Calibri" w:cs="Calibri"/>
          <w:sz w:val="20"/>
          <w:szCs w:val="20"/>
        </w:rPr>
      </w:pPr>
      <w:r>
        <w:rPr>
          <w:rFonts w:ascii="Calibri" w:hAnsi="Calibri" w:cs="Calibri"/>
          <w:sz w:val="20"/>
          <w:szCs w:val="20"/>
        </w:rPr>
        <w:t xml:space="preserve">Respect for socio-cultural values and ethics of diverse stakeholder as one of the core principles of the engagement approach for ensuring effective participation and better results. </w:t>
      </w:r>
    </w:p>
    <w:p w14:paraId="680916F3" w14:textId="77777777" w:rsidR="00CF33D9" w:rsidRDefault="00E3332A">
      <w:pPr>
        <w:pStyle w:val="NormalWeb"/>
        <w:numPr>
          <w:ilvl w:val="0"/>
          <w:numId w:val="76"/>
        </w:numPr>
        <w:rPr>
          <w:rFonts w:ascii="Calibri" w:hAnsi="Calibri" w:cs="Calibri"/>
          <w:sz w:val="20"/>
          <w:szCs w:val="20"/>
        </w:rPr>
      </w:pPr>
      <w:r>
        <w:rPr>
          <w:rFonts w:ascii="Calibri" w:hAnsi="Calibri" w:cs="Calibri"/>
          <w:sz w:val="20"/>
          <w:szCs w:val="20"/>
        </w:rPr>
        <w:t xml:space="preserve">Developing skills and capacities of the stakeholders though project activities for sustaining the project initiatives and results. </w:t>
      </w:r>
    </w:p>
    <w:p w14:paraId="680916F4" w14:textId="77777777" w:rsidR="00CF33D9" w:rsidRDefault="00E3332A">
      <w:pPr>
        <w:pStyle w:val="NormalWeb"/>
        <w:numPr>
          <w:ilvl w:val="0"/>
          <w:numId w:val="76"/>
        </w:numPr>
        <w:rPr>
          <w:rFonts w:ascii="Calibri" w:hAnsi="Calibri" w:cs="Calibri"/>
          <w:sz w:val="20"/>
          <w:szCs w:val="20"/>
        </w:rPr>
      </w:pPr>
      <w:r>
        <w:rPr>
          <w:rFonts w:ascii="Calibri" w:hAnsi="Calibri" w:cs="Calibri"/>
          <w:sz w:val="20"/>
          <w:szCs w:val="20"/>
        </w:rPr>
        <w:t xml:space="preserve">Adapting collaborative approaches for safeguarding interests and concerns of all the stakeholders. </w:t>
      </w:r>
    </w:p>
    <w:p w14:paraId="680916F5" w14:textId="77777777" w:rsidR="00CF33D9" w:rsidRDefault="00CF33D9">
      <w:pPr>
        <w:rPr>
          <w:rFonts w:ascii="Calibri" w:hAnsi="Calibri" w:cs="Calibri"/>
          <w:sz w:val="20"/>
          <w:szCs w:val="20"/>
        </w:rPr>
      </w:pPr>
    </w:p>
    <w:p w14:paraId="680916F6" w14:textId="77777777" w:rsidR="00CF33D9" w:rsidRDefault="00E3332A">
      <w:pPr>
        <w:pStyle w:val="Heading1"/>
        <w:numPr>
          <w:ilvl w:val="0"/>
          <w:numId w:val="75"/>
        </w:numPr>
        <w:ind w:left="426"/>
        <w:rPr>
          <w:rFonts w:ascii="Calibri" w:hAnsi="Calibri" w:cs="Calibri"/>
          <w:color w:val="auto"/>
          <w:sz w:val="20"/>
          <w:szCs w:val="20"/>
        </w:rPr>
      </w:pPr>
      <w:r>
        <w:rPr>
          <w:rFonts w:ascii="Calibri" w:hAnsi="Calibri" w:cs="Calibri"/>
          <w:color w:val="auto"/>
          <w:sz w:val="20"/>
          <w:szCs w:val="20"/>
        </w:rPr>
        <w:t>Context and Methodology</w:t>
      </w:r>
    </w:p>
    <w:p w14:paraId="680916F7" w14:textId="77777777" w:rsidR="00CF33D9" w:rsidRDefault="00CF33D9">
      <w:pPr>
        <w:ind w:right="-563"/>
        <w:jc w:val="both"/>
        <w:rPr>
          <w:rFonts w:ascii="Calibri" w:hAnsi="Calibri" w:cs="Calibri"/>
          <w:b/>
          <w:sz w:val="20"/>
          <w:szCs w:val="20"/>
        </w:rPr>
      </w:pPr>
    </w:p>
    <w:p w14:paraId="680916F8" w14:textId="77777777" w:rsidR="00CF33D9" w:rsidRDefault="00E3332A">
      <w:pPr>
        <w:jc w:val="both"/>
        <w:rPr>
          <w:rFonts w:ascii="Calibri" w:eastAsia="Calibri" w:hAnsi="Calibri" w:cs="Calibri"/>
          <w:sz w:val="20"/>
          <w:szCs w:val="20"/>
          <w:lang w:val="en-ZA"/>
        </w:rPr>
      </w:pPr>
      <w:r>
        <w:rPr>
          <w:rFonts w:ascii="Calibri" w:eastAsia="Calibri" w:hAnsi="Calibri" w:cs="Calibri"/>
          <w:sz w:val="20"/>
          <w:szCs w:val="20"/>
          <w:lang w:val="en-ZA"/>
        </w:rPr>
        <w:t>The BCC being a tripartite convention; commands good communication and stakeholder engagement considering the diversity of sectors and their respective roles in the marine sphere. BCC stakeholders come from a wide range of different sectors and levels of power, from the government ministries, industries, researchers, and to the interested coastal community member. Furthermore, these stakeholders are scattered throughout three different countries, adding another level of complexity to any plans for their involvement. However, the right participation mechanisms can address these challenges and ensure effective stakeholder participation in the project throughout and beyond its lifespan. The PPG process builds on the historical work of the BCLME Programs that have been ongoing since the late 1990s. As a result, stakeholders have already been identified and categorised from each of the three countries. A desktop review of relevant reports, documents, and background information was used to update the stakeholder lists and subsequently add new stakeholders to the analysis that are relevant to the BCLME. The just ended BCLME III Project supported various governance structures as part of strengthening ocean governance, including establishment of inter-sectoral committees on blue economy. These structures will be augmented with civil society and private sector participation, to reach more stakeholders; while the use of social and other media was used to ensure consistent messaging to raise wider awareness and encourage stakeholders to provide input into the PPG and Project Document formulation.</w:t>
      </w:r>
    </w:p>
    <w:p w14:paraId="680916F9" w14:textId="77777777" w:rsidR="00CF33D9" w:rsidRDefault="00CF33D9">
      <w:pPr>
        <w:spacing w:after="200"/>
        <w:jc w:val="both"/>
        <w:rPr>
          <w:rFonts w:ascii="Calibri" w:eastAsia="Calibri" w:hAnsi="Calibri" w:cs="Calibri"/>
          <w:sz w:val="20"/>
          <w:szCs w:val="20"/>
          <w:lang w:val="en-ZA"/>
        </w:rPr>
      </w:pPr>
    </w:p>
    <w:p w14:paraId="680916FA" w14:textId="77777777" w:rsidR="00CF33D9" w:rsidRDefault="00CF33D9">
      <w:pPr>
        <w:spacing w:after="200"/>
        <w:jc w:val="both"/>
        <w:rPr>
          <w:rFonts w:ascii="Calibri" w:eastAsia="Calibri" w:hAnsi="Calibri" w:cs="Calibri"/>
          <w:sz w:val="20"/>
          <w:szCs w:val="20"/>
          <w:lang w:val="en-ZA"/>
        </w:rPr>
      </w:pPr>
    </w:p>
    <w:p w14:paraId="680916FB" w14:textId="77777777" w:rsidR="00CF33D9" w:rsidRDefault="00E3332A">
      <w:pPr>
        <w:spacing w:after="200"/>
        <w:jc w:val="both"/>
        <w:rPr>
          <w:rFonts w:ascii="Calibri" w:eastAsia="Calibri" w:hAnsi="Calibri" w:cs="Calibri"/>
          <w:sz w:val="20"/>
          <w:szCs w:val="20"/>
          <w:lang w:val="en-ZA"/>
        </w:rPr>
      </w:pPr>
      <w:r>
        <w:rPr>
          <w:rFonts w:ascii="Calibri" w:eastAsia="Calibri" w:hAnsi="Calibri" w:cs="Calibri"/>
          <w:sz w:val="20"/>
          <w:szCs w:val="20"/>
          <w:lang w:val="en-ZA"/>
        </w:rPr>
        <w:t xml:space="preserve">The categories of stakeholders that have been considered in the analysis are presented in Figure 1. Four sub-groups stakeholders have been classified as detailed in the diagram. Public institutions which will be composed of respective government sectors in the member states that have a mandate for marine and fisheries </w:t>
      </w:r>
      <w:r>
        <w:rPr>
          <w:rFonts w:ascii="Calibri" w:eastAsia="Calibri" w:hAnsi="Calibri" w:cs="Calibri"/>
          <w:sz w:val="20"/>
          <w:szCs w:val="20"/>
          <w:lang w:val="en-ZA"/>
        </w:rPr>
        <w:lastRenderedPageBreak/>
        <w:t xml:space="preserve">activities; Private institutions which are companies of diverse productive sectors in marine minerals, fisheries and other associated activities (these include chambers, federations, associations, cooperatives etc.); academia and research institutions that are dedicated to research and knowledge development; NGOs, social groups and local communities. The previous BCLME III supported BCC to establish inter-sectoral committees that are representative of the BCC sectors. These committees and working groups will be taken forth in the consultation process of the development of BCLME IV. </w:t>
      </w:r>
    </w:p>
    <w:p w14:paraId="680916FC" w14:textId="77777777" w:rsidR="00CF33D9" w:rsidRDefault="00E3332A">
      <w:pPr>
        <w:keepNext/>
        <w:spacing w:after="200"/>
        <w:jc w:val="both"/>
        <w:rPr>
          <w:rFonts w:ascii="Calibri" w:hAnsi="Calibri" w:cs="Calibri"/>
          <w:sz w:val="20"/>
          <w:szCs w:val="20"/>
        </w:rPr>
      </w:pPr>
      <w:r>
        <w:rPr>
          <w:rFonts w:ascii="Calibri" w:eastAsia="Calibri" w:hAnsi="Calibri" w:cs="Calibri"/>
          <w:noProof/>
          <w:sz w:val="20"/>
          <w:szCs w:val="20"/>
          <w:shd w:val="clear" w:color="auto" w:fill="DEEAF6" w:themeFill="accent1" w:themeFillTint="33"/>
        </w:rPr>
        <w:drawing>
          <wp:inline distT="0" distB="0" distL="0" distR="0" wp14:anchorId="680922FF" wp14:editId="68092300">
            <wp:extent cx="5728970" cy="2955290"/>
            <wp:effectExtent l="0" t="95250" r="5080" b="0"/>
            <wp:docPr id="48030566"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7" r:lo="rId78" r:qs="rId79" r:cs="rId80"/>
              </a:graphicData>
            </a:graphic>
          </wp:inline>
        </w:drawing>
      </w:r>
    </w:p>
    <w:p w14:paraId="680916FD" w14:textId="77777777" w:rsidR="00CF33D9" w:rsidRDefault="00E3332A">
      <w:pPr>
        <w:pStyle w:val="Caption"/>
        <w:jc w:val="center"/>
        <w:rPr>
          <w:rFonts w:ascii="Calibri" w:hAnsi="Calibri" w:cs="Calibri"/>
          <w:b w:val="0"/>
          <w:bCs w:val="0"/>
          <w:sz w:val="20"/>
          <w:szCs w:val="20"/>
        </w:rPr>
      </w:pPr>
      <w:bookmarkStart w:id="44" w:name="_Toc161176162"/>
      <w:r>
        <w:rPr>
          <w:rFonts w:ascii="Calibri" w:hAnsi="Calibri" w:cs="Calibri"/>
          <w:b w:val="0"/>
          <w:bCs w:val="0"/>
          <w:sz w:val="20"/>
          <w:szCs w:val="20"/>
        </w:rPr>
        <w:t xml:space="preserve">Figure </w:t>
      </w:r>
      <w:r>
        <w:rPr>
          <w:rFonts w:ascii="Calibri" w:hAnsi="Calibri" w:cs="Calibri"/>
          <w:b w:val="0"/>
          <w:bCs w:val="0"/>
          <w:sz w:val="20"/>
          <w:szCs w:val="20"/>
        </w:rPr>
        <w:fldChar w:fldCharType="begin"/>
      </w:r>
      <w:r>
        <w:rPr>
          <w:rFonts w:ascii="Calibri" w:hAnsi="Calibri" w:cs="Calibri"/>
          <w:b w:val="0"/>
          <w:bCs w:val="0"/>
          <w:sz w:val="20"/>
          <w:szCs w:val="20"/>
        </w:rPr>
        <w:instrText xml:space="preserve"> SEQ Figure \* ARABIC </w:instrText>
      </w:r>
      <w:r>
        <w:rPr>
          <w:rFonts w:ascii="Calibri" w:hAnsi="Calibri" w:cs="Calibri"/>
          <w:b w:val="0"/>
          <w:bCs w:val="0"/>
          <w:sz w:val="20"/>
          <w:szCs w:val="20"/>
        </w:rPr>
        <w:fldChar w:fldCharType="separate"/>
      </w:r>
      <w:r>
        <w:rPr>
          <w:rFonts w:ascii="Calibri" w:hAnsi="Calibri" w:cs="Calibri"/>
          <w:b w:val="0"/>
          <w:bCs w:val="0"/>
          <w:sz w:val="20"/>
          <w:szCs w:val="20"/>
        </w:rPr>
        <w:t>1</w:t>
      </w:r>
      <w:r>
        <w:rPr>
          <w:rFonts w:ascii="Calibri" w:hAnsi="Calibri" w:cs="Calibri"/>
          <w:b w:val="0"/>
          <w:bCs w:val="0"/>
          <w:sz w:val="20"/>
          <w:szCs w:val="20"/>
        </w:rPr>
        <w:fldChar w:fldCharType="end"/>
      </w:r>
      <w:r>
        <w:rPr>
          <w:rFonts w:ascii="Calibri" w:hAnsi="Calibri" w:cs="Calibri"/>
          <w:b w:val="0"/>
          <w:bCs w:val="0"/>
          <w:sz w:val="20"/>
          <w:szCs w:val="20"/>
        </w:rPr>
        <w:t>: The types of stakeholder categories for BCLME IV</w:t>
      </w:r>
      <w:bookmarkEnd w:id="44"/>
    </w:p>
    <w:p w14:paraId="680916FE" w14:textId="77777777" w:rsidR="00CF33D9" w:rsidRDefault="00CF33D9">
      <w:pPr>
        <w:rPr>
          <w:rFonts w:ascii="Calibri" w:hAnsi="Calibri" w:cs="Calibri"/>
          <w:sz w:val="20"/>
          <w:szCs w:val="20"/>
        </w:rPr>
      </w:pPr>
    </w:p>
    <w:p w14:paraId="680916FF" w14:textId="77777777" w:rsidR="00CF33D9" w:rsidRDefault="00E3332A">
      <w:pPr>
        <w:pStyle w:val="ListParagraph"/>
        <w:numPr>
          <w:ilvl w:val="1"/>
          <w:numId w:val="75"/>
        </w:numPr>
        <w:spacing w:after="160"/>
        <w:ind w:left="426" w:right="-563" w:hanging="426"/>
        <w:contextualSpacing/>
        <w:jc w:val="both"/>
        <w:rPr>
          <w:rFonts w:ascii="Calibri" w:hAnsi="Calibri" w:cs="Calibri"/>
          <w:b/>
          <w:bCs/>
          <w:sz w:val="20"/>
          <w:szCs w:val="20"/>
        </w:rPr>
      </w:pPr>
      <w:r>
        <w:rPr>
          <w:rFonts w:ascii="Calibri" w:hAnsi="Calibri" w:cs="Calibri"/>
          <w:b/>
          <w:bCs/>
          <w:sz w:val="20"/>
          <w:szCs w:val="20"/>
        </w:rPr>
        <w:t>Levels of Stakeholder Involvement</w:t>
      </w:r>
    </w:p>
    <w:p w14:paraId="68091700" w14:textId="77777777" w:rsidR="00CF33D9" w:rsidRDefault="00E3332A">
      <w:pPr>
        <w:rPr>
          <w:rFonts w:ascii="Calibri" w:eastAsia="Calibri" w:hAnsi="Calibri" w:cs="Calibri"/>
          <w:sz w:val="20"/>
          <w:szCs w:val="20"/>
          <w:lang w:val="en-ZA"/>
        </w:rPr>
      </w:pPr>
      <w:r>
        <w:rPr>
          <w:rFonts w:ascii="Calibri" w:eastAsia="Calibri" w:hAnsi="Calibri" w:cs="Calibri"/>
          <w:sz w:val="20"/>
          <w:szCs w:val="20"/>
          <w:lang w:val="en-ZA"/>
        </w:rPr>
        <w:t>Four levels of involvement are used as follows;</w:t>
      </w:r>
    </w:p>
    <w:p w14:paraId="68091701" w14:textId="77777777" w:rsidR="00CF33D9" w:rsidRDefault="00CF33D9">
      <w:pPr>
        <w:jc w:val="both"/>
        <w:rPr>
          <w:rFonts w:ascii="Calibri" w:eastAsia="Calibri" w:hAnsi="Calibri" w:cs="Calibri"/>
          <w:b/>
          <w:bCs/>
          <w:sz w:val="20"/>
          <w:szCs w:val="20"/>
          <w:lang w:val="en-ZA"/>
        </w:rPr>
      </w:pPr>
    </w:p>
    <w:p w14:paraId="68091702" w14:textId="77777777" w:rsidR="00CF33D9" w:rsidRDefault="00E3332A">
      <w:pPr>
        <w:jc w:val="both"/>
        <w:rPr>
          <w:rFonts w:ascii="Calibri" w:eastAsia="Calibri" w:hAnsi="Calibri" w:cs="Calibri"/>
          <w:sz w:val="20"/>
          <w:szCs w:val="20"/>
          <w:lang w:val="en-ZA"/>
        </w:rPr>
      </w:pPr>
      <w:r>
        <w:rPr>
          <w:rFonts w:ascii="Calibri" w:eastAsia="Calibri" w:hAnsi="Calibri" w:cs="Calibri"/>
          <w:b/>
          <w:bCs/>
          <w:sz w:val="20"/>
          <w:szCs w:val="20"/>
          <w:lang w:val="en-ZA"/>
        </w:rPr>
        <w:t>Collaboration:</w:t>
      </w:r>
      <w:r>
        <w:rPr>
          <w:rFonts w:ascii="Calibri" w:eastAsia="Calibri" w:hAnsi="Calibri" w:cs="Calibri"/>
          <w:sz w:val="20"/>
          <w:szCs w:val="20"/>
          <w:lang w:val="en-ZA"/>
        </w:rPr>
        <w:t xml:space="preserve"> describes active commitment where actors are effectively partnering in the project development and implementation processes; and contribute with resources and support through co-financing contributions.</w:t>
      </w:r>
    </w:p>
    <w:p w14:paraId="68091703" w14:textId="77777777" w:rsidR="00CF33D9" w:rsidRDefault="00E3332A">
      <w:pPr>
        <w:jc w:val="both"/>
        <w:rPr>
          <w:rFonts w:ascii="Calibri" w:eastAsia="Calibri" w:hAnsi="Calibri" w:cs="Calibri"/>
          <w:sz w:val="20"/>
          <w:szCs w:val="20"/>
          <w:lang w:val="en-ZA"/>
        </w:rPr>
      </w:pPr>
      <w:r>
        <w:rPr>
          <w:rFonts w:ascii="Calibri" w:eastAsia="Calibri" w:hAnsi="Calibri" w:cs="Calibri"/>
          <w:b/>
          <w:bCs/>
          <w:sz w:val="20"/>
          <w:szCs w:val="20"/>
          <w:lang w:val="en-ZA"/>
        </w:rPr>
        <w:t xml:space="preserve">Information: </w:t>
      </w:r>
      <w:r>
        <w:rPr>
          <w:rFonts w:ascii="Calibri" w:eastAsia="Calibri" w:hAnsi="Calibri" w:cs="Calibri"/>
          <w:sz w:val="20"/>
          <w:szCs w:val="20"/>
          <w:lang w:val="en-ZA"/>
        </w:rPr>
        <w:t>Provision of information to the most passive stakeholders will be designed to communicate project results effectively. At this level, information would be one-way tailored to create awareness and garner involvement in project activities.</w:t>
      </w:r>
    </w:p>
    <w:p w14:paraId="68091704" w14:textId="77777777" w:rsidR="00CF33D9" w:rsidRDefault="00E3332A">
      <w:pPr>
        <w:jc w:val="both"/>
        <w:rPr>
          <w:rFonts w:ascii="Calibri" w:eastAsia="Calibri" w:hAnsi="Calibri" w:cs="Calibri"/>
          <w:sz w:val="20"/>
          <w:szCs w:val="20"/>
          <w:lang w:val="en-ZA"/>
        </w:rPr>
      </w:pPr>
      <w:r>
        <w:rPr>
          <w:rFonts w:ascii="Calibri" w:eastAsia="Calibri" w:hAnsi="Calibri" w:cs="Calibri"/>
          <w:b/>
          <w:bCs/>
          <w:sz w:val="20"/>
          <w:szCs w:val="20"/>
          <w:lang w:val="en-ZA"/>
        </w:rPr>
        <w:t xml:space="preserve">Involvement: </w:t>
      </w:r>
      <w:r>
        <w:rPr>
          <w:rFonts w:ascii="Calibri" w:eastAsia="Calibri" w:hAnsi="Calibri" w:cs="Calibri"/>
          <w:sz w:val="20"/>
          <w:szCs w:val="20"/>
          <w:lang w:val="en-ZA"/>
        </w:rPr>
        <w:t xml:space="preserve">this includes two intermediate levels of participation whereby stakeholders are </w:t>
      </w:r>
      <w:r>
        <w:rPr>
          <w:rFonts w:ascii="Calibri" w:eastAsia="Calibri" w:hAnsi="Calibri" w:cs="Calibri"/>
          <w:b/>
          <w:bCs/>
          <w:sz w:val="20"/>
          <w:szCs w:val="20"/>
          <w:lang w:val="en-ZA"/>
        </w:rPr>
        <w:t>Consulted</w:t>
      </w:r>
      <w:r>
        <w:rPr>
          <w:rFonts w:ascii="Calibri" w:eastAsia="Calibri" w:hAnsi="Calibri" w:cs="Calibri"/>
          <w:sz w:val="20"/>
          <w:szCs w:val="20"/>
          <w:lang w:val="en-ZA"/>
        </w:rPr>
        <w:t xml:space="preserve"> (e.g. requested to provide information); and those whom </w:t>
      </w:r>
      <w:r>
        <w:rPr>
          <w:rFonts w:ascii="Calibri" w:eastAsia="Calibri" w:hAnsi="Calibri" w:cs="Calibri"/>
          <w:b/>
          <w:bCs/>
          <w:sz w:val="20"/>
          <w:szCs w:val="20"/>
          <w:lang w:val="en-ZA"/>
        </w:rPr>
        <w:t>Involvement</w:t>
      </w:r>
      <w:r>
        <w:rPr>
          <w:rFonts w:ascii="Calibri" w:eastAsia="Calibri" w:hAnsi="Calibri" w:cs="Calibri"/>
          <w:sz w:val="20"/>
          <w:szCs w:val="20"/>
          <w:lang w:val="en-ZA"/>
        </w:rPr>
        <w:t xml:space="preserve"> occurs (more committed and can also provide resources or data).</w:t>
      </w:r>
    </w:p>
    <w:p w14:paraId="68091705" w14:textId="77777777" w:rsidR="00CF33D9" w:rsidRDefault="00E3332A">
      <w:pPr>
        <w:jc w:val="both"/>
        <w:rPr>
          <w:rFonts w:ascii="Calibri" w:eastAsia="Calibri" w:hAnsi="Calibri" w:cs="Calibri"/>
          <w:sz w:val="20"/>
          <w:szCs w:val="20"/>
          <w:lang w:val="en-ZA"/>
        </w:rPr>
      </w:pPr>
      <w:r>
        <w:rPr>
          <w:rFonts w:ascii="Calibri" w:eastAsia="Calibri" w:hAnsi="Calibri" w:cs="Calibri"/>
          <w:b/>
          <w:bCs/>
          <w:sz w:val="20"/>
          <w:szCs w:val="20"/>
          <w:lang w:val="en-ZA"/>
        </w:rPr>
        <w:t xml:space="preserve">Inform: </w:t>
      </w:r>
      <w:r>
        <w:rPr>
          <w:rFonts w:ascii="Calibri" w:eastAsia="Calibri" w:hAnsi="Calibri" w:cs="Calibri"/>
          <w:sz w:val="20"/>
          <w:szCs w:val="20"/>
          <w:lang w:val="en-ZA"/>
        </w:rPr>
        <w:t>Different levels of information dissemination will be required considering the plethora of stakeholders in the BCLME region.</w:t>
      </w:r>
    </w:p>
    <w:p w14:paraId="68091706" w14:textId="77777777" w:rsidR="00CF33D9" w:rsidRDefault="00CF33D9">
      <w:pPr>
        <w:ind w:right="-563"/>
        <w:contextualSpacing/>
        <w:jc w:val="both"/>
        <w:rPr>
          <w:rFonts w:ascii="Calibri" w:hAnsi="Calibri" w:cs="Calibri"/>
          <w:sz w:val="20"/>
          <w:szCs w:val="20"/>
          <w:lang w:val="en-ZA"/>
        </w:rPr>
      </w:pPr>
    </w:p>
    <w:p w14:paraId="68091707" w14:textId="77777777" w:rsidR="00CF33D9" w:rsidRDefault="00E3332A">
      <w:pPr>
        <w:pStyle w:val="Heading1"/>
        <w:numPr>
          <w:ilvl w:val="0"/>
          <w:numId w:val="75"/>
        </w:numPr>
        <w:ind w:left="426"/>
        <w:rPr>
          <w:rFonts w:ascii="Calibri" w:hAnsi="Calibri" w:cs="Calibri"/>
          <w:color w:val="auto"/>
          <w:sz w:val="20"/>
          <w:szCs w:val="20"/>
        </w:rPr>
      </w:pPr>
      <w:r>
        <w:rPr>
          <w:rFonts w:ascii="Calibri" w:hAnsi="Calibri" w:cs="Calibri"/>
          <w:color w:val="auto"/>
          <w:sz w:val="20"/>
          <w:szCs w:val="20"/>
        </w:rPr>
        <w:t>Project Description</w:t>
      </w:r>
    </w:p>
    <w:p w14:paraId="68091708" w14:textId="77777777" w:rsidR="00CF33D9" w:rsidRDefault="00CF33D9">
      <w:pPr>
        <w:pStyle w:val="ListParagraph"/>
        <w:spacing w:after="180"/>
        <w:ind w:left="426"/>
        <w:jc w:val="both"/>
        <w:rPr>
          <w:rFonts w:ascii="Calibri" w:eastAsia="Calibri" w:hAnsi="Calibri" w:cs="Calibri"/>
          <w:sz w:val="20"/>
          <w:szCs w:val="20"/>
          <w:lang w:val="en-ZA"/>
        </w:rPr>
      </w:pPr>
    </w:p>
    <w:p w14:paraId="68091709" w14:textId="77777777" w:rsidR="00CF33D9" w:rsidRDefault="00E3332A">
      <w:pPr>
        <w:pStyle w:val="ListParagraph"/>
        <w:spacing w:after="180"/>
        <w:ind w:left="0"/>
        <w:jc w:val="both"/>
        <w:rPr>
          <w:rFonts w:ascii="Calibri" w:eastAsia="Times New Roman" w:hAnsi="Calibri" w:cs="Calibri"/>
          <w:color w:val="000000"/>
          <w:sz w:val="20"/>
          <w:szCs w:val="20"/>
        </w:rPr>
      </w:pPr>
      <w:r>
        <w:rPr>
          <w:rFonts w:ascii="Calibri" w:eastAsia="Calibri" w:hAnsi="Calibri" w:cs="Calibri"/>
          <w:sz w:val="20"/>
          <w:szCs w:val="20"/>
          <w:lang w:val="en-ZA"/>
        </w:rPr>
        <w:t>Building on the achievements of the previous three projects, and to capitalize on the current political momentum and commitment of the three countries, the Benguela Current Convention in partnership with UNDP and the three countries (Angola, Namibia and South Africa) embarked on developing a fourth GEF-funded project. The project titled</w:t>
      </w:r>
      <w:r>
        <w:rPr>
          <w:rFonts w:ascii="Calibri" w:eastAsia="Times New Roman" w:hAnsi="Calibri" w:cs="Calibri"/>
          <w:color w:val="000000"/>
          <w:sz w:val="20"/>
          <w:szCs w:val="20"/>
        </w:rPr>
        <w:t xml:space="preserve"> “</w:t>
      </w:r>
      <w:r>
        <w:rPr>
          <w:rFonts w:ascii="Calibri" w:eastAsia="Times New Roman" w:hAnsi="Calibri" w:cs="Calibri"/>
          <w:i/>
          <w:iCs/>
          <w:color w:val="000000"/>
          <w:sz w:val="20"/>
          <w:szCs w:val="20"/>
        </w:rPr>
        <w:t>Mainstreaming Climate-Resilient Blue Economy in the BCLME Region</w:t>
      </w:r>
      <w:r>
        <w:rPr>
          <w:rFonts w:ascii="Calibri" w:eastAsia="Times New Roman" w:hAnsi="Calibri" w:cs="Calibri"/>
          <w:color w:val="000000"/>
          <w:sz w:val="20"/>
          <w:szCs w:val="20"/>
        </w:rPr>
        <w:t>” (BCLME-IV Project).</w:t>
      </w:r>
    </w:p>
    <w:p w14:paraId="6809170A" w14:textId="77777777" w:rsidR="00CF33D9" w:rsidRDefault="00CF33D9">
      <w:pPr>
        <w:pStyle w:val="ListParagraph"/>
        <w:spacing w:after="180"/>
        <w:ind w:left="0"/>
        <w:jc w:val="both"/>
        <w:rPr>
          <w:rFonts w:ascii="Calibri" w:eastAsia="Times New Roman" w:hAnsi="Calibri" w:cs="Calibri"/>
          <w:color w:val="000000"/>
          <w:sz w:val="20"/>
          <w:szCs w:val="20"/>
        </w:rPr>
      </w:pPr>
    </w:p>
    <w:p w14:paraId="6809170B" w14:textId="77777777" w:rsidR="00CF33D9" w:rsidRDefault="00E3332A">
      <w:pPr>
        <w:pStyle w:val="ListParagraph"/>
        <w:spacing w:after="180"/>
        <w:ind w:left="0"/>
        <w:jc w:val="both"/>
        <w:rPr>
          <w:rFonts w:ascii="Calibri" w:eastAsia="Times New Roman" w:hAnsi="Calibri" w:cs="Calibri"/>
          <w:sz w:val="20"/>
          <w:szCs w:val="20"/>
        </w:rPr>
      </w:pPr>
      <w:r>
        <w:rPr>
          <w:rFonts w:ascii="Calibri" w:eastAsia="Times New Roman" w:hAnsi="Calibri" w:cs="Calibri"/>
          <w:color w:val="000000"/>
          <w:sz w:val="20"/>
          <w:szCs w:val="20"/>
        </w:rPr>
        <w:t>The project design, as envisaged in the PIF, comprises the following components: </w:t>
      </w:r>
    </w:p>
    <w:p w14:paraId="6809170C" w14:textId="77777777" w:rsidR="00CF33D9" w:rsidRDefault="00E3332A">
      <w:pPr>
        <w:pStyle w:val="ListParagraph"/>
        <w:numPr>
          <w:ilvl w:val="1"/>
          <w:numId w:val="77"/>
        </w:numPr>
        <w:spacing w:after="180"/>
        <w:ind w:left="426" w:hanging="425"/>
        <w:contextualSpacing/>
        <w:jc w:val="both"/>
        <w:rPr>
          <w:rFonts w:ascii="Calibri" w:eastAsia="Times New Roman" w:hAnsi="Calibri" w:cs="Calibri"/>
          <w:sz w:val="20"/>
          <w:szCs w:val="20"/>
        </w:rPr>
      </w:pPr>
      <w:r>
        <w:rPr>
          <w:rFonts w:ascii="Calibri" w:eastAsia="Times New Roman" w:hAnsi="Calibri" w:cs="Calibri"/>
          <w:b/>
          <w:bCs/>
          <w:color w:val="000000"/>
          <w:sz w:val="20"/>
          <w:szCs w:val="20"/>
        </w:rPr>
        <w:lastRenderedPageBreak/>
        <w:t>Component One:</w:t>
      </w:r>
      <w:r>
        <w:rPr>
          <w:rFonts w:ascii="Calibri" w:eastAsia="Times New Roman" w:hAnsi="Calibri" w:cs="Calibri"/>
          <w:color w:val="000000"/>
          <w:sz w:val="20"/>
          <w:szCs w:val="20"/>
        </w:rPr>
        <w:t xml:space="preserve"> Improve marine and coastal management efforts in the BCLME through spatial management tools and the establishment and expansion of MPAs and SMAs taking into consideration climate change and ensuring climate-resilient socio-economic development; </w:t>
      </w:r>
    </w:p>
    <w:p w14:paraId="6809170D" w14:textId="77777777" w:rsidR="00CF33D9" w:rsidRDefault="00E3332A">
      <w:pPr>
        <w:pStyle w:val="ListParagraph"/>
        <w:numPr>
          <w:ilvl w:val="1"/>
          <w:numId w:val="77"/>
        </w:numPr>
        <w:ind w:left="426" w:hanging="425"/>
        <w:contextualSpacing/>
        <w:jc w:val="both"/>
        <w:rPr>
          <w:rFonts w:ascii="Calibri" w:eastAsia="Times New Roman" w:hAnsi="Calibri" w:cs="Calibri"/>
          <w:sz w:val="20"/>
          <w:szCs w:val="20"/>
        </w:rPr>
      </w:pPr>
      <w:r>
        <w:rPr>
          <w:rFonts w:ascii="Calibri" w:eastAsia="Times New Roman" w:hAnsi="Calibri" w:cs="Calibri"/>
          <w:b/>
          <w:bCs/>
          <w:color w:val="000000"/>
          <w:sz w:val="20"/>
          <w:szCs w:val="20"/>
        </w:rPr>
        <w:t>Component Two:</w:t>
      </w:r>
      <w:r>
        <w:rPr>
          <w:rFonts w:ascii="Calibri" w:eastAsia="Times New Roman" w:hAnsi="Calibri" w:cs="Calibri"/>
          <w:color w:val="000000"/>
          <w:sz w:val="20"/>
          <w:szCs w:val="20"/>
        </w:rPr>
        <w:t xml:space="preserve"> Enhance sustainable and climate resilient marine living and non-living resources and their value chains in the BCLME;</w:t>
      </w:r>
    </w:p>
    <w:p w14:paraId="6809170E" w14:textId="77777777" w:rsidR="00CF33D9" w:rsidRDefault="00E3332A">
      <w:pPr>
        <w:pStyle w:val="ListParagraph"/>
        <w:numPr>
          <w:ilvl w:val="1"/>
          <w:numId w:val="77"/>
        </w:numPr>
        <w:ind w:left="426" w:hanging="425"/>
        <w:contextualSpacing/>
        <w:jc w:val="both"/>
        <w:rPr>
          <w:rFonts w:ascii="Calibri" w:eastAsia="Times New Roman" w:hAnsi="Calibri" w:cs="Calibri"/>
          <w:sz w:val="20"/>
          <w:szCs w:val="20"/>
        </w:rPr>
      </w:pPr>
      <w:r>
        <w:rPr>
          <w:rFonts w:ascii="Calibri" w:eastAsia="Times New Roman" w:hAnsi="Calibri" w:cs="Calibri"/>
          <w:b/>
          <w:bCs/>
          <w:color w:val="000000"/>
          <w:sz w:val="20"/>
          <w:szCs w:val="20"/>
        </w:rPr>
        <w:t>Component Three:</w:t>
      </w:r>
      <w:r>
        <w:rPr>
          <w:rFonts w:ascii="Calibri" w:eastAsia="Times New Roman" w:hAnsi="Calibri" w:cs="Calibri"/>
          <w:color w:val="000000"/>
          <w:sz w:val="20"/>
          <w:szCs w:val="20"/>
        </w:rPr>
        <w:t xml:space="preserve"> Improve coastal and marine pollution management in the BCLME; </w:t>
      </w:r>
    </w:p>
    <w:p w14:paraId="6809170F" w14:textId="77777777" w:rsidR="00CF33D9" w:rsidRDefault="00E3332A">
      <w:pPr>
        <w:pStyle w:val="ListParagraph"/>
        <w:numPr>
          <w:ilvl w:val="1"/>
          <w:numId w:val="77"/>
        </w:numPr>
        <w:ind w:left="426" w:hanging="425"/>
        <w:contextualSpacing/>
        <w:jc w:val="both"/>
        <w:rPr>
          <w:rFonts w:ascii="Calibri" w:eastAsia="Times New Roman" w:hAnsi="Calibri" w:cs="Calibri"/>
          <w:sz w:val="20"/>
          <w:szCs w:val="20"/>
        </w:rPr>
      </w:pPr>
      <w:r>
        <w:rPr>
          <w:rFonts w:ascii="Calibri" w:eastAsia="Times New Roman" w:hAnsi="Calibri" w:cs="Calibri"/>
          <w:b/>
          <w:bCs/>
          <w:color w:val="000000"/>
          <w:sz w:val="20"/>
          <w:szCs w:val="20"/>
        </w:rPr>
        <w:t>Component Four:</w:t>
      </w:r>
      <w:r>
        <w:rPr>
          <w:rFonts w:ascii="Calibri" w:eastAsia="Times New Roman" w:hAnsi="Calibri" w:cs="Calibri"/>
          <w:color w:val="000000"/>
          <w:sz w:val="20"/>
          <w:szCs w:val="20"/>
        </w:rPr>
        <w:t xml:space="preserve"> Promote regional and national frameworks for sustainable innovative blue/ocean economy finance to foster positive ecosystem, social and economic impacts; and</w:t>
      </w:r>
    </w:p>
    <w:p w14:paraId="68091710" w14:textId="77777777" w:rsidR="00CF33D9" w:rsidRDefault="00E3332A">
      <w:pPr>
        <w:pStyle w:val="ListParagraph"/>
        <w:numPr>
          <w:ilvl w:val="1"/>
          <w:numId w:val="77"/>
        </w:numPr>
        <w:ind w:left="426" w:hanging="425"/>
        <w:contextualSpacing/>
        <w:jc w:val="both"/>
        <w:rPr>
          <w:rFonts w:ascii="Calibri" w:eastAsia="Times New Roman" w:hAnsi="Calibri" w:cs="Calibri"/>
          <w:sz w:val="20"/>
          <w:szCs w:val="20"/>
        </w:rPr>
      </w:pPr>
      <w:r>
        <w:rPr>
          <w:rFonts w:ascii="Calibri" w:eastAsia="Times New Roman" w:hAnsi="Calibri" w:cs="Calibri"/>
          <w:b/>
          <w:bCs/>
          <w:color w:val="000000"/>
          <w:sz w:val="20"/>
          <w:szCs w:val="20"/>
        </w:rPr>
        <w:t>Component Five</w:t>
      </w:r>
      <w:r>
        <w:rPr>
          <w:rFonts w:ascii="Calibri" w:eastAsia="Times New Roman" w:hAnsi="Calibri" w:cs="Calibri"/>
          <w:color w:val="000000"/>
          <w:sz w:val="20"/>
          <w:szCs w:val="20"/>
        </w:rPr>
        <w:t>: Knowledge development, management, awareness raising and upscaling for Sustainable Blue/Ocean Economy.</w:t>
      </w:r>
    </w:p>
    <w:p w14:paraId="68091711" w14:textId="77777777" w:rsidR="00CF33D9" w:rsidRDefault="00CF33D9">
      <w:pPr>
        <w:spacing w:after="180"/>
        <w:ind w:left="426"/>
        <w:jc w:val="both"/>
        <w:rPr>
          <w:rFonts w:ascii="Calibri" w:eastAsia="Calibri" w:hAnsi="Calibri" w:cs="Calibri"/>
          <w:sz w:val="20"/>
          <w:szCs w:val="20"/>
          <w:lang w:val="en-ZA"/>
        </w:rPr>
      </w:pPr>
    </w:p>
    <w:p w14:paraId="68091712" w14:textId="77777777" w:rsidR="00CF33D9" w:rsidRDefault="00E3332A">
      <w:pPr>
        <w:spacing w:after="180"/>
        <w:jc w:val="both"/>
        <w:rPr>
          <w:rFonts w:ascii="Calibri" w:hAnsi="Calibri" w:cs="Calibri"/>
          <w:sz w:val="20"/>
          <w:szCs w:val="20"/>
        </w:rPr>
      </w:pPr>
      <w:r>
        <w:rPr>
          <w:rFonts w:ascii="Calibri" w:eastAsia="Calibri" w:hAnsi="Calibri" w:cs="Calibri"/>
          <w:sz w:val="20"/>
          <w:szCs w:val="20"/>
          <w:lang w:val="en-ZA"/>
        </w:rPr>
        <w:t>This new 6-year project seeks to mainstream the development of sustainable economies and resilient ecosystems within the BCLME and advance the implementation of the BCLME SAP (2023-2033), through an ecosystem-based, multi-sectoral approach for sustainable management of transboundary ecosystem goods and services. The project will focus, in particular, on enhancing sustainable marine living and non-living resources and their value chains, improving marine and coastal management efforts through the establishment and expansion of Marine Protected Areas (MPAs) and Special Management Areas (SMAs) for socio-economic development, improving marine pollution and promoting blue/ocean economy innovative and sustainable finance for positive ecosystem, social and economic impacts.</w:t>
      </w:r>
    </w:p>
    <w:p w14:paraId="68091713" w14:textId="77777777" w:rsidR="00CF33D9" w:rsidRDefault="00E3332A">
      <w:pPr>
        <w:pStyle w:val="Heading1"/>
        <w:numPr>
          <w:ilvl w:val="0"/>
          <w:numId w:val="75"/>
        </w:numPr>
        <w:ind w:left="426" w:hanging="426"/>
        <w:rPr>
          <w:rFonts w:ascii="Calibri" w:hAnsi="Calibri" w:cs="Calibri"/>
          <w:b/>
          <w:bCs/>
          <w:color w:val="auto"/>
          <w:sz w:val="20"/>
          <w:szCs w:val="20"/>
        </w:rPr>
      </w:pPr>
      <w:r>
        <w:rPr>
          <w:rFonts w:ascii="Calibri" w:hAnsi="Calibri" w:cs="Calibri"/>
          <w:b/>
          <w:bCs/>
          <w:color w:val="auto"/>
          <w:sz w:val="20"/>
          <w:szCs w:val="20"/>
        </w:rPr>
        <w:t>Stakeholders Analysis &amp; Consultation During Project Preparation</w:t>
      </w:r>
    </w:p>
    <w:p w14:paraId="68091714" w14:textId="77777777" w:rsidR="00CF33D9" w:rsidRDefault="00CF33D9">
      <w:pPr>
        <w:jc w:val="both"/>
        <w:rPr>
          <w:rFonts w:ascii="Calibri" w:eastAsia="Calibri" w:hAnsi="Calibri" w:cs="Calibri"/>
          <w:sz w:val="20"/>
          <w:szCs w:val="20"/>
          <w:lang w:val="en-ZA"/>
        </w:rPr>
      </w:pPr>
    </w:p>
    <w:p w14:paraId="68091715" w14:textId="77777777" w:rsidR="00CF33D9" w:rsidRDefault="00E3332A">
      <w:pPr>
        <w:jc w:val="both"/>
        <w:rPr>
          <w:rFonts w:ascii="Calibri" w:eastAsia="Calibri" w:hAnsi="Calibri" w:cs="Calibri"/>
          <w:sz w:val="20"/>
          <w:szCs w:val="20"/>
          <w:lang w:val="en-ZA"/>
        </w:rPr>
      </w:pPr>
      <w:r>
        <w:rPr>
          <w:rFonts w:ascii="Calibri" w:eastAsia="Calibri" w:hAnsi="Calibri" w:cs="Calibri"/>
          <w:sz w:val="20"/>
          <w:szCs w:val="20"/>
          <w:lang w:val="en-ZA"/>
        </w:rPr>
        <w:t xml:space="preserve">The stakeholder analysis process involved identification of stakeholders to attend the consultation meetings in the respective countries. This initial process started from the PPG onset at Inception stage and throughout the development phase. The existing respective stakeholder groups and committees as created by Benguela Current Convention Secretariat through previous projects served as leverage to engage in subject specific consultations. </w:t>
      </w:r>
    </w:p>
    <w:p w14:paraId="68091716" w14:textId="77777777" w:rsidR="00CF33D9" w:rsidRDefault="00CF33D9">
      <w:pPr>
        <w:jc w:val="both"/>
        <w:rPr>
          <w:rFonts w:ascii="Calibri" w:eastAsia="Calibri" w:hAnsi="Calibri" w:cs="Calibri"/>
          <w:sz w:val="20"/>
          <w:szCs w:val="20"/>
          <w:lang w:val="en-ZA"/>
        </w:rPr>
      </w:pPr>
    </w:p>
    <w:p w14:paraId="68091717" w14:textId="77777777" w:rsidR="00CF33D9" w:rsidRDefault="00E3332A">
      <w:pPr>
        <w:jc w:val="both"/>
        <w:rPr>
          <w:rFonts w:ascii="Calibri" w:eastAsia="Calibri" w:hAnsi="Calibri" w:cs="Calibri"/>
          <w:sz w:val="20"/>
          <w:szCs w:val="20"/>
          <w:lang w:val="en-ZA"/>
        </w:rPr>
      </w:pPr>
      <w:r>
        <w:rPr>
          <w:rFonts w:ascii="Calibri" w:eastAsia="Calibri" w:hAnsi="Calibri" w:cs="Calibri"/>
          <w:sz w:val="20"/>
          <w:szCs w:val="20"/>
          <w:lang w:val="en-ZA"/>
        </w:rPr>
        <w:t>The analysis is made based on the assumption, that, since the current project is a continuation of the foundation project, most of the stakeholders are duly informed of the key purposes and tactical steps for the SAP implementation. The previous GEF funded BCLME III project facilitated establishment of national inter-sectoral committees in the BCC countries as well the Science to Governance Forum which created avenues for dialogues between stakeholders and yielded impacts amongst local communities. Subsequently, more stakeholders were identified especially from the private sector industries as the project aims to attract private sector involvement in the implementation of the project. A number of non-governmental organisations are active in the BCLME region, contributing to development initiatives in line with objectives of BCLME IV Project. Such organisations have also been included in the consultation process.</w:t>
      </w:r>
    </w:p>
    <w:p w14:paraId="68091718" w14:textId="77777777" w:rsidR="00CF33D9" w:rsidRDefault="00CF33D9">
      <w:pPr>
        <w:ind w:left="360"/>
        <w:jc w:val="both"/>
        <w:rPr>
          <w:rFonts w:ascii="Calibri" w:eastAsia="Calibri" w:hAnsi="Calibri" w:cs="Calibri"/>
          <w:sz w:val="20"/>
          <w:szCs w:val="20"/>
          <w:lang w:val="en-ZA"/>
        </w:rPr>
        <w:sectPr w:rsidR="00CF33D9">
          <w:headerReference w:type="default" r:id="rId82"/>
          <w:pgSz w:w="11906" w:h="16838"/>
          <w:pgMar w:top="1440" w:right="1622" w:bottom="1440" w:left="1440" w:header="708" w:footer="708" w:gutter="0"/>
          <w:cols w:space="708"/>
          <w:docGrid w:linePitch="360"/>
        </w:sectPr>
      </w:pPr>
    </w:p>
    <w:p w14:paraId="68091719" w14:textId="77777777" w:rsidR="00CF33D9" w:rsidRDefault="00E3332A">
      <w:pPr>
        <w:pStyle w:val="Heading2"/>
        <w:numPr>
          <w:ilvl w:val="1"/>
          <w:numId w:val="75"/>
        </w:numPr>
        <w:ind w:left="426" w:hanging="360"/>
        <w:rPr>
          <w:rFonts w:ascii="Calibri" w:hAnsi="Calibri" w:cs="Calibri"/>
          <w:szCs w:val="20"/>
        </w:rPr>
      </w:pPr>
      <w:r>
        <w:rPr>
          <w:rFonts w:ascii="Calibri" w:hAnsi="Calibri" w:cs="Calibri"/>
          <w:szCs w:val="20"/>
        </w:rPr>
        <w:lastRenderedPageBreak/>
        <w:t>Participatory development of Stakeholder Analysis</w:t>
      </w:r>
    </w:p>
    <w:p w14:paraId="6809171A" w14:textId="77777777" w:rsidR="00CF33D9" w:rsidRDefault="00E3332A">
      <w:pPr>
        <w:spacing w:before="240"/>
        <w:jc w:val="both"/>
        <w:rPr>
          <w:rFonts w:ascii="Calibri" w:eastAsia="Calibri" w:hAnsi="Calibri" w:cs="Calibri"/>
          <w:sz w:val="20"/>
          <w:szCs w:val="20"/>
          <w:lang w:val="en-ZA"/>
        </w:rPr>
      </w:pPr>
      <w:r>
        <w:rPr>
          <w:rFonts w:ascii="Calibri" w:eastAsia="Calibri" w:hAnsi="Calibri" w:cs="Calibri"/>
          <w:sz w:val="20"/>
          <w:szCs w:val="20"/>
          <w:lang w:val="en-ZA"/>
        </w:rPr>
        <w:t>Several consultations were convened with respective stakeholders as detailed in Table 1 below. A total of 375 stakeholders were consulted throughout the PPG phase. The Inception Meeting that was convened virtually had 65 participants, while national consultations and focus group meeting had varying numbers of participants in each country, 310 in total (Angola 42, Namibia 113 and South Africa 155). Attendance registers for the respective meetings are available for reference. Stakeholders were implored to provide written confirmation of their support to the project activities, such letters are also attached. A Working Group for the PPG Team was established, composed of BCC Officials, UNDP (national and Regional officials) as well as the consulting team to oversee overall development of the project and troubleshoot actions when required. The Working Group met weekly to update each other and agree on tasks to be delivered.</w:t>
      </w:r>
    </w:p>
    <w:p w14:paraId="6809171B" w14:textId="77777777" w:rsidR="00CF33D9" w:rsidRDefault="00CF33D9">
      <w:pPr>
        <w:spacing w:before="240"/>
        <w:jc w:val="both"/>
        <w:rPr>
          <w:rFonts w:ascii="Calibri" w:hAnsi="Calibri" w:cs="Calibri"/>
          <w:sz w:val="20"/>
          <w:szCs w:val="20"/>
        </w:rPr>
        <w:sectPr w:rsidR="00CF33D9">
          <w:pgSz w:w="11900" w:h="16820"/>
          <w:pgMar w:top="1440" w:right="1174" w:bottom="1440" w:left="1440" w:header="708" w:footer="708" w:gutter="0"/>
          <w:cols w:space="708"/>
          <w:docGrid w:linePitch="360"/>
        </w:sectPr>
      </w:pPr>
    </w:p>
    <w:p w14:paraId="6809171C" w14:textId="77777777" w:rsidR="00CF33D9" w:rsidRDefault="00CF33D9">
      <w:pPr>
        <w:spacing w:before="240"/>
        <w:jc w:val="both"/>
        <w:rPr>
          <w:rFonts w:ascii="Calibri" w:hAnsi="Calibri" w:cs="Calibri"/>
          <w:sz w:val="20"/>
          <w:szCs w:val="20"/>
        </w:rPr>
      </w:pPr>
    </w:p>
    <w:p w14:paraId="6809171D" w14:textId="77777777" w:rsidR="00CF33D9" w:rsidRDefault="00E3332A">
      <w:pPr>
        <w:pStyle w:val="Caption"/>
        <w:keepNext/>
        <w:rPr>
          <w:rFonts w:ascii="Calibri" w:hAnsi="Calibri" w:cs="Calibri"/>
          <w:sz w:val="20"/>
          <w:szCs w:val="20"/>
        </w:rPr>
      </w:pPr>
      <w:bookmarkStart w:id="45" w:name="_Toc161176174"/>
      <w:r>
        <w:rPr>
          <w:rFonts w:ascii="Calibri" w:hAnsi="Calibri" w:cs="Calibri"/>
          <w:sz w:val="20"/>
          <w:szCs w:val="20"/>
        </w:rPr>
        <w:t xml:space="preserve">Table </w:t>
      </w:r>
      <w:r>
        <w:rPr>
          <w:rFonts w:ascii="Calibri" w:hAnsi="Calibri" w:cs="Calibri"/>
          <w:sz w:val="20"/>
          <w:szCs w:val="20"/>
        </w:rPr>
        <w:fldChar w:fldCharType="begin"/>
      </w:r>
      <w:r>
        <w:rPr>
          <w:rFonts w:ascii="Calibri" w:hAnsi="Calibri" w:cs="Calibri"/>
          <w:sz w:val="20"/>
          <w:szCs w:val="20"/>
        </w:rPr>
        <w:instrText xml:space="preserve"> SEQ Table \* ARABIC </w:instrText>
      </w:r>
      <w:r>
        <w:rPr>
          <w:rFonts w:ascii="Calibri" w:hAnsi="Calibri" w:cs="Calibri"/>
          <w:sz w:val="20"/>
          <w:szCs w:val="20"/>
        </w:rPr>
        <w:fldChar w:fldCharType="separate"/>
      </w:r>
      <w:r>
        <w:rPr>
          <w:rFonts w:ascii="Calibri" w:hAnsi="Calibri" w:cs="Calibri"/>
          <w:sz w:val="20"/>
          <w:szCs w:val="20"/>
        </w:rPr>
        <w:t>1</w:t>
      </w:r>
      <w:r>
        <w:rPr>
          <w:rFonts w:ascii="Calibri" w:hAnsi="Calibri" w:cs="Calibri"/>
          <w:sz w:val="20"/>
          <w:szCs w:val="20"/>
        </w:rPr>
        <w:fldChar w:fldCharType="end"/>
      </w:r>
      <w:r>
        <w:rPr>
          <w:rFonts w:ascii="Calibri" w:hAnsi="Calibri" w:cs="Calibri"/>
          <w:sz w:val="20"/>
          <w:szCs w:val="20"/>
        </w:rPr>
        <w:t>: Stakeholder groups consulted during PPG</w:t>
      </w:r>
      <w:bookmarkEnd w:id="45"/>
    </w:p>
    <w:p w14:paraId="6809171E" w14:textId="77777777" w:rsidR="00CF33D9" w:rsidRDefault="00CF33D9">
      <w:pPr>
        <w:rPr>
          <w:rFonts w:ascii="Calibri" w:hAnsi="Calibri" w:cs="Calibri"/>
          <w:sz w:val="20"/>
          <w:szCs w:val="20"/>
        </w:rPr>
      </w:pPr>
    </w:p>
    <w:tbl>
      <w:tblPr>
        <w:tblW w:w="5535" w:type="pct"/>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46"/>
        <w:gridCol w:w="3261"/>
        <w:gridCol w:w="991"/>
        <w:gridCol w:w="1022"/>
        <w:gridCol w:w="3242"/>
        <w:gridCol w:w="2878"/>
      </w:tblGrid>
      <w:tr w:rsidR="00CF33D9" w14:paraId="68091725" w14:textId="77777777">
        <w:trPr>
          <w:tblHeader/>
        </w:trPr>
        <w:tc>
          <w:tcPr>
            <w:tcW w:w="1310" w:type="pct"/>
            <w:shd w:val="clear" w:color="auto" w:fill="B4C6E7"/>
          </w:tcPr>
          <w:p w14:paraId="6809171F" w14:textId="77777777" w:rsidR="00CF33D9" w:rsidRDefault="00E3332A">
            <w:pPr>
              <w:rPr>
                <w:rFonts w:ascii="Calibri" w:hAnsi="Calibri" w:cs="Calibri"/>
                <w:b/>
                <w:sz w:val="20"/>
                <w:szCs w:val="20"/>
              </w:rPr>
            </w:pPr>
            <w:r>
              <w:rPr>
                <w:rFonts w:ascii="Calibri" w:hAnsi="Calibri" w:cs="Calibri"/>
                <w:b/>
                <w:sz w:val="20"/>
                <w:szCs w:val="20"/>
              </w:rPr>
              <w:t>Stakeholder group</w:t>
            </w:r>
          </w:p>
        </w:tc>
        <w:tc>
          <w:tcPr>
            <w:tcW w:w="1056" w:type="pct"/>
            <w:shd w:val="clear" w:color="auto" w:fill="B4C6E7"/>
          </w:tcPr>
          <w:p w14:paraId="68091720" w14:textId="77777777" w:rsidR="00CF33D9" w:rsidRDefault="00E3332A">
            <w:pPr>
              <w:rPr>
                <w:rFonts w:ascii="Calibri" w:hAnsi="Calibri" w:cs="Calibri"/>
                <w:b/>
                <w:sz w:val="20"/>
                <w:szCs w:val="20"/>
              </w:rPr>
            </w:pPr>
            <w:r>
              <w:rPr>
                <w:rFonts w:ascii="Calibri" w:hAnsi="Calibri" w:cs="Calibri"/>
                <w:b/>
                <w:sz w:val="20"/>
                <w:szCs w:val="20"/>
              </w:rPr>
              <w:t>Stakeholder’s role</w:t>
            </w:r>
          </w:p>
        </w:tc>
        <w:tc>
          <w:tcPr>
            <w:tcW w:w="321" w:type="pct"/>
            <w:shd w:val="clear" w:color="auto" w:fill="B4C6E7"/>
          </w:tcPr>
          <w:p w14:paraId="68091721" w14:textId="77777777" w:rsidR="00CF33D9" w:rsidRDefault="00E3332A">
            <w:pPr>
              <w:rPr>
                <w:rFonts w:ascii="Calibri" w:hAnsi="Calibri" w:cs="Calibri"/>
                <w:b/>
                <w:sz w:val="20"/>
                <w:szCs w:val="20"/>
              </w:rPr>
            </w:pPr>
            <w:r>
              <w:rPr>
                <w:rFonts w:ascii="Calibri" w:hAnsi="Calibri" w:cs="Calibri"/>
                <w:b/>
                <w:sz w:val="20"/>
                <w:szCs w:val="20"/>
              </w:rPr>
              <w:t xml:space="preserve">Interest </w:t>
            </w:r>
          </w:p>
        </w:tc>
        <w:tc>
          <w:tcPr>
            <w:tcW w:w="331" w:type="pct"/>
            <w:shd w:val="clear" w:color="auto" w:fill="B4C6E7"/>
          </w:tcPr>
          <w:p w14:paraId="68091722" w14:textId="77777777" w:rsidR="00CF33D9" w:rsidRDefault="00E3332A">
            <w:pPr>
              <w:rPr>
                <w:rFonts w:ascii="Calibri" w:hAnsi="Calibri" w:cs="Calibri"/>
                <w:b/>
                <w:sz w:val="20"/>
                <w:szCs w:val="20"/>
              </w:rPr>
            </w:pPr>
            <w:r>
              <w:rPr>
                <w:rFonts w:ascii="Calibri" w:hAnsi="Calibri" w:cs="Calibri"/>
                <w:b/>
                <w:sz w:val="20"/>
                <w:szCs w:val="20"/>
              </w:rPr>
              <w:t xml:space="preserve">Influence </w:t>
            </w:r>
          </w:p>
        </w:tc>
        <w:tc>
          <w:tcPr>
            <w:tcW w:w="1050" w:type="pct"/>
            <w:shd w:val="clear" w:color="auto" w:fill="B4C6E7"/>
          </w:tcPr>
          <w:p w14:paraId="68091723" w14:textId="77777777" w:rsidR="00CF33D9" w:rsidRDefault="00E3332A">
            <w:pPr>
              <w:rPr>
                <w:rFonts w:ascii="Calibri" w:hAnsi="Calibri" w:cs="Calibri"/>
                <w:b/>
                <w:sz w:val="20"/>
                <w:szCs w:val="20"/>
              </w:rPr>
            </w:pPr>
            <w:r>
              <w:rPr>
                <w:rFonts w:ascii="Calibri" w:hAnsi="Calibri" w:cs="Calibri"/>
                <w:b/>
                <w:sz w:val="20"/>
                <w:szCs w:val="20"/>
              </w:rPr>
              <w:t xml:space="preserve">Project’s component to support </w:t>
            </w:r>
          </w:p>
        </w:tc>
        <w:tc>
          <w:tcPr>
            <w:tcW w:w="932" w:type="pct"/>
            <w:shd w:val="clear" w:color="auto" w:fill="B4C6E7"/>
          </w:tcPr>
          <w:p w14:paraId="68091724" w14:textId="77777777" w:rsidR="00CF33D9" w:rsidRDefault="00E3332A">
            <w:pPr>
              <w:rPr>
                <w:rFonts w:ascii="Calibri" w:hAnsi="Calibri" w:cs="Calibri"/>
                <w:b/>
                <w:sz w:val="20"/>
                <w:szCs w:val="20"/>
              </w:rPr>
            </w:pPr>
            <w:r>
              <w:rPr>
                <w:rFonts w:ascii="Calibri" w:hAnsi="Calibri" w:cs="Calibri"/>
                <w:b/>
                <w:sz w:val="20"/>
                <w:szCs w:val="20"/>
              </w:rPr>
              <w:t xml:space="preserve">Stakeholder’s contribution </w:t>
            </w:r>
          </w:p>
        </w:tc>
      </w:tr>
      <w:tr w:rsidR="00CF33D9" w14:paraId="68091741" w14:textId="77777777">
        <w:tc>
          <w:tcPr>
            <w:tcW w:w="1310" w:type="pct"/>
          </w:tcPr>
          <w:p w14:paraId="68091726" w14:textId="77777777" w:rsidR="00CF33D9" w:rsidRDefault="00E3332A">
            <w:pPr>
              <w:rPr>
                <w:rFonts w:ascii="Calibri" w:hAnsi="Calibri" w:cs="Calibri"/>
                <w:b/>
                <w:sz w:val="20"/>
                <w:szCs w:val="20"/>
              </w:rPr>
            </w:pPr>
            <w:r>
              <w:rPr>
                <w:rFonts w:ascii="Calibri" w:hAnsi="Calibri" w:cs="Calibri"/>
                <w:b/>
                <w:sz w:val="20"/>
                <w:szCs w:val="20"/>
              </w:rPr>
              <w:t>Sector Governments of BCC Countries</w:t>
            </w:r>
          </w:p>
          <w:p w14:paraId="68091727" w14:textId="77777777" w:rsidR="00CF33D9" w:rsidRDefault="00E3332A">
            <w:pPr>
              <w:rPr>
                <w:rFonts w:ascii="Calibri" w:hAnsi="Calibri" w:cs="Calibri"/>
                <w:b/>
                <w:bCs/>
                <w:sz w:val="20"/>
                <w:szCs w:val="20"/>
              </w:rPr>
            </w:pPr>
            <w:r>
              <w:rPr>
                <w:rFonts w:ascii="Calibri" w:hAnsi="Calibri" w:cs="Calibri"/>
                <w:b/>
                <w:bCs/>
                <w:sz w:val="20"/>
                <w:szCs w:val="20"/>
              </w:rPr>
              <w:t>Angola</w:t>
            </w:r>
          </w:p>
          <w:p w14:paraId="68091728" w14:textId="77777777" w:rsidR="00CF33D9" w:rsidRDefault="00E3332A">
            <w:pPr>
              <w:rPr>
                <w:rFonts w:ascii="Calibri" w:hAnsi="Calibri" w:cs="Calibri"/>
                <w:sz w:val="20"/>
                <w:szCs w:val="20"/>
              </w:rPr>
            </w:pPr>
            <w:r>
              <w:rPr>
                <w:rFonts w:ascii="Calibri" w:hAnsi="Calibri" w:cs="Calibri"/>
                <w:sz w:val="20"/>
                <w:szCs w:val="20"/>
              </w:rPr>
              <w:t>Ministry of Fisheries and Marine Resources</w:t>
            </w:r>
          </w:p>
          <w:p w14:paraId="68091729" w14:textId="77777777" w:rsidR="00CF33D9" w:rsidRDefault="00E3332A">
            <w:pPr>
              <w:rPr>
                <w:rFonts w:ascii="Calibri" w:hAnsi="Calibri" w:cs="Calibri"/>
                <w:sz w:val="20"/>
                <w:szCs w:val="20"/>
              </w:rPr>
            </w:pPr>
            <w:r>
              <w:rPr>
                <w:rFonts w:ascii="Calibri" w:hAnsi="Calibri" w:cs="Calibri"/>
                <w:sz w:val="20"/>
                <w:szCs w:val="20"/>
              </w:rPr>
              <w:t>Ministry of Environment</w:t>
            </w:r>
          </w:p>
          <w:p w14:paraId="6809172A" w14:textId="77777777" w:rsidR="00CF33D9" w:rsidRDefault="00E3332A">
            <w:pPr>
              <w:rPr>
                <w:rFonts w:ascii="Calibri" w:hAnsi="Calibri" w:cs="Calibri"/>
                <w:sz w:val="20"/>
                <w:szCs w:val="20"/>
              </w:rPr>
            </w:pPr>
            <w:r>
              <w:rPr>
                <w:rFonts w:ascii="Calibri" w:hAnsi="Calibri" w:cs="Calibri"/>
                <w:sz w:val="20"/>
                <w:szCs w:val="20"/>
              </w:rPr>
              <w:t>Ministry of Mineral Resources and Petroleum</w:t>
            </w:r>
          </w:p>
          <w:p w14:paraId="6809172B" w14:textId="77777777" w:rsidR="00CF33D9" w:rsidRDefault="00E3332A">
            <w:pPr>
              <w:rPr>
                <w:rFonts w:ascii="Calibri" w:hAnsi="Calibri" w:cs="Calibri"/>
                <w:sz w:val="20"/>
                <w:szCs w:val="20"/>
              </w:rPr>
            </w:pPr>
            <w:r>
              <w:rPr>
                <w:rFonts w:ascii="Calibri" w:hAnsi="Calibri" w:cs="Calibri"/>
                <w:sz w:val="20"/>
                <w:szCs w:val="20"/>
              </w:rPr>
              <w:t>Ministry of Transport</w:t>
            </w:r>
          </w:p>
          <w:p w14:paraId="6809172C" w14:textId="77777777" w:rsidR="00CF33D9" w:rsidRDefault="00E3332A">
            <w:pPr>
              <w:rPr>
                <w:rFonts w:ascii="Calibri" w:hAnsi="Calibri" w:cs="Calibri"/>
                <w:b/>
                <w:bCs/>
                <w:sz w:val="20"/>
                <w:szCs w:val="20"/>
              </w:rPr>
            </w:pPr>
            <w:r>
              <w:rPr>
                <w:rFonts w:ascii="Calibri" w:hAnsi="Calibri" w:cs="Calibri"/>
                <w:b/>
                <w:bCs/>
                <w:sz w:val="20"/>
                <w:szCs w:val="20"/>
              </w:rPr>
              <w:t>Namibia</w:t>
            </w:r>
          </w:p>
          <w:p w14:paraId="6809172D" w14:textId="77777777" w:rsidR="00CF33D9" w:rsidRDefault="00E3332A">
            <w:pPr>
              <w:rPr>
                <w:rFonts w:ascii="Calibri" w:hAnsi="Calibri" w:cs="Calibri"/>
                <w:sz w:val="20"/>
                <w:szCs w:val="20"/>
              </w:rPr>
            </w:pPr>
            <w:r>
              <w:rPr>
                <w:rFonts w:ascii="Calibri" w:hAnsi="Calibri" w:cs="Calibri"/>
                <w:sz w:val="20"/>
                <w:szCs w:val="20"/>
              </w:rPr>
              <w:t>Ministry of Fisheries and Marine Resources</w:t>
            </w:r>
          </w:p>
          <w:p w14:paraId="6809172E" w14:textId="77777777" w:rsidR="00CF33D9" w:rsidRDefault="00E3332A">
            <w:pPr>
              <w:rPr>
                <w:rFonts w:ascii="Calibri" w:hAnsi="Calibri" w:cs="Calibri"/>
                <w:sz w:val="20"/>
                <w:szCs w:val="20"/>
              </w:rPr>
            </w:pPr>
            <w:r>
              <w:rPr>
                <w:rFonts w:ascii="Calibri" w:hAnsi="Calibri" w:cs="Calibri"/>
                <w:sz w:val="20"/>
                <w:szCs w:val="20"/>
              </w:rPr>
              <w:t>Ministry of Mines and Energy</w:t>
            </w:r>
          </w:p>
          <w:p w14:paraId="6809172F" w14:textId="77777777" w:rsidR="00CF33D9" w:rsidRDefault="00E3332A">
            <w:pPr>
              <w:rPr>
                <w:rFonts w:ascii="Calibri" w:hAnsi="Calibri" w:cs="Calibri"/>
                <w:sz w:val="20"/>
                <w:szCs w:val="20"/>
              </w:rPr>
            </w:pPr>
            <w:r>
              <w:rPr>
                <w:rFonts w:ascii="Calibri" w:hAnsi="Calibri" w:cs="Calibri"/>
                <w:sz w:val="20"/>
                <w:szCs w:val="20"/>
              </w:rPr>
              <w:t>Ministry of Works and Transport</w:t>
            </w:r>
          </w:p>
          <w:p w14:paraId="68091730" w14:textId="77777777" w:rsidR="00CF33D9" w:rsidRDefault="00E3332A">
            <w:pPr>
              <w:rPr>
                <w:rFonts w:ascii="Calibri" w:hAnsi="Calibri" w:cs="Calibri"/>
                <w:sz w:val="20"/>
                <w:szCs w:val="20"/>
              </w:rPr>
            </w:pPr>
            <w:r>
              <w:rPr>
                <w:rFonts w:ascii="Calibri" w:hAnsi="Calibri" w:cs="Calibri"/>
                <w:sz w:val="20"/>
                <w:szCs w:val="20"/>
              </w:rPr>
              <w:t>Ministry of Environment, Forestry and Tourism</w:t>
            </w:r>
          </w:p>
          <w:p w14:paraId="68091731" w14:textId="77777777" w:rsidR="00CF33D9" w:rsidRDefault="00E3332A">
            <w:pPr>
              <w:rPr>
                <w:rFonts w:ascii="Calibri" w:hAnsi="Calibri" w:cs="Calibri"/>
                <w:b/>
                <w:bCs/>
                <w:sz w:val="20"/>
                <w:szCs w:val="20"/>
              </w:rPr>
            </w:pPr>
            <w:r>
              <w:rPr>
                <w:rFonts w:ascii="Calibri" w:hAnsi="Calibri" w:cs="Calibri"/>
                <w:b/>
                <w:bCs/>
                <w:sz w:val="20"/>
                <w:szCs w:val="20"/>
              </w:rPr>
              <w:t>South Africa</w:t>
            </w:r>
          </w:p>
          <w:p w14:paraId="68091732" w14:textId="77777777" w:rsidR="00CF33D9" w:rsidRDefault="00E3332A">
            <w:pPr>
              <w:rPr>
                <w:rFonts w:ascii="Calibri" w:hAnsi="Calibri" w:cs="Calibri"/>
                <w:sz w:val="20"/>
                <w:szCs w:val="20"/>
              </w:rPr>
            </w:pPr>
            <w:r>
              <w:rPr>
                <w:rFonts w:ascii="Calibri" w:hAnsi="Calibri" w:cs="Calibri"/>
                <w:sz w:val="20"/>
                <w:szCs w:val="20"/>
              </w:rPr>
              <w:t>Department of Environment, Forestry and Fisheries</w:t>
            </w:r>
          </w:p>
          <w:p w14:paraId="68091733" w14:textId="77777777" w:rsidR="00CF33D9" w:rsidRDefault="00E3332A">
            <w:pPr>
              <w:rPr>
                <w:rFonts w:ascii="Calibri" w:hAnsi="Calibri" w:cs="Calibri"/>
                <w:sz w:val="20"/>
                <w:szCs w:val="20"/>
              </w:rPr>
            </w:pPr>
            <w:r>
              <w:rPr>
                <w:rFonts w:ascii="Calibri" w:hAnsi="Calibri" w:cs="Calibri"/>
                <w:sz w:val="20"/>
                <w:szCs w:val="20"/>
              </w:rPr>
              <w:t>Department of Mineral Resources</w:t>
            </w:r>
          </w:p>
          <w:p w14:paraId="68091734" w14:textId="77777777" w:rsidR="00CF33D9" w:rsidRDefault="00E3332A">
            <w:pPr>
              <w:rPr>
                <w:rFonts w:ascii="Calibri" w:hAnsi="Calibri" w:cs="Calibri"/>
                <w:sz w:val="20"/>
                <w:szCs w:val="20"/>
              </w:rPr>
            </w:pPr>
            <w:r>
              <w:rPr>
                <w:rFonts w:ascii="Calibri" w:hAnsi="Calibri" w:cs="Calibri"/>
                <w:sz w:val="20"/>
                <w:szCs w:val="20"/>
              </w:rPr>
              <w:t>Department of Transport</w:t>
            </w:r>
          </w:p>
        </w:tc>
        <w:tc>
          <w:tcPr>
            <w:tcW w:w="1056" w:type="pct"/>
          </w:tcPr>
          <w:p w14:paraId="68091735" w14:textId="77777777" w:rsidR="00CF33D9" w:rsidRDefault="00E3332A">
            <w:pPr>
              <w:rPr>
                <w:rFonts w:ascii="Calibri" w:hAnsi="Calibri" w:cs="Calibri"/>
                <w:sz w:val="20"/>
                <w:szCs w:val="20"/>
              </w:rPr>
            </w:pPr>
            <w:r>
              <w:rPr>
                <w:rFonts w:ascii="Calibri" w:hAnsi="Calibri" w:cs="Calibri"/>
                <w:sz w:val="20"/>
                <w:szCs w:val="20"/>
              </w:rPr>
              <w:t>National government entities that set policies, legislative and regulatory environment that can catalyse transformative changes in marine resources management and governance.</w:t>
            </w:r>
          </w:p>
          <w:p w14:paraId="68091736" w14:textId="77777777" w:rsidR="00CF33D9" w:rsidRDefault="00E3332A">
            <w:pPr>
              <w:rPr>
                <w:rFonts w:ascii="Calibri" w:hAnsi="Calibri" w:cs="Calibri"/>
                <w:sz w:val="20"/>
                <w:szCs w:val="20"/>
              </w:rPr>
            </w:pPr>
            <w:r>
              <w:rPr>
                <w:rFonts w:ascii="Calibri" w:hAnsi="Calibri" w:cs="Calibri"/>
                <w:sz w:val="20"/>
                <w:szCs w:val="20"/>
              </w:rPr>
              <w:t>The three governments were at the lead of the project development given the role to set sustainable development and climate change response priorities.</w:t>
            </w:r>
          </w:p>
        </w:tc>
        <w:tc>
          <w:tcPr>
            <w:tcW w:w="321" w:type="pct"/>
          </w:tcPr>
          <w:p w14:paraId="68091737" w14:textId="77777777" w:rsidR="00CF33D9" w:rsidRDefault="00E3332A">
            <w:pPr>
              <w:rPr>
                <w:rFonts w:ascii="Calibri" w:hAnsi="Calibri" w:cs="Calibri"/>
                <w:sz w:val="20"/>
                <w:szCs w:val="20"/>
              </w:rPr>
            </w:pPr>
            <w:r>
              <w:rPr>
                <w:rFonts w:ascii="Calibri" w:hAnsi="Calibri" w:cs="Calibri"/>
                <w:sz w:val="20"/>
                <w:szCs w:val="20"/>
              </w:rPr>
              <w:t>High</w:t>
            </w:r>
          </w:p>
        </w:tc>
        <w:tc>
          <w:tcPr>
            <w:tcW w:w="331" w:type="pct"/>
          </w:tcPr>
          <w:p w14:paraId="68091738" w14:textId="77777777" w:rsidR="00CF33D9" w:rsidRDefault="00E3332A">
            <w:pPr>
              <w:rPr>
                <w:rFonts w:ascii="Calibri" w:hAnsi="Calibri" w:cs="Calibri"/>
                <w:sz w:val="20"/>
                <w:szCs w:val="20"/>
              </w:rPr>
            </w:pPr>
            <w:r>
              <w:rPr>
                <w:rFonts w:ascii="Calibri" w:hAnsi="Calibri" w:cs="Calibri"/>
                <w:sz w:val="20"/>
                <w:szCs w:val="20"/>
              </w:rPr>
              <w:t xml:space="preserve">High </w:t>
            </w:r>
          </w:p>
        </w:tc>
        <w:tc>
          <w:tcPr>
            <w:tcW w:w="1050" w:type="pct"/>
          </w:tcPr>
          <w:p w14:paraId="68091739" w14:textId="77777777" w:rsidR="00CF33D9" w:rsidRDefault="00E3332A">
            <w:pPr>
              <w:rPr>
                <w:rFonts w:ascii="Calibri" w:hAnsi="Calibri" w:cs="Calibri"/>
                <w:sz w:val="20"/>
                <w:szCs w:val="20"/>
              </w:rPr>
            </w:pPr>
            <w:r>
              <w:rPr>
                <w:rFonts w:ascii="Calibri" w:hAnsi="Calibri" w:cs="Calibri"/>
                <w:b/>
                <w:sz w:val="20"/>
                <w:szCs w:val="20"/>
              </w:rPr>
              <w:t>Component 1:</w:t>
            </w:r>
            <w:r>
              <w:rPr>
                <w:rFonts w:ascii="Calibri" w:hAnsi="Calibri" w:cs="Calibri"/>
                <w:sz w:val="20"/>
                <w:szCs w:val="20"/>
              </w:rPr>
              <w:t xml:space="preserve"> </w:t>
            </w:r>
            <w:r>
              <w:rPr>
                <w:rFonts w:ascii="Calibri" w:hAnsi="Calibri" w:cs="Calibri"/>
                <w:color w:val="000000" w:themeColor="text1"/>
                <w:sz w:val="20"/>
                <w:szCs w:val="20"/>
              </w:rPr>
              <w:t>Improve marine and coastal management efforts in the BCLME through effective spatial management tools and the establishment and expansion of MPAs and SMAs.</w:t>
            </w:r>
          </w:p>
          <w:p w14:paraId="6809173A" w14:textId="77777777" w:rsidR="00CF33D9" w:rsidRDefault="00E3332A">
            <w:pPr>
              <w:rPr>
                <w:rFonts w:ascii="Calibri" w:hAnsi="Calibri" w:cs="Calibri"/>
                <w:sz w:val="20"/>
                <w:szCs w:val="20"/>
              </w:rPr>
            </w:pPr>
            <w:r>
              <w:rPr>
                <w:rFonts w:ascii="Calibri" w:hAnsi="Calibri" w:cs="Calibri"/>
                <w:b/>
                <w:sz w:val="20"/>
                <w:szCs w:val="20"/>
              </w:rPr>
              <w:t>Component 2</w:t>
            </w:r>
            <w:r>
              <w:rPr>
                <w:rFonts w:ascii="Calibri" w:hAnsi="Calibri" w:cs="Calibri"/>
                <w:sz w:val="20"/>
                <w:szCs w:val="20"/>
              </w:rPr>
              <w:t>: Enhance sustainable and climate resilient marine living resources and their value chains in the BCLME.</w:t>
            </w:r>
          </w:p>
          <w:p w14:paraId="6809173B" w14:textId="77777777" w:rsidR="00CF33D9" w:rsidRDefault="00E3332A">
            <w:pPr>
              <w:rPr>
                <w:rFonts w:ascii="Calibri" w:hAnsi="Calibri" w:cs="Calibri"/>
                <w:sz w:val="20"/>
                <w:szCs w:val="20"/>
              </w:rPr>
            </w:pPr>
            <w:r>
              <w:rPr>
                <w:rFonts w:ascii="Calibri" w:hAnsi="Calibri" w:cs="Calibri"/>
                <w:b/>
                <w:sz w:val="20"/>
                <w:szCs w:val="20"/>
              </w:rPr>
              <w:t>Component 3.</w:t>
            </w:r>
            <w:r>
              <w:rPr>
                <w:rFonts w:ascii="Calibri" w:hAnsi="Calibri" w:cs="Calibri"/>
                <w:sz w:val="20"/>
                <w:szCs w:val="20"/>
              </w:rPr>
              <w:t xml:space="preserve"> Improve coastal and marine pollution management in the BCLME.</w:t>
            </w:r>
          </w:p>
          <w:p w14:paraId="6809173C" w14:textId="77777777" w:rsidR="00CF33D9" w:rsidRDefault="00E3332A">
            <w:pPr>
              <w:rPr>
                <w:rFonts w:ascii="Calibri" w:hAnsi="Calibri" w:cs="Calibri"/>
                <w:color w:val="000000" w:themeColor="text1"/>
                <w:sz w:val="20"/>
                <w:szCs w:val="20"/>
              </w:rPr>
            </w:pPr>
            <w:r>
              <w:rPr>
                <w:rFonts w:ascii="Calibri" w:hAnsi="Calibri" w:cs="Calibri"/>
                <w:b/>
                <w:sz w:val="20"/>
                <w:szCs w:val="20"/>
              </w:rPr>
              <w:t>Component 4:</w:t>
            </w:r>
            <w:r>
              <w:rPr>
                <w:rFonts w:ascii="Calibri" w:hAnsi="Calibri" w:cs="Calibri"/>
                <w:sz w:val="20"/>
                <w:szCs w:val="20"/>
              </w:rPr>
              <w:t xml:space="preserve"> </w:t>
            </w:r>
            <w:r>
              <w:rPr>
                <w:rFonts w:ascii="Calibri" w:hAnsi="Calibri" w:cs="Calibri"/>
                <w:color w:val="000000" w:themeColor="text1"/>
                <w:sz w:val="20"/>
                <w:szCs w:val="20"/>
              </w:rPr>
              <w:t>Promote regional and national frameworks for innovative sustainable blue/ocean economy finance to foster positive ecosystem, social and economic impacts.</w:t>
            </w:r>
          </w:p>
          <w:p w14:paraId="6809173D" w14:textId="77777777" w:rsidR="00CF33D9" w:rsidRDefault="00E3332A">
            <w:pPr>
              <w:rPr>
                <w:rFonts w:ascii="Calibri" w:hAnsi="Calibri" w:cs="Calibri"/>
                <w:sz w:val="20"/>
                <w:szCs w:val="20"/>
              </w:rPr>
            </w:pPr>
            <w:r>
              <w:rPr>
                <w:rFonts w:ascii="Calibri" w:hAnsi="Calibri" w:cs="Calibri"/>
                <w:b/>
                <w:bCs/>
                <w:color w:val="000000" w:themeColor="text1"/>
                <w:sz w:val="20"/>
                <w:szCs w:val="20"/>
              </w:rPr>
              <w:t>Component 5:</w:t>
            </w:r>
            <w:r>
              <w:rPr>
                <w:rFonts w:ascii="Calibri" w:hAnsi="Calibri" w:cs="Calibri"/>
                <w:color w:val="000000" w:themeColor="text1"/>
                <w:sz w:val="20"/>
                <w:szCs w:val="20"/>
              </w:rPr>
              <w:t xml:space="preserve"> Knowledge development, management, awareness raising and upscaling for Sustainable Blue/Ocean Economy.</w:t>
            </w:r>
          </w:p>
        </w:tc>
        <w:tc>
          <w:tcPr>
            <w:tcW w:w="932" w:type="pct"/>
          </w:tcPr>
          <w:p w14:paraId="6809173E" w14:textId="77777777" w:rsidR="00CF33D9" w:rsidRDefault="00E3332A">
            <w:pPr>
              <w:rPr>
                <w:rFonts w:ascii="Calibri" w:hAnsi="Calibri" w:cs="Calibri"/>
                <w:color w:val="000000"/>
                <w:sz w:val="20"/>
                <w:szCs w:val="20"/>
              </w:rPr>
            </w:pPr>
            <w:r>
              <w:rPr>
                <w:rFonts w:ascii="Calibri" w:hAnsi="Calibri" w:cs="Calibri"/>
                <w:color w:val="000000"/>
                <w:sz w:val="20"/>
                <w:szCs w:val="20"/>
              </w:rPr>
              <w:t>Support formulation of project activities that are impactful and contributing to attainment of national priorities as well as BCC Strategic Action Programme (SAP)</w:t>
            </w:r>
          </w:p>
          <w:p w14:paraId="6809173F" w14:textId="77777777" w:rsidR="00CF33D9" w:rsidRDefault="00E3332A">
            <w:pPr>
              <w:rPr>
                <w:rFonts w:ascii="Calibri" w:hAnsi="Calibri" w:cs="Calibri"/>
                <w:color w:val="000000"/>
                <w:sz w:val="20"/>
                <w:szCs w:val="20"/>
              </w:rPr>
            </w:pPr>
            <w:r>
              <w:rPr>
                <w:rFonts w:ascii="Calibri" w:hAnsi="Calibri" w:cs="Calibri"/>
                <w:color w:val="000000"/>
                <w:sz w:val="20"/>
                <w:szCs w:val="20"/>
              </w:rPr>
              <w:t>Provided input throughout PPG process, from PIF development, Inception meeting and during national consultation workshops and focus-group discussions.</w:t>
            </w:r>
          </w:p>
          <w:p w14:paraId="68091740" w14:textId="77777777" w:rsidR="00CF33D9" w:rsidRDefault="00CF33D9">
            <w:pPr>
              <w:rPr>
                <w:rFonts w:ascii="Calibri" w:hAnsi="Calibri" w:cs="Calibri"/>
                <w:b/>
                <w:sz w:val="20"/>
                <w:szCs w:val="20"/>
              </w:rPr>
            </w:pPr>
          </w:p>
        </w:tc>
      </w:tr>
      <w:tr w:rsidR="00CF33D9" w14:paraId="6809174B" w14:textId="77777777">
        <w:tc>
          <w:tcPr>
            <w:tcW w:w="1310" w:type="pct"/>
          </w:tcPr>
          <w:p w14:paraId="68091742" w14:textId="77777777" w:rsidR="00CF33D9" w:rsidRDefault="00E3332A">
            <w:pPr>
              <w:rPr>
                <w:rFonts w:ascii="Calibri" w:hAnsi="Calibri" w:cs="Calibri"/>
                <w:b/>
                <w:sz w:val="20"/>
                <w:szCs w:val="20"/>
              </w:rPr>
            </w:pPr>
            <w:r>
              <w:rPr>
                <w:rFonts w:ascii="Calibri" w:hAnsi="Calibri" w:cs="Calibri"/>
                <w:b/>
                <w:sz w:val="20"/>
                <w:szCs w:val="20"/>
              </w:rPr>
              <w:t>BCC Working Groups and Technical Committees</w:t>
            </w:r>
          </w:p>
          <w:p w14:paraId="68091743" w14:textId="77777777" w:rsidR="00CF33D9" w:rsidRDefault="00E3332A">
            <w:pPr>
              <w:rPr>
                <w:rFonts w:ascii="Calibri" w:hAnsi="Calibri" w:cs="Calibri"/>
                <w:bCs/>
                <w:sz w:val="20"/>
                <w:szCs w:val="20"/>
              </w:rPr>
            </w:pPr>
            <w:r>
              <w:rPr>
                <w:rFonts w:ascii="Calibri" w:hAnsi="Calibri" w:cs="Calibri"/>
                <w:bCs/>
                <w:sz w:val="20"/>
                <w:szCs w:val="20"/>
              </w:rPr>
              <w:t>Pollution Working Group</w:t>
            </w:r>
          </w:p>
          <w:p w14:paraId="68091744" w14:textId="77777777" w:rsidR="00CF33D9" w:rsidRDefault="00E3332A">
            <w:pPr>
              <w:rPr>
                <w:rFonts w:ascii="Calibri" w:hAnsi="Calibri" w:cs="Calibri"/>
                <w:sz w:val="20"/>
                <w:szCs w:val="20"/>
              </w:rPr>
            </w:pPr>
            <w:r>
              <w:rPr>
                <w:rFonts w:ascii="Calibri" w:hAnsi="Calibri" w:cs="Calibri"/>
                <w:bCs/>
                <w:sz w:val="20"/>
                <w:szCs w:val="20"/>
              </w:rPr>
              <w:t>Environmental Monitoring and Assessment Working Group</w:t>
            </w:r>
            <w:r>
              <w:rPr>
                <w:rFonts w:ascii="Calibri" w:hAnsi="Calibri" w:cs="Calibri"/>
                <w:sz w:val="20"/>
                <w:szCs w:val="20"/>
              </w:rPr>
              <w:t xml:space="preserve"> </w:t>
            </w:r>
          </w:p>
        </w:tc>
        <w:tc>
          <w:tcPr>
            <w:tcW w:w="1056" w:type="pct"/>
          </w:tcPr>
          <w:p w14:paraId="68091745" w14:textId="77777777" w:rsidR="00CF33D9" w:rsidRDefault="00E3332A">
            <w:pPr>
              <w:rPr>
                <w:rFonts w:ascii="Calibri" w:hAnsi="Calibri" w:cs="Calibri"/>
                <w:sz w:val="20"/>
                <w:szCs w:val="20"/>
              </w:rPr>
            </w:pPr>
            <w:r>
              <w:rPr>
                <w:rFonts w:ascii="Calibri" w:hAnsi="Calibri" w:cs="Calibri"/>
                <w:sz w:val="20"/>
                <w:szCs w:val="20"/>
              </w:rPr>
              <w:t>Public entities which operate in the field of environmental protection, ecological safety, treatment of waste, hazardous chemicals, pesticides and agricultural chemicals and perform state ecological expertise.</w:t>
            </w:r>
          </w:p>
        </w:tc>
        <w:tc>
          <w:tcPr>
            <w:tcW w:w="321" w:type="pct"/>
          </w:tcPr>
          <w:p w14:paraId="68091746" w14:textId="77777777" w:rsidR="00CF33D9" w:rsidRDefault="00E3332A">
            <w:pPr>
              <w:rPr>
                <w:rFonts w:ascii="Calibri" w:hAnsi="Calibri" w:cs="Calibri"/>
                <w:sz w:val="20"/>
                <w:szCs w:val="20"/>
              </w:rPr>
            </w:pPr>
            <w:r>
              <w:rPr>
                <w:rFonts w:ascii="Calibri" w:hAnsi="Calibri" w:cs="Calibri"/>
                <w:sz w:val="20"/>
                <w:szCs w:val="20"/>
              </w:rPr>
              <w:t>High</w:t>
            </w:r>
          </w:p>
        </w:tc>
        <w:tc>
          <w:tcPr>
            <w:tcW w:w="331" w:type="pct"/>
          </w:tcPr>
          <w:p w14:paraId="68091747" w14:textId="77777777" w:rsidR="00CF33D9" w:rsidRDefault="00E3332A">
            <w:pPr>
              <w:rPr>
                <w:rFonts w:ascii="Calibri" w:hAnsi="Calibri" w:cs="Calibri"/>
                <w:sz w:val="20"/>
                <w:szCs w:val="20"/>
              </w:rPr>
            </w:pPr>
            <w:r>
              <w:rPr>
                <w:rFonts w:ascii="Calibri" w:hAnsi="Calibri" w:cs="Calibri"/>
                <w:sz w:val="20"/>
                <w:szCs w:val="20"/>
              </w:rPr>
              <w:t>High</w:t>
            </w:r>
          </w:p>
        </w:tc>
        <w:tc>
          <w:tcPr>
            <w:tcW w:w="1050" w:type="pct"/>
          </w:tcPr>
          <w:p w14:paraId="68091748" w14:textId="77777777" w:rsidR="00CF33D9" w:rsidRDefault="00E3332A">
            <w:pPr>
              <w:rPr>
                <w:rFonts w:ascii="Calibri" w:hAnsi="Calibri" w:cs="Calibri"/>
                <w:sz w:val="20"/>
                <w:szCs w:val="20"/>
              </w:rPr>
            </w:pPr>
            <w:r>
              <w:rPr>
                <w:rFonts w:ascii="Calibri" w:hAnsi="Calibri" w:cs="Calibri"/>
                <w:b/>
                <w:sz w:val="20"/>
                <w:szCs w:val="20"/>
              </w:rPr>
              <w:t>Component 4:</w:t>
            </w:r>
            <w:r>
              <w:rPr>
                <w:rFonts w:ascii="Calibri" w:hAnsi="Calibri" w:cs="Calibri"/>
                <w:sz w:val="20"/>
                <w:szCs w:val="20"/>
              </w:rPr>
              <w:t xml:space="preserve"> </w:t>
            </w:r>
            <w:r>
              <w:rPr>
                <w:rFonts w:ascii="Calibri" w:hAnsi="Calibri" w:cs="Calibri"/>
                <w:color w:val="000000" w:themeColor="text1"/>
                <w:sz w:val="20"/>
                <w:szCs w:val="20"/>
              </w:rPr>
              <w:t>Promote regional and national frameworks for innovative sustainable blue/ocean economy finance to foster positive ecosystem, social and economic impacts.</w:t>
            </w:r>
          </w:p>
        </w:tc>
        <w:tc>
          <w:tcPr>
            <w:tcW w:w="932" w:type="pct"/>
          </w:tcPr>
          <w:p w14:paraId="68091749" w14:textId="77777777" w:rsidR="00CF33D9" w:rsidRDefault="00E3332A">
            <w:pPr>
              <w:rPr>
                <w:rFonts w:ascii="Calibri" w:hAnsi="Calibri" w:cs="Calibri"/>
                <w:color w:val="000000"/>
                <w:sz w:val="20"/>
                <w:szCs w:val="20"/>
              </w:rPr>
            </w:pPr>
            <w:r>
              <w:rPr>
                <w:rFonts w:ascii="Calibri" w:hAnsi="Calibri" w:cs="Calibri"/>
                <w:color w:val="000000"/>
                <w:sz w:val="20"/>
                <w:szCs w:val="20"/>
              </w:rPr>
              <w:t>Support regional research activities</w:t>
            </w:r>
          </w:p>
          <w:p w14:paraId="6809174A" w14:textId="77777777" w:rsidR="00CF33D9" w:rsidRDefault="00E3332A">
            <w:pPr>
              <w:rPr>
                <w:rFonts w:ascii="Calibri" w:hAnsi="Calibri" w:cs="Calibri"/>
                <w:color w:val="000000"/>
                <w:sz w:val="20"/>
                <w:szCs w:val="20"/>
              </w:rPr>
            </w:pPr>
            <w:r>
              <w:rPr>
                <w:rFonts w:ascii="Calibri" w:hAnsi="Calibri" w:cs="Calibri"/>
                <w:color w:val="000000"/>
                <w:sz w:val="20"/>
                <w:szCs w:val="20"/>
              </w:rPr>
              <w:t xml:space="preserve">Support generation and transfer of knowledge (support research and data collection) </w:t>
            </w:r>
          </w:p>
        </w:tc>
      </w:tr>
      <w:tr w:rsidR="00CF33D9" w14:paraId="68091759" w14:textId="77777777">
        <w:tc>
          <w:tcPr>
            <w:tcW w:w="1310" w:type="pct"/>
          </w:tcPr>
          <w:p w14:paraId="6809174C" w14:textId="77777777" w:rsidR="00CF33D9" w:rsidRDefault="00E3332A">
            <w:pPr>
              <w:rPr>
                <w:rFonts w:ascii="Calibri" w:hAnsi="Calibri" w:cs="Calibri"/>
                <w:sz w:val="20"/>
                <w:szCs w:val="20"/>
              </w:rPr>
            </w:pPr>
            <w:r>
              <w:rPr>
                <w:rFonts w:ascii="Calibri" w:hAnsi="Calibri" w:cs="Calibri"/>
                <w:b/>
                <w:sz w:val="20"/>
                <w:szCs w:val="20"/>
              </w:rPr>
              <w:lastRenderedPageBreak/>
              <w:t>Academia</w:t>
            </w:r>
            <w:r>
              <w:rPr>
                <w:rFonts w:ascii="Calibri" w:hAnsi="Calibri" w:cs="Calibri"/>
                <w:sz w:val="20"/>
                <w:szCs w:val="20"/>
              </w:rPr>
              <w:t xml:space="preserve"> </w:t>
            </w:r>
          </w:p>
          <w:p w14:paraId="6809174D" w14:textId="77777777" w:rsidR="00CF33D9" w:rsidRDefault="00E3332A">
            <w:pPr>
              <w:rPr>
                <w:rFonts w:ascii="Calibri" w:hAnsi="Calibri" w:cs="Calibri"/>
                <w:sz w:val="20"/>
                <w:szCs w:val="20"/>
              </w:rPr>
            </w:pPr>
            <w:r>
              <w:rPr>
                <w:rFonts w:ascii="Calibri" w:hAnsi="Calibri" w:cs="Calibri"/>
                <w:sz w:val="20"/>
                <w:szCs w:val="20"/>
              </w:rPr>
              <w:t>University of Namibia (Sam Nujoma Marine and Coastal Resources Research)</w:t>
            </w:r>
          </w:p>
          <w:p w14:paraId="6809174E" w14:textId="77777777" w:rsidR="00CF33D9" w:rsidRDefault="00CF33D9">
            <w:pPr>
              <w:rPr>
                <w:rFonts w:ascii="Calibri" w:hAnsi="Calibri" w:cs="Calibri"/>
                <w:sz w:val="20"/>
                <w:szCs w:val="20"/>
              </w:rPr>
            </w:pPr>
          </w:p>
          <w:p w14:paraId="6809174F" w14:textId="77777777" w:rsidR="00CF33D9" w:rsidRDefault="00E3332A">
            <w:pPr>
              <w:rPr>
                <w:rFonts w:ascii="Calibri" w:hAnsi="Calibri" w:cs="Calibri"/>
                <w:sz w:val="20"/>
                <w:szCs w:val="20"/>
              </w:rPr>
            </w:pPr>
            <w:r>
              <w:rPr>
                <w:rFonts w:ascii="Calibri" w:hAnsi="Calibri" w:cs="Calibri"/>
                <w:sz w:val="20"/>
                <w:szCs w:val="20"/>
              </w:rPr>
              <w:t>Cape Peninsula University of Technology</w:t>
            </w:r>
          </w:p>
          <w:p w14:paraId="68091750" w14:textId="77777777" w:rsidR="00CF33D9" w:rsidRDefault="00E3332A">
            <w:pPr>
              <w:rPr>
                <w:rFonts w:ascii="Calibri" w:hAnsi="Calibri" w:cs="Calibri"/>
                <w:sz w:val="20"/>
                <w:szCs w:val="20"/>
              </w:rPr>
            </w:pPr>
            <w:r>
              <w:rPr>
                <w:rFonts w:ascii="Calibri" w:hAnsi="Calibri" w:cs="Calibri"/>
                <w:sz w:val="20"/>
                <w:szCs w:val="20"/>
              </w:rPr>
              <w:t>University of Agostinho Neto</w:t>
            </w:r>
          </w:p>
          <w:p w14:paraId="68091751" w14:textId="77777777" w:rsidR="00CF33D9" w:rsidRDefault="00E3332A">
            <w:pPr>
              <w:rPr>
                <w:rFonts w:ascii="Calibri" w:hAnsi="Calibri" w:cs="Calibri"/>
                <w:sz w:val="20"/>
                <w:szCs w:val="20"/>
              </w:rPr>
            </w:pPr>
            <w:r>
              <w:rPr>
                <w:rFonts w:ascii="Calibri" w:hAnsi="Calibri" w:cs="Calibri"/>
                <w:sz w:val="20"/>
                <w:szCs w:val="20"/>
              </w:rPr>
              <w:t>Mandume University</w:t>
            </w:r>
          </w:p>
        </w:tc>
        <w:tc>
          <w:tcPr>
            <w:tcW w:w="1056" w:type="pct"/>
          </w:tcPr>
          <w:p w14:paraId="68091752" w14:textId="77777777" w:rsidR="00CF33D9" w:rsidRDefault="00E3332A">
            <w:pPr>
              <w:rPr>
                <w:rFonts w:ascii="Calibri" w:hAnsi="Calibri" w:cs="Calibri"/>
                <w:sz w:val="20"/>
                <w:szCs w:val="20"/>
              </w:rPr>
            </w:pPr>
            <w:r>
              <w:rPr>
                <w:rFonts w:ascii="Calibri" w:hAnsi="Calibri" w:cs="Calibri"/>
                <w:color w:val="000000"/>
                <w:sz w:val="20"/>
                <w:szCs w:val="20"/>
              </w:rPr>
              <w:t>Leading research and strengthening technical capacity in data collection and monitoring of pollution (microplastic)</w:t>
            </w:r>
          </w:p>
        </w:tc>
        <w:tc>
          <w:tcPr>
            <w:tcW w:w="321" w:type="pct"/>
          </w:tcPr>
          <w:p w14:paraId="68091753" w14:textId="77777777" w:rsidR="00CF33D9" w:rsidRDefault="00E3332A">
            <w:pPr>
              <w:rPr>
                <w:rFonts w:ascii="Calibri" w:hAnsi="Calibri" w:cs="Calibri"/>
                <w:sz w:val="20"/>
                <w:szCs w:val="20"/>
              </w:rPr>
            </w:pPr>
            <w:r>
              <w:rPr>
                <w:rFonts w:ascii="Calibri" w:hAnsi="Calibri" w:cs="Calibri"/>
                <w:sz w:val="20"/>
                <w:szCs w:val="20"/>
              </w:rPr>
              <w:t>High</w:t>
            </w:r>
          </w:p>
        </w:tc>
        <w:tc>
          <w:tcPr>
            <w:tcW w:w="331" w:type="pct"/>
          </w:tcPr>
          <w:p w14:paraId="68091754" w14:textId="77777777" w:rsidR="00CF33D9" w:rsidRDefault="00E3332A">
            <w:pPr>
              <w:rPr>
                <w:rFonts w:ascii="Calibri" w:hAnsi="Calibri" w:cs="Calibri"/>
                <w:sz w:val="20"/>
                <w:szCs w:val="20"/>
              </w:rPr>
            </w:pPr>
            <w:r>
              <w:rPr>
                <w:rFonts w:ascii="Calibri" w:hAnsi="Calibri" w:cs="Calibri"/>
                <w:sz w:val="20"/>
                <w:szCs w:val="20"/>
              </w:rPr>
              <w:t>High</w:t>
            </w:r>
          </w:p>
        </w:tc>
        <w:tc>
          <w:tcPr>
            <w:tcW w:w="1050" w:type="pct"/>
          </w:tcPr>
          <w:p w14:paraId="68091755" w14:textId="77777777" w:rsidR="00CF33D9" w:rsidRDefault="00E3332A">
            <w:pPr>
              <w:rPr>
                <w:rFonts w:ascii="Calibri" w:hAnsi="Calibri" w:cs="Calibri"/>
                <w:sz w:val="20"/>
                <w:szCs w:val="20"/>
              </w:rPr>
            </w:pPr>
            <w:r>
              <w:rPr>
                <w:rFonts w:ascii="Calibri" w:hAnsi="Calibri" w:cs="Calibri"/>
                <w:b/>
                <w:sz w:val="20"/>
                <w:szCs w:val="20"/>
              </w:rPr>
              <w:t>Component 1:</w:t>
            </w:r>
            <w:r>
              <w:rPr>
                <w:rFonts w:ascii="Calibri" w:hAnsi="Calibri" w:cs="Calibri"/>
                <w:sz w:val="20"/>
                <w:szCs w:val="20"/>
              </w:rPr>
              <w:t xml:space="preserve"> </w:t>
            </w:r>
            <w:r>
              <w:rPr>
                <w:rFonts w:ascii="Calibri" w:hAnsi="Calibri" w:cs="Calibri"/>
                <w:color w:val="000000" w:themeColor="text1"/>
                <w:sz w:val="20"/>
                <w:szCs w:val="20"/>
              </w:rPr>
              <w:t>Improve marine and coastal management efforts in the BCLME through effective spatial management tools and the establishment and expansion of MPAs and SMAs.</w:t>
            </w:r>
          </w:p>
          <w:p w14:paraId="68091756" w14:textId="77777777" w:rsidR="00CF33D9" w:rsidRDefault="00E3332A">
            <w:pPr>
              <w:rPr>
                <w:rFonts w:ascii="Calibri" w:hAnsi="Calibri" w:cs="Calibri"/>
                <w:sz w:val="20"/>
                <w:szCs w:val="20"/>
              </w:rPr>
            </w:pPr>
            <w:r>
              <w:rPr>
                <w:rFonts w:ascii="Calibri" w:hAnsi="Calibri" w:cs="Calibri"/>
                <w:b/>
                <w:sz w:val="20"/>
                <w:szCs w:val="20"/>
              </w:rPr>
              <w:t>Component 2</w:t>
            </w:r>
            <w:r>
              <w:rPr>
                <w:rFonts w:ascii="Calibri" w:hAnsi="Calibri" w:cs="Calibri"/>
                <w:sz w:val="20"/>
                <w:szCs w:val="20"/>
              </w:rPr>
              <w:t xml:space="preserve">: </w:t>
            </w:r>
            <w:r>
              <w:rPr>
                <w:rFonts w:ascii="Calibri" w:hAnsi="Calibri" w:cs="Calibri"/>
                <w:color w:val="000000" w:themeColor="text1"/>
                <w:sz w:val="20"/>
                <w:szCs w:val="20"/>
              </w:rPr>
              <w:t>Enhance sustainable and climate resilient marine living resources and their value chains in the BCLME.</w:t>
            </w:r>
          </w:p>
        </w:tc>
        <w:tc>
          <w:tcPr>
            <w:tcW w:w="932" w:type="pct"/>
          </w:tcPr>
          <w:p w14:paraId="68091757" w14:textId="77777777" w:rsidR="00CF33D9" w:rsidRDefault="00E3332A">
            <w:pPr>
              <w:rPr>
                <w:rFonts w:ascii="Calibri" w:hAnsi="Calibri" w:cs="Calibri"/>
                <w:color w:val="000000"/>
                <w:sz w:val="20"/>
                <w:szCs w:val="20"/>
              </w:rPr>
            </w:pPr>
            <w:r>
              <w:rPr>
                <w:rFonts w:ascii="Calibri" w:hAnsi="Calibri" w:cs="Calibri"/>
                <w:color w:val="000000"/>
                <w:sz w:val="20"/>
                <w:szCs w:val="20"/>
              </w:rPr>
              <w:t>Support translation of scientific information and policy and management advice</w:t>
            </w:r>
          </w:p>
          <w:p w14:paraId="68091758" w14:textId="77777777" w:rsidR="00CF33D9" w:rsidRDefault="00E3332A">
            <w:pPr>
              <w:rPr>
                <w:rFonts w:ascii="Calibri" w:hAnsi="Calibri" w:cs="Calibri"/>
                <w:bCs/>
                <w:sz w:val="20"/>
                <w:szCs w:val="20"/>
              </w:rPr>
            </w:pPr>
            <w:r>
              <w:rPr>
                <w:rFonts w:ascii="Calibri" w:hAnsi="Calibri" w:cs="Calibri"/>
                <w:bCs/>
                <w:sz w:val="20"/>
                <w:szCs w:val="20"/>
              </w:rPr>
              <w:t>Support professional development and academic publishing</w:t>
            </w:r>
          </w:p>
        </w:tc>
      </w:tr>
      <w:tr w:rsidR="00CF33D9" w14:paraId="68091764" w14:textId="77777777">
        <w:tc>
          <w:tcPr>
            <w:tcW w:w="1310" w:type="pct"/>
          </w:tcPr>
          <w:p w14:paraId="6809175A" w14:textId="77777777" w:rsidR="00CF33D9" w:rsidRDefault="00E3332A">
            <w:pPr>
              <w:rPr>
                <w:rFonts w:ascii="Calibri" w:hAnsi="Calibri" w:cs="Calibri"/>
                <w:sz w:val="20"/>
                <w:szCs w:val="20"/>
              </w:rPr>
            </w:pPr>
            <w:r>
              <w:rPr>
                <w:rFonts w:ascii="Calibri" w:hAnsi="Calibri" w:cs="Calibri"/>
                <w:b/>
                <w:sz w:val="20"/>
                <w:szCs w:val="20"/>
              </w:rPr>
              <w:t>Local governance structures</w:t>
            </w:r>
          </w:p>
          <w:p w14:paraId="6809175B" w14:textId="77777777" w:rsidR="00CF33D9" w:rsidRDefault="00E3332A">
            <w:pPr>
              <w:rPr>
                <w:rFonts w:ascii="Calibri" w:hAnsi="Calibri" w:cs="Calibri"/>
                <w:sz w:val="20"/>
                <w:szCs w:val="20"/>
              </w:rPr>
            </w:pPr>
            <w:r>
              <w:rPr>
                <w:rFonts w:ascii="Calibri" w:hAnsi="Calibri" w:cs="Calibri"/>
                <w:sz w:val="20"/>
                <w:szCs w:val="20"/>
              </w:rPr>
              <w:t>(i.e. Authorities, Municipalities where demonstration pilot sites are located)</w:t>
            </w:r>
          </w:p>
          <w:p w14:paraId="6809175C" w14:textId="77777777" w:rsidR="00CF33D9" w:rsidRDefault="00E3332A">
            <w:pPr>
              <w:rPr>
                <w:rFonts w:ascii="Calibri" w:hAnsi="Calibri" w:cs="Calibri"/>
                <w:sz w:val="20"/>
                <w:szCs w:val="20"/>
              </w:rPr>
            </w:pPr>
            <w:r>
              <w:rPr>
                <w:rFonts w:ascii="Calibri" w:hAnsi="Calibri" w:cs="Calibri"/>
                <w:sz w:val="20"/>
                <w:szCs w:val="20"/>
              </w:rPr>
              <w:t>Coastal communities including Indigenous Communities</w:t>
            </w:r>
          </w:p>
        </w:tc>
        <w:tc>
          <w:tcPr>
            <w:tcW w:w="1056" w:type="pct"/>
          </w:tcPr>
          <w:p w14:paraId="6809175D" w14:textId="77777777" w:rsidR="00CF33D9" w:rsidRDefault="00E3332A">
            <w:pPr>
              <w:rPr>
                <w:rFonts w:ascii="Calibri" w:hAnsi="Calibri" w:cs="Calibri"/>
                <w:sz w:val="20"/>
                <w:szCs w:val="20"/>
              </w:rPr>
            </w:pPr>
            <w:r>
              <w:rPr>
                <w:rFonts w:ascii="Calibri" w:hAnsi="Calibri" w:cs="Calibri"/>
                <w:sz w:val="20"/>
                <w:szCs w:val="20"/>
              </w:rPr>
              <w:t>Support involvement of local governance structures in the implementation of project activities</w:t>
            </w:r>
          </w:p>
          <w:p w14:paraId="6809175E" w14:textId="77777777" w:rsidR="00CF33D9" w:rsidRDefault="00E3332A">
            <w:pPr>
              <w:rPr>
                <w:rFonts w:ascii="Calibri" w:hAnsi="Calibri" w:cs="Calibri"/>
                <w:sz w:val="20"/>
                <w:szCs w:val="20"/>
              </w:rPr>
            </w:pPr>
            <w:r>
              <w:rPr>
                <w:rFonts w:ascii="Calibri" w:hAnsi="Calibri" w:cs="Calibri"/>
                <w:sz w:val="20"/>
                <w:szCs w:val="20"/>
              </w:rPr>
              <w:t>Pursue sustainable livelihoods and collaborative resource use management.</w:t>
            </w:r>
          </w:p>
        </w:tc>
        <w:tc>
          <w:tcPr>
            <w:tcW w:w="321" w:type="pct"/>
          </w:tcPr>
          <w:p w14:paraId="6809175F" w14:textId="77777777" w:rsidR="00CF33D9" w:rsidRDefault="00E3332A">
            <w:pPr>
              <w:rPr>
                <w:rFonts w:ascii="Calibri" w:hAnsi="Calibri" w:cs="Calibri"/>
                <w:sz w:val="20"/>
                <w:szCs w:val="20"/>
              </w:rPr>
            </w:pPr>
            <w:r>
              <w:rPr>
                <w:rFonts w:ascii="Calibri" w:hAnsi="Calibri" w:cs="Calibri"/>
                <w:sz w:val="20"/>
                <w:szCs w:val="20"/>
              </w:rPr>
              <w:t>High</w:t>
            </w:r>
          </w:p>
        </w:tc>
        <w:tc>
          <w:tcPr>
            <w:tcW w:w="331" w:type="pct"/>
          </w:tcPr>
          <w:p w14:paraId="68091760" w14:textId="77777777" w:rsidR="00CF33D9" w:rsidRDefault="00E3332A">
            <w:pPr>
              <w:rPr>
                <w:rFonts w:ascii="Calibri" w:hAnsi="Calibri" w:cs="Calibri"/>
                <w:sz w:val="20"/>
                <w:szCs w:val="20"/>
              </w:rPr>
            </w:pPr>
            <w:r>
              <w:rPr>
                <w:rFonts w:ascii="Calibri" w:hAnsi="Calibri" w:cs="Calibri"/>
                <w:sz w:val="20"/>
                <w:szCs w:val="20"/>
              </w:rPr>
              <w:t>Medium</w:t>
            </w:r>
          </w:p>
        </w:tc>
        <w:tc>
          <w:tcPr>
            <w:tcW w:w="1050" w:type="pct"/>
          </w:tcPr>
          <w:p w14:paraId="68091761" w14:textId="77777777" w:rsidR="00CF33D9" w:rsidRDefault="00E3332A">
            <w:pPr>
              <w:rPr>
                <w:rFonts w:ascii="Calibri" w:hAnsi="Calibri" w:cs="Calibri"/>
                <w:sz w:val="20"/>
                <w:szCs w:val="20"/>
              </w:rPr>
            </w:pPr>
            <w:r>
              <w:rPr>
                <w:rFonts w:ascii="Calibri" w:hAnsi="Calibri" w:cs="Calibri"/>
                <w:b/>
                <w:sz w:val="20"/>
                <w:szCs w:val="20"/>
              </w:rPr>
              <w:t>Component 3.</w:t>
            </w:r>
            <w:r>
              <w:rPr>
                <w:rFonts w:ascii="Calibri" w:hAnsi="Calibri" w:cs="Calibri"/>
                <w:sz w:val="20"/>
                <w:szCs w:val="20"/>
              </w:rPr>
              <w:t xml:space="preserve"> Improve coastal and marine pollution management in the BCLME.</w:t>
            </w:r>
          </w:p>
          <w:p w14:paraId="68091762" w14:textId="77777777" w:rsidR="00CF33D9" w:rsidRDefault="00E3332A">
            <w:pPr>
              <w:rPr>
                <w:rFonts w:ascii="Calibri" w:hAnsi="Calibri" w:cs="Calibri"/>
                <w:sz w:val="20"/>
                <w:szCs w:val="20"/>
              </w:rPr>
            </w:pPr>
            <w:r>
              <w:rPr>
                <w:rFonts w:ascii="Calibri" w:hAnsi="Calibri" w:cs="Calibri"/>
                <w:b/>
                <w:bCs/>
                <w:color w:val="000000" w:themeColor="text1"/>
                <w:sz w:val="20"/>
                <w:szCs w:val="20"/>
              </w:rPr>
              <w:t>Component 5:</w:t>
            </w:r>
            <w:r>
              <w:rPr>
                <w:rFonts w:ascii="Calibri" w:hAnsi="Calibri" w:cs="Calibri"/>
                <w:color w:val="000000" w:themeColor="text1"/>
                <w:sz w:val="20"/>
                <w:szCs w:val="20"/>
              </w:rPr>
              <w:t xml:space="preserve"> Knowledge development, management, awareness raising and upscaling for Sustainable Blue/Ocean Economy.</w:t>
            </w:r>
          </w:p>
        </w:tc>
        <w:tc>
          <w:tcPr>
            <w:tcW w:w="932" w:type="pct"/>
          </w:tcPr>
          <w:p w14:paraId="68091763" w14:textId="77777777" w:rsidR="00CF33D9" w:rsidRDefault="00E3332A">
            <w:pPr>
              <w:rPr>
                <w:rFonts w:ascii="Calibri" w:hAnsi="Calibri" w:cs="Calibri"/>
                <w:sz w:val="20"/>
                <w:szCs w:val="20"/>
              </w:rPr>
            </w:pPr>
            <w:r>
              <w:rPr>
                <w:rFonts w:ascii="Calibri" w:hAnsi="Calibri" w:cs="Calibri"/>
                <w:sz w:val="20"/>
                <w:szCs w:val="20"/>
              </w:rPr>
              <w:t>Liaise with local community members to implement sustainable activities in response to project objectives</w:t>
            </w:r>
          </w:p>
        </w:tc>
      </w:tr>
      <w:tr w:rsidR="00CF33D9" w14:paraId="6809176D" w14:textId="77777777">
        <w:tc>
          <w:tcPr>
            <w:tcW w:w="1310" w:type="pct"/>
          </w:tcPr>
          <w:p w14:paraId="68091765" w14:textId="77777777" w:rsidR="00CF33D9" w:rsidRDefault="00E3332A">
            <w:pPr>
              <w:rPr>
                <w:rFonts w:ascii="Calibri" w:hAnsi="Calibri" w:cs="Calibri"/>
                <w:sz w:val="20"/>
                <w:szCs w:val="20"/>
              </w:rPr>
            </w:pPr>
            <w:r>
              <w:rPr>
                <w:rFonts w:ascii="Calibri" w:hAnsi="Calibri" w:cs="Calibri"/>
                <w:b/>
                <w:sz w:val="20"/>
                <w:szCs w:val="20"/>
              </w:rPr>
              <w:t>Transboundary bodies</w:t>
            </w:r>
            <w:r>
              <w:rPr>
                <w:rFonts w:ascii="Calibri" w:hAnsi="Calibri" w:cs="Calibri"/>
                <w:sz w:val="20"/>
                <w:szCs w:val="20"/>
              </w:rPr>
              <w:t xml:space="preserve"> (i.e. Orange-Senqu Commission (ORASECOM))</w:t>
            </w:r>
          </w:p>
        </w:tc>
        <w:tc>
          <w:tcPr>
            <w:tcW w:w="1056" w:type="pct"/>
          </w:tcPr>
          <w:p w14:paraId="68091766" w14:textId="77777777" w:rsidR="00CF33D9" w:rsidRDefault="00E3332A">
            <w:pPr>
              <w:rPr>
                <w:rFonts w:ascii="Calibri" w:hAnsi="Calibri" w:cs="Calibri"/>
                <w:sz w:val="20"/>
                <w:szCs w:val="20"/>
              </w:rPr>
            </w:pPr>
            <w:r>
              <w:rPr>
                <w:rFonts w:ascii="Calibri" w:hAnsi="Calibri" w:cs="Calibri"/>
                <w:color w:val="000000"/>
                <w:sz w:val="20"/>
                <w:szCs w:val="20"/>
              </w:rPr>
              <w:t>Support implementation of water quality and pollution monitoring initiatives along Orange River and estuary</w:t>
            </w:r>
          </w:p>
        </w:tc>
        <w:tc>
          <w:tcPr>
            <w:tcW w:w="321" w:type="pct"/>
          </w:tcPr>
          <w:p w14:paraId="68091767" w14:textId="77777777" w:rsidR="00CF33D9" w:rsidRDefault="00E3332A">
            <w:pPr>
              <w:rPr>
                <w:rFonts w:ascii="Calibri" w:hAnsi="Calibri" w:cs="Calibri"/>
                <w:sz w:val="20"/>
                <w:szCs w:val="20"/>
              </w:rPr>
            </w:pPr>
            <w:r>
              <w:rPr>
                <w:rFonts w:ascii="Calibri" w:hAnsi="Calibri" w:cs="Calibri"/>
                <w:sz w:val="20"/>
                <w:szCs w:val="20"/>
              </w:rPr>
              <w:t>High</w:t>
            </w:r>
          </w:p>
        </w:tc>
        <w:tc>
          <w:tcPr>
            <w:tcW w:w="331" w:type="pct"/>
          </w:tcPr>
          <w:p w14:paraId="68091768" w14:textId="77777777" w:rsidR="00CF33D9" w:rsidRDefault="00E3332A">
            <w:pPr>
              <w:rPr>
                <w:rFonts w:ascii="Calibri" w:hAnsi="Calibri" w:cs="Calibri"/>
                <w:sz w:val="20"/>
                <w:szCs w:val="20"/>
              </w:rPr>
            </w:pPr>
            <w:r>
              <w:rPr>
                <w:rFonts w:ascii="Calibri" w:hAnsi="Calibri" w:cs="Calibri"/>
                <w:sz w:val="20"/>
                <w:szCs w:val="20"/>
              </w:rPr>
              <w:t>High</w:t>
            </w:r>
          </w:p>
        </w:tc>
        <w:tc>
          <w:tcPr>
            <w:tcW w:w="1050" w:type="pct"/>
          </w:tcPr>
          <w:p w14:paraId="68091769" w14:textId="77777777" w:rsidR="00CF33D9" w:rsidRDefault="00E3332A">
            <w:pPr>
              <w:rPr>
                <w:rFonts w:ascii="Calibri" w:hAnsi="Calibri" w:cs="Calibri"/>
                <w:b/>
                <w:sz w:val="20"/>
                <w:szCs w:val="20"/>
              </w:rPr>
            </w:pPr>
            <w:r>
              <w:rPr>
                <w:rFonts w:ascii="Calibri" w:hAnsi="Calibri" w:cs="Calibri"/>
                <w:b/>
                <w:sz w:val="20"/>
                <w:szCs w:val="20"/>
              </w:rPr>
              <w:t xml:space="preserve">Component 1: </w:t>
            </w:r>
            <w:r>
              <w:rPr>
                <w:rFonts w:ascii="Calibri" w:hAnsi="Calibri" w:cs="Calibri"/>
                <w:bCs/>
                <w:sz w:val="20"/>
                <w:szCs w:val="20"/>
              </w:rPr>
              <w:t>Improve marine and coastal management efforts in the BCLME through effective spatial management tools and the establishment and expansion of MPAs and SMAs.</w:t>
            </w:r>
          </w:p>
          <w:p w14:paraId="6809176A" w14:textId="77777777" w:rsidR="00CF33D9" w:rsidRDefault="00E3332A">
            <w:pPr>
              <w:rPr>
                <w:rFonts w:ascii="Calibri" w:hAnsi="Calibri" w:cs="Calibri"/>
                <w:b/>
                <w:sz w:val="20"/>
                <w:szCs w:val="20"/>
              </w:rPr>
            </w:pPr>
            <w:r>
              <w:rPr>
                <w:rFonts w:ascii="Calibri" w:hAnsi="Calibri" w:cs="Calibri"/>
                <w:b/>
                <w:sz w:val="20"/>
                <w:szCs w:val="20"/>
              </w:rPr>
              <w:t xml:space="preserve">Component 2: </w:t>
            </w:r>
            <w:r>
              <w:rPr>
                <w:rFonts w:ascii="Calibri" w:hAnsi="Calibri" w:cs="Calibri"/>
                <w:bCs/>
                <w:sz w:val="20"/>
                <w:szCs w:val="20"/>
              </w:rPr>
              <w:t>Enhance sustainable and climate resilient marine living resources and their value chains in the BCLME.</w:t>
            </w:r>
          </w:p>
          <w:p w14:paraId="6809176B" w14:textId="77777777" w:rsidR="00CF33D9" w:rsidRDefault="00E3332A">
            <w:pPr>
              <w:rPr>
                <w:rFonts w:ascii="Calibri" w:hAnsi="Calibri" w:cs="Calibri"/>
                <w:sz w:val="20"/>
                <w:szCs w:val="20"/>
              </w:rPr>
            </w:pPr>
            <w:r>
              <w:rPr>
                <w:rFonts w:ascii="Calibri" w:hAnsi="Calibri" w:cs="Calibri"/>
                <w:b/>
                <w:sz w:val="20"/>
                <w:szCs w:val="20"/>
              </w:rPr>
              <w:t>Component 3.</w:t>
            </w:r>
            <w:r>
              <w:rPr>
                <w:rFonts w:ascii="Calibri" w:hAnsi="Calibri" w:cs="Calibri"/>
                <w:sz w:val="20"/>
                <w:szCs w:val="20"/>
              </w:rPr>
              <w:t xml:space="preserve"> Improve coastal and marine pollution management in the BCLME.</w:t>
            </w:r>
          </w:p>
        </w:tc>
        <w:tc>
          <w:tcPr>
            <w:tcW w:w="932" w:type="pct"/>
          </w:tcPr>
          <w:p w14:paraId="6809176C" w14:textId="77777777" w:rsidR="00CF33D9" w:rsidRDefault="00E3332A">
            <w:pPr>
              <w:rPr>
                <w:rFonts w:ascii="Calibri" w:hAnsi="Calibri" w:cs="Calibri"/>
                <w:sz w:val="20"/>
                <w:szCs w:val="20"/>
              </w:rPr>
            </w:pPr>
            <w:r>
              <w:rPr>
                <w:rFonts w:ascii="Calibri" w:hAnsi="Calibri" w:cs="Calibri"/>
                <w:sz w:val="20"/>
                <w:szCs w:val="20"/>
              </w:rPr>
              <w:t>Collaboration with BCC and government departments to attain ecosystem quality objectives</w:t>
            </w:r>
          </w:p>
        </w:tc>
      </w:tr>
      <w:tr w:rsidR="00CF33D9" w14:paraId="68091786" w14:textId="77777777">
        <w:tc>
          <w:tcPr>
            <w:tcW w:w="1310" w:type="pct"/>
          </w:tcPr>
          <w:p w14:paraId="6809176E" w14:textId="77777777" w:rsidR="00CF33D9" w:rsidRDefault="00E3332A">
            <w:pPr>
              <w:rPr>
                <w:rFonts w:ascii="Calibri" w:hAnsi="Calibri" w:cs="Calibri"/>
                <w:sz w:val="20"/>
                <w:szCs w:val="20"/>
              </w:rPr>
            </w:pPr>
            <w:r>
              <w:rPr>
                <w:rFonts w:ascii="Calibri" w:hAnsi="Calibri" w:cs="Calibri"/>
                <w:b/>
                <w:sz w:val="20"/>
                <w:szCs w:val="20"/>
              </w:rPr>
              <w:t>Private sector</w:t>
            </w:r>
            <w:r>
              <w:rPr>
                <w:rFonts w:ascii="Calibri" w:hAnsi="Calibri" w:cs="Calibri"/>
                <w:sz w:val="20"/>
                <w:szCs w:val="20"/>
              </w:rPr>
              <w:t xml:space="preserve"> (fishing, mining &amp; exploration, maritime, tourism)</w:t>
            </w:r>
          </w:p>
          <w:p w14:paraId="6809176F" w14:textId="77777777" w:rsidR="00CF33D9" w:rsidRDefault="00E3332A">
            <w:pPr>
              <w:rPr>
                <w:rFonts w:ascii="Calibri" w:eastAsia="Calibri" w:hAnsi="Calibri" w:cs="Calibri"/>
                <w:sz w:val="20"/>
                <w:szCs w:val="20"/>
                <w:lang w:val="en-ZA"/>
              </w:rPr>
            </w:pPr>
            <w:r>
              <w:rPr>
                <w:rFonts w:ascii="Calibri" w:eastAsia="Calibri" w:hAnsi="Calibri" w:cs="Calibri"/>
                <w:sz w:val="20"/>
                <w:szCs w:val="20"/>
                <w:lang w:val="en-ZA"/>
              </w:rPr>
              <w:t>Namibia Seafood Organisation</w:t>
            </w:r>
          </w:p>
          <w:p w14:paraId="68091770" w14:textId="77777777" w:rsidR="00CF33D9" w:rsidRDefault="00E3332A">
            <w:pPr>
              <w:rPr>
                <w:rFonts w:ascii="Calibri" w:eastAsia="Calibri" w:hAnsi="Calibri" w:cs="Calibri"/>
                <w:sz w:val="20"/>
                <w:szCs w:val="20"/>
                <w:lang w:val="en-ZA"/>
              </w:rPr>
            </w:pPr>
            <w:r>
              <w:rPr>
                <w:rFonts w:ascii="Calibri" w:eastAsia="Calibri" w:hAnsi="Calibri" w:cs="Calibri"/>
                <w:sz w:val="20"/>
                <w:szCs w:val="20"/>
                <w:lang w:val="en-ZA"/>
              </w:rPr>
              <w:t>Namibia Nature Foundation</w:t>
            </w:r>
          </w:p>
          <w:p w14:paraId="68091771" w14:textId="77777777" w:rsidR="00CF33D9" w:rsidRDefault="00E3332A">
            <w:pPr>
              <w:rPr>
                <w:rFonts w:ascii="Calibri" w:eastAsia="Calibri" w:hAnsi="Calibri" w:cs="Calibri"/>
                <w:sz w:val="20"/>
                <w:szCs w:val="20"/>
                <w:lang w:val="en-ZA"/>
              </w:rPr>
            </w:pPr>
            <w:r>
              <w:rPr>
                <w:rFonts w:ascii="Calibri" w:eastAsia="Calibri" w:hAnsi="Calibri" w:cs="Calibri"/>
                <w:sz w:val="20"/>
                <w:szCs w:val="20"/>
                <w:lang w:val="en-ZA"/>
              </w:rPr>
              <w:t>Port of Namibe</w:t>
            </w:r>
          </w:p>
          <w:p w14:paraId="68091772" w14:textId="77777777" w:rsidR="00CF33D9" w:rsidRDefault="00E3332A">
            <w:pPr>
              <w:rPr>
                <w:rFonts w:ascii="Calibri" w:eastAsia="Calibri" w:hAnsi="Calibri" w:cs="Calibri"/>
                <w:sz w:val="20"/>
                <w:szCs w:val="20"/>
                <w:lang w:val="en-ZA"/>
              </w:rPr>
            </w:pPr>
            <w:r>
              <w:rPr>
                <w:rFonts w:ascii="Calibri" w:eastAsia="Calibri" w:hAnsi="Calibri" w:cs="Calibri"/>
                <w:sz w:val="20"/>
                <w:szCs w:val="20"/>
                <w:lang w:val="en-ZA"/>
              </w:rPr>
              <w:lastRenderedPageBreak/>
              <w:t>Exxonmobil</w:t>
            </w:r>
          </w:p>
          <w:p w14:paraId="68091773" w14:textId="77777777" w:rsidR="00CF33D9" w:rsidRDefault="00E3332A">
            <w:pPr>
              <w:rPr>
                <w:rFonts w:ascii="Calibri" w:eastAsia="Calibri" w:hAnsi="Calibri" w:cs="Calibri"/>
                <w:sz w:val="20"/>
                <w:szCs w:val="20"/>
                <w:lang w:val="en-ZA"/>
              </w:rPr>
            </w:pPr>
            <w:r>
              <w:rPr>
                <w:rFonts w:ascii="Calibri" w:eastAsia="Calibri" w:hAnsi="Calibri" w:cs="Calibri"/>
                <w:sz w:val="20"/>
                <w:szCs w:val="20"/>
                <w:lang w:val="en-ZA"/>
              </w:rPr>
              <w:t>Somoil Petroleum Company</w:t>
            </w:r>
          </w:p>
          <w:p w14:paraId="68091774" w14:textId="77777777" w:rsidR="00CF33D9" w:rsidRDefault="00E3332A">
            <w:pPr>
              <w:rPr>
                <w:rFonts w:ascii="Calibri" w:eastAsia="Calibri" w:hAnsi="Calibri" w:cs="Calibri"/>
                <w:sz w:val="20"/>
                <w:szCs w:val="20"/>
                <w:lang w:val="en-ZA"/>
              </w:rPr>
            </w:pPr>
            <w:r>
              <w:rPr>
                <w:rFonts w:ascii="Calibri" w:eastAsia="Calibri" w:hAnsi="Calibri" w:cs="Calibri"/>
                <w:sz w:val="20"/>
                <w:szCs w:val="20"/>
                <w:lang w:val="en-ZA"/>
              </w:rPr>
              <w:t>INOTEC (Angola)</w:t>
            </w:r>
          </w:p>
          <w:p w14:paraId="68091775" w14:textId="77777777" w:rsidR="00CF33D9" w:rsidRDefault="00E3332A">
            <w:pPr>
              <w:rPr>
                <w:rFonts w:ascii="Calibri" w:eastAsia="Calibri" w:hAnsi="Calibri" w:cs="Calibri"/>
                <w:sz w:val="20"/>
                <w:szCs w:val="20"/>
                <w:lang w:val="en-ZA"/>
              </w:rPr>
            </w:pPr>
            <w:r>
              <w:rPr>
                <w:rFonts w:ascii="Calibri" w:eastAsia="Calibri" w:hAnsi="Calibri" w:cs="Calibri"/>
                <w:sz w:val="20"/>
                <w:szCs w:val="20"/>
                <w:lang w:val="en-ZA"/>
              </w:rPr>
              <w:t>Azule-Energy</w:t>
            </w:r>
          </w:p>
          <w:p w14:paraId="68091776" w14:textId="77777777" w:rsidR="00CF33D9" w:rsidRDefault="00E3332A">
            <w:pPr>
              <w:rPr>
                <w:rFonts w:ascii="Calibri" w:eastAsia="Calibri" w:hAnsi="Calibri" w:cs="Calibri"/>
                <w:sz w:val="20"/>
                <w:szCs w:val="20"/>
                <w:lang w:val="en-ZA"/>
              </w:rPr>
            </w:pPr>
            <w:r>
              <w:rPr>
                <w:rFonts w:ascii="Calibri" w:eastAsia="Calibri" w:hAnsi="Calibri" w:cs="Calibri"/>
                <w:sz w:val="20"/>
                <w:szCs w:val="20"/>
                <w:lang w:val="en-ZA"/>
              </w:rPr>
              <w:t>B.P. Angola</w:t>
            </w:r>
          </w:p>
          <w:p w14:paraId="68091777" w14:textId="77777777" w:rsidR="00CF33D9" w:rsidRDefault="00E3332A">
            <w:pPr>
              <w:rPr>
                <w:rFonts w:ascii="Calibri" w:hAnsi="Calibri" w:cs="Calibri"/>
                <w:sz w:val="20"/>
                <w:szCs w:val="20"/>
              </w:rPr>
            </w:pPr>
            <w:r>
              <w:rPr>
                <w:rFonts w:ascii="Calibri" w:hAnsi="Calibri" w:cs="Calibri"/>
                <w:sz w:val="20"/>
                <w:szCs w:val="20"/>
              </w:rPr>
              <w:t>Sonangol</w:t>
            </w:r>
          </w:p>
          <w:p w14:paraId="68091778" w14:textId="77777777" w:rsidR="00CF33D9" w:rsidRDefault="00E3332A">
            <w:pPr>
              <w:rPr>
                <w:rFonts w:ascii="Calibri" w:hAnsi="Calibri" w:cs="Calibri"/>
                <w:sz w:val="20"/>
                <w:szCs w:val="20"/>
              </w:rPr>
            </w:pPr>
            <w:r>
              <w:rPr>
                <w:rFonts w:ascii="Calibri" w:hAnsi="Calibri" w:cs="Calibri"/>
                <w:sz w:val="20"/>
                <w:szCs w:val="20"/>
              </w:rPr>
              <w:t>Pesca Nova</w:t>
            </w:r>
          </w:p>
          <w:p w14:paraId="68091779" w14:textId="77777777" w:rsidR="00CF33D9" w:rsidRDefault="00E3332A">
            <w:pPr>
              <w:rPr>
                <w:rFonts w:ascii="Calibri" w:hAnsi="Calibri" w:cs="Calibri"/>
                <w:sz w:val="20"/>
                <w:szCs w:val="20"/>
              </w:rPr>
            </w:pPr>
            <w:r>
              <w:rPr>
                <w:rFonts w:ascii="Calibri" w:hAnsi="Calibri" w:cs="Calibri"/>
                <w:sz w:val="20"/>
                <w:szCs w:val="20"/>
              </w:rPr>
              <w:t>Total Energy</w:t>
            </w:r>
          </w:p>
        </w:tc>
        <w:tc>
          <w:tcPr>
            <w:tcW w:w="1056" w:type="pct"/>
          </w:tcPr>
          <w:p w14:paraId="6809177A" w14:textId="77777777" w:rsidR="00CF33D9" w:rsidRDefault="00E3332A">
            <w:pPr>
              <w:rPr>
                <w:rFonts w:ascii="Calibri" w:hAnsi="Calibri" w:cs="Calibri"/>
                <w:sz w:val="20"/>
                <w:szCs w:val="20"/>
              </w:rPr>
            </w:pPr>
            <w:r>
              <w:rPr>
                <w:rFonts w:ascii="Calibri" w:hAnsi="Calibri" w:cs="Calibri"/>
                <w:sz w:val="20"/>
                <w:szCs w:val="20"/>
              </w:rPr>
              <w:lastRenderedPageBreak/>
              <w:t>Coordinate industry participation in SAP implementation activities.</w:t>
            </w:r>
          </w:p>
          <w:p w14:paraId="6809177B" w14:textId="77777777" w:rsidR="00CF33D9" w:rsidRDefault="00E3332A">
            <w:pPr>
              <w:rPr>
                <w:rFonts w:ascii="Calibri" w:hAnsi="Calibri" w:cs="Calibri"/>
                <w:sz w:val="20"/>
                <w:szCs w:val="20"/>
              </w:rPr>
            </w:pPr>
            <w:r>
              <w:rPr>
                <w:rFonts w:ascii="Calibri" w:hAnsi="Calibri" w:cs="Calibri"/>
                <w:sz w:val="20"/>
                <w:szCs w:val="20"/>
              </w:rPr>
              <w:t>Ensure members uphold relevant local, regional and international laws and frameworks.</w:t>
            </w:r>
          </w:p>
          <w:p w14:paraId="6809177C" w14:textId="77777777" w:rsidR="00CF33D9" w:rsidRDefault="00E3332A">
            <w:pPr>
              <w:rPr>
                <w:rFonts w:ascii="Calibri" w:hAnsi="Calibri" w:cs="Calibri"/>
                <w:sz w:val="20"/>
                <w:szCs w:val="20"/>
              </w:rPr>
            </w:pPr>
            <w:r>
              <w:rPr>
                <w:rFonts w:ascii="Calibri" w:hAnsi="Calibri" w:cs="Calibri"/>
                <w:sz w:val="20"/>
                <w:szCs w:val="20"/>
              </w:rPr>
              <w:lastRenderedPageBreak/>
              <w:t>Support national and regional activities as appropriate (e.g. training, response activities)</w:t>
            </w:r>
          </w:p>
        </w:tc>
        <w:tc>
          <w:tcPr>
            <w:tcW w:w="321" w:type="pct"/>
          </w:tcPr>
          <w:p w14:paraId="6809177D" w14:textId="77777777" w:rsidR="00CF33D9" w:rsidRDefault="00E3332A">
            <w:pPr>
              <w:rPr>
                <w:rFonts w:ascii="Calibri" w:hAnsi="Calibri" w:cs="Calibri"/>
                <w:sz w:val="20"/>
                <w:szCs w:val="20"/>
              </w:rPr>
            </w:pPr>
            <w:r>
              <w:rPr>
                <w:rFonts w:ascii="Calibri" w:hAnsi="Calibri" w:cs="Calibri"/>
                <w:sz w:val="20"/>
                <w:szCs w:val="20"/>
              </w:rPr>
              <w:lastRenderedPageBreak/>
              <w:t>Medium</w:t>
            </w:r>
          </w:p>
        </w:tc>
        <w:tc>
          <w:tcPr>
            <w:tcW w:w="331" w:type="pct"/>
          </w:tcPr>
          <w:p w14:paraId="6809177E" w14:textId="77777777" w:rsidR="00CF33D9" w:rsidRDefault="00E3332A">
            <w:pPr>
              <w:rPr>
                <w:rFonts w:ascii="Calibri" w:hAnsi="Calibri" w:cs="Calibri"/>
                <w:sz w:val="20"/>
                <w:szCs w:val="20"/>
              </w:rPr>
            </w:pPr>
            <w:r>
              <w:rPr>
                <w:rFonts w:ascii="Calibri" w:hAnsi="Calibri" w:cs="Calibri"/>
                <w:sz w:val="20"/>
                <w:szCs w:val="20"/>
              </w:rPr>
              <w:t>Medium</w:t>
            </w:r>
          </w:p>
        </w:tc>
        <w:tc>
          <w:tcPr>
            <w:tcW w:w="1050" w:type="pct"/>
          </w:tcPr>
          <w:p w14:paraId="6809177F" w14:textId="77777777" w:rsidR="00CF33D9" w:rsidRDefault="00E3332A">
            <w:pPr>
              <w:rPr>
                <w:rFonts w:ascii="Calibri" w:hAnsi="Calibri" w:cs="Calibri"/>
                <w:b/>
                <w:sz w:val="20"/>
                <w:szCs w:val="20"/>
              </w:rPr>
            </w:pPr>
            <w:r>
              <w:rPr>
                <w:rFonts w:ascii="Calibri" w:hAnsi="Calibri" w:cs="Calibri"/>
                <w:b/>
                <w:sz w:val="20"/>
                <w:szCs w:val="20"/>
              </w:rPr>
              <w:t>Component 1:</w:t>
            </w:r>
            <w:r>
              <w:rPr>
                <w:rFonts w:ascii="Calibri" w:hAnsi="Calibri" w:cs="Calibri"/>
                <w:sz w:val="20"/>
                <w:szCs w:val="20"/>
              </w:rPr>
              <w:t xml:space="preserve"> Improve marine and coastal management efforts in the BCLME through effective spatial management tools and the </w:t>
            </w:r>
            <w:r>
              <w:rPr>
                <w:rFonts w:ascii="Calibri" w:hAnsi="Calibri" w:cs="Calibri"/>
                <w:sz w:val="20"/>
                <w:szCs w:val="20"/>
              </w:rPr>
              <w:lastRenderedPageBreak/>
              <w:t>establishment and expansion of MPAs and SMAs.</w:t>
            </w:r>
          </w:p>
          <w:p w14:paraId="68091780" w14:textId="77777777" w:rsidR="00CF33D9" w:rsidRDefault="00E3332A">
            <w:pPr>
              <w:rPr>
                <w:rFonts w:ascii="Calibri" w:hAnsi="Calibri" w:cs="Calibri"/>
                <w:sz w:val="20"/>
                <w:szCs w:val="20"/>
              </w:rPr>
            </w:pPr>
            <w:r>
              <w:rPr>
                <w:rFonts w:ascii="Calibri" w:hAnsi="Calibri" w:cs="Calibri"/>
                <w:b/>
                <w:sz w:val="20"/>
                <w:szCs w:val="20"/>
              </w:rPr>
              <w:t>Component 2</w:t>
            </w:r>
            <w:r>
              <w:rPr>
                <w:rFonts w:ascii="Calibri" w:hAnsi="Calibri" w:cs="Calibri"/>
                <w:sz w:val="20"/>
                <w:szCs w:val="20"/>
              </w:rPr>
              <w:t>: Enhance sustainable and climate resilient marine living resources and their value chains in the BCLME.</w:t>
            </w:r>
          </w:p>
          <w:p w14:paraId="68091781" w14:textId="77777777" w:rsidR="00CF33D9" w:rsidRDefault="00CF33D9">
            <w:pPr>
              <w:rPr>
                <w:rFonts w:ascii="Calibri" w:hAnsi="Calibri" w:cs="Calibri"/>
                <w:sz w:val="20"/>
                <w:szCs w:val="20"/>
              </w:rPr>
            </w:pPr>
          </w:p>
        </w:tc>
        <w:tc>
          <w:tcPr>
            <w:tcW w:w="932" w:type="pct"/>
          </w:tcPr>
          <w:p w14:paraId="68091782" w14:textId="77777777" w:rsidR="00CF33D9" w:rsidRDefault="00E3332A">
            <w:pPr>
              <w:rPr>
                <w:rFonts w:ascii="Calibri" w:hAnsi="Calibri" w:cs="Calibri"/>
                <w:sz w:val="20"/>
                <w:szCs w:val="20"/>
              </w:rPr>
            </w:pPr>
            <w:r>
              <w:rPr>
                <w:rFonts w:ascii="Calibri" w:hAnsi="Calibri" w:cs="Calibri"/>
                <w:sz w:val="20"/>
                <w:szCs w:val="20"/>
              </w:rPr>
              <w:lastRenderedPageBreak/>
              <w:t>Work with relevant stakeholders to sustain ecosystem goods and services.</w:t>
            </w:r>
          </w:p>
          <w:p w14:paraId="68091783" w14:textId="77777777" w:rsidR="00CF33D9" w:rsidRDefault="00E3332A">
            <w:pPr>
              <w:rPr>
                <w:rFonts w:ascii="Calibri" w:hAnsi="Calibri" w:cs="Calibri"/>
                <w:sz w:val="20"/>
                <w:szCs w:val="20"/>
              </w:rPr>
            </w:pPr>
            <w:r>
              <w:rPr>
                <w:rFonts w:ascii="Calibri" w:hAnsi="Calibri" w:cs="Calibri"/>
                <w:sz w:val="20"/>
                <w:szCs w:val="20"/>
              </w:rPr>
              <w:t xml:space="preserve">Share experiences and best practices of the fishing industry </w:t>
            </w:r>
            <w:r>
              <w:rPr>
                <w:rFonts w:ascii="Calibri" w:hAnsi="Calibri" w:cs="Calibri"/>
                <w:sz w:val="20"/>
                <w:szCs w:val="20"/>
              </w:rPr>
              <w:lastRenderedPageBreak/>
              <w:t xml:space="preserve">in value edition of waste products. </w:t>
            </w:r>
          </w:p>
          <w:p w14:paraId="68091784" w14:textId="77777777" w:rsidR="00CF33D9" w:rsidRDefault="00E3332A">
            <w:pPr>
              <w:rPr>
                <w:rFonts w:ascii="Calibri" w:hAnsi="Calibri" w:cs="Calibri"/>
                <w:sz w:val="20"/>
                <w:szCs w:val="20"/>
              </w:rPr>
            </w:pPr>
            <w:r>
              <w:rPr>
                <w:rFonts w:ascii="Calibri" w:hAnsi="Calibri" w:cs="Calibri"/>
                <w:sz w:val="20"/>
                <w:szCs w:val="20"/>
              </w:rPr>
              <w:t>Support identification of platforms for certification for fish and seafood products in the BCLME.</w:t>
            </w:r>
          </w:p>
          <w:p w14:paraId="68091785" w14:textId="77777777" w:rsidR="00CF33D9" w:rsidRDefault="00E3332A">
            <w:pPr>
              <w:rPr>
                <w:rFonts w:ascii="Calibri" w:hAnsi="Calibri" w:cs="Calibri"/>
                <w:sz w:val="20"/>
                <w:szCs w:val="20"/>
              </w:rPr>
            </w:pPr>
            <w:r>
              <w:rPr>
                <w:rFonts w:ascii="Calibri" w:hAnsi="Calibri" w:cs="Calibri"/>
                <w:sz w:val="20"/>
                <w:szCs w:val="20"/>
              </w:rPr>
              <w:t>Contribute to societal well-being through fair returns on resources realised (e.g. Corporate Social Responsibilities).</w:t>
            </w:r>
          </w:p>
        </w:tc>
      </w:tr>
    </w:tbl>
    <w:p w14:paraId="68091787" w14:textId="77777777" w:rsidR="00CF33D9" w:rsidRDefault="00CF33D9">
      <w:pPr>
        <w:rPr>
          <w:rFonts w:ascii="Calibri" w:hAnsi="Calibri" w:cs="Calibri"/>
          <w:sz w:val="20"/>
          <w:szCs w:val="20"/>
        </w:rPr>
        <w:sectPr w:rsidR="00CF33D9">
          <w:pgSz w:w="16838" w:h="11906" w:orient="landscape"/>
          <w:pgMar w:top="1174" w:right="1440" w:bottom="1440" w:left="1440" w:header="708" w:footer="708" w:gutter="0"/>
          <w:cols w:space="708"/>
          <w:docGrid w:linePitch="360"/>
        </w:sectPr>
      </w:pPr>
    </w:p>
    <w:p w14:paraId="68091788" w14:textId="77777777" w:rsidR="00CF33D9" w:rsidRDefault="00E3332A">
      <w:pPr>
        <w:pStyle w:val="Heading2"/>
        <w:numPr>
          <w:ilvl w:val="1"/>
          <w:numId w:val="75"/>
        </w:numPr>
        <w:tabs>
          <w:tab w:val="left" w:pos="360"/>
        </w:tabs>
        <w:ind w:left="426" w:hanging="360"/>
        <w:rPr>
          <w:rFonts w:ascii="Calibri" w:hAnsi="Calibri" w:cs="Calibri"/>
          <w:szCs w:val="20"/>
        </w:rPr>
      </w:pPr>
      <w:r>
        <w:rPr>
          <w:rFonts w:ascii="Calibri" w:hAnsi="Calibri" w:cs="Calibri"/>
          <w:szCs w:val="20"/>
        </w:rPr>
        <w:lastRenderedPageBreak/>
        <w:t>Stakeholder Concerns Analysis</w:t>
      </w:r>
    </w:p>
    <w:p w14:paraId="68091789" w14:textId="77777777" w:rsidR="00CF33D9" w:rsidRDefault="00CF33D9">
      <w:pPr>
        <w:pStyle w:val="Caption"/>
        <w:keepNext/>
        <w:jc w:val="center"/>
        <w:rPr>
          <w:rFonts w:ascii="Calibri" w:hAnsi="Calibri" w:cs="Calibri"/>
          <w:sz w:val="20"/>
          <w:szCs w:val="20"/>
        </w:rPr>
      </w:pPr>
    </w:p>
    <w:p w14:paraId="6809178A"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 xml:space="preserve">The project will aim to collect and analyze stakeholder expectations and concerns as well as to take appropriate responsive measures throughout the Project life in order to ensure that there is enough support for the project. The project has identified the following interests and concerns of the key stakeholder groups as classified earlier in the Table 1 and as presented in Table 2 below. </w:t>
      </w:r>
    </w:p>
    <w:p w14:paraId="6809178B" w14:textId="77777777" w:rsidR="00CF33D9" w:rsidRDefault="00CF33D9">
      <w:pPr>
        <w:jc w:val="both"/>
        <w:rPr>
          <w:rFonts w:ascii="Calibri" w:eastAsia="Calibri" w:hAnsi="Calibri" w:cs="Calibri"/>
          <w:sz w:val="20"/>
          <w:szCs w:val="20"/>
        </w:rPr>
      </w:pPr>
    </w:p>
    <w:p w14:paraId="6809178C" w14:textId="77777777" w:rsidR="00CF33D9" w:rsidRDefault="00E3332A">
      <w:pPr>
        <w:pStyle w:val="Caption"/>
        <w:keepNext/>
        <w:jc w:val="center"/>
        <w:rPr>
          <w:rFonts w:ascii="Calibri" w:hAnsi="Calibri" w:cs="Calibri"/>
          <w:b w:val="0"/>
          <w:bCs w:val="0"/>
          <w:sz w:val="20"/>
          <w:szCs w:val="20"/>
        </w:rPr>
      </w:pPr>
      <w:bookmarkStart w:id="46" w:name="_Toc161176175"/>
      <w:r>
        <w:rPr>
          <w:rFonts w:ascii="Calibri" w:hAnsi="Calibri" w:cs="Calibri"/>
          <w:b w:val="0"/>
          <w:bCs w:val="0"/>
          <w:sz w:val="20"/>
          <w:szCs w:val="20"/>
        </w:rPr>
        <w:t xml:space="preserve">Table </w:t>
      </w:r>
      <w:r>
        <w:rPr>
          <w:rFonts w:ascii="Calibri" w:hAnsi="Calibri" w:cs="Calibri"/>
          <w:b w:val="0"/>
          <w:bCs w:val="0"/>
          <w:sz w:val="20"/>
          <w:szCs w:val="20"/>
        </w:rPr>
        <w:fldChar w:fldCharType="begin"/>
      </w:r>
      <w:r>
        <w:rPr>
          <w:rFonts w:ascii="Calibri" w:hAnsi="Calibri" w:cs="Calibri"/>
          <w:b w:val="0"/>
          <w:bCs w:val="0"/>
          <w:sz w:val="20"/>
          <w:szCs w:val="20"/>
        </w:rPr>
        <w:instrText xml:space="preserve"> SEQ Table \* ARABIC </w:instrText>
      </w:r>
      <w:r>
        <w:rPr>
          <w:rFonts w:ascii="Calibri" w:hAnsi="Calibri" w:cs="Calibri"/>
          <w:b w:val="0"/>
          <w:bCs w:val="0"/>
          <w:sz w:val="20"/>
          <w:szCs w:val="20"/>
        </w:rPr>
        <w:fldChar w:fldCharType="separate"/>
      </w:r>
      <w:r>
        <w:rPr>
          <w:rFonts w:ascii="Calibri" w:hAnsi="Calibri" w:cs="Calibri"/>
          <w:b w:val="0"/>
          <w:bCs w:val="0"/>
          <w:sz w:val="20"/>
          <w:szCs w:val="20"/>
        </w:rPr>
        <w:t>2</w:t>
      </w:r>
      <w:r>
        <w:rPr>
          <w:rFonts w:ascii="Calibri" w:hAnsi="Calibri" w:cs="Calibri"/>
          <w:b w:val="0"/>
          <w:bCs w:val="0"/>
          <w:sz w:val="20"/>
          <w:szCs w:val="20"/>
        </w:rPr>
        <w:fldChar w:fldCharType="end"/>
      </w:r>
      <w:r>
        <w:rPr>
          <w:rFonts w:ascii="Calibri" w:hAnsi="Calibri" w:cs="Calibri"/>
          <w:b w:val="0"/>
          <w:bCs w:val="0"/>
          <w:sz w:val="20"/>
          <w:szCs w:val="20"/>
        </w:rPr>
        <w:t>: Key stakeholders’ expectations and concerns</w:t>
      </w:r>
      <w:bookmarkEnd w:id="46"/>
    </w:p>
    <w:p w14:paraId="6809178D" w14:textId="77777777" w:rsidR="00CF33D9" w:rsidRDefault="00CF33D9">
      <w:pPr>
        <w:rPr>
          <w:rFonts w:ascii="Calibri" w:hAnsi="Calibri" w:cs="Calibri"/>
          <w:sz w:val="20"/>
          <w:szCs w:val="20"/>
        </w:rPr>
      </w:pPr>
    </w:p>
    <w:tbl>
      <w:tblPr>
        <w:tblW w:w="9961"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78"/>
        <w:gridCol w:w="2838"/>
        <w:gridCol w:w="2577"/>
        <w:gridCol w:w="2268"/>
      </w:tblGrid>
      <w:tr w:rsidR="00CF33D9" w14:paraId="68091792" w14:textId="77777777">
        <w:trPr>
          <w:trHeight w:val="350"/>
          <w:tblHeader/>
        </w:trPr>
        <w:tc>
          <w:tcPr>
            <w:tcW w:w="2278" w:type="dxa"/>
            <w:shd w:val="clear" w:color="auto" w:fill="DEEAF6" w:themeFill="accent1" w:themeFillTint="33"/>
          </w:tcPr>
          <w:p w14:paraId="6809178E" w14:textId="77777777" w:rsidR="00CF33D9" w:rsidRDefault="00E3332A">
            <w:pPr>
              <w:rPr>
                <w:rFonts w:ascii="Calibri" w:hAnsi="Calibri" w:cs="Calibri"/>
                <w:b/>
                <w:color w:val="000000"/>
                <w:sz w:val="20"/>
                <w:szCs w:val="20"/>
              </w:rPr>
            </w:pPr>
            <w:r>
              <w:rPr>
                <w:rFonts w:ascii="Calibri" w:hAnsi="Calibri" w:cs="Calibri"/>
                <w:b/>
                <w:color w:val="000000"/>
                <w:sz w:val="20"/>
                <w:szCs w:val="20"/>
              </w:rPr>
              <w:t xml:space="preserve">Stakeholder group </w:t>
            </w:r>
          </w:p>
        </w:tc>
        <w:tc>
          <w:tcPr>
            <w:tcW w:w="2838" w:type="dxa"/>
            <w:shd w:val="clear" w:color="auto" w:fill="DEEAF6" w:themeFill="accent1" w:themeFillTint="33"/>
          </w:tcPr>
          <w:p w14:paraId="6809178F" w14:textId="77777777" w:rsidR="00CF33D9" w:rsidRDefault="00E3332A">
            <w:pPr>
              <w:rPr>
                <w:rFonts w:ascii="Calibri" w:hAnsi="Calibri" w:cs="Calibri"/>
                <w:b/>
                <w:color w:val="000000"/>
                <w:sz w:val="20"/>
                <w:szCs w:val="20"/>
              </w:rPr>
            </w:pPr>
            <w:r>
              <w:rPr>
                <w:rFonts w:ascii="Calibri" w:hAnsi="Calibri" w:cs="Calibri"/>
                <w:b/>
                <w:color w:val="000000"/>
                <w:sz w:val="20"/>
                <w:szCs w:val="20"/>
              </w:rPr>
              <w:t>Key expectations</w:t>
            </w:r>
          </w:p>
        </w:tc>
        <w:tc>
          <w:tcPr>
            <w:tcW w:w="2577" w:type="dxa"/>
            <w:shd w:val="clear" w:color="auto" w:fill="DEEAF6" w:themeFill="accent1" w:themeFillTint="33"/>
          </w:tcPr>
          <w:p w14:paraId="68091790" w14:textId="77777777" w:rsidR="00CF33D9" w:rsidRDefault="00E3332A">
            <w:pPr>
              <w:rPr>
                <w:rFonts w:ascii="Calibri" w:hAnsi="Calibri" w:cs="Calibri"/>
                <w:b/>
                <w:color w:val="000000"/>
                <w:sz w:val="20"/>
                <w:szCs w:val="20"/>
              </w:rPr>
            </w:pPr>
            <w:r>
              <w:rPr>
                <w:rFonts w:ascii="Calibri" w:hAnsi="Calibri" w:cs="Calibri"/>
                <w:b/>
                <w:color w:val="000000"/>
                <w:sz w:val="20"/>
                <w:szCs w:val="20"/>
              </w:rPr>
              <w:t>Key concerns</w:t>
            </w:r>
          </w:p>
        </w:tc>
        <w:tc>
          <w:tcPr>
            <w:tcW w:w="2268" w:type="dxa"/>
            <w:shd w:val="clear" w:color="auto" w:fill="DEEAF6" w:themeFill="accent1" w:themeFillTint="33"/>
          </w:tcPr>
          <w:p w14:paraId="68091791" w14:textId="77777777" w:rsidR="00CF33D9" w:rsidRDefault="00E3332A">
            <w:pPr>
              <w:rPr>
                <w:rFonts w:ascii="Calibri" w:hAnsi="Calibri" w:cs="Calibri"/>
                <w:b/>
                <w:color w:val="000000"/>
                <w:sz w:val="20"/>
                <w:szCs w:val="20"/>
              </w:rPr>
            </w:pPr>
            <w:r>
              <w:rPr>
                <w:rFonts w:ascii="Calibri" w:hAnsi="Calibri" w:cs="Calibri"/>
                <w:b/>
                <w:color w:val="000000"/>
                <w:sz w:val="20"/>
                <w:szCs w:val="20"/>
              </w:rPr>
              <w:t>Recommendation</w:t>
            </w:r>
          </w:p>
        </w:tc>
      </w:tr>
      <w:tr w:rsidR="00CF33D9" w14:paraId="6809179C" w14:textId="77777777">
        <w:tc>
          <w:tcPr>
            <w:tcW w:w="2278" w:type="dxa"/>
          </w:tcPr>
          <w:p w14:paraId="68091793" w14:textId="77777777" w:rsidR="00CF33D9" w:rsidRDefault="00E3332A">
            <w:pPr>
              <w:shd w:val="clear" w:color="auto" w:fill="FFFFFF"/>
              <w:rPr>
                <w:rFonts w:ascii="Calibri" w:hAnsi="Calibri" w:cs="Calibri"/>
                <w:color w:val="000000"/>
                <w:sz w:val="20"/>
                <w:szCs w:val="20"/>
              </w:rPr>
            </w:pPr>
            <w:r>
              <w:rPr>
                <w:rFonts w:ascii="Calibri" w:hAnsi="Calibri" w:cs="Calibri"/>
                <w:color w:val="000000"/>
                <w:sz w:val="20"/>
                <w:szCs w:val="20"/>
              </w:rPr>
              <w:t>Project partners directly involved in project implementation</w:t>
            </w:r>
          </w:p>
          <w:p w14:paraId="68091794" w14:textId="77777777" w:rsidR="00CF33D9" w:rsidRDefault="00E3332A">
            <w:pPr>
              <w:shd w:val="clear" w:color="auto" w:fill="FFFFFF"/>
              <w:rPr>
                <w:rFonts w:ascii="Calibri" w:hAnsi="Calibri" w:cs="Calibri"/>
                <w:color w:val="000000"/>
                <w:sz w:val="20"/>
                <w:szCs w:val="20"/>
              </w:rPr>
            </w:pPr>
            <w:r>
              <w:rPr>
                <w:rFonts w:ascii="Calibri" w:hAnsi="Calibri" w:cs="Calibri"/>
                <w:color w:val="000000"/>
                <w:sz w:val="20"/>
                <w:szCs w:val="20"/>
              </w:rPr>
              <w:t>GEF, BCC</w:t>
            </w:r>
          </w:p>
        </w:tc>
        <w:tc>
          <w:tcPr>
            <w:tcW w:w="2838" w:type="dxa"/>
          </w:tcPr>
          <w:p w14:paraId="68091795" w14:textId="77777777" w:rsidR="00CF33D9" w:rsidRDefault="00E3332A">
            <w:pPr>
              <w:rPr>
                <w:rFonts w:ascii="Calibri" w:hAnsi="Calibri" w:cs="Calibri"/>
                <w:color w:val="000000"/>
                <w:sz w:val="20"/>
                <w:szCs w:val="20"/>
              </w:rPr>
            </w:pPr>
            <w:r>
              <w:rPr>
                <w:rFonts w:ascii="Calibri" w:hAnsi="Calibri" w:cs="Calibri"/>
                <w:color w:val="000000"/>
                <w:sz w:val="20"/>
                <w:szCs w:val="20"/>
              </w:rPr>
              <w:t>To create synergy with the project’s activities</w:t>
            </w:r>
          </w:p>
          <w:p w14:paraId="68091796" w14:textId="77777777" w:rsidR="00CF33D9" w:rsidRDefault="00E3332A">
            <w:pPr>
              <w:rPr>
                <w:rFonts w:ascii="Calibri" w:hAnsi="Calibri" w:cs="Calibri"/>
                <w:color w:val="000000"/>
                <w:sz w:val="20"/>
                <w:szCs w:val="20"/>
              </w:rPr>
            </w:pPr>
            <w:r>
              <w:rPr>
                <w:rFonts w:ascii="Calibri" w:hAnsi="Calibri" w:cs="Calibri"/>
                <w:color w:val="000000"/>
                <w:sz w:val="20"/>
                <w:szCs w:val="20"/>
              </w:rPr>
              <w:t>To gain opportunity for future activities in the BCLME by utilising their technical expertise</w:t>
            </w:r>
          </w:p>
          <w:p w14:paraId="68091797" w14:textId="77777777" w:rsidR="00CF33D9" w:rsidRDefault="00E3332A">
            <w:pPr>
              <w:rPr>
                <w:rFonts w:ascii="Calibri" w:hAnsi="Calibri" w:cs="Calibri"/>
                <w:color w:val="000000"/>
                <w:sz w:val="20"/>
                <w:szCs w:val="20"/>
              </w:rPr>
            </w:pPr>
            <w:r>
              <w:rPr>
                <w:rFonts w:ascii="Calibri" w:hAnsi="Calibri" w:cs="Calibri"/>
                <w:color w:val="000000"/>
                <w:sz w:val="20"/>
                <w:szCs w:val="20"/>
              </w:rPr>
              <w:t xml:space="preserve">Replication of project results </w:t>
            </w:r>
          </w:p>
        </w:tc>
        <w:tc>
          <w:tcPr>
            <w:tcW w:w="2577" w:type="dxa"/>
          </w:tcPr>
          <w:p w14:paraId="68091798" w14:textId="77777777" w:rsidR="00CF33D9" w:rsidRDefault="00E3332A">
            <w:pPr>
              <w:rPr>
                <w:rFonts w:ascii="Calibri" w:hAnsi="Calibri" w:cs="Calibri"/>
                <w:color w:val="000000"/>
                <w:sz w:val="20"/>
                <w:szCs w:val="20"/>
              </w:rPr>
            </w:pPr>
            <w:r>
              <w:rPr>
                <w:rFonts w:ascii="Calibri" w:hAnsi="Calibri" w:cs="Calibri"/>
                <w:color w:val="000000"/>
                <w:sz w:val="20"/>
                <w:szCs w:val="20"/>
              </w:rPr>
              <w:t>Lack of interest for the key deliverables of the project among project beneficiaries due to the largely uncertain socio-political environment.</w:t>
            </w:r>
          </w:p>
          <w:p w14:paraId="68091799" w14:textId="77777777" w:rsidR="00CF33D9" w:rsidRDefault="00E3332A">
            <w:pPr>
              <w:rPr>
                <w:rFonts w:ascii="Calibri" w:hAnsi="Calibri" w:cs="Calibri"/>
                <w:color w:val="000000"/>
                <w:sz w:val="20"/>
                <w:szCs w:val="20"/>
              </w:rPr>
            </w:pPr>
            <w:r>
              <w:rPr>
                <w:rFonts w:ascii="Calibri" w:hAnsi="Calibri" w:cs="Calibri"/>
                <w:color w:val="000000"/>
                <w:sz w:val="20"/>
                <w:szCs w:val="20"/>
              </w:rPr>
              <w:t xml:space="preserve"> </w:t>
            </w:r>
          </w:p>
        </w:tc>
        <w:tc>
          <w:tcPr>
            <w:tcW w:w="2268" w:type="dxa"/>
          </w:tcPr>
          <w:p w14:paraId="6809179A" w14:textId="77777777" w:rsidR="00CF33D9" w:rsidRDefault="00E3332A">
            <w:pPr>
              <w:rPr>
                <w:rFonts w:ascii="Calibri" w:hAnsi="Calibri" w:cs="Calibri"/>
                <w:color w:val="000000"/>
                <w:sz w:val="20"/>
                <w:szCs w:val="20"/>
              </w:rPr>
            </w:pPr>
            <w:r>
              <w:rPr>
                <w:rFonts w:ascii="Calibri" w:hAnsi="Calibri" w:cs="Calibri"/>
                <w:color w:val="000000"/>
                <w:sz w:val="20"/>
                <w:szCs w:val="20"/>
              </w:rPr>
              <w:t>To design a schedule of strategic coordination meetings between stakeholders’ groups by themes of engagement.</w:t>
            </w:r>
          </w:p>
          <w:p w14:paraId="6809179B" w14:textId="77777777" w:rsidR="00CF33D9" w:rsidRDefault="00E3332A">
            <w:pPr>
              <w:rPr>
                <w:rFonts w:ascii="Calibri" w:hAnsi="Calibri" w:cs="Calibri"/>
                <w:color w:val="000000"/>
                <w:sz w:val="20"/>
                <w:szCs w:val="20"/>
              </w:rPr>
            </w:pPr>
            <w:r>
              <w:rPr>
                <w:rFonts w:ascii="Calibri" w:hAnsi="Calibri" w:cs="Calibri"/>
                <w:color w:val="000000"/>
                <w:sz w:val="20"/>
                <w:szCs w:val="20"/>
              </w:rPr>
              <w:t>Ensure better communication with the agencies.</w:t>
            </w:r>
          </w:p>
        </w:tc>
      </w:tr>
      <w:tr w:rsidR="00CF33D9" w14:paraId="680917A6" w14:textId="77777777">
        <w:tc>
          <w:tcPr>
            <w:tcW w:w="2278" w:type="dxa"/>
          </w:tcPr>
          <w:p w14:paraId="6809179D" w14:textId="77777777" w:rsidR="00CF33D9" w:rsidRDefault="00E3332A">
            <w:pPr>
              <w:rPr>
                <w:rFonts w:ascii="Calibri" w:hAnsi="Calibri" w:cs="Calibri"/>
                <w:color w:val="000000"/>
                <w:sz w:val="20"/>
                <w:szCs w:val="20"/>
              </w:rPr>
            </w:pPr>
            <w:r>
              <w:rPr>
                <w:rFonts w:ascii="Calibri" w:hAnsi="Calibri" w:cs="Calibri"/>
                <w:color w:val="000000"/>
                <w:sz w:val="20"/>
                <w:szCs w:val="20"/>
              </w:rPr>
              <w:t xml:space="preserve">Governments of Angola, Namibia and South Africa </w:t>
            </w:r>
          </w:p>
        </w:tc>
        <w:tc>
          <w:tcPr>
            <w:tcW w:w="2838" w:type="dxa"/>
          </w:tcPr>
          <w:p w14:paraId="6809179E" w14:textId="77777777" w:rsidR="00CF33D9" w:rsidRDefault="00E3332A">
            <w:pPr>
              <w:rPr>
                <w:rFonts w:ascii="Calibri" w:hAnsi="Calibri" w:cs="Calibri"/>
                <w:color w:val="000000"/>
                <w:sz w:val="20"/>
                <w:szCs w:val="20"/>
              </w:rPr>
            </w:pPr>
            <w:r>
              <w:rPr>
                <w:rFonts w:ascii="Calibri" w:hAnsi="Calibri" w:cs="Calibri"/>
                <w:color w:val="000000"/>
                <w:sz w:val="20"/>
                <w:szCs w:val="20"/>
              </w:rPr>
              <w:t xml:space="preserve">Enhance intergovernmental cooperation; </w:t>
            </w:r>
          </w:p>
          <w:p w14:paraId="6809179F" w14:textId="77777777" w:rsidR="00CF33D9" w:rsidRDefault="00E3332A">
            <w:pPr>
              <w:rPr>
                <w:rFonts w:ascii="Calibri" w:hAnsi="Calibri" w:cs="Calibri"/>
                <w:color w:val="000000"/>
                <w:sz w:val="20"/>
                <w:szCs w:val="20"/>
              </w:rPr>
            </w:pPr>
            <w:r>
              <w:rPr>
                <w:rFonts w:ascii="Calibri" w:hAnsi="Calibri" w:cs="Calibri"/>
                <w:color w:val="000000"/>
                <w:sz w:val="20"/>
                <w:szCs w:val="20"/>
              </w:rPr>
              <w:t>Benefit from participation in regional dialogues and other capacity building activities of the project;</w:t>
            </w:r>
          </w:p>
          <w:p w14:paraId="680917A0" w14:textId="77777777" w:rsidR="00CF33D9" w:rsidRDefault="00E3332A">
            <w:pPr>
              <w:rPr>
                <w:rFonts w:ascii="Calibri" w:hAnsi="Calibri" w:cs="Calibri"/>
                <w:color w:val="000000"/>
                <w:sz w:val="20"/>
                <w:szCs w:val="20"/>
              </w:rPr>
            </w:pPr>
            <w:r>
              <w:rPr>
                <w:rFonts w:ascii="Calibri" w:hAnsi="Calibri" w:cs="Calibri"/>
                <w:color w:val="000000"/>
                <w:sz w:val="20"/>
                <w:szCs w:val="20"/>
              </w:rPr>
              <w:t>Scale-up knowledge management sharing collective experience.</w:t>
            </w:r>
          </w:p>
        </w:tc>
        <w:tc>
          <w:tcPr>
            <w:tcW w:w="2577" w:type="dxa"/>
          </w:tcPr>
          <w:p w14:paraId="680917A1" w14:textId="77777777" w:rsidR="00CF33D9" w:rsidRDefault="00E3332A">
            <w:pPr>
              <w:rPr>
                <w:rFonts w:ascii="Calibri" w:hAnsi="Calibri" w:cs="Calibri"/>
                <w:color w:val="000000"/>
                <w:sz w:val="20"/>
                <w:szCs w:val="20"/>
              </w:rPr>
            </w:pPr>
            <w:r>
              <w:rPr>
                <w:rFonts w:ascii="Calibri" w:hAnsi="Calibri" w:cs="Calibri"/>
                <w:color w:val="000000"/>
                <w:sz w:val="20"/>
                <w:szCs w:val="20"/>
              </w:rPr>
              <w:t xml:space="preserve">Insufficient government resources to continue and sustain project activities post project tenure. </w:t>
            </w:r>
          </w:p>
          <w:p w14:paraId="680917A2" w14:textId="77777777" w:rsidR="00CF33D9" w:rsidRDefault="00E3332A">
            <w:pPr>
              <w:rPr>
                <w:rFonts w:ascii="Calibri" w:hAnsi="Calibri" w:cs="Calibri"/>
                <w:color w:val="000000"/>
                <w:sz w:val="20"/>
                <w:szCs w:val="20"/>
              </w:rPr>
            </w:pPr>
            <w:r>
              <w:rPr>
                <w:rFonts w:ascii="Calibri" w:hAnsi="Calibri" w:cs="Calibri"/>
                <w:color w:val="000000"/>
                <w:sz w:val="20"/>
                <w:szCs w:val="20"/>
              </w:rPr>
              <w:t>Lack of technical capacity to absorb project outputs.</w:t>
            </w:r>
          </w:p>
          <w:p w14:paraId="680917A3" w14:textId="77777777" w:rsidR="00CF33D9" w:rsidRDefault="00CF33D9">
            <w:pPr>
              <w:rPr>
                <w:rFonts w:ascii="Calibri" w:hAnsi="Calibri" w:cs="Calibri"/>
                <w:color w:val="000000"/>
                <w:sz w:val="20"/>
                <w:szCs w:val="20"/>
              </w:rPr>
            </w:pPr>
          </w:p>
        </w:tc>
        <w:tc>
          <w:tcPr>
            <w:tcW w:w="2268" w:type="dxa"/>
          </w:tcPr>
          <w:p w14:paraId="680917A4" w14:textId="77777777" w:rsidR="00CF33D9" w:rsidRDefault="00E3332A">
            <w:pPr>
              <w:rPr>
                <w:rFonts w:ascii="Calibri" w:hAnsi="Calibri" w:cs="Calibri"/>
                <w:color w:val="000000"/>
                <w:sz w:val="20"/>
                <w:szCs w:val="20"/>
              </w:rPr>
            </w:pPr>
            <w:r>
              <w:rPr>
                <w:rFonts w:ascii="Calibri" w:hAnsi="Calibri" w:cs="Calibri"/>
                <w:color w:val="000000"/>
                <w:sz w:val="20"/>
                <w:szCs w:val="20"/>
              </w:rPr>
              <w:t>Replication of project results at national and local levels beyond project tenure</w:t>
            </w:r>
          </w:p>
          <w:p w14:paraId="680917A5" w14:textId="77777777" w:rsidR="00CF33D9" w:rsidRDefault="00CF33D9">
            <w:pPr>
              <w:rPr>
                <w:rFonts w:ascii="Calibri" w:hAnsi="Calibri" w:cs="Calibri"/>
                <w:color w:val="000000"/>
                <w:sz w:val="20"/>
                <w:szCs w:val="20"/>
              </w:rPr>
            </w:pPr>
          </w:p>
        </w:tc>
      </w:tr>
      <w:tr w:rsidR="00CF33D9" w14:paraId="680917AF" w14:textId="77777777">
        <w:tc>
          <w:tcPr>
            <w:tcW w:w="2278" w:type="dxa"/>
          </w:tcPr>
          <w:p w14:paraId="680917A7" w14:textId="77777777" w:rsidR="00CF33D9" w:rsidRDefault="00E3332A">
            <w:pPr>
              <w:rPr>
                <w:rFonts w:ascii="Calibri" w:hAnsi="Calibri" w:cs="Calibri"/>
                <w:color w:val="000000"/>
                <w:sz w:val="20"/>
                <w:szCs w:val="20"/>
              </w:rPr>
            </w:pPr>
            <w:r>
              <w:rPr>
                <w:rFonts w:ascii="Calibri" w:hAnsi="Calibri" w:cs="Calibri"/>
                <w:color w:val="000000"/>
                <w:sz w:val="20"/>
                <w:szCs w:val="20"/>
              </w:rPr>
              <w:t>Community / non-government Organisations</w:t>
            </w:r>
          </w:p>
        </w:tc>
        <w:tc>
          <w:tcPr>
            <w:tcW w:w="2838" w:type="dxa"/>
          </w:tcPr>
          <w:p w14:paraId="680917A8" w14:textId="77777777" w:rsidR="00CF33D9" w:rsidRDefault="00E3332A">
            <w:pPr>
              <w:shd w:val="clear" w:color="auto" w:fill="FFFFFF"/>
              <w:rPr>
                <w:rFonts w:ascii="Calibri" w:hAnsi="Calibri" w:cs="Calibri"/>
                <w:color w:val="000000"/>
                <w:sz w:val="20"/>
                <w:szCs w:val="20"/>
              </w:rPr>
            </w:pPr>
            <w:r>
              <w:rPr>
                <w:rFonts w:ascii="Calibri" w:hAnsi="Calibri" w:cs="Calibri"/>
                <w:color w:val="000000"/>
                <w:sz w:val="20"/>
                <w:szCs w:val="20"/>
              </w:rPr>
              <w:t>Improvements in the quality of MPAs, EBSA and transboundary areas of importance</w:t>
            </w:r>
          </w:p>
          <w:p w14:paraId="680917A9" w14:textId="77777777" w:rsidR="00CF33D9" w:rsidRDefault="00E3332A">
            <w:pPr>
              <w:shd w:val="clear" w:color="auto" w:fill="FFFFFF"/>
              <w:rPr>
                <w:rFonts w:ascii="Calibri" w:hAnsi="Calibri" w:cs="Calibri"/>
                <w:color w:val="000000"/>
                <w:sz w:val="20"/>
                <w:szCs w:val="20"/>
              </w:rPr>
            </w:pPr>
            <w:r>
              <w:rPr>
                <w:rFonts w:ascii="Calibri" w:hAnsi="Calibri" w:cs="Calibri"/>
                <w:color w:val="000000"/>
                <w:sz w:val="20"/>
                <w:szCs w:val="20"/>
              </w:rPr>
              <w:t>Contribute with their expertise and networks to the successful implementation of the project</w:t>
            </w:r>
          </w:p>
        </w:tc>
        <w:tc>
          <w:tcPr>
            <w:tcW w:w="2577" w:type="dxa"/>
          </w:tcPr>
          <w:p w14:paraId="680917AA" w14:textId="77777777" w:rsidR="00CF33D9" w:rsidRDefault="00E3332A">
            <w:pPr>
              <w:shd w:val="clear" w:color="auto" w:fill="FFFFFF"/>
              <w:rPr>
                <w:rFonts w:ascii="Calibri" w:hAnsi="Calibri" w:cs="Calibri"/>
                <w:color w:val="000000"/>
                <w:sz w:val="20"/>
                <w:szCs w:val="20"/>
              </w:rPr>
            </w:pPr>
            <w:r>
              <w:rPr>
                <w:rFonts w:ascii="Calibri" w:hAnsi="Calibri" w:cs="Calibri"/>
                <w:color w:val="000000"/>
                <w:sz w:val="20"/>
                <w:szCs w:val="20"/>
              </w:rPr>
              <w:t xml:space="preserve">Level of involvement; Transparency of the decision-making;  </w:t>
            </w:r>
          </w:p>
          <w:p w14:paraId="680917AB" w14:textId="77777777" w:rsidR="00CF33D9" w:rsidRDefault="00E3332A">
            <w:pPr>
              <w:shd w:val="clear" w:color="auto" w:fill="FFFFFF"/>
              <w:rPr>
                <w:rFonts w:ascii="Calibri" w:hAnsi="Calibri" w:cs="Calibri"/>
                <w:color w:val="000000"/>
                <w:sz w:val="20"/>
                <w:szCs w:val="20"/>
              </w:rPr>
            </w:pPr>
            <w:r>
              <w:rPr>
                <w:rFonts w:ascii="Calibri" w:hAnsi="Calibri" w:cs="Calibri"/>
                <w:color w:val="000000"/>
                <w:sz w:val="20"/>
                <w:szCs w:val="20"/>
              </w:rPr>
              <w:t xml:space="preserve">Frequency and quality of communication process. </w:t>
            </w:r>
          </w:p>
          <w:p w14:paraId="680917AC" w14:textId="77777777" w:rsidR="00CF33D9" w:rsidRDefault="00CF33D9">
            <w:pPr>
              <w:rPr>
                <w:rFonts w:ascii="Calibri" w:hAnsi="Calibri" w:cs="Calibri"/>
                <w:color w:val="000000"/>
                <w:sz w:val="20"/>
                <w:szCs w:val="20"/>
              </w:rPr>
            </w:pPr>
          </w:p>
        </w:tc>
        <w:tc>
          <w:tcPr>
            <w:tcW w:w="2268" w:type="dxa"/>
          </w:tcPr>
          <w:p w14:paraId="680917AD" w14:textId="77777777" w:rsidR="00CF33D9" w:rsidRDefault="00E3332A">
            <w:pPr>
              <w:shd w:val="clear" w:color="auto" w:fill="FFFFFF"/>
              <w:rPr>
                <w:rFonts w:ascii="Calibri" w:hAnsi="Calibri" w:cs="Calibri"/>
                <w:color w:val="000000"/>
                <w:sz w:val="20"/>
                <w:szCs w:val="20"/>
              </w:rPr>
            </w:pPr>
            <w:r>
              <w:rPr>
                <w:rFonts w:ascii="Calibri" w:hAnsi="Calibri" w:cs="Calibri"/>
                <w:color w:val="000000"/>
                <w:sz w:val="20"/>
                <w:szCs w:val="20"/>
              </w:rPr>
              <w:t xml:space="preserve">Ensure involvement of stakeholders in all consultation meetings and relevant working groups; </w:t>
            </w:r>
          </w:p>
          <w:p w14:paraId="680917AE" w14:textId="77777777" w:rsidR="00CF33D9" w:rsidRDefault="00E3332A">
            <w:pPr>
              <w:shd w:val="clear" w:color="auto" w:fill="FFFFFF"/>
              <w:rPr>
                <w:rFonts w:ascii="Calibri" w:hAnsi="Calibri" w:cs="Calibri"/>
                <w:color w:val="000000"/>
                <w:sz w:val="20"/>
                <w:szCs w:val="20"/>
              </w:rPr>
            </w:pPr>
            <w:r>
              <w:rPr>
                <w:rFonts w:ascii="Calibri" w:hAnsi="Calibri" w:cs="Calibri"/>
                <w:color w:val="000000"/>
                <w:sz w:val="20"/>
                <w:szCs w:val="20"/>
              </w:rPr>
              <w:t>Ensure there is free access for information about the project when required.</w:t>
            </w:r>
          </w:p>
        </w:tc>
      </w:tr>
      <w:tr w:rsidR="00CF33D9" w14:paraId="680917B5" w14:textId="77777777">
        <w:tc>
          <w:tcPr>
            <w:tcW w:w="2278" w:type="dxa"/>
          </w:tcPr>
          <w:p w14:paraId="680917B0" w14:textId="77777777" w:rsidR="00CF33D9" w:rsidRDefault="00E3332A">
            <w:pPr>
              <w:rPr>
                <w:rFonts w:ascii="Calibri" w:hAnsi="Calibri" w:cs="Calibri"/>
                <w:color w:val="000000"/>
                <w:sz w:val="20"/>
                <w:szCs w:val="20"/>
              </w:rPr>
            </w:pPr>
            <w:r>
              <w:rPr>
                <w:rFonts w:ascii="Calibri" w:hAnsi="Calibri" w:cs="Calibri"/>
                <w:color w:val="000000"/>
                <w:sz w:val="20"/>
                <w:szCs w:val="20"/>
              </w:rPr>
              <w:t>Academia and research organisations</w:t>
            </w:r>
          </w:p>
        </w:tc>
        <w:tc>
          <w:tcPr>
            <w:tcW w:w="2838" w:type="dxa"/>
          </w:tcPr>
          <w:p w14:paraId="680917B1" w14:textId="77777777" w:rsidR="00CF33D9" w:rsidRDefault="00E3332A">
            <w:pPr>
              <w:rPr>
                <w:rFonts w:ascii="Calibri" w:hAnsi="Calibri" w:cs="Calibri"/>
                <w:color w:val="000000"/>
                <w:sz w:val="20"/>
                <w:szCs w:val="20"/>
              </w:rPr>
            </w:pPr>
            <w:r>
              <w:rPr>
                <w:rFonts w:ascii="Calibri" w:hAnsi="Calibri" w:cs="Calibri"/>
                <w:color w:val="000000"/>
                <w:sz w:val="20"/>
                <w:szCs w:val="20"/>
              </w:rPr>
              <w:t>Participate in technical activities such as workshops, training courses, experience sand research findings’ exchange (Science to governance dialogue, IW:LEARN etc).</w:t>
            </w:r>
          </w:p>
        </w:tc>
        <w:tc>
          <w:tcPr>
            <w:tcW w:w="2577" w:type="dxa"/>
          </w:tcPr>
          <w:p w14:paraId="680917B2" w14:textId="77777777" w:rsidR="00CF33D9" w:rsidRDefault="00E3332A">
            <w:pPr>
              <w:rPr>
                <w:rFonts w:ascii="Calibri" w:hAnsi="Calibri" w:cs="Calibri"/>
                <w:color w:val="000000"/>
                <w:sz w:val="20"/>
                <w:szCs w:val="20"/>
              </w:rPr>
            </w:pPr>
            <w:r>
              <w:rPr>
                <w:rFonts w:ascii="Calibri" w:hAnsi="Calibri" w:cs="Calibri"/>
                <w:color w:val="000000"/>
                <w:sz w:val="20"/>
                <w:szCs w:val="20"/>
              </w:rPr>
              <w:t xml:space="preserve">Low interest for synergies from other stakeholders </w:t>
            </w:r>
          </w:p>
        </w:tc>
        <w:tc>
          <w:tcPr>
            <w:tcW w:w="2268" w:type="dxa"/>
          </w:tcPr>
          <w:p w14:paraId="680917B3" w14:textId="77777777" w:rsidR="00CF33D9" w:rsidRDefault="00E3332A">
            <w:pPr>
              <w:shd w:val="clear" w:color="auto" w:fill="FFFFFF"/>
              <w:rPr>
                <w:rFonts w:ascii="Calibri" w:hAnsi="Calibri" w:cs="Calibri"/>
                <w:color w:val="000000"/>
                <w:sz w:val="20"/>
                <w:szCs w:val="20"/>
              </w:rPr>
            </w:pPr>
            <w:r>
              <w:rPr>
                <w:rFonts w:ascii="Calibri" w:hAnsi="Calibri" w:cs="Calibri"/>
                <w:color w:val="000000"/>
                <w:sz w:val="20"/>
                <w:szCs w:val="20"/>
              </w:rPr>
              <w:t xml:space="preserve">Ensure academia is involved in all consultation meetings and relevant working groups. </w:t>
            </w:r>
          </w:p>
          <w:p w14:paraId="680917B4" w14:textId="77777777" w:rsidR="00CF33D9" w:rsidRDefault="00CF33D9">
            <w:pPr>
              <w:rPr>
                <w:rFonts w:ascii="Calibri" w:hAnsi="Calibri" w:cs="Calibri"/>
                <w:color w:val="000000"/>
                <w:sz w:val="20"/>
                <w:szCs w:val="20"/>
              </w:rPr>
            </w:pPr>
          </w:p>
        </w:tc>
      </w:tr>
      <w:tr w:rsidR="00CF33D9" w14:paraId="680917BC" w14:textId="77777777">
        <w:tc>
          <w:tcPr>
            <w:tcW w:w="2278" w:type="dxa"/>
          </w:tcPr>
          <w:p w14:paraId="680917B6" w14:textId="77777777" w:rsidR="00CF33D9" w:rsidRDefault="00E3332A">
            <w:pPr>
              <w:rPr>
                <w:rFonts w:ascii="Calibri" w:hAnsi="Calibri" w:cs="Calibri"/>
                <w:color w:val="000000"/>
                <w:sz w:val="20"/>
                <w:szCs w:val="20"/>
              </w:rPr>
            </w:pPr>
            <w:r>
              <w:rPr>
                <w:rFonts w:ascii="Calibri" w:hAnsi="Calibri" w:cs="Calibri"/>
                <w:color w:val="000000"/>
                <w:sz w:val="20"/>
                <w:szCs w:val="20"/>
              </w:rPr>
              <w:t>Private Sector</w:t>
            </w:r>
          </w:p>
        </w:tc>
        <w:tc>
          <w:tcPr>
            <w:tcW w:w="2838" w:type="dxa"/>
          </w:tcPr>
          <w:p w14:paraId="680917B7" w14:textId="77777777" w:rsidR="00CF33D9" w:rsidRDefault="00E3332A">
            <w:pPr>
              <w:rPr>
                <w:rFonts w:ascii="Calibri" w:hAnsi="Calibri" w:cs="Calibri"/>
                <w:color w:val="000000"/>
                <w:sz w:val="20"/>
                <w:szCs w:val="20"/>
              </w:rPr>
            </w:pPr>
            <w:r>
              <w:rPr>
                <w:rFonts w:ascii="Calibri" w:hAnsi="Calibri" w:cs="Calibri"/>
                <w:color w:val="000000"/>
                <w:sz w:val="20"/>
                <w:szCs w:val="20"/>
              </w:rPr>
              <w:t>Utilise investment opportunities offered by the project</w:t>
            </w:r>
          </w:p>
          <w:p w14:paraId="680917B8" w14:textId="77777777" w:rsidR="00CF33D9" w:rsidRDefault="00E3332A">
            <w:pPr>
              <w:rPr>
                <w:rFonts w:ascii="Calibri" w:hAnsi="Calibri" w:cs="Calibri"/>
                <w:color w:val="000000"/>
                <w:sz w:val="20"/>
                <w:szCs w:val="20"/>
              </w:rPr>
            </w:pPr>
            <w:r>
              <w:rPr>
                <w:rFonts w:ascii="Calibri" w:hAnsi="Calibri" w:cs="Calibri"/>
                <w:color w:val="000000"/>
                <w:sz w:val="20"/>
                <w:szCs w:val="20"/>
              </w:rPr>
              <w:t>Assist other GEF projects in leveraging additional financing for implementation of SAPs</w:t>
            </w:r>
          </w:p>
        </w:tc>
        <w:tc>
          <w:tcPr>
            <w:tcW w:w="2577" w:type="dxa"/>
          </w:tcPr>
          <w:p w14:paraId="680917B9" w14:textId="77777777" w:rsidR="00CF33D9" w:rsidRDefault="00E3332A">
            <w:pPr>
              <w:rPr>
                <w:rFonts w:ascii="Calibri" w:hAnsi="Calibri" w:cs="Calibri"/>
                <w:color w:val="000000"/>
                <w:sz w:val="20"/>
                <w:szCs w:val="20"/>
              </w:rPr>
            </w:pPr>
            <w:r>
              <w:rPr>
                <w:rFonts w:ascii="Calibri" w:hAnsi="Calibri" w:cs="Calibri"/>
                <w:color w:val="000000"/>
                <w:sz w:val="20"/>
                <w:szCs w:val="20"/>
              </w:rPr>
              <w:t>Obstacles in establishing adequate linkages with projects that might result in investment opportunities</w:t>
            </w:r>
          </w:p>
        </w:tc>
        <w:tc>
          <w:tcPr>
            <w:tcW w:w="2268" w:type="dxa"/>
          </w:tcPr>
          <w:p w14:paraId="680917BA" w14:textId="77777777" w:rsidR="00CF33D9" w:rsidRDefault="00E3332A">
            <w:pPr>
              <w:shd w:val="clear" w:color="auto" w:fill="FFFFFF"/>
              <w:rPr>
                <w:rFonts w:ascii="Calibri" w:hAnsi="Calibri" w:cs="Calibri"/>
                <w:color w:val="000000"/>
                <w:sz w:val="20"/>
                <w:szCs w:val="20"/>
              </w:rPr>
            </w:pPr>
            <w:r>
              <w:rPr>
                <w:rFonts w:ascii="Calibri" w:hAnsi="Calibri" w:cs="Calibri"/>
                <w:color w:val="000000"/>
                <w:sz w:val="20"/>
                <w:szCs w:val="20"/>
              </w:rPr>
              <w:t xml:space="preserve">Ensure that the project facilitates clear dialogue with the private sector. </w:t>
            </w:r>
          </w:p>
          <w:p w14:paraId="680917BB" w14:textId="77777777" w:rsidR="00CF33D9" w:rsidRDefault="00CF33D9">
            <w:pPr>
              <w:rPr>
                <w:rFonts w:ascii="Calibri" w:hAnsi="Calibri" w:cs="Calibri"/>
                <w:color w:val="000000"/>
                <w:sz w:val="20"/>
                <w:szCs w:val="20"/>
              </w:rPr>
            </w:pPr>
          </w:p>
        </w:tc>
      </w:tr>
      <w:tr w:rsidR="00CF33D9" w14:paraId="680917C3" w14:textId="77777777">
        <w:tc>
          <w:tcPr>
            <w:tcW w:w="2278" w:type="dxa"/>
          </w:tcPr>
          <w:p w14:paraId="680917BD" w14:textId="77777777" w:rsidR="00CF33D9" w:rsidRDefault="00E3332A">
            <w:pPr>
              <w:rPr>
                <w:rFonts w:ascii="Calibri" w:hAnsi="Calibri" w:cs="Calibri"/>
                <w:color w:val="000000"/>
                <w:sz w:val="20"/>
                <w:szCs w:val="20"/>
              </w:rPr>
            </w:pPr>
            <w:r>
              <w:rPr>
                <w:rFonts w:ascii="Calibri" w:hAnsi="Calibri" w:cs="Calibri"/>
                <w:color w:val="000000"/>
                <w:sz w:val="20"/>
                <w:szCs w:val="20"/>
              </w:rPr>
              <w:t>Transboundary</w:t>
            </w:r>
            <w:r>
              <w:rPr>
                <w:rFonts w:ascii="Calibri" w:hAnsi="Calibri" w:cs="Calibri"/>
                <w:sz w:val="20"/>
                <w:szCs w:val="20"/>
              </w:rPr>
              <w:t xml:space="preserve"> organisations</w:t>
            </w:r>
          </w:p>
        </w:tc>
        <w:tc>
          <w:tcPr>
            <w:tcW w:w="2838" w:type="dxa"/>
          </w:tcPr>
          <w:p w14:paraId="680917BE" w14:textId="77777777" w:rsidR="00CF33D9" w:rsidRDefault="00E3332A">
            <w:pPr>
              <w:rPr>
                <w:rFonts w:ascii="Calibri" w:hAnsi="Calibri" w:cs="Calibri"/>
                <w:color w:val="000000"/>
                <w:sz w:val="20"/>
                <w:szCs w:val="20"/>
              </w:rPr>
            </w:pPr>
            <w:r>
              <w:rPr>
                <w:rFonts w:ascii="Calibri" w:hAnsi="Calibri" w:cs="Calibri"/>
                <w:color w:val="000000"/>
                <w:sz w:val="20"/>
                <w:szCs w:val="20"/>
              </w:rPr>
              <w:t>Receive scientific knowledge, experiences and lessons learned from other GEF projects</w:t>
            </w:r>
          </w:p>
          <w:p w14:paraId="680917BF" w14:textId="77777777" w:rsidR="00CF33D9" w:rsidRDefault="00E3332A">
            <w:pPr>
              <w:shd w:val="clear" w:color="auto" w:fill="FFFFFF"/>
              <w:rPr>
                <w:rFonts w:ascii="Calibri" w:hAnsi="Calibri" w:cs="Calibri"/>
                <w:color w:val="000000"/>
                <w:sz w:val="20"/>
                <w:szCs w:val="20"/>
              </w:rPr>
            </w:pPr>
            <w:r>
              <w:rPr>
                <w:rFonts w:ascii="Calibri" w:hAnsi="Calibri" w:cs="Calibri"/>
                <w:color w:val="000000"/>
                <w:sz w:val="20"/>
                <w:szCs w:val="20"/>
              </w:rPr>
              <w:t>Ensure that there is clear communication with sister projects</w:t>
            </w:r>
          </w:p>
        </w:tc>
        <w:tc>
          <w:tcPr>
            <w:tcW w:w="2577" w:type="dxa"/>
          </w:tcPr>
          <w:p w14:paraId="680917C0" w14:textId="77777777" w:rsidR="00CF33D9" w:rsidRDefault="00E3332A">
            <w:pPr>
              <w:shd w:val="clear" w:color="auto" w:fill="FFFFFF"/>
              <w:rPr>
                <w:rFonts w:ascii="Calibri" w:hAnsi="Calibri" w:cs="Calibri"/>
                <w:color w:val="000000"/>
                <w:sz w:val="20"/>
                <w:szCs w:val="20"/>
              </w:rPr>
            </w:pPr>
            <w:r>
              <w:rPr>
                <w:rFonts w:ascii="Calibri" w:hAnsi="Calibri" w:cs="Calibri"/>
                <w:color w:val="000000"/>
                <w:sz w:val="20"/>
                <w:szCs w:val="20"/>
              </w:rPr>
              <w:t xml:space="preserve">Transparency of the decision-making and communication processes </w:t>
            </w:r>
          </w:p>
        </w:tc>
        <w:tc>
          <w:tcPr>
            <w:tcW w:w="2268" w:type="dxa"/>
          </w:tcPr>
          <w:p w14:paraId="680917C1" w14:textId="77777777" w:rsidR="00CF33D9" w:rsidRDefault="00E3332A">
            <w:pPr>
              <w:rPr>
                <w:rFonts w:ascii="Calibri" w:hAnsi="Calibri" w:cs="Calibri"/>
                <w:color w:val="000000"/>
                <w:sz w:val="20"/>
                <w:szCs w:val="20"/>
              </w:rPr>
            </w:pPr>
            <w:r>
              <w:rPr>
                <w:rFonts w:ascii="Calibri" w:hAnsi="Calibri" w:cs="Calibri"/>
                <w:color w:val="000000"/>
                <w:sz w:val="20"/>
                <w:szCs w:val="20"/>
              </w:rPr>
              <w:t>Maintain relationship with other GEF projects in their regions.</w:t>
            </w:r>
          </w:p>
          <w:p w14:paraId="680917C2" w14:textId="77777777" w:rsidR="00CF33D9" w:rsidRDefault="00CF33D9">
            <w:pPr>
              <w:shd w:val="clear" w:color="auto" w:fill="FFFFFF"/>
              <w:rPr>
                <w:rFonts w:ascii="Calibri" w:hAnsi="Calibri" w:cs="Calibri"/>
                <w:color w:val="000000"/>
                <w:sz w:val="20"/>
                <w:szCs w:val="20"/>
              </w:rPr>
            </w:pPr>
          </w:p>
        </w:tc>
      </w:tr>
      <w:tr w:rsidR="00CF33D9" w14:paraId="680917CB" w14:textId="77777777">
        <w:tc>
          <w:tcPr>
            <w:tcW w:w="2278" w:type="dxa"/>
          </w:tcPr>
          <w:p w14:paraId="680917C4" w14:textId="77777777" w:rsidR="00CF33D9" w:rsidRDefault="00E3332A">
            <w:pPr>
              <w:rPr>
                <w:rFonts w:ascii="Calibri" w:hAnsi="Calibri" w:cs="Calibri"/>
                <w:color w:val="000000"/>
                <w:sz w:val="20"/>
                <w:szCs w:val="20"/>
              </w:rPr>
            </w:pPr>
            <w:r>
              <w:rPr>
                <w:rFonts w:ascii="Calibri" w:hAnsi="Calibri" w:cs="Calibri"/>
                <w:color w:val="000000"/>
                <w:sz w:val="20"/>
                <w:szCs w:val="20"/>
              </w:rPr>
              <w:lastRenderedPageBreak/>
              <w:t>Indigenous groups and local communities</w:t>
            </w:r>
          </w:p>
        </w:tc>
        <w:tc>
          <w:tcPr>
            <w:tcW w:w="2838" w:type="dxa"/>
          </w:tcPr>
          <w:p w14:paraId="680917C5" w14:textId="77777777" w:rsidR="00CF33D9" w:rsidRDefault="00E3332A">
            <w:pPr>
              <w:shd w:val="clear" w:color="auto" w:fill="FFFFFF"/>
              <w:rPr>
                <w:rFonts w:ascii="Calibri" w:hAnsi="Calibri" w:cs="Calibri"/>
                <w:color w:val="000000"/>
                <w:sz w:val="20"/>
                <w:szCs w:val="20"/>
              </w:rPr>
            </w:pPr>
            <w:r>
              <w:rPr>
                <w:rFonts w:ascii="Calibri" w:hAnsi="Calibri" w:cs="Calibri"/>
                <w:color w:val="000000"/>
                <w:sz w:val="20"/>
                <w:szCs w:val="20"/>
              </w:rPr>
              <w:t>To be identified/analysed and given more opportunity to interact with the project and raise their concerns.</w:t>
            </w:r>
          </w:p>
          <w:p w14:paraId="680917C6" w14:textId="77777777" w:rsidR="00CF33D9" w:rsidRDefault="00E3332A">
            <w:pPr>
              <w:shd w:val="clear" w:color="auto" w:fill="FFFFFF"/>
              <w:rPr>
                <w:rFonts w:ascii="Calibri" w:hAnsi="Calibri" w:cs="Calibri"/>
                <w:color w:val="000000"/>
                <w:sz w:val="20"/>
                <w:szCs w:val="20"/>
              </w:rPr>
            </w:pPr>
            <w:r>
              <w:rPr>
                <w:rFonts w:ascii="Calibri" w:hAnsi="Calibri" w:cs="Calibri"/>
                <w:color w:val="000000"/>
                <w:sz w:val="20"/>
                <w:szCs w:val="20"/>
              </w:rPr>
              <w:t>The stakeholder analysis did not identify indigenous people to be located within the project footprint. However, this status may be deemed different upon confirmation of the project demonstration sites.</w:t>
            </w:r>
          </w:p>
        </w:tc>
        <w:tc>
          <w:tcPr>
            <w:tcW w:w="2577" w:type="dxa"/>
          </w:tcPr>
          <w:p w14:paraId="680917C7" w14:textId="77777777" w:rsidR="00CF33D9" w:rsidRDefault="00E3332A">
            <w:pPr>
              <w:shd w:val="clear" w:color="auto" w:fill="FFFFFF"/>
              <w:rPr>
                <w:rFonts w:ascii="Calibri" w:hAnsi="Calibri" w:cs="Calibri"/>
                <w:color w:val="000000"/>
                <w:sz w:val="20"/>
                <w:szCs w:val="20"/>
              </w:rPr>
            </w:pPr>
            <w:r>
              <w:rPr>
                <w:rFonts w:ascii="Calibri" w:hAnsi="Calibri" w:cs="Calibri"/>
                <w:color w:val="000000"/>
                <w:sz w:val="20"/>
                <w:szCs w:val="20"/>
              </w:rPr>
              <w:t xml:space="preserve">Impacts on their livelihoods brought about by the project; </w:t>
            </w:r>
          </w:p>
          <w:p w14:paraId="680917C8" w14:textId="77777777" w:rsidR="00CF33D9" w:rsidRDefault="00E3332A">
            <w:pPr>
              <w:shd w:val="clear" w:color="auto" w:fill="FFFFFF"/>
              <w:rPr>
                <w:rFonts w:ascii="Calibri" w:hAnsi="Calibri" w:cs="Calibri"/>
                <w:color w:val="000000"/>
                <w:sz w:val="20"/>
                <w:szCs w:val="20"/>
              </w:rPr>
            </w:pPr>
            <w:r>
              <w:rPr>
                <w:rFonts w:ascii="Calibri" w:hAnsi="Calibri" w:cs="Calibri"/>
                <w:color w:val="000000"/>
                <w:sz w:val="20"/>
                <w:szCs w:val="20"/>
              </w:rPr>
              <w:t>Not being given chance to be involved in decision meetings.</w:t>
            </w:r>
          </w:p>
        </w:tc>
        <w:tc>
          <w:tcPr>
            <w:tcW w:w="2268" w:type="dxa"/>
          </w:tcPr>
          <w:p w14:paraId="680917C9" w14:textId="77777777" w:rsidR="00CF33D9" w:rsidRDefault="00E3332A">
            <w:pPr>
              <w:shd w:val="clear" w:color="auto" w:fill="FFFFFF"/>
              <w:rPr>
                <w:rFonts w:ascii="Calibri" w:hAnsi="Calibri" w:cs="Calibri"/>
                <w:color w:val="000000"/>
                <w:sz w:val="20"/>
                <w:szCs w:val="20"/>
              </w:rPr>
            </w:pPr>
            <w:r>
              <w:rPr>
                <w:rFonts w:ascii="Calibri" w:hAnsi="Calibri" w:cs="Calibri"/>
                <w:color w:val="000000"/>
                <w:sz w:val="20"/>
                <w:szCs w:val="20"/>
              </w:rPr>
              <w:t>Ensure that there is clear communication with indigenous groups and project impacts on marginalised groups if any are identified and addressed.</w:t>
            </w:r>
          </w:p>
          <w:p w14:paraId="680917CA" w14:textId="77777777" w:rsidR="00CF33D9" w:rsidRDefault="00E3332A">
            <w:pPr>
              <w:shd w:val="clear" w:color="auto" w:fill="FFFFFF"/>
              <w:rPr>
                <w:rFonts w:ascii="Calibri" w:hAnsi="Calibri" w:cs="Calibri"/>
                <w:color w:val="000000"/>
                <w:sz w:val="20"/>
                <w:szCs w:val="20"/>
              </w:rPr>
            </w:pPr>
            <w:r>
              <w:rPr>
                <w:rFonts w:ascii="Calibri" w:hAnsi="Calibri" w:cs="Calibri"/>
                <w:color w:val="000000"/>
                <w:sz w:val="20"/>
                <w:szCs w:val="20"/>
              </w:rPr>
              <w:t>An Indigenous People’s Plan must be developed to guide implementation of project activities with the affected communities where such indigenous people reside.</w:t>
            </w:r>
          </w:p>
        </w:tc>
      </w:tr>
    </w:tbl>
    <w:p w14:paraId="680917CC" w14:textId="77777777" w:rsidR="00CF33D9" w:rsidRDefault="00CF33D9">
      <w:pPr>
        <w:rPr>
          <w:rFonts w:ascii="Calibri" w:eastAsia="Calibri" w:hAnsi="Calibri" w:cs="Calibri"/>
          <w:sz w:val="20"/>
          <w:szCs w:val="20"/>
        </w:rPr>
      </w:pPr>
    </w:p>
    <w:p w14:paraId="680917CD" w14:textId="77777777" w:rsidR="00CF33D9" w:rsidRDefault="00E3332A">
      <w:pPr>
        <w:jc w:val="both"/>
        <w:rPr>
          <w:rFonts w:ascii="Calibri" w:eastAsia="Calibri" w:hAnsi="Calibri" w:cs="Calibri"/>
          <w:color w:val="000000"/>
          <w:sz w:val="20"/>
          <w:szCs w:val="20"/>
        </w:rPr>
      </w:pPr>
      <w:r>
        <w:rPr>
          <w:rFonts w:ascii="Calibri" w:eastAsia="Calibri" w:hAnsi="Calibri" w:cs="Calibri"/>
          <w:color w:val="000000"/>
          <w:sz w:val="20"/>
          <w:szCs w:val="20"/>
        </w:rPr>
        <w:t>Of importance to note is that, although no indigenous people or communities were identified as part of the analysis, the project demonstration sites are still to be validated. It is therefore recommended that a verification analysis be undertaken as part of developing the detailed project stakeholder engagement plan at implementation phase. The verification shall confirm status of indigenous communities in the respective demonstration sites for each country; develop the requisite Indigenous People’s Plan inclusive of a Free Prior Informed Consent process.</w:t>
      </w:r>
    </w:p>
    <w:p w14:paraId="680917CE"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 xml:space="preserve">The overall recommendation for handling any stakeholder’s concern Is to hold regular meaningful, effective and informed dialogue throughout project implementation to prevent escalation of any concern as raised. All stakeholder engagement activities will be aligned with the following principles: </w:t>
      </w:r>
    </w:p>
    <w:p w14:paraId="680917CF" w14:textId="77777777" w:rsidR="00CF33D9" w:rsidRDefault="00E3332A">
      <w:pPr>
        <w:numPr>
          <w:ilvl w:val="0"/>
          <w:numId w:val="78"/>
        </w:numPr>
        <w:spacing w:before="120"/>
        <w:ind w:left="284" w:hanging="284"/>
        <w:jc w:val="both"/>
        <w:rPr>
          <w:rFonts w:ascii="Calibri" w:eastAsia="Calibri" w:hAnsi="Calibri" w:cs="Calibri"/>
          <w:color w:val="000000"/>
          <w:sz w:val="20"/>
          <w:szCs w:val="20"/>
        </w:rPr>
      </w:pPr>
      <w:r>
        <w:rPr>
          <w:rFonts w:ascii="Calibri" w:eastAsia="Calibri" w:hAnsi="Calibri" w:cs="Calibri"/>
          <w:color w:val="000000"/>
          <w:sz w:val="20"/>
          <w:szCs w:val="20"/>
        </w:rPr>
        <w:t xml:space="preserve">Timelines for stakeholder engagement are realistic and respectful of stakeholder decision-making processes and preferences. A stakeholder engagement and communication plan shall be developed and implemented to guide and streamline stakeholder engagement initiatives throughout the project duration. </w:t>
      </w:r>
    </w:p>
    <w:p w14:paraId="680917D0" w14:textId="77777777" w:rsidR="00CF33D9" w:rsidRDefault="00E3332A">
      <w:pPr>
        <w:numPr>
          <w:ilvl w:val="0"/>
          <w:numId w:val="78"/>
        </w:numPr>
        <w:ind w:left="284" w:hanging="284"/>
        <w:jc w:val="both"/>
        <w:rPr>
          <w:rFonts w:ascii="Calibri" w:eastAsia="Calibri" w:hAnsi="Calibri" w:cs="Calibri"/>
          <w:color w:val="000000"/>
          <w:sz w:val="20"/>
          <w:szCs w:val="20"/>
        </w:rPr>
      </w:pPr>
      <w:r>
        <w:rPr>
          <w:rFonts w:ascii="Calibri" w:eastAsia="Calibri" w:hAnsi="Calibri" w:cs="Calibri"/>
          <w:color w:val="000000"/>
          <w:sz w:val="20"/>
          <w:szCs w:val="20"/>
        </w:rPr>
        <w:t>All engagement initiatives shall account for gender roles and capture interests of men and women in alignment with BCC Gender Policy and Action Plan.</w:t>
      </w:r>
    </w:p>
    <w:p w14:paraId="680917D1" w14:textId="77777777" w:rsidR="00CF33D9" w:rsidRDefault="00E3332A">
      <w:pPr>
        <w:numPr>
          <w:ilvl w:val="0"/>
          <w:numId w:val="78"/>
        </w:numPr>
        <w:ind w:left="284" w:hanging="284"/>
        <w:jc w:val="both"/>
        <w:rPr>
          <w:rFonts w:ascii="Calibri" w:eastAsia="Calibri" w:hAnsi="Calibri" w:cs="Calibri"/>
          <w:color w:val="000000"/>
          <w:sz w:val="20"/>
          <w:szCs w:val="20"/>
        </w:rPr>
      </w:pPr>
      <w:r>
        <w:rPr>
          <w:rFonts w:ascii="Calibri" w:eastAsia="Calibri" w:hAnsi="Calibri" w:cs="Calibri"/>
          <w:color w:val="000000"/>
          <w:sz w:val="20"/>
          <w:szCs w:val="20"/>
        </w:rPr>
        <w:t xml:space="preserve">Necessary culturally appropriate mechanisms shall be applied to facilitate the increased participation of women, youth and the elderly. This includes implementation of the Free Prior and Informed Consent that shall be developed in aligned with the Indigenous People’s Plan for the project. It may be necessary at times to undertake differentiated approaches to engaging with certain groups and communities to ensure inclusion of </w:t>
      </w:r>
      <w:r>
        <w:rPr>
          <w:rFonts w:ascii="Calibri" w:eastAsia="Calibri" w:hAnsi="Calibri" w:cs="Calibri"/>
          <w:bCs/>
          <w:color w:val="000000"/>
          <w:sz w:val="20"/>
          <w:szCs w:val="20"/>
        </w:rPr>
        <w:t>marginalized and disadvantaged groups</w:t>
      </w:r>
      <w:r>
        <w:rPr>
          <w:rFonts w:ascii="Calibri" w:eastAsia="Calibri" w:hAnsi="Calibri" w:cs="Calibri"/>
          <w:color w:val="000000"/>
          <w:sz w:val="20"/>
          <w:szCs w:val="20"/>
        </w:rPr>
        <w:t xml:space="preserve"> in the project areas.</w:t>
      </w:r>
    </w:p>
    <w:p w14:paraId="680917D2" w14:textId="77777777" w:rsidR="00CF33D9" w:rsidRDefault="00E3332A">
      <w:pPr>
        <w:numPr>
          <w:ilvl w:val="0"/>
          <w:numId w:val="78"/>
        </w:numPr>
        <w:ind w:left="284" w:hanging="284"/>
        <w:jc w:val="both"/>
        <w:rPr>
          <w:rFonts w:ascii="Calibri" w:eastAsia="Calibri" w:hAnsi="Calibri" w:cs="Calibri"/>
          <w:color w:val="000000"/>
          <w:sz w:val="20"/>
          <w:szCs w:val="20"/>
        </w:rPr>
      </w:pPr>
      <w:r>
        <w:rPr>
          <w:rFonts w:ascii="Calibri" w:eastAsia="Calibri" w:hAnsi="Calibri" w:cs="Calibri"/>
          <w:color w:val="000000"/>
          <w:sz w:val="20"/>
          <w:szCs w:val="20"/>
        </w:rPr>
        <w:t>All materials and outreach methods are understandable and accessible to the range of stakeholders involved, including in local languages where necessary.</w:t>
      </w:r>
    </w:p>
    <w:p w14:paraId="680917D3" w14:textId="77777777" w:rsidR="00CF33D9" w:rsidRDefault="00E3332A">
      <w:pPr>
        <w:numPr>
          <w:ilvl w:val="0"/>
          <w:numId w:val="78"/>
        </w:numPr>
        <w:ind w:left="284" w:hanging="284"/>
        <w:jc w:val="both"/>
        <w:rPr>
          <w:rFonts w:ascii="Calibri" w:eastAsia="Calibri" w:hAnsi="Calibri" w:cs="Calibri"/>
          <w:color w:val="000000"/>
          <w:sz w:val="20"/>
          <w:szCs w:val="20"/>
        </w:rPr>
      </w:pPr>
      <w:r>
        <w:rPr>
          <w:rFonts w:ascii="Calibri" w:eastAsia="Calibri" w:hAnsi="Calibri" w:cs="Calibri"/>
          <w:color w:val="000000"/>
          <w:sz w:val="20"/>
          <w:szCs w:val="20"/>
        </w:rPr>
        <w:t>All engagement activities to be undertaken in diverse forms of communication: fact sheets, flyers/ brochures, community postings, press releases, newsletters, graphics, oral representation, posters, community display boards for postings, local press announcements, community meetings, videos, electronic media (websites, social media), use of authority/government liaisons (communication officials, NGO supporters)</w:t>
      </w:r>
    </w:p>
    <w:p w14:paraId="680917D4" w14:textId="77777777" w:rsidR="00CF33D9" w:rsidRDefault="00E3332A">
      <w:pPr>
        <w:numPr>
          <w:ilvl w:val="0"/>
          <w:numId w:val="78"/>
        </w:numPr>
        <w:ind w:left="284" w:hanging="284"/>
        <w:jc w:val="both"/>
        <w:rPr>
          <w:rFonts w:ascii="Calibri" w:eastAsia="Calibri" w:hAnsi="Calibri" w:cs="Calibri"/>
          <w:color w:val="000000"/>
          <w:sz w:val="20"/>
          <w:szCs w:val="20"/>
        </w:rPr>
      </w:pPr>
      <w:r>
        <w:rPr>
          <w:rFonts w:ascii="Calibri" w:eastAsia="Calibri" w:hAnsi="Calibri" w:cs="Calibri"/>
          <w:color w:val="000000"/>
          <w:sz w:val="20"/>
          <w:szCs w:val="20"/>
        </w:rPr>
        <w:t>Good facilitation will be an integral component of all stakeholders’ outreach activities so that everyone has adequate explanation and information needed to make informed decisions.</w:t>
      </w:r>
    </w:p>
    <w:p w14:paraId="680917D5" w14:textId="77777777" w:rsidR="00CF33D9" w:rsidRDefault="00E3332A">
      <w:pPr>
        <w:numPr>
          <w:ilvl w:val="0"/>
          <w:numId w:val="78"/>
        </w:numPr>
        <w:ind w:left="284" w:hanging="284"/>
        <w:jc w:val="both"/>
        <w:rPr>
          <w:rFonts w:ascii="Calibri" w:eastAsia="Calibri" w:hAnsi="Calibri" w:cs="Calibri"/>
          <w:color w:val="000000"/>
          <w:sz w:val="20"/>
          <w:szCs w:val="20"/>
        </w:rPr>
      </w:pPr>
      <w:r>
        <w:rPr>
          <w:rFonts w:ascii="Calibri" w:eastAsia="Calibri" w:hAnsi="Calibri" w:cs="Calibri"/>
          <w:color w:val="000000"/>
          <w:sz w:val="20"/>
          <w:szCs w:val="20"/>
        </w:rPr>
        <w:t xml:space="preserve">In order to enable stakeholders to have access to adequate procedures for addressing grievances as submitted, a grievance redress mechanism as elaborated further in Section 7, will be established for the concerned interested parties: </w:t>
      </w:r>
    </w:p>
    <w:p w14:paraId="680917D6" w14:textId="77777777" w:rsidR="00CF33D9" w:rsidRDefault="00E3332A">
      <w:pPr>
        <w:numPr>
          <w:ilvl w:val="0"/>
          <w:numId w:val="79"/>
        </w:numPr>
        <w:ind w:hanging="360"/>
        <w:jc w:val="both"/>
        <w:rPr>
          <w:rFonts w:ascii="Calibri" w:eastAsia="Calibri" w:hAnsi="Calibri" w:cs="Calibri"/>
          <w:color w:val="000000"/>
          <w:sz w:val="20"/>
          <w:szCs w:val="20"/>
        </w:rPr>
      </w:pPr>
      <w:r>
        <w:rPr>
          <w:rFonts w:ascii="Calibri" w:eastAsia="Calibri" w:hAnsi="Calibri" w:cs="Calibri"/>
          <w:color w:val="000000"/>
          <w:sz w:val="20"/>
          <w:szCs w:val="20"/>
        </w:rPr>
        <w:t>Complaint received in written form through written communications submitted to the project’s governing bodies (Project Management Unit).</w:t>
      </w:r>
    </w:p>
    <w:p w14:paraId="680917D7" w14:textId="77777777" w:rsidR="00CF33D9" w:rsidRDefault="00E3332A">
      <w:pPr>
        <w:numPr>
          <w:ilvl w:val="0"/>
          <w:numId w:val="79"/>
        </w:numPr>
        <w:ind w:hanging="360"/>
        <w:jc w:val="both"/>
        <w:rPr>
          <w:rFonts w:ascii="Calibri" w:eastAsia="Calibri" w:hAnsi="Calibri" w:cs="Calibri"/>
          <w:color w:val="000000"/>
          <w:sz w:val="20"/>
          <w:szCs w:val="20"/>
        </w:rPr>
      </w:pPr>
      <w:r>
        <w:rPr>
          <w:rFonts w:ascii="Calibri" w:eastAsia="Calibri" w:hAnsi="Calibri" w:cs="Calibri"/>
          <w:color w:val="000000"/>
          <w:sz w:val="20"/>
          <w:szCs w:val="20"/>
        </w:rPr>
        <w:t>The person in charge receives and evaluates the type of claim presented and provides a written acknowledgment of receipt within a specified period of receiving the request.</w:t>
      </w:r>
    </w:p>
    <w:p w14:paraId="680917D8" w14:textId="77777777" w:rsidR="00CF33D9" w:rsidRDefault="00E3332A">
      <w:pPr>
        <w:numPr>
          <w:ilvl w:val="0"/>
          <w:numId w:val="79"/>
        </w:numPr>
        <w:ind w:hanging="360"/>
        <w:jc w:val="both"/>
        <w:rPr>
          <w:rFonts w:ascii="Calibri" w:eastAsia="Calibri" w:hAnsi="Calibri" w:cs="Calibri"/>
          <w:color w:val="000000"/>
          <w:sz w:val="20"/>
          <w:szCs w:val="20"/>
        </w:rPr>
      </w:pPr>
      <w:r>
        <w:rPr>
          <w:rFonts w:ascii="Calibri" w:eastAsia="Calibri" w:hAnsi="Calibri" w:cs="Calibri"/>
          <w:color w:val="000000"/>
          <w:sz w:val="20"/>
          <w:szCs w:val="20"/>
        </w:rPr>
        <w:t>In case of not being able to provide an appropriate response, the claim must be escalated to the next level of decision making (Project Steering Committee).</w:t>
      </w:r>
    </w:p>
    <w:p w14:paraId="680917D9" w14:textId="77777777" w:rsidR="00CF33D9" w:rsidRDefault="00E3332A">
      <w:pPr>
        <w:numPr>
          <w:ilvl w:val="0"/>
          <w:numId w:val="79"/>
        </w:numPr>
        <w:spacing w:after="120"/>
        <w:ind w:hanging="360"/>
        <w:jc w:val="both"/>
        <w:rPr>
          <w:rFonts w:ascii="Calibri" w:eastAsia="Calibri" w:hAnsi="Calibri" w:cs="Calibri"/>
          <w:color w:val="000000"/>
          <w:sz w:val="20"/>
          <w:szCs w:val="20"/>
        </w:rPr>
      </w:pPr>
      <w:r>
        <w:rPr>
          <w:rFonts w:ascii="Calibri" w:eastAsia="Calibri" w:hAnsi="Calibri" w:cs="Calibri"/>
          <w:color w:val="000000"/>
          <w:sz w:val="20"/>
          <w:szCs w:val="20"/>
        </w:rPr>
        <w:lastRenderedPageBreak/>
        <w:t>The project steering committee establishes the Project Grievance Reparation Committee which will include representatives from national counterparts, BCC and UNDP as lead agency. The committee will be responsible for receiving and resolving complains in a fair, objective and constructive way.</w:t>
      </w:r>
    </w:p>
    <w:p w14:paraId="680917DA" w14:textId="77777777" w:rsidR="00CF33D9" w:rsidRDefault="00CF33D9">
      <w:pPr>
        <w:rPr>
          <w:rFonts w:ascii="Calibri" w:hAnsi="Calibri" w:cs="Calibri"/>
          <w:sz w:val="20"/>
          <w:szCs w:val="20"/>
        </w:rPr>
      </w:pPr>
    </w:p>
    <w:p w14:paraId="680917DB" w14:textId="77777777" w:rsidR="00CF33D9" w:rsidRDefault="00E3332A">
      <w:pPr>
        <w:pStyle w:val="Heading1"/>
        <w:numPr>
          <w:ilvl w:val="0"/>
          <w:numId w:val="75"/>
        </w:numPr>
        <w:rPr>
          <w:rFonts w:ascii="Calibri" w:hAnsi="Calibri" w:cs="Calibri"/>
          <w:b/>
          <w:bCs/>
          <w:color w:val="auto"/>
          <w:sz w:val="20"/>
          <w:szCs w:val="20"/>
        </w:rPr>
      </w:pPr>
      <w:r>
        <w:rPr>
          <w:rFonts w:ascii="Calibri" w:hAnsi="Calibri" w:cs="Calibri"/>
          <w:b/>
          <w:bCs/>
          <w:color w:val="auto"/>
          <w:sz w:val="20"/>
          <w:szCs w:val="20"/>
        </w:rPr>
        <w:t>Stakeholder Engagement During Project Implementation</w:t>
      </w:r>
    </w:p>
    <w:p w14:paraId="680917DC" w14:textId="77777777" w:rsidR="00CF33D9" w:rsidRDefault="00CF33D9">
      <w:pPr>
        <w:ind w:left="360"/>
        <w:jc w:val="both"/>
        <w:rPr>
          <w:rFonts w:ascii="Calibri" w:hAnsi="Calibri" w:cs="Calibri"/>
          <w:sz w:val="20"/>
          <w:szCs w:val="20"/>
        </w:rPr>
      </w:pPr>
    </w:p>
    <w:p w14:paraId="680917DD" w14:textId="77777777" w:rsidR="00CF33D9" w:rsidRDefault="00E3332A">
      <w:pPr>
        <w:ind w:left="360"/>
        <w:jc w:val="both"/>
        <w:rPr>
          <w:rFonts w:ascii="Calibri" w:hAnsi="Calibri" w:cs="Calibri"/>
          <w:sz w:val="20"/>
          <w:szCs w:val="20"/>
        </w:rPr>
      </w:pPr>
      <w:r>
        <w:rPr>
          <w:rFonts w:ascii="Calibri" w:hAnsi="Calibri" w:cs="Calibri"/>
          <w:sz w:val="20"/>
          <w:szCs w:val="20"/>
        </w:rPr>
        <w:t>To meet best practice approaches throughout the implementation phase, the project will apply the following principles for stakeholder engagement:</w:t>
      </w:r>
    </w:p>
    <w:p w14:paraId="680917DE" w14:textId="77777777" w:rsidR="00CF33D9" w:rsidRDefault="00CF33D9">
      <w:pPr>
        <w:ind w:left="360"/>
        <w:jc w:val="both"/>
        <w:rPr>
          <w:rFonts w:ascii="Calibri" w:hAnsi="Calibri" w:cs="Calibri"/>
          <w:b/>
          <w:bCs/>
          <w:sz w:val="20"/>
          <w:szCs w:val="20"/>
        </w:rPr>
      </w:pPr>
    </w:p>
    <w:p w14:paraId="680917DF" w14:textId="77777777" w:rsidR="00CF33D9" w:rsidRDefault="00E3332A">
      <w:pPr>
        <w:ind w:left="360"/>
        <w:jc w:val="both"/>
        <w:rPr>
          <w:rFonts w:ascii="Calibri" w:hAnsi="Calibri" w:cs="Calibri"/>
          <w:sz w:val="20"/>
          <w:szCs w:val="20"/>
        </w:rPr>
      </w:pPr>
      <w:r>
        <w:rPr>
          <w:rFonts w:ascii="Calibri" w:hAnsi="Calibri" w:cs="Calibri"/>
          <w:b/>
          <w:bCs/>
          <w:sz w:val="20"/>
          <w:szCs w:val="20"/>
        </w:rPr>
        <w:t xml:space="preserve">Openness: </w:t>
      </w:r>
      <w:r>
        <w:rPr>
          <w:rFonts w:ascii="Calibri" w:hAnsi="Calibri" w:cs="Calibri"/>
          <w:sz w:val="20"/>
          <w:szCs w:val="20"/>
        </w:rPr>
        <w:t>Public consultations for the project will be arranged throughout the project cycle in an open manner, free of external manipulation, interference, coercion, or intimidation.</w:t>
      </w:r>
    </w:p>
    <w:p w14:paraId="680917E0" w14:textId="77777777" w:rsidR="00CF33D9" w:rsidRDefault="00E3332A">
      <w:pPr>
        <w:ind w:left="360"/>
        <w:jc w:val="both"/>
        <w:rPr>
          <w:rFonts w:ascii="Calibri" w:hAnsi="Calibri" w:cs="Calibri"/>
          <w:sz w:val="20"/>
          <w:szCs w:val="20"/>
        </w:rPr>
      </w:pPr>
      <w:r>
        <w:rPr>
          <w:rFonts w:ascii="Calibri" w:hAnsi="Calibri" w:cs="Calibri"/>
          <w:b/>
          <w:bCs/>
          <w:sz w:val="20"/>
          <w:szCs w:val="20"/>
        </w:rPr>
        <w:t>Informed participation and feedback</w:t>
      </w:r>
      <w:r>
        <w:rPr>
          <w:rFonts w:ascii="Calibri" w:hAnsi="Calibri" w:cs="Calibri"/>
          <w:sz w:val="20"/>
          <w:szCs w:val="20"/>
        </w:rPr>
        <w:t>: Information will be provided to and widely distributed among all stakeholders in an appropriate format; opportunities are provided for communicating stakeholder feedback, and for analysing and addressing comments and concerns.</w:t>
      </w:r>
    </w:p>
    <w:p w14:paraId="680917E1" w14:textId="77777777" w:rsidR="00CF33D9" w:rsidRDefault="00E3332A">
      <w:pPr>
        <w:ind w:left="360"/>
        <w:jc w:val="both"/>
        <w:rPr>
          <w:rFonts w:ascii="Calibri" w:hAnsi="Calibri" w:cs="Calibri"/>
          <w:sz w:val="20"/>
          <w:szCs w:val="20"/>
        </w:rPr>
      </w:pPr>
      <w:r>
        <w:rPr>
          <w:rFonts w:ascii="Calibri" w:hAnsi="Calibri" w:cs="Calibri"/>
          <w:b/>
          <w:bCs/>
          <w:sz w:val="20"/>
          <w:szCs w:val="20"/>
        </w:rPr>
        <w:t>Inclusiveness and sensitivity</w:t>
      </w:r>
      <w:r>
        <w:rPr>
          <w:rFonts w:ascii="Calibri" w:hAnsi="Calibri" w:cs="Calibri"/>
          <w:sz w:val="20"/>
          <w:szCs w:val="20"/>
        </w:rPr>
        <w:t>: Stakeholder analysis is undertaken to support better communication and build effective relationships. The participation process for the projects is inclusive. All stakeholders are always encouraged to be involved in the consultation process. Equal access to information is provided to all stakeholders. Sensitivity to stakeholders’ needs is the key principle underlying the selection of engagement methods. Special attention will also be given to local communities in the demonstration pilot sites and or indigenous groups that may be at risk of being left out of project benefits, particularly women, youth and persons with disabilities.</w:t>
      </w:r>
    </w:p>
    <w:p w14:paraId="680917E2" w14:textId="77777777" w:rsidR="00CF33D9" w:rsidRDefault="00E3332A">
      <w:pPr>
        <w:ind w:left="360"/>
        <w:jc w:val="both"/>
        <w:rPr>
          <w:rFonts w:ascii="Calibri" w:hAnsi="Calibri" w:cs="Calibri"/>
          <w:sz w:val="20"/>
          <w:szCs w:val="20"/>
        </w:rPr>
      </w:pPr>
      <w:r>
        <w:rPr>
          <w:rFonts w:ascii="Calibri" w:hAnsi="Calibri" w:cs="Calibri"/>
          <w:b/>
          <w:bCs/>
          <w:sz w:val="20"/>
          <w:szCs w:val="20"/>
        </w:rPr>
        <w:t xml:space="preserve">Flexibility: </w:t>
      </w:r>
      <w:r>
        <w:rPr>
          <w:rFonts w:ascii="Calibri" w:hAnsi="Calibri" w:cs="Calibri"/>
          <w:sz w:val="20"/>
          <w:szCs w:val="20"/>
        </w:rPr>
        <w:t>The project will be flexible in the means of communication platforms to engage stakeholders. Digital technologies will be used to convene virtual meetings, host webinars in addition to physical means.</w:t>
      </w:r>
    </w:p>
    <w:p w14:paraId="680917E3" w14:textId="77777777" w:rsidR="00CF33D9" w:rsidRDefault="00CF33D9">
      <w:pPr>
        <w:ind w:left="360"/>
        <w:rPr>
          <w:rFonts w:ascii="Calibri" w:hAnsi="Calibri" w:cs="Calibri"/>
          <w:sz w:val="20"/>
          <w:szCs w:val="20"/>
        </w:rPr>
      </w:pPr>
    </w:p>
    <w:p w14:paraId="680917E4" w14:textId="77777777" w:rsidR="00CF33D9" w:rsidRDefault="00E3332A">
      <w:pPr>
        <w:pStyle w:val="Heading2"/>
        <w:numPr>
          <w:ilvl w:val="1"/>
          <w:numId w:val="75"/>
        </w:numPr>
        <w:ind w:left="709" w:hanging="360"/>
        <w:rPr>
          <w:rFonts w:ascii="Calibri" w:hAnsi="Calibri" w:cs="Calibri"/>
          <w:szCs w:val="20"/>
        </w:rPr>
      </w:pPr>
      <w:r>
        <w:rPr>
          <w:rFonts w:ascii="Calibri" w:hAnsi="Calibri" w:cs="Calibri"/>
          <w:szCs w:val="20"/>
        </w:rPr>
        <w:t>Purpose and goals of stakeholder engagement</w:t>
      </w:r>
    </w:p>
    <w:p w14:paraId="680917E5" w14:textId="77777777" w:rsidR="00CF33D9" w:rsidRDefault="00CF33D9">
      <w:pPr>
        <w:ind w:left="360"/>
        <w:rPr>
          <w:rFonts w:ascii="Calibri" w:hAnsi="Calibri" w:cs="Calibri"/>
          <w:sz w:val="20"/>
          <w:szCs w:val="20"/>
        </w:rPr>
      </w:pPr>
    </w:p>
    <w:p w14:paraId="680917E6" w14:textId="77777777" w:rsidR="00CF33D9" w:rsidRDefault="00E3332A">
      <w:pPr>
        <w:ind w:left="360"/>
        <w:jc w:val="both"/>
        <w:rPr>
          <w:rFonts w:ascii="Calibri" w:hAnsi="Calibri" w:cs="Calibri"/>
          <w:sz w:val="20"/>
          <w:szCs w:val="20"/>
        </w:rPr>
      </w:pPr>
      <w:r>
        <w:rPr>
          <w:rFonts w:ascii="Calibri" w:hAnsi="Calibri" w:cs="Calibri"/>
          <w:sz w:val="20"/>
          <w:szCs w:val="20"/>
        </w:rPr>
        <w:t>The overall objective of the Stakeholder Engagement Plan is to define a program for stakeholder engagement, including public information disclosure and consultation throughout the entire project implementation. The plan outlines the approach in which the project team will communicate with stakeholders and includes a mechanism by which people can raise concerns, provide feedback or submit complaints about the project activities or an activity related to the project.</w:t>
      </w:r>
    </w:p>
    <w:p w14:paraId="680917E7" w14:textId="77777777" w:rsidR="00CF33D9" w:rsidRDefault="00CF33D9">
      <w:pPr>
        <w:ind w:left="360"/>
        <w:jc w:val="both"/>
        <w:rPr>
          <w:rFonts w:ascii="Calibri" w:hAnsi="Calibri" w:cs="Calibri"/>
          <w:sz w:val="20"/>
          <w:szCs w:val="20"/>
        </w:rPr>
      </w:pPr>
    </w:p>
    <w:p w14:paraId="680917E8" w14:textId="77777777" w:rsidR="00CF33D9" w:rsidRDefault="00E3332A">
      <w:pPr>
        <w:pStyle w:val="Heading2"/>
        <w:numPr>
          <w:ilvl w:val="1"/>
          <w:numId w:val="75"/>
        </w:numPr>
        <w:spacing w:after="240"/>
        <w:ind w:left="709" w:hanging="360"/>
        <w:rPr>
          <w:rFonts w:ascii="Calibri" w:hAnsi="Calibri" w:cs="Calibri"/>
          <w:szCs w:val="20"/>
        </w:rPr>
      </w:pPr>
      <w:r>
        <w:rPr>
          <w:rFonts w:ascii="Calibri" w:hAnsi="Calibri" w:cs="Calibri"/>
          <w:szCs w:val="20"/>
        </w:rPr>
        <w:t>Stakeholder Engagement Plan</w:t>
      </w:r>
    </w:p>
    <w:p w14:paraId="680917E9" w14:textId="77777777" w:rsidR="00CF33D9" w:rsidRDefault="00E3332A">
      <w:pPr>
        <w:ind w:left="360"/>
        <w:jc w:val="both"/>
        <w:rPr>
          <w:rFonts w:ascii="Calibri" w:hAnsi="Calibri" w:cs="Calibri"/>
          <w:sz w:val="20"/>
          <w:szCs w:val="20"/>
        </w:rPr>
      </w:pPr>
      <w:r>
        <w:rPr>
          <w:rFonts w:ascii="Calibri" w:hAnsi="Calibri" w:cs="Calibri"/>
          <w:sz w:val="20"/>
          <w:szCs w:val="20"/>
        </w:rPr>
        <w:t>The suggested Stakeholder Engagement Plan (SEP) and budget as presented in Table 3 outlines the approaches in which the project team shall communicate with stakeholders and includes a mechanism by which people can raise concerns, provide feedback, or make complaints about the project and any activities related to the project. The budget for implementation of SEP has been integrated into the overall project budget breakdown, however the estimated costs for engagement activities is presented in Table 3.</w:t>
      </w:r>
    </w:p>
    <w:p w14:paraId="680917EA" w14:textId="77777777" w:rsidR="00CF33D9" w:rsidRDefault="00CF33D9">
      <w:pPr>
        <w:ind w:left="360"/>
        <w:jc w:val="both"/>
        <w:rPr>
          <w:rFonts w:ascii="Calibri" w:hAnsi="Calibri" w:cs="Calibri"/>
          <w:sz w:val="20"/>
          <w:szCs w:val="20"/>
        </w:rPr>
      </w:pPr>
    </w:p>
    <w:p w14:paraId="680917EB" w14:textId="77777777" w:rsidR="00CF33D9" w:rsidRDefault="00E3332A">
      <w:pPr>
        <w:ind w:left="360"/>
        <w:jc w:val="both"/>
        <w:rPr>
          <w:rFonts w:ascii="Calibri" w:hAnsi="Calibri" w:cs="Calibri"/>
          <w:sz w:val="20"/>
          <w:szCs w:val="20"/>
        </w:rPr>
      </w:pPr>
      <w:r>
        <w:rPr>
          <w:rFonts w:ascii="Calibri" w:hAnsi="Calibri" w:cs="Calibri"/>
          <w:sz w:val="20"/>
          <w:szCs w:val="20"/>
        </w:rPr>
        <w:t>The involvement of the local communities in the pilot demonstration activities is essential to the success of the project in order to ensure smooth collaboration between project staff and local communities and to minimize and mitigate environmental and social risks related to the proposed project activities. Particular attention will be given to each group of stakeholders to maximise their involvement and support of the project.</w:t>
      </w:r>
    </w:p>
    <w:p w14:paraId="680917EC" w14:textId="77777777" w:rsidR="00CF33D9" w:rsidRDefault="00CF33D9">
      <w:pPr>
        <w:ind w:left="360"/>
        <w:jc w:val="both"/>
        <w:rPr>
          <w:rFonts w:ascii="Calibri" w:hAnsi="Calibri" w:cs="Calibri"/>
          <w:sz w:val="20"/>
          <w:szCs w:val="20"/>
        </w:rPr>
      </w:pPr>
    </w:p>
    <w:p w14:paraId="680917ED" w14:textId="77777777" w:rsidR="00CF33D9" w:rsidRDefault="00CF33D9">
      <w:pPr>
        <w:ind w:left="360"/>
        <w:jc w:val="both"/>
        <w:rPr>
          <w:rFonts w:ascii="Calibri" w:hAnsi="Calibri" w:cs="Calibri"/>
          <w:sz w:val="20"/>
          <w:szCs w:val="20"/>
        </w:rPr>
        <w:sectPr w:rsidR="00CF33D9">
          <w:pgSz w:w="11906" w:h="16838"/>
          <w:pgMar w:top="1440" w:right="1622" w:bottom="1440" w:left="1440" w:header="708" w:footer="708" w:gutter="0"/>
          <w:cols w:space="708"/>
          <w:docGrid w:linePitch="360"/>
        </w:sectPr>
      </w:pPr>
    </w:p>
    <w:p w14:paraId="680917EE" w14:textId="77777777" w:rsidR="00CF33D9" w:rsidRDefault="00E3332A">
      <w:pPr>
        <w:pStyle w:val="Caption"/>
        <w:keepNext/>
        <w:jc w:val="center"/>
        <w:rPr>
          <w:rFonts w:ascii="Calibri" w:hAnsi="Calibri" w:cs="Calibri"/>
          <w:b w:val="0"/>
          <w:bCs w:val="0"/>
          <w:sz w:val="20"/>
          <w:szCs w:val="20"/>
        </w:rPr>
      </w:pPr>
      <w:bookmarkStart w:id="47" w:name="_Toc161176176"/>
      <w:r>
        <w:rPr>
          <w:rFonts w:ascii="Calibri" w:hAnsi="Calibri" w:cs="Calibri"/>
          <w:b w:val="0"/>
          <w:bCs w:val="0"/>
          <w:sz w:val="20"/>
          <w:szCs w:val="20"/>
        </w:rPr>
        <w:lastRenderedPageBreak/>
        <w:t xml:space="preserve">Table </w:t>
      </w:r>
      <w:r>
        <w:rPr>
          <w:rFonts w:ascii="Calibri" w:hAnsi="Calibri" w:cs="Calibri"/>
          <w:b w:val="0"/>
          <w:bCs w:val="0"/>
          <w:sz w:val="20"/>
          <w:szCs w:val="20"/>
        </w:rPr>
        <w:fldChar w:fldCharType="begin"/>
      </w:r>
      <w:r>
        <w:rPr>
          <w:rFonts w:ascii="Calibri" w:hAnsi="Calibri" w:cs="Calibri"/>
          <w:b w:val="0"/>
          <w:bCs w:val="0"/>
          <w:sz w:val="20"/>
          <w:szCs w:val="20"/>
        </w:rPr>
        <w:instrText xml:space="preserve"> SEQ Table \* ARABIC </w:instrText>
      </w:r>
      <w:r>
        <w:rPr>
          <w:rFonts w:ascii="Calibri" w:hAnsi="Calibri" w:cs="Calibri"/>
          <w:b w:val="0"/>
          <w:bCs w:val="0"/>
          <w:sz w:val="20"/>
          <w:szCs w:val="20"/>
        </w:rPr>
        <w:fldChar w:fldCharType="separate"/>
      </w:r>
      <w:r>
        <w:rPr>
          <w:rFonts w:ascii="Calibri" w:hAnsi="Calibri" w:cs="Calibri"/>
          <w:b w:val="0"/>
          <w:bCs w:val="0"/>
          <w:sz w:val="20"/>
          <w:szCs w:val="20"/>
        </w:rPr>
        <w:t>3</w:t>
      </w:r>
      <w:r>
        <w:rPr>
          <w:rFonts w:ascii="Calibri" w:hAnsi="Calibri" w:cs="Calibri"/>
          <w:b w:val="0"/>
          <w:bCs w:val="0"/>
          <w:sz w:val="20"/>
          <w:szCs w:val="20"/>
        </w:rPr>
        <w:fldChar w:fldCharType="end"/>
      </w:r>
      <w:r>
        <w:rPr>
          <w:rFonts w:ascii="Calibri" w:hAnsi="Calibri" w:cs="Calibri"/>
          <w:b w:val="0"/>
          <w:bCs w:val="0"/>
          <w:sz w:val="20"/>
          <w:szCs w:val="20"/>
        </w:rPr>
        <w:t>: Stakeholders' Engagement Plan</w:t>
      </w:r>
      <w:bookmarkEnd w:id="47"/>
    </w:p>
    <w:p w14:paraId="680917EF" w14:textId="77777777" w:rsidR="00CF33D9" w:rsidRDefault="00CF33D9">
      <w:pPr>
        <w:rPr>
          <w:rFonts w:ascii="Calibri" w:hAnsi="Calibri" w:cs="Calibri"/>
          <w:sz w:val="20"/>
          <w:szCs w:val="20"/>
        </w:rPr>
      </w:pPr>
    </w:p>
    <w:tbl>
      <w:tblPr>
        <w:tblW w:w="15424"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8"/>
        <w:gridCol w:w="2693"/>
        <w:gridCol w:w="2693"/>
        <w:gridCol w:w="2127"/>
        <w:gridCol w:w="2127"/>
        <w:gridCol w:w="1620"/>
        <w:gridCol w:w="1497"/>
        <w:gridCol w:w="1249"/>
      </w:tblGrid>
      <w:tr w:rsidR="00CF33D9" w14:paraId="680917F8" w14:textId="77777777">
        <w:trPr>
          <w:tblHeader/>
        </w:trPr>
        <w:tc>
          <w:tcPr>
            <w:tcW w:w="1418" w:type="dxa"/>
            <w:shd w:val="clear" w:color="auto" w:fill="DEEAF6" w:themeFill="accent1" w:themeFillTint="33"/>
          </w:tcPr>
          <w:p w14:paraId="680917F0" w14:textId="77777777" w:rsidR="00CF33D9" w:rsidRDefault="00E3332A">
            <w:pPr>
              <w:rPr>
                <w:rFonts w:ascii="Calibri" w:hAnsi="Calibri" w:cs="Calibri"/>
                <w:b/>
                <w:color w:val="000000"/>
                <w:sz w:val="20"/>
                <w:szCs w:val="20"/>
              </w:rPr>
            </w:pPr>
            <w:r>
              <w:rPr>
                <w:rFonts w:ascii="Calibri" w:hAnsi="Calibri" w:cs="Calibri"/>
                <w:b/>
                <w:color w:val="000000"/>
                <w:sz w:val="20"/>
                <w:szCs w:val="20"/>
              </w:rPr>
              <w:t>Project Component</w:t>
            </w:r>
          </w:p>
        </w:tc>
        <w:tc>
          <w:tcPr>
            <w:tcW w:w="2693" w:type="dxa"/>
            <w:shd w:val="clear" w:color="auto" w:fill="DEEAF6" w:themeFill="accent1" w:themeFillTint="33"/>
          </w:tcPr>
          <w:p w14:paraId="680917F1" w14:textId="77777777" w:rsidR="00CF33D9" w:rsidRDefault="00E3332A">
            <w:pPr>
              <w:rPr>
                <w:rFonts w:ascii="Calibri" w:hAnsi="Calibri" w:cs="Calibri"/>
                <w:b/>
                <w:color w:val="000000"/>
                <w:sz w:val="20"/>
                <w:szCs w:val="20"/>
              </w:rPr>
            </w:pPr>
            <w:r>
              <w:rPr>
                <w:rFonts w:ascii="Calibri" w:hAnsi="Calibri" w:cs="Calibri"/>
                <w:b/>
                <w:color w:val="000000"/>
                <w:sz w:val="20"/>
                <w:szCs w:val="20"/>
              </w:rPr>
              <w:t>Project Output</w:t>
            </w:r>
          </w:p>
        </w:tc>
        <w:tc>
          <w:tcPr>
            <w:tcW w:w="2693" w:type="dxa"/>
            <w:shd w:val="clear" w:color="auto" w:fill="DEEAF6" w:themeFill="accent1" w:themeFillTint="33"/>
          </w:tcPr>
          <w:p w14:paraId="680917F2" w14:textId="77777777" w:rsidR="00CF33D9" w:rsidRDefault="00E3332A">
            <w:pPr>
              <w:rPr>
                <w:rFonts w:ascii="Calibri" w:hAnsi="Calibri" w:cs="Calibri"/>
                <w:color w:val="000000"/>
                <w:sz w:val="20"/>
                <w:szCs w:val="20"/>
              </w:rPr>
            </w:pPr>
            <w:r>
              <w:rPr>
                <w:rFonts w:ascii="Calibri" w:hAnsi="Calibri" w:cs="Calibri"/>
                <w:b/>
                <w:color w:val="000000"/>
                <w:sz w:val="20"/>
                <w:szCs w:val="20"/>
              </w:rPr>
              <w:t>Activities requiring stakeholder engagement</w:t>
            </w:r>
          </w:p>
        </w:tc>
        <w:tc>
          <w:tcPr>
            <w:tcW w:w="2127" w:type="dxa"/>
            <w:shd w:val="clear" w:color="auto" w:fill="DEEAF6" w:themeFill="accent1" w:themeFillTint="33"/>
          </w:tcPr>
          <w:p w14:paraId="680917F3" w14:textId="77777777" w:rsidR="00CF33D9" w:rsidRDefault="00E3332A">
            <w:pPr>
              <w:rPr>
                <w:rFonts w:ascii="Calibri" w:hAnsi="Calibri" w:cs="Calibri"/>
                <w:color w:val="000000"/>
                <w:sz w:val="20"/>
                <w:szCs w:val="20"/>
              </w:rPr>
            </w:pPr>
            <w:r>
              <w:rPr>
                <w:rFonts w:ascii="Calibri" w:hAnsi="Calibri" w:cs="Calibri"/>
                <w:b/>
                <w:color w:val="000000"/>
                <w:sz w:val="20"/>
                <w:szCs w:val="20"/>
              </w:rPr>
              <w:t>Engagement method</w:t>
            </w:r>
          </w:p>
        </w:tc>
        <w:tc>
          <w:tcPr>
            <w:tcW w:w="2127" w:type="dxa"/>
            <w:shd w:val="clear" w:color="auto" w:fill="DEEAF6" w:themeFill="accent1" w:themeFillTint="33"/>
          </w:tcPr>
          <w:p w14:paraId="680917F4" w14:textId="77777777" w:rsidR="00CF33D9" w:rsidRDefault="00E3332A">
            <w:pPr>
              <w:rPr>
                <w:rFonts w:ascii="Calibri" w:hAnsi="Calibri" w:cs="Calibri"/>
                <w:color w:val="000000"/>
                <w:sz w:val="20"/>
                <w:szCs w:val="20"/>
              </w:rPr>
            </w:pPr>
            <w:r>
              <w:rPr>
                <w:rFonts w:ascii="Calibri" w:hAnsi="Calibri" w:cs="Calibri"/>
                <w:b/>
                <w:color w:val="000000"/>
                <w:sz w:val="20"/>
                <w:szCs w:val="20"/>
              </w:rPr>
              <w:t>Materials to be used</w:t>
            </w:r>
          </w:p>
        </w:tc>
        <w:tc>
          <w:tcPr>
            <w:tcW w:w="1620" w:type="dxa"/>
            <w:shd w:val="clear" w:color="auto" w:fill="DEEAF6" w:themeFill="accent1" w:themeFillTint="33"/>
          </w:tcPr>
          <w:p w14:paraId="680917F5" w14:textId="77777777" w:rsidR="00CF33D9" w:rsidRDefault="00E3332A">
            <w:pPr>
              <w:rPr>
                <w:rFonts w:ascii="Calibri" w:hAnsi="Calibri" w:cs="Calibri"/>
                <w:color w:val="000000"/>
                <w:sz w:val="20"/>
                <w:szCs w:val="20"/>
              </w:rPr>
            </w:pPr>
            <w:r>
              <w:rPr>
                <w:rFonts w:ascii="Calibri" w:hAnsi="Calibri" w:cs="Calibri"/>
                <w:b/>
                <w:color w:val="000000"/>
                <w:sz w:val="20"/>
                <w:szCs w:val="20"/>
              </w:rPr>
              <w:t>Responsible organization, person</w:t>
            </w:r>
          </w:p>
        </w:tc>
        <w:tc>
          <w:tcPr>
            <w:tcW w:w="1497" w:type="dxa"/>
            <w:shd w:val="clear" w:color="auto" w:fill="DEEAF6" w:themeFill="accent1" w:themeFillTint="33"/>
          </w:tcPr>
          <w:p w14:paraId="680917F6" w14:textId="77777777" w:rsidR="00CF33D9" w:rsidRDefault="00E3332A">
            <w:pPr>
              <w:rPr>
                <w:rFonts w:ascii="Calibri" w:hAnsi="Calibri" w:cs="Calibri"/>
                <w:color w:val="000000"/>
                <w:sz w:val="20"/>
                <w:szCs w:val="20"/>
              </w:rPr>
            </w:pPr>
            <w:r>
              <w:rPr>
                <w:rFonts w:ascii="Calibri" w:hAnsi="Calibri" w:cs="Calibri"/>
                <w:b/>
                <w:color w:val="000000"/>
                <w:sz w:val="20"/>
                <w:szCs w:val="20"/>
              </w:rPr>
              <w:t>Target stakeholder group</w:t>
            </w:r>
          </w:p>
        </w:tc>
        <w:tc>
          <w:tcPr>
            <w:tcW w:w="1249" w:type="dxa"/>
            <w:shd w:val="clear" w:color="auto" w:fill="DEEAF6" w:themeFill="accent1" w:themeFillTint="33"/>
          </w:tcPr>
          <w:p w14:paraId="680917F7" w14:textId="77777777" w:rsidR="00CF33D9" w:rsidRDefault="00E3332A">
            <w:pPr>
              <w:rPr>
                <w:rFonts w:ascii="Calibri" w:hAnsi="Calibri" w:cs="Calibri"/>
                <w:b/>
                <w:color w:val="000000"/>
                <w:sz w:val="20"/>
                <w:szCs w:val="20"/>
              </w:rPr>
            </w:pPr>
            <w:r>
              <w:rPr>
                <w:rFonts w:ascii="Calibri" w:hAnsi="Calibri" w:cs="Calibri"/>
                <w:b/>
                <w:color w:val="000000"/>
                <w:sz w:val="20"/>
                <w:szCs w:val="20"/>
              </w:rPr>
              <w:t xml:space="preserve">Budget per Output in US$ </w:t>
            </w:r>
          </w:p>
        </w:tc>
      </w:tr>
      <w:tr w:rsidR="00CF33D9" w14:paraId="68091810" w14:textId="77777777">
        <w:tc>
          <w:tcPr>
            <w:tcW w:w="1418" w:type="dxa"/>
          </w:tcPr>
          <w:p w14:paraId="680917F9" w14:textId="77777777" w:rsidR="00CF33D9" w:rsidRDefault="00E3332A">
            <w:pPr>
              <w:shd w:val="clear" w:color="auto" w:fill="FFFFFF"/>
              <w:rPr>
                <w:rFonts w:ascii="Calibri" w:hAnsi="Calibri" w:cs="Calibri"/>
                <w:color w:val="000000"/>
                <w:sz w:val="20"/>
                <w:szCs w:val="20"/>
              </w:rPr>
            </w:pPr>
            <w:r>
              <w:rPr>
                <w:rFonts w:ascii="Calibri" w:hAnsi="Calibri" w:cs="Calibri"/>
                <w:b/>
                <w:bCs/>
                <w:color w:val="000000" w:themeColor="text1"/>
                <w:sz w:val="20"/>
                <w:szCs w:val="20"/>
              </w:rPr>
              <w:t>Component 1</w:t>
            </w:r>
            <w:r>
              <w:rPr>
                <w:rFonts w:ascii="Calibri" w:hAnsi="Calibri" w:cs="Calibri"/>
                <w:color w:val="000000" w:themeColor="text1"/>
                <w:sz w:val="20"/>
                <w:szCs w:val="20"/>
              </w:rPr>
              <w:t>: Improve marine and coastal management efforts in the BCLME through effective spatial management tools and the establishment and expansion of MPAs and SMAs taking into consideration climate change and ensuring climate-resilient socio-economic development</w:t>
            </w:r>
          </w:p>
        </w:tc>
        <w:tc>
          <w:tcPr>
            <w:tcW w:w="2693" w:type="dxa"/>
          </w:tcPr>
          <w:p w14:paraId="680917FA" w14:textId="77777777" w:rsidR="00CF33D9" w:rsidRDefault="00E3332A">
            <w:pPr>
              <w:shd w:val="clear" w:color="auto" w:fill="FFFFFF"/>
              <w:rPr>
                <w:rFonts w:ascii="Calibri" w:hAnsi="Calibri" w:cs="Calibri"/>
                <w:color w:val="000000"/>
                <w:sz w:val="20"/>
                <w:szCs w:val="20"/>
              </w:rPr>
            </w:pPr>
            <w:r>
              <w:rPr>
                <w:rFonts w:ascii="Calibri" w:hAnsi="Calibri" w:cs="Calibri"/>
                <w:color w:val="000000" w:themeColor="text1"/>
                <w:sz w:val="20"/>
                <w:szCs w:val="20"/>
              </w:rPr>
              <w:t>1.2.2: Community-based climate-resilient ecosystem restoration interventions such as enhanced protection, control of alien and invasive species, assisted regeneration implemented in selected MPAs and coastal ecosystems (under 1.1)</w:t>
            </w:r>
          </w:p>
        </w:tc>
        <w:tc>
          <w:tcPr>
            <w:tcW w:w="2693" w:type="dxa"/>
          </w:tcPr>
          <w:p w14:paraId="680917FB" w14:textId="77777777" w:rsidR="00CF33D9" w:rsidRDefault="00E3332A">
            <w:pPr>
              <w:shd w:val="clear" w:color="auto" w:fill="FFFFFF"/>
              <w:rPr>
                <w:rFonts w:ascii="Calibri" w:hAnsi="Calibri" w:cs="Calibri"/>
                <w:sz w:val="20"/>
                <w:szCs w:val="20"/>
                <w:lang w:val="en-IE"/>
              </w:rPr>
            </w:pPr>
            <w:r>
              <w:rPr>
                <w:rFonts w:ascii="Calibri" w:hAnsi="Calibri" w:cs="Calibri"/>
                <w:sz w:val="20"/>
                <w:szCs w:val="20"/>
                <w:lang w:val="en-IE"/>
              </w:rPr>
              <w:t>Activity 1.2.2.1: Awareness raising and information dissemination on the community-based climate resilient ecosystem intervention to motivate the community population to participate</w:t>
            </w:r>
          </w:p>
          <w:p w14:paraId="680917FC" w14:textId="77777777" w:rsidR="00CF33D9" w:rsidRDefault="00E3332A">
            <w:pPr>
              <w:shd w:val="clear" w:color="auto" w:fill="FFFFFF"/>
              <w:rPr>
                <w:rFonts w:ascii="Calibri" w:hAnsi="Calibri" w:cs="Calibri"/>
                <w:sz w:val="20"/>
                <w:szCs w:val="20"/>
                <w:lang w:val="en-IE"/>
              </w:rPr>
            </w:pPr>
            <w:r>
              <w:rPr>
                <w:rFonts w:ascii="Calibri" w:hAnsi="Calibri" w:cs="Calibri"/>
                <w:sz w:val="20"/>
                <w:szCs w:val="20"/>
                <w:lang w:val="en-IE"/>
              </w:rPr>
              <w:t>Activity 1.2.2.5: Population consultation of the tailor community-based climate-resilient ecosystem restoration implementations for their MPAs and coastal ecosystems, include 40% or more of female in the consultation.</w:t>
            </w:r>
          </w:p>
          <w:p w14:paraId="680917FD" w14:textId="77777777" w:rsidR="00CF33D9" w:rsidRDefault="00E3332A">
            <w:pPr>
              <w:shd w:val="clear" w:color="auto" w:fill="FFFFFF"/>
              <w:rPr>
                <w:rFonts w:ascii="Calibri" w:hAnsi="Calibri" w:cs="Calibri"/>
                <w:color w:val="000000"/>
                <w:sz w:val="20"/>
                <w:szCs w:val="20"/>
              </w:rPr>
            </w:pPr>
            <w:r>
              <w:rPr>
                <w:rFonts w:ascii="Calibri" w:hAnsi="Calibri" w:cs="Calibri"/>
                <w:sz w:val="20"/>
                <w:szCs w:val="20"/>
                <w:lang w:val="en-IE"/>
              </w:rPr>
              <w:t>Activity 1.1.2.8: Awareness raising and campaign participation of selected communities along the BCLME coast.</w:t>
            </w:r>
          </w:p>
        </w:tc>
        <w:tc>
          <w:tcPr>
            <w:tcW w:w="2127" w:type="dxa"/>
          </w:tcPr>
          <w:p w14:paraId="680917FE" w14:textId="77777777" w:rsidR="00CF33D9" w:rsidRDefault="00E3332A">
            <w:pPr>
              <w:shd w:val="clear" w:color="auto" w:fill="FFFFFF"/>
              <w:rPr>
                <w:rFonts w:ascii="Calibri" w:hAnsi="Calibri" w:cs="Calibri"/>
                <w:color w:val="000000"/>
                <w:sz w:val="20"/>
                <w:szCs w:val="20"/>
              </w:rPr>
            </w:pPr>
            <w:r>
              <w:rPr>
                <w:rFonts w:ascii="Calibri" w:hAnsi="Calibri" w:cs="Calibri"/>
                <w:color w:val="000000"/>
                <w:sz w:val="20"/>
                <w:szCs w:val="20"/>
              </w:rPr>
              <w:t>Launches of demo projects; Awareness/ educational events</w:t>
            </w:r>
          </w:p>
          <w:p w14:paraId="680917FF" w14:textId="77777777" w:rsidR="00CF33D9" w:rsidRDefault="00E3332A">
            <w:pPr>
              <w:shd w:val="clear" w:color="auto" w:fill="FFFFFF"/>
              <w:rPr>
                <w:rFonts w:ascii="Calibri" w:hAnsi="Calibri" w:cs="Calibri"/>
                <w:color w:val="000000"/>
                <w:sz w:val="20"/>
                <w:szCs w:val="20"/>
              </w:rPr>
            </w:pPr>
            <w:r>
              <w:rPr>
                <w:rFonts w:ascii="Calibri" w:hAnsi="Calibri" w:cs="Calibri"/>
                <w:color w:val="000000"/>
                <w:sz w:val="20"/>
                <w:szCs w:val="20"/>
              </w:rPr>
              <w:t>Inform on the project implementation status</w:t>
            </w:r>
          </w:p>
          <w:p w14:paraId="68091800" w14:textId="77777777" w:rsidR="00CF33D9" w:rsidRDefault="00E3332A">
            <w:pPr>
              <w:shd w:val="clear" w:color="auto" w:fill="FFFFFF"/>
              <w:rPr>
                <w:rFonts w:ascii="Calibri" w:hAnsi="Calibri" w:cs="Calibri"/>
                <w:color w:val="000000"/>
                <w:sz w:val="20"/>
                <w:szCs w:val="20"/>
              </w:rPr>
            </w:pPr>
            <w:r>
              <w:rPr>
                <w:rFonts w:ascii="Calibri" w:hAnsi="Calibri" w:cs="Calibri"/>
                <w:color w:val="000000"/>
                <w:sz w:val="20"/>
                <w:szCs w:val="20"/>
              </w:rPr>
              <w:t>Themed community outreach campaigns</w:t>
            </w:r>
          </w:p>
          <w:p w14:paraId="68091801" w14:textId="77777777" w:rsidR="00CF33D9" w:rsidRDefault="00E3332A">
            <w:pPr>
              <w:shd w:val="clear" w:color="auto" w:fill="FFFFFF"/>
              <w:rPr>
                <w:rFonts w:ascii="Calibri" w:hAnsi="Calibri" w:cs="Calibri"/>
                <w:color w:val="000000"/>
                <w:sz w:val="20"/>
                <w:szCs w:val="20"/>
              </w:rPr>
            </w:pPr>
            <w:r>
              <w:rPr>
                <w:rFonts w:ascii="Calibri" w:hAnsi="Calibri" w:cs="Calibri"/>
                <w:color w:val="000000"/>
                <w:sz w:val="20"/>
                <w:szCs w:val="20"/>
              </w:rPr>
              <w:t>Holding targeted group meetings, as necessary</w:t>
            </w:r>
          </w:p>
          <w:p w14:paraId="68091802" w14:textId="77777777" w:rsidR="00CF33D9" w:rsidRDefault="00E3332A">
            <w:pPr>
              <w:shd w:val="clear" w:color="auto" w:fill="FFFFFF"/>
              <w:rPr>
                <w:rFonts w:ascii="Calibri" w:hAnsi="Calibri" w:cs="Calibri"/>
                <w:b/>
                <w:color w:val="000000"/>
                <w:sz w:val="20"/>
                <w:szCs w:val="20"/>
              </w:rPr>
            </w:pPr>
            <w:r>
              <w:rPr>
                <w:rFonts w:ascii="Calibri" w:hAnsi="Calibri" w:cs="Calibri"/>
                <w:color w:val="000000"/>
                <w:sz w:val="20"/>
                <w:szCs w:val="20"/>
              </w:rPr>
              <w:t>Inform on the internal Project development issues, success and difficulties</w:t>
            </w:r>
          </w:p>
        </w:tc>
        <w:tc>
          <w:tcPr>
            <w:tcW w:w="2127" w:type="dxa"/>
          </w:tcPr>
          <w:p w14:paraId="68091803" w14:textId="77777777" w:rsidR="00CF33D9" w:rsidRDefault="00E3332A">
            <w:pPr>
              <w:rPr>
                <w:rFonts w:ascii="Calibri" w:hAnsi="Calibri" w:cs="Calibri"/>
                <w:color w:val="000000"/>
                <w:sz w:val="20"/>
                <w:szCs w:val="20"/>
              </w:rPr>
            </w:pPr>
            <w:r>
              <w:rPr>
                <w:rFonts w:ascii="Calibri" w:hAnsi="Calibri" w:cs="Calibri"/>
                <w:color w:val="000000"/>
                <w:sz w:val="20"/>
                <w:szCs w:val="20"/>
              </w:rPr>
              <w:t>Presentations</w:t>
            </w:r>
          </w:p>
          <w:p w14:paraId="68091804" w14:textId="77777777" w:rsidR="00CF33D9" w:rsidRDefault="00E3332A">
            <w:pPr>
              <w:rPr>
                <w:rFonts w:ascii="Calibri" w:hAnsi="Calibri" w:cs="Calibri"/>
                <w:color w:val="000000"/>
                <w:sz w:val="20"/>
                <w:szCs w:val="20"/>
              </w:rPr>
            </w:pPr>
            <w:r>
              <w:rPr>
                <w:rFonts w:ascii="Calibri" w:hAnsi="Calibri" w:cs="Calibri"/>
                <w:color w:val="000000"/>
                <w:sz w:val="20"/>
                <w:szCs w:val="20"/>
              </w:rPr>
              <w:t>Flyers and newspaper articles</w:t>
            </w:r>
          </w:p>
          <w:p w14:paraId="68091805" w14:textId="77777777" w:rsidR="00CF33D9" w:rsidRDefault="00E3332A">
            <w:pPr>
              <w:rPr>
                <w:rFonts w:ascii="Calibri" w:hAnsi="Calibri" w:cs="Calibri"/>
                <w:color w:val="000000"/>
                <w:sz w:val="20"/>
                <w:szCs w:val="20"/>
              </w:rPr>
            </w:pPr>
            <w:r>
              <w:rPr>
                <w:rFonts w:ascii="Calibri" w:hAnsi="Calibri" w:cs="Calibri"/>
                <w:color w:val="000000"/>
                <w:sz w:val="20"/>
                <w:szCs w:val="20"/>
              </w:rPr>
              <w:t>Booklets, Brochures and progress leaflets</w:t>
            </w:r>
          </w:p>
          <w:p w14:paraId="68091806" w14:textId="77777777" w:rsidR="00CF33D9" w:rsidRDefault="00E3332A">
            <w:pPr>
              <w:rPr>
                <w:rFonts w:ascii="Calibri" w:hAnsi="Calibri" w:cs="Calibri"/>
                <w:color w:val="000000"/>
                <w:sz w:val="20"/>
                <w:szCs w:val="20"/>
              </w:rPr>
            </w:pPr>
            <w:r>
              <w:rPr>
                <w:rFonts w:ascii="Calibri" w:hAnsi="Calibri" w:cs="Calibri"/>
                <w:color w:val="000000"/>
                <w:sz w:val="20"/>
                <w:szCs w:val="20"/>
              </w:rPr>
              <w:t>Website posting</w:t>
            </w:r>
          </w:p>
          <w:p w14:paraId="68091807" w14:textId="77777777" w:rsidR="00CF33D9" w:rsidRDefault="00CF33D9">
            <w:pPr>
              <w:rPr>
                <w:rFonts w:ascii="Calibri" w:hAnsi="Calibri" w:cs="Calibri"/>
                <w:color w:val="000000"/>
                <w:sz w:val="20"/>
                <w:szCs w:val="20"/>
              </w:rPr>
            </w:pPr>
          </w:p>
        </w:tc>
        <w:tc>
          <w:tcPr>
            <w:tcW w:w="1620" w:type="dxa"/>
          </w:tcPr>
          <w:p w14:paraId="68091808" w14:textId="77777777" w:rsidR="00CF33D9" w:rsidRDefault="00E3332A">
            <w:pPr>
              <w:rPr>
                <w:rFonts w:ascii="Calibri" w:hAnsi="Calibri" w:cs="Calibri"/>
                <w:color w:val="000000"/>
                <w:sz w:val="20"/>
                <w:szCs w:val="20"/>
              </w:rPr>
            </w:pPr>
            <w:r>
              <w:rPr>
                <w:rFonts w:ascii="Calibri" w:hAnsi="Calibri" w:cs="Calibri"/>
                <w:color w:val="000000"/>
                <w:sz w:val="20"/>
                <w:szCs w:val="20"/>
              </w:rPr>
              <w:t>Project coordinator</w:t>
            </w:r>
          </w:p>
          <w:p w14:paraId="68091809" w14:textId="77777777" w:rsidR="00CF33D9" w:rsidRDefault="00E3332A">
            <w:pPr>
              <w:rPr>
                <w:rFonts w:ascii="Calibri" w:hAnsi="Calibri" w:cs="Calibri"/>
                <w:color w:val="000000"/>
                <w:sz w:val="20"/>
                <w:szCs w:val="20"/>
              </w:rPr>
            </w:pPr>
            <w:r>
              <w:rPr>
                <w:rFonts w:ascii="Calibri" w:hAnsi="Calibri" w:cs="Calibri"/>
                <w:color w:val="000000"/>
                <w:sz w:val="20"/>
                <w:szCs w:val="20"/>
              </w:rPr>
              <w:t>Communications officer</w:t>
            </w:r>
          </w:p>
        </w:tc>
        <w:tc>
          <w:tcPr>
            <w:tcW w:w="1497" w:type="dxa"/>
          </w:tcPr>
          <w:p w14:paraId="6809180A" w14:textId="77777777" w:rsidR="00CF33D9" w:rsidRDefault="00E3332A">
            <w:pPr>
              <w:rPr>
                <w:rFonts w:ascii="Calibri" w:hAnsi="Calibri" w:cs="Calibri"/>
                <w:color w:val="000000"/>
                <w:sz w:val="20"/>
                <w:szCs w:val="20"/>
              </w:rPr>
            </w:pPr>
            <w:r>
              <w:rPr>
                <w:rFonts w:ascii="Calibri" w:hAnsi="Calibri" w:cs="Calibri"/>
                <w:color w:val="000000"/>
                <w:sz w:val="20"/>
                <w:szCs w:val="20"/>
              </w:rPr>
              <w:t>Community members where demonstration projects are located</w:t>
            </w:r>
          </w:p>
          <w:p w14:paraId="6809180B" w14:textId="77777777" w:rsidR="00CF33D9" w:rsidRDefault="00E3332A">
            <w:pPr>
              <w:rPr>
                <w:rFonts w:ascii="Calibri" w:hAnsi="Calibri" w:cs="Calibri"/>
                <w:color w:val="000000"/>
                <w:sz w:val="20"/>
                <w:szCs w:val="20"/>
              </w:rPr>
            </w:pPr>
            <w:r>
              <w:rPr>
                <w:rFonts w:ascii="Calibri" w:hAnsi="Calibri" w:cs="Calibri"/>
                <w:color w:val="000000"/>
                <w:sz w:val="20"/>
                <w:szCs w:val="20"/>
              </w:rPr>
              <w:t>Local authorities (municipalities, town councils)</w:t>
            </w:r>
          </w:p>
          <w:p w14:paraId="6809180C" w14:textId="77777777" w:rsidR="00CF33D9" w:rsidRDefault="00CF33D9">
            <w:pPr>
              <w:rPr>
                <w:rFonts w:ascii="Calibri" w:hAnsi="Calibri" w:cs="Calibri"/>
                <w:color w:val="000000"/>
                <w:sz w:val="20"/>
                <w:szCs w:val="20"/>
              </w:rPr>
            </w:pPr>
          </w:p>
          <w:p w14:paraId="6809180D" w14:textId="77777777" w:rsidR="00CF33D9" w:rsidRDefault="00CF33D9">
            <w:pPr>
              <w:rPr>
                <w:rFonts w:ascii="Calibri" w:hAnsi="Calibri" w:cs="Calibri"/>
                <w:color w:val="000000"/>
                <w:sz w:val="20"/>
                <w:szCs w:val="20"/>
              </w:rPr>
            </w:pPr>
          </w:p>
          <w:p w14:paraId="6809180E" w14:textId="77777777" w:rsidR="00CF33D9" w:rsidRDefault="00CF33D9">
            <w:pPr>
              <w:rPr>
                <w:rFonts w:ascii="Calibri" w:hAnsi="Calibri" w:cs="Calibri"/>
                <w:color w:val="000000"/>
                <w:sz w:val="20"/>
                <w:szCs w:val="20"/>
              </w:rPr>
            </w:pPr>
          </w:p>
        </w:tc>
        <w:tc>
          <w:tcPr>
            <w:tcW w:w="1249" w:type="dxa"/>
          </w:tcPr>
          <w:p w14:paraId="6809180F" w14:textId="77777777" w:rsidR="00CF33D9" w:rsidRDefault="00E3332A">
            <w:pPr>
              <w:rPr>
                <w:rFonts w:ascii="Calibri" w:hAnsi="Calibri" w:cs="Calibri"/>
                <w:color w:val="000000"/>
                <w:sz w:val="20"/>
                <w:szCs w:val="20"/>
              </w:rPr>
            </w:pPr>
            <w:r>
              <w:rPr>
                <w:rFonts w:ascii="Calibri" w:hAnsi="Calibri" w:cs="Calibri"/>
                <w:color w:val="000000"/>
                <w:sz w:val="20"/>
                <w:szCs w:val="20"/>
              </w:rPr>
              <w:t>30,000</w:t>
            </w:r>
          </w:p>
        </w:tc>
      </w:tr>
      <w:tr w:rsidR="00CF33D9" w14:paraId="6809181D" w14:textId="77777777">
        <w:tc>
          <w:tcPr>
            <w:tcW w:w="1418" w:type="dxa"/>
            <w:vMerge w:val="restart"/>
          </w:tcPr>
          <w:p w14:paraId="68091811" w14:textId="77777777" w:rsidR="00CF33D9" w:rsidRDefault="00E3332A">
            <w:pPr>
              <w:pStyle w:val="NormalWeb"/>
              <w:spacing w:before="0" w:beforeAutospacing="0" w:after="0" w:afterAutospacing="0"/>
              <w:contextualSpacing/>
              <w:rPr>
                <w:rFonts w:ascii="Calibri" w:hAnsi="Calibri" w:cs="Calibri"/>
                <w:color w:val="000000" w:themeColor="text1"/>
                <w:sz w:val="20"/>
                <w:szCs w:val="20"/>
              </w:rPr>
            </w:pPr>
            <w:r>
              <w:rPr>
                <w:rFonts w:ascii="Calibri" w:hAnsi="Calibri" w:cs="Calibri"/>
                <w:b/>
                <w:bCs/>
                <w:color w:val="000000" w:themeColor="text1"/>
                <w:sz w:val="20"/>
                <w:szCs w:val="20"/>
              </w:rPr>
              <w:t>Component 2</w:t>
            </w:r>
            <w:r>
              <w:rPr>
                <w:rFonts w:ascii="Calibri" w:hAnsi="Calibri" w:cs="Calibri"/>
                <w:color w:val="000000" w:themeColor="text1"/>
                <w:sz w:val="20"/>
                <w:szCs w:val="20"/>
              </w:rPr>
              <w:t xml:space="preserve">: Enhance sustainable and climate resilient marine living </w:t>
            </w:r>
            <w:r>
              <w:rPr>
                <w:rFonts w:ascii="Calibri" w:hAnsi="Calibri" w:cs="Calibri"/>
                <w:color w:val="000000" w:themeColor="text1"/>
                <w:sz w:val="20"/>
                <w:szCs w:val="20"/>
              </w:rPr>
              <w:lastRenderedPageBreak/>
              <w:t xml:space="preserve">resources and their value chains in the BCLME </w:t>
            </w:r>
          </w:p>
          <w:p w14:paraId="68091812" w14:textId="77777777" w:rsidR="00CF33D9" w:rsidRDefault="00CF33D9">
            <w:pPr>
              <w:rPr>
                <w:rFonts w:ascii="Calibri" w:hAnsi="Calibri" w:cs="Calibri"/>
                <w:b/>
                <w:bCs/>
                <w:color w:val="000000" w:themeColor="text1"/>
                <w:sz w:val="20"/>
                <w:szCs w:val="20"/>
              </w:rPr>
            </w:pPr>
          </w:p>
        </w:tc>
        <w:tc>
          <w:tcPr>
            <w:tcW w:w="2693" w:type="dxa"/>
          </w:tcPr>
          <w:p w14:paraId="68091813" w14:textId="77777777" w:rsidR="00CF33D9" w:rsidRDefault="00E3332A">
            <w:pPr>
              <w:rPr>
                <w:rFonts w:ascii="Calibri" w:hAnsi="Calibri" w:cs="Calibri"/>
                <w:color w:val="000000" w:themeColor="text1"/>
                <w:sz w:val="20"/>
                <w:szCs w:val="20"/>
              </w:rPr>
            </w:pPr>
            <w:r>
              <w:rPr>
                <w:rFonts w:ascii="Calibri" w:hAnsi="Calibri" w:cs="Calibri"/>
                <w:color w:val="000000" w:themeColor="text1"/>
                <w:sz w:val="20"/>
                <w:szCs w:val="20"/>
              </w:rPr>
              <w:lastRenderedPageBreak/>
              <w:t xml:space="preserve">2.1.1: Bilateral agreements for joint sustainable and climate resilient management of transboundary fish stocks (Cape horse mackerel, Cape hakes) developed and </w:t>
            </w:r>
            <w:r>
              <w:rPr>
                <w:rFonts w:ascii="Calibri" w:hAnsi="Calibri" w:cs="Calibri"/>
                <w:color w:val="000000" w:themeColor="text1"/>
                <w:sz w:val="20"/>
                <w:szCs w:val="20"/>
              </w:rPr>
              <w:lastRenderedPageBreak/>
              <w:t>implemented to curb IUU fishing</w:t>
            </w:r>
          </w:p>
        </w:tc>
        <w:tc>
          <w:tcPr>
            <w:tcW w:w="2693" w:type="dxa"/>
          </w:tcPr>
          <w:p w14:paraId="68091814" w14:textId="77777777" w:rsidR="00CF33D9" w:rsidRDefault="00E3332A">
            <w:pPr>
              <w:rPr>
                <w:rFonts w:ascii="Calibri" w:hAnsi="Calibri" w:cs="Calibri"/>
                <w:sz w:val="20"/>
                <w:szCs w:val="20"/>
                <w:lang w:val="en-IE"/>
              </w:rPr>
            </w:pPr>
            <w:r>
              <w:rPr>
                <w:rFonts w:ascii="Calibri" w:hAnsi="Calibri" w:cs="Calibri"/>
                <w:sz w:val="20"/>
                <w:szCs w:val="20"/>
              </w:rPr>
              <w:lastRenderedPageBreak/>
              <w:t xml:space="preserve">Activity 2.1.1.3: Design and establish a multinational committee including key members of each government and stakeholders in the fishery sector, and in the </w:t>
            </w:r>
            <w:r>
              <w:rPr>
                <w:rFonts w:ascii="Calibri" w:hAnsi="Calibri" w:cs="Calibri"/>
                <w:sz w:val="20"/>
                <w:szCs w:val="20"/>
              </w:rPr>
              <w:lastRenderedPageBreak/>
              <w:t>transboundary sustainable climate resilient management.</w:t>
            </w:r>
          </w:p>
        </w:tc>
        <w:tc>
          <w:tcPr>
            <w:tcW w:w="2127" w:type="dxa"/>
          </w:tcPr>
          <w:p w14:paraId="68091815" w14:textId="77777777" w:rsidR="00CF33D9" w:rsidRDefault="00E3332A">
            <w:pPr>
              <w:shd w:val="clear" w:color="auto" w:fill="FFFFFF"/>
              <w:rPr>
                <w:rFonts w:ascii="Calibri" w:hAnsi="Calibri" w:cs="Calibri"/>
                <w:color w:val="000000"/>
                <w:sz w:val="20"/>
                <w:szCs w:val="20"/>
              </w:rPr>
            </w:pPr>
            <w:r>
              <w:rPr>
                <w:rFonts w:ascii="Calibri" w:hAnsi="Calibri" w:cs="Calibri"/>
                <w:color w:val="000000"/>
                <w:sz w:val="20"/>
                <w:szCs w:val="20"/>
              </w:rPr>
              <w:lastRenderedPageBreak/>
              <w:t>Working Group and technical team meetings</w:t>
            </w:r>
          </w:p>
          <w:p w14:paraId="68091816" w14:textId="77777777" w:rsidR="00CF33D9" w:rsidRDefault="00E3332A">
            <w:pPr>
              <w:shd w:val="clear" w:color="auto" w:fill="FFFFFF"/>
              <w:rPr>
                <w:rFonts w:ascii="Calibri" w:hAnsi="Calibri" w:cs="Calibri"/>
                <w:color w:val="000000"/>
                <w:sz w:val="20"/>
                <w:szCs w:val="20"/>
              </w:rPr>
            </w:pPr>
            <w:r>
              <w:rPr>
                <w:rFonts w:ascii="Calibri" w:hAnsi="Calibri" w:cs="Calibri"/>
                <w:color w:val="000000"/>
                <w:sz w:val="20"/>
                <w:szCs w:val="20"/>
              </w:rPr>
              <w:t>Project steering meetings</w:t>
            </w:r>
          </w:p>
        </w:tc>
        <w:tc>
          <w:tcPr>
            <w:tcW w:w="2127" w:type="dxa"/>
          </w:tcPr>
          <w:p w14:paraId="68091817" w14:textId="77777777" w:rsidR="00CF33D9" w:rsidRDefault="00E3332A">
            <w:pPr>
              <w:rPr>
                <w:rFonts w:ascii="Calibri" w:hAnsi="Calibri" w:cs="Calibri"/>
                <w:color w:val="000000"/>
                <w:sz w:val="20"/>
                <w:szCs w:val="20"/>
              </w:rPr>
            </w:pPr>
            <w:r>
              <w:rPr>
                <w:rFonts w:ascii="Calibri" w:hAnsi="Calibri" w:cs="Calibri"/>
                <w:color w:val="000000"/>
                <w:sz w:val="20"/>
                <w:szCs w:val="20"/>
              </w:rPr>
              <w:t>Webinars</w:t>
            </w:r>
          </w:p>
          <w:p w14:paraId="68091818" w14:textId="77777777" w:rsidR="00CF33D9" w:rsidRDefault="00E3332A">
            <w:pPr>
              <w:rPr>
                <w:rFonts w:ascii="Calibri" w:hAnsi="Calibri" w:cs="Calibri"/>
                <w:color w:val="000000"/>
                <w:sz w:val="20"/>
                <w:szCs w:val="20"/>
              </w:rPr>
            </w:pPr>
            <w:r>
              <w:rPr>
                <w:rFonts w:ascii="Calibri" w:hAnsi="Calibri" w:cs="Calibri"/>
                <w:color w:val="000000"/>
                <w:sz w:val="20"/>
                <w:szCs w:val="20"/>
              </w:rPr>
              <w:t>Technical reports</w:t>
            </w:r>
          </w:p>
        </w:tc>
        <w:tc>
          <w:tcPr>
            <w:tcW w:w="1620" w:type="dxa"/>
          </w:tcPr>
          <w:p w14:paraId="68091819" w14:textId="77777777" w:rsidR="00CF33D9" w:rsidRDefault="00E3332A">
            <w:pPr>
              <w:rPr>
                <w:rFonts w:ascii="Calibri" w:hAnsi="Calibri" w:cs="Calibri"/>
                <w:color w:val="000000"/>
                <w:sz w:val="20"/>
                <w:szCs w:val="20"/>
              </w:rPr>
            </w:pPr>
            <w:r>
              <w:rPr>
                <w:rFonts w:ascii="Calibri" w:hAnsi="Calibri" w:cs="Calibri"/>
                <w:color w:val="000000"/>
                <w:sz w:val="20"/>
                <w:szCs w:val="20"/>
              </w:rPr>
              <w:t>Project coordinator</w:t>
            </w:r>
          </w:p>
          <w:p w14:paraId="6809181A" w14:textId="77777777" w:rsidR="00CF33D9" w:rsidRDefault="00E3332A">
            <w:pPr>
              <w:rPr>
                <w:rFonts w:ascii="Calibri" w:hAnsi="Calibri" w:cs="Calibri"/>
                <w:color w:val="000000"/>
                <w:sz w:val="20"/>
                <w:szCs w:val="20"/>
              </w:rPr>
            </w:pPr>
            <w:r>
              <w:rPr>
                <w:rFonts w:ascii="Calibri" w:hAnsi="Calibri" w:cs="Calibri"/>
                <w:color w:val="000000"/>
                <w:sz w:val="20"/>
                <w:szCs w:val="20"/>
              </w:rPr>
              <w:t>Communications officer</w:t>
            </w:r>
          </w:p>
        </w:tc>
        <w:tc>
          <w:tcPr>
            <w:tcW w:w="1497" w:type="dxa"/>
          </w:tcPr>
          <w:p w14:paraId="6809181B" w14:textId="77777777" w:rsidR="00CF33D9" w:rsidRDefault="00E3332A">
            <w:pPr>
              <w:rPr>
                <w:rFonts w:ascii="Calibri" w:hAnsi="Calibri" w:cs="Calibri"/>
                <w:color w:val="000000"/>
                <w:sz w:val="20"/>
                <w:szCs w:val="20"/>
              </w:rPr>
            </w:pPr>
            <w:r>
              <w:rPr>
                <w:rFonts w:ascii="Calibri" w:hAnsi="Calibri" w:cs="Calibri"/>
                <w:color w:val="000000"/>
                <w:sz w:val="20"/>
                <w:szCs w:val="20"/>
              </w:rPr>
              <w:t xml:space="preserve">Stakeholders to be affected, directly or indirectly, by the outcomes of the Project </w:t>
            </w:r>
            <w:r>
              <w:rPr>
                <w:rFonts w:ascii="Calibri" w:hAnsi="Calibri" w:cs="Calibri"/>
                <w:color w:val="000000"/>
                <w:sz w:val="20"/>
                <w:szCs w:val="20"/>
              </w:rPr>
              <w:lastRenderedPageBreak/>
              <w:t>implementation</w:t>
            </w:r>
          </w:p>
        </w:tc>
        <w:tc>
          <w:tcPr>
            <w:tcW w:w="1249" w:type="dxa"/>
          </w:tcPr>
          <w:p w14:paraId="6809181C" w14:textId="77777777" w:rsidR="00CF33D9" w:rsidRDefault="00E3332A">
            <w:pPr>
              <w:rPr>
                <w:rFonts w:ascii="Calibri" w:hAnsi="Calibri" w:cs="Calibri"/>
                <w:color w:val="000000"/>
                <w:sz w:val="20"/>
                <w:szCs w:val="20"/>
              </w:rPr>
            </w:pPr>
            <w:r>
              <w:rPr>
                <w:rFonts w:ascii="Calibri" w:hAnsi="Calibri" w:cs="Calibri"/>
                <w:color w:val="000000"/>
                <w:sz w:val="20"/>
                <w:szCs w:val="20"/>
              </w:rPr>
              <w:lastRenderedPageBreak/>
              <w:t>15,000</w:t>
            </w:r>
          </w:p>
        </w:tc>
      </w:tr>
      <w:tr w:rsidR="00CF33D9" w14:paraId="68091826" w14:textId="77777777">
        <w:tc>
          <w:tcPr>
            <w:tcW w:w="1418" w:type="dxa"/>
            <w:vMerge/>
          </w:tcPr>
          <w:p w14:paraId="6809181E" w14:textId="77777777" w:rsidR="00CF33D9" w:rsidRDefault="00CF33D9">
            <w:pPr>
              <w:rPr>
                <w:rFonts w:ascii="Calibri" w:hAnsi="Calibri" w:cs="Calibri"/>
                <w:b/>
                <w:bCs/>
                <w:color w:val="000000" w:themeColor="text1"/>
                <w:sz w:val="20"/>
                <w:szCs w:val="20"/>
              </w:rPr>
            </w:pPr>
          </w:p>
        </w:tc>
        <w:tc>
          <w:tcPr>
            <w:tcW w:w="2693" w:type="dxa"/>
          </w:tcPr>
          <w:p w14:paraId="6809181F" w14:textId="77777777" w:rsidR="00CF33D9" w:rsidRDefault="00E3332A">
            <w:pPr>
              <w:rPr>
                <w:rFonts w:ascii="Calibri" w:hAnsi="Calibri" w:cs="Calibri"/>
                <w:color w:val="000000" w:themeColor="text1"/>
                <w:sz w:val="20"/>
                <w:szCs w:val="20"/>
              </w:rPr>
            </w:pPr>
            <w:r>
              <w:rPr>
                <w:rFonts w:ascii="Calibri" w:hAnsi="Calibri" w:cs="Calibri"/>
                <w:color w:val="000000" w:themeColor="text1"/>
                <w:sz w:val="20"/>
                <w:szCs w:val="20"/>
              </w:rPr>
              <w:t>2.1.3: Third-party sustainability and climate resilience certifications for fish and seafood products undertaken</w:t>
            </w:r>
          </w:p>
        </w:tc>
        <w:tc>
          <w:tcPr>
            <w:tcW w:w="2693" w:type="dxa"/>
          </w:tcPr>
          <w:p w14:paraId="68091820" w14:textId="77777777" w:rsidR="00CF33D9" w:rsidRDefault="00E3332A">
            <w:pPr>
              <w:rPr>
                <w:rFonts w:ascii="Calibri" w:hAnsi="Calibri" w:cs="Calibri"/>
                <w:sz w:val="20"/>
                <w:szCs w:val="20"/>
                <w:lang w:val="en-IE"/>
              </w:rPr>
            </w:pPr>
            <w:r>
              <w:rPr>
                <w:rFonts w:ascii="Calibri" w:hAnsi="Calibri" w:cs="Calibri"/>
                <w:sz w:val="20"/>
                <w:szCs w:val="20"/>
              </w:rPr>
              <w:t>Activity 2.1.3.1: Needs analysis and identification of existing third-party certifications on sustainability and climate resilience for fish and seafood products in each participating country.</w:t>
            </w:r>
          </w:p>
        </w:tc>
        <w:tc>
          <w:tcPr>
            <w:tcW w:w="2127" w:type="dxa"/>
          </w:tcPr>
          <w:p w14:paraId="68091821" w14:textId="77777777" w:rsidR="00CF33D9" w:rsidRDefault="00E3332A">
            <w:pPr>
              <w:shd w:val="clear" w:color="auto" w:fill="FFFFFF"/>
              <w:rPr>
                <w:rFonts w:ascii="Calibri" w:hAnsi="Calibri" w:cs="Calibri"/>
                <w:color w:val="000000"/>
                <w:sz w:val="20"/>
                <w:szCs w:val="20"/>
              </w:rPr>
            </w:pPr>
            <w:r>
              <w:rPr>
                <w:rFonts w:ascii="Calibri" w:hAnsi="Calibri" w:cs="Calibri"/>
                <w:color w:val="000000"/>
                <w:sz w:val="20"/>
                <w:szCs w:val="20"/>
              </w:rPr>
              <w:t>Consultation meetings with industries</w:t>
            </w:r>
          </w:p>
        </w:tc>
        <w:tc>
          <w:tcPr>
            <w:tcW w:w="2127" w:type="dxa"/>
          </w:tcPr>
          <w:p w14:paraId="68091822" w14:textId="77777777" w:rsidR="00CF33D9" w:rsidRDefault="00E3332A">
            <w:pPr>
              <w:rPr>
                <w:rFonts w:ascii="Calibri" w:hAnsi="Calibri" w:cs="Calibri"/>
                <w:color w:val="000000"/>
                <w:sz w:val="20"/>
                <w:szCs w:val="20"/>
              </w:rPr>
            </w:pPr>
            <w:r>
              <w:rPr>
                <w:rFonts w:ascii="Calibri" w:hAnsi="Calibri" w:cs="Calibri"/>
                <w:color w:val="000000"/>
                <w:sz w:val="20"/>
                <w:szCs w:val="20"/>
              </w:rPr>
              <w:t>Scientific reports</w:t>
            </w:r>
          </w:p>
        </w:tc>
        <w:tc>
          <w:tcPr>
            <w:tcW w:w="1620" w:type="dxa"/>
          </w:tcPr>
          <w:p w14:paraId="68091823" w14:textId="77777777" w:rsidR="00CF33D9" w:rsidRDefault="00E3332A">
            <w:pPr>
              <w:rPr>
                <w:rFonts w:ascii="Calibri" w:hAnsi="Calibri" w:cs="Calibri"/>
                <w:color w:val="000000"/>
                <w:sz w:val="20"/>
                <w:szCs w:val="20"/>
              </w:rPr>
            </w:pPr>
            <w:r>
              <w:rPr>
                <w:rFonts w:ascii="Calibri" w:hAnsi="Calibri" w:cs="Calibri"/>
                <w:color w:val="000000"/>
                <w:sz w:val="20"/>
                <w:szCs w:val="20"/>
              </w:rPr>
              <w:t>Project Coordinator</w:t>
            </w:r>
          </w:p>
        </w:tc>
        <w:tc>
          <w:tcPr>
            <w:tcW w:w="1497" w:type="dxa"/>
          </w:tcPr>
          <w:p w14:paraId="68091824" w14:textId="77777777" w:rsidR="00CF33D9" w:rsidRDefault="00E3332A">
            <w:pPr>
              <w:rPr>
                <w:rFonts w:ascii="Calibri" w:hAnsi="Calibri" w:cs="Calibri"/>
                <w:color w:val="000000"/>
                <w:sz w:val="20"/>
                <w:szCs w:val="20"/>
              </w:rPr>
            </w:pPr>
            <w:r>
              <w:rPr>
                <w:rFonts w:ascii="Calibri" w:hAnsi="Calibri" w:cs="Calibri"/>
                <w:color w:val="000000"/>
                <w:sz w:val="20"/>
                <w:szCs w:val="20"/>
              </w:rPr>
              <w:t>Industry representatives that process fish and seafood products</w:t>
            </w:r>
          </w:p>
        </w:tc>
        <w:tc>
          <w:tcPr>
            <w:tcW w:w="1249" w:type="dxa"/>
          </w:tcPr>
          <w:p w14:paraId="68091825" w14:textId="77777777" w:rsidR="00CF33D9" w:rsidRDefault="00E3332A">
            <w:pPr>
              <w:rPr>
                <w:rFonts w:ascii="Calibri" w:hAnsi="Calibri" w:cs="Calibri"/>
                <w:color w:val="000000"/>
                <w:sz w:val="20"/>
                <w:szCs w:val="20"/>
              </w:rPr>
            </w:pPr>
            <w:r>
              <w:rPr>
                <w:rFonts w:ascii="Calibri" w:hAnsi="Calibri" w:cs="Calibri"/>
                <w:color w:val="000000"/>
                <w:sz w:val="20"/>
                <w:szCs w:val="20"/>
              </w:rPr>
              <w:t>10,000</w:t>
            </w:r>
          </w:p>
        </w:tc>
      </w:tr>
      <w:tr w:rsidR="00CF33D9" w14:paraId="6809183D" w14:textId="77777777">
        <w:tc>
          <w:tcPr>
            <w:tcW w:w="1418" w:type="dxa"/>
            <w:vMerge/>
          </w:tcPr>
          <w:p w14:paraId="68091827" w14:textId="77777777" w:rsidR="00CF33D9" w:rsidRDefault="00CF33D9">
            <w:pPr>
              <w:rPr>
                <w:rFonts w:ascii="Calibri" w:hAnsi="Calibri" w:cs="Calibri"/>
                <w:color w:val="000000"/>
                <w:sz w:val="20"/>
                <w:szCs w:val="20"/>
              </w:rPr>
            </w:pPr>
          </w:p>
        </w:tc>
        <w:tc>
          <w:tcPr>
            <w:tcW w:w="2693" w:type="dxa"/>
          </w:tcPr>
          <w:p w14:paraId="68091828" w14:textId="77777777" w:rsidR="00CF33D9" w:rsidRDefault="00E3332A">
            <w:pPr>
              <w:rPr>
                <w:rFonts w:ascii="Calibri" w:hAnsi="Calibri" w:cs="Calibri"/>
                <w:color w:val="000000"/>
                <w:sz w:val="20"/>
                <w:szCs w:val="20"/>
              </w:rPr>
            </w:pPr>
            <w:r>
              <w:rPr>
                <w:rFonts w:ascii="Calibri" w:hAnsi="Calibri" w:cs="Calibri"/>
                <w:color w:val="000000" w:themeColor="text1"/>
                <w:sz w:val="20"/>
                <w:szCs w:val="20"/>
              </w:rPr>
              <w:t>2.2.2: Capacities for sustainable and climate resilient value chains developed (with a gender sensitive approach) for new and diversified fish and seafood products, including mariculture</w:t>
            </w:r>
          </w:p>
        </w:tc>
        <w:tc>
          <w:tcPr>
            <w:tcW w:w="2693" w:type="dxa"/>
          </w:tcPr>
          <w:p w14:paraId="68091829" w14:textId="77777777" w:rsidR="00CF33D9" w:rsidRDefault="00E3332A">
            <w:pPr>
              <w:rPr>
                <w:rFonts w:ascii="Calibri" w:hAnsi="Calibri" w:cs="Calibri"/>
                <w:color w:val="000000"/>
                <w:sz w:val="20"/>
                <w:szCs w:val="20"/>
              </w:rPr>
            </w:pPr>
            <w:r>
              <w:rPr>
                <w:rFonts w:ascii="Calibri" w:hAnsi="Calibri" w:cs="Calibri"/>
                <w:sz w:val="20"/>
                <w:szCs w:val="20"/>
                <w:lang w:val="en-IE"/>
              </w:rPr>
              <w:t>Activity 2.2.2.1: Identification and needs analysis of stakeholder that are/will be key actors in building sustainable and climate resilient value chains.</w:t>
            </w:r>
          </w:p>
        </w:tc>
        <w:tc>
          <w:tcPr>
            <w:tcW w:w="2127" w:type="dxa"/>
          </w:tcPr>
          <w:p w14:paraId="6809182A" w14:textId="77777777" w:rsidR="00CF33D9" w:rsidRDefault="00E3332A">
            <w:pPr>
              <w:shd w:val="clear" w:color="auto" w:fill="FFFFFF"/>
              <w:rPr>
                <w:rFonts w:ascii="Calibri" w:hAnsi="Calibri" w:cs="Calibri"/>
                <w:color w:val="000000"/>
                <w:sz w:val="20"/>
                <w:szCs w:val="20"/>
              </w:rPr>
            </w:pPr>
            <w:r>
              <w:rPr>
                <w:rFonts w:ascii="Calibri" w:hAnsi="Calibri" w:cs="Calibri"/>
                <w:color w:val="000000"/>
                <w:sz w:val="20"/>
                <w:szCs w:val="20"/>
              </w:rPr>
              <w:t>Project Steering Committee</w:t>
            </w:r>
          </w:p>
          <w:p w14:paraId="6809182B" w14:textId="77777777" w:rsidR="00CF33D9" w:rsidRDefault="00E3332A">
            <w:pPr>
              <w:shd w:val="clear" w:color="auto" w:fill="FFFFFF"/>
              <w:rPr>
                <w:rFonts w:ascii="Calibri" w:hAnsi="Calibri" w:cs="Calibri"/>
                <w:color w:val="000000"/>
                <w:sz w:val="20"/>
                <w:szCs w:val="20"/>
              </w:rPr>
            </w:pPr>
            <w:r>
              <w:rPr>
                <w:rFonts w:ascii="Calibri" w:hAnsi="Calibri" w:cs="Calibri"/>
                <w:color w:val="000000"/>
                <w:sz w:val="20"/>
                <w:szCs w:val="20"/>
              </w:rPr>
              <w:t>Consultation meetings</w:t>
            </w:r>
          </w:p>
          <w:p w14:paraId="6809182C" w14:textId="77777777" w:rsidR="00CF33D9" w:rsidRDefault="00E3332A">
            <w:pPr>
              <w:shd w:val="clear" w:color="auto" w:fill="FFFFFF"/>
              <w:rPr>
                <w:rFonts w:ascii="Calibri" w:hAnsi="Calibri" w:cs="Calibri"/>
                <w:color w:val="000000"/>
                <w:sz w:val="20"/>
                <w:szCs w:val="20"/>
              </w:rPr>
            </w:pPr>
            <w:r>
              <w:rPr>
                <w:rFonts w:ascii="Calibri" w:hAnsi="Calibri" w:cs="Calibri"/>
                <w:color w:val="000000"/>
                <w:sz w:val="20"/>
                <w:szCs w:val="20"/>
              </w:rPr>
              <w:t xml:space="preserve">Workshops </w:t>
            </w:r>
          </w:p>
          <w:p w14:paraId="6809182D" w14:textId="77777777" w:rsidR="00CF33D9" w:rsidRDefault="00E3332A">
            <w:pPr>
              <w:shd w:val="clear" w:color="auto" w:fill="FFFFFF"/>
              <w:rPr>
                <w:rFonts w:ascii="Calibri" w:hAnsi="Calibri" w:cs="Calibri"/>
                <w:color w:val="000000"/>
                <w:sz w:val="20"/>
                <w:szCs w:val="20"/>
              </w:rPr>
            </w:pPr>
            <w:r>
              <w:rPr>
                <w:rFonts w:ascii="Calibri" w:hAnsi="Calibri" w:cs="Calibri"/>
                <w:color w:val="000000"/>
                <w:sz w:val="20"/>
                <w:szCs w:val="20"/>
              </w:rPr>
              <w:t>Field visits</w:t>
            </w:r>
          </w:p>
          <w:p w14:paraId="6809182E" w14:textId="77777777" w:rsidR="00CF33D9" w:rsidRDefault="00E3332A">
            <w:pPr>
              <w:shd w:val="clear" w:color="auto" w:fill="FFFFFF"/>
              <w:rPr>
                <w:rFonts w:ascii="Calibri" w:hAnsi="Calibri" w:cs="Calibri"/>
                <w:color w:val="000000"/>
                <w:sz w:val="20"/>
                <w:szCs w:val="20"/>
              </w:rPr>
            </w:pPr>
            <w:r>
              <w:rPr>
                <w:rFonts w:ascii="Calibri" w:hAnsi="Calibri" w:cs="Calibri"/>
                <w:color w:val="000000"/>
                <w:sz w:val="20"/>
                <w:szCs w:val="20"/>
              </w:rPr>
              <w:t>Awareness forums/educational webinars</w:t>
            </w:r>
          </w:p>
          <w:p w14:paraId="6809182F" w14:textId="77777777" w:rsidR="00CF33D9" w:rsidRDefault="00E3332A">
            <w:pPr>
              <w:shd w:val="clear" w:color="auto" w:fill="FFFFFF"/>
              <w:rPr>
                <w:rFonts w:ascii="Calibri" w:hAnsi="Calibri" w:cs="Calibri"/>
                <w:color w:val="000000"/>
                <w:sz w:val="20"/>
                <w:szCs w:val="20"/>
              </w:rPr>
            </w:pPr>
            <w:r>
              <w:rPr>
                <w:rFonts w:ascii="Calibri" w:hAnsi="Calibri" w:cs="Calibri"/>
                <w:color w:val="000000"/>
                <w:sz w:val="20"/>
                <w:szCs w:val="20"/>
              </w:rPr>
              <w:t xml:space="preserve">Inform via direct meetings and reporting </w:t>
            </w:r>
          </w:p>
        </w:tc>
        <w:tc>
          <w:tcPr>
            <w:tcW w:w="2127" w:type="dxa"/>
          </w:tcPr>
          <w:p w14:paraId="68091830" w14:textId="77777777" w:rsidR="00CF33D9" w:rsidRDefault="00E3332A">
            <w:pPr>
              <w:rPr>
                <w:rFonts w:ascii="Calibri" w:hAnsi="Calibri" w:cs="Calibri"/>
                <w:color w:val="000000"/>
                <w:sz w:val="20"/>
                <w:szCs w:val="20"/>
              </w:rPr>
            </w:pPr>
            <w:r>
              <w:rPr>
                <w:rFonts w:ascii="Calibri" w:hAnsi="Calibri" w:cs="Calibri"/>
                <w:color w:val="000000"/>
                <w:sz w:val="20"/>
                <w:szCs w:val="20"/>
              </w:rPr>
              <w:t xml:space="preserve">Updates on the BCC website </w:t>
            </w:r>
          </w:p>
          <w:p w14:paraId="68091831" w14:textId="77777777" w:rsidR="00CF33D9" w:rsidRDefault="00E3332A">
            <w:pPr>
              <w:rPr>
                <w:rFonts w:ascii="Calibri" w:hAnsi="Calibri" w:cs="Calibri"/>
                <w:color w:val="000000"/>
                <w:sz w:val="20"/>
                <w:szCs w:val="20"/>
              </w:rPr>
            </w:pPr>
            <w:r>
              <w:rPr>
                <w:rFonts w:ascii="Calibri" w:hAnsi="Calibri" w:cs="Calibri"/>
                <w:color w:val="000000"/>
                <w:sz w:val="20"/>
                <w:szCs w:val="20"/>
              </w:rPr>
              <w:t>Presentations</w:t>
            </w:r>
          </w:p>
          <w:p w14:paraId="68091832" w14:textId="77777777" w:rsidR="00CF33D9" w:rsidRDefault="00E3332A">
            <w:pPr>
              <w:rPr>
                <w:rFonts w:ascii="Calibri" w:hAnsi="Calibri" w:cs="Calibri"/>
                <w:color w:val="000000"/>
                <w:sz w:val="20"/>
                <w:szCs w:val="20"/>
              </w:rPr>
            </w:pPr>
            <w:r>
              <w:rPr>
                <w:rFonts w:ascii="Calibri" w:hAnsi="Calibri" w:cs="Calibri"/>
                <w:color w:val="000000"/>
                <w:sz w:val="20"/>
                <w:szCs w:val="20"/>
              </w:rPr>
              <w:t>Booklets</w:t>
            </w:r>
          </w:p>
          <w:p w14:paraId="68091833" w14:textId="77777777" w:rsidR="00CF33D9" w:rsidRDefault="00E3332A">
            <w:pPr>
              <w:rPr>
                <w:rFonts w:ascii="Calibri" w:hAnsi="Calibri" w:cs="Calibri"/>
                <w:color w:val="000000"/>
                <w:sz w:val="20"/>
                <w:szCs w:val="20"/>
              </w:rPr>
            </w:pPr>
            <w:r>
              <w:rPr>
                <w:rFonts w:ascii="Calibri" w:hAnsi="Calibri" w:cs="Calibri"/>
                <w:color w:val="000000"/>
                <w:sz w:val="20"/>
                <w:szCs w:val="20"/>
              </w:rPr>
              <w:t>Flyers</w:t>
            </w:r>
          </w:p>
          <w:p w14:paraId="68091834" w14:textId="77777777" w:rsidR="00CF33D9" w:rsidRDefault="00E3332A">
            <w:pPr>
              <w:rPr>
                <w:rFonts w:ascii="Calibri" w:hAnsi="Calibri" w:cs="Calibri"/>
                <w:color w:val="000000"/>
                <w:sz w:val="20"/>
                <w:szCs w:val="20"/>
              </w:rPr>
            </w:pPr>
            <w:r>
              <w:rPr>
                <w:rFonts w:ascii="Calibri" w:hAnsi="Calibri" w:cs="Calibri"/>
                <w:color w:val="000000"/>
                <w:sz w:val="20"/>
                <w:szCs w:val="20"/>
              </w:rPr>
              <w:t>Reports</w:t>
            </w:r>
          </w:p>
          <w:p w14:paraId="68091835" w14:textId="77777777" w:rsidR="00CF33D9" w:rsidRDefault="00E3332A">
            <w:pPr>
              <w:rPr>
                <w:rFonts w:ascii="Calibri" w:hAnsi="Calibri" w:cs="Calibri"/>
                <w:color w:val="000000"/>
                <w:sz w:val="20"/>
                <w:szCs w:val="20"/>
              </w:rPr>
            </w:pPr>
            <w:r>
              <w:rPr>
                <w:rFonts w:ascii="Calibri" w:hAnsi="Calibri" w:cs="Calibri"/>
                <w:color w:val="000000"/>
                <w:sz w:val="20"/>
                <w:szCs w:val="20"/>
              </w:rPr>
              <w:t>Press releases</w:t>
            </w:r>
          </w:p>
          <w:p w14:paraId="68091836" w14:textId="77777777" w:rsidR="00CF33D9" w:rsidRDefault="00E3332A">
            <w:pPr>
              <w:rPr>
                <w:rFonts w:ascii="Calibri" w:hAnsi="Calibri" w:cs="Calibri"/>
                <w:color w:val="000000"/>
                <w:sz w:val="20"/>
                <w:szCs w:val="20"/>
              </w:rPr>
            </w:pPr>
            <w:r>
              <w:rPr>
                <w:rFonts w:ascii="Calibri" w:hAnsi="Calibri" w:cs="Calibri"/>
                <w:color w:val="000000"/>
                <w:sz w:val="20"/>
                <w:szCs w:val="20"/>
              </w:rPr>
              <w:t>Summaries of the meetings</w:t>
            </w:r>
          </w:p>
          <w:p w14:paraId="68091837" w14:textId="77777777" w:rsidR="00CF33D9" w:rsidRDefault="00E3332A">
            <w:pPr>
              <w:rPr>
                <w:rFonts w:ascii="Calibri" w:hAnsi="Calibri" w:cs="Calibri"/>
                <w:color w:val="000000"/>
                <w:sz w:val="20"/>
                <w:szCs w:val="20"/>
              </w:rPr>
            </w:pPr>
            <w:r>
              <w:rPr>
                <w:rFonts w:ascii="Calibri" w:hAnsi="Calibri" w:cs="Calibri"/>
                <w:color w:val="000000"/>
                <w:sz w:val="20"/>
                <w:szCs w:val="20"/>
              </w:rPr>
              <w:t>Social media posts</w:t>
            </w:r>
          </w:p>
          <w:p w14:paraId="68091838" w14:textId="77777777" w:rsidR="00CF33D9" w:rsidRDefault="00E3332A">
            <w:pPr>
              <w:rPr>
                <w:rFonts w:ascii="Calibri" w:hAnsi="Calibri" w:cs="Calibri"/>
                <w:color w:val="000000"/>
                <w:sz w:val="20"/>
                <w:szCs w:val="20"/>
              </w:rPr>
            </w:pPr>
            <w:r>
              <w:rPr>
                <w:rFonts w:ascii="Calibri" w:hAnsi="Calibri" w:cs="Calibri"/>
                <w:color w:val="000000"/>
                <w:sz w:val="20"/>
                <w:szCs w:val="20"/>
              </w:rPr>
              <w:t>Brief reports</w:t>
            </w:r>
          </w:p>
        </w:tc>
        <w:tc>
          <w:tcPr>
            <w:tcW w:w="1620" w:type="dxa"/>
          </w:tcPr>
          <w:p w14:paraId="68091839" w14:textId="77777777" w:rsidR="00CF33D9" w:rsidRDefault="00E3332A">
            <w:pPr>
              <w:rPr>
                <w:rFonts w:ascii="Calibri" w:hAnsi="Calibri" w:cs="Calibri"/>
                <w:color w:val="000000"/>
                <w:sz w:val="20"/>
                <w:szCs w:val="20"/>
              </w:rPr>
            </w:pPr>
            <w:r>
              <w:rPr>
                <w:rFonts w:ascii="Calibri" w:hAnsi="Calibri" w:cs="Calibri"/>
                <w:color w:val="000000"/>
                <w:sz w:val="20"/>
                <w:szCs w:val="20"/>
              </w:rPr>
              <w:t>Project coordinator</w:t>
            </w:r>
          </w:p>
        </w:tc>
        <w:tc>
          <w:tcPr>
            <w:tcW w:w="1497" w:type="dxa"/>
          </w:tcPr>
          <w:p w14:paraId="6809183A" w14:textId="77777777" w:rsidR="00CF33D9" w:rsidRDefault="00E3332A">
            <w:pPr>
              <w:rPr>
                <w:rFonts w:ascii="Calibri" w:hAnsi="Calibri" w:cs="Calibri"/>
                <w:color w:val="000000"/>
                <w:sz w:val="20"/>
                <w:szCs w:val="20"/>
              </w:rPr>
            </w:pPr>
            <w:r>
              <w:rPr>
                <w:rFonts w:ascii="Calibri" w:hAnsi="Calibri" w:cs="Calibri"/>
                <w:color w:val="000000"/>
                <w:sz w:val="20"/>
                <w:szCs w:val="20"/>
              </w:rPr>
              <w:t xml:space="preserve">Stakeholders that participate in the project directly or indirectly </w:t>
            </w:r>
          </w:p>
          <w:p w14:paraId="6809183B" w14:textId="77777777" w:rsidR="00CF33D9" w:rsidRDefault="00CF33D9">
            <w:pPr>
              <w:rPr>
                <w:rFonts w:ascii="Calibri" w:hAnsi="Calibri" w:cs="Calibri"/>
                <w:color w:val="000000"/>
                <w:sz w:val="20"/>
                <w:szCs w:val="20"/>
              </w:rPr>
            </w:pPr>
          </w:p>
        </w:tc>
        <w:tc>
          <w:tcPr>
            <w:tcW w:w="1249" w:type="dxa"/>
          </w:tcPr>
          <w:p w14:paraId="6809183C" w14:textId="77777777" w:rsidR="00CF33D9" w:rsidRDefault="00E3332A">
            <w:pPr>
              <w:rPr>
                <w:rFonts w:ascii="Calibri" w:hAnsi="Calibri" w:cs="Calibri"/>
                <w:color w:val="000000"/>
                <w:sz w:val="20"/>
                <w:szCs w:val="20"/>
              </w:rPr>
            </w:pPr>
            <w:r>
              <w:rPr>
                <w:rFonts w:ascii="Calibri" w:hAnsi="Calibri" w:cs="Calibri"/>
                <w:color w:val="000000"/>
                <w:sz w:val="20"/>
                <w:szCs w:val="20"/>
              </w:rPr>
              <w:t>20,000</w:t>
            </w:r>
          </w:p>
        </w:tc>
      </w:tr>
      <w:tr w:rsidR="00CF33D9" w14:paraId="6809184C" w14:textId="77777777">
        <w:tc>
          <w:tcPr>
            <w:tcW w:w="1418" w:type="dxa"/>
          </w:tcPr>
          <w:p w14:paraId="6809183E" w14:textId="77777777" w:rsidR="00CF33D9" w:rsidRDefault="00E3332A">
            <w:pPr>
              <w:rPr>
                <w:rFonts w:ascii="Calibri" w:hAnsi="Calibri" w:cs="Calibri"/>
                <w:color w:val="000000"/>
                <w:sz w:val="20"/>
                <w:szCs w:val="20"/>
              </w:rPr>
            </w:pPr>
            <w:r>
              <w:rPr>
                <w:rFonts w:ascii="Calibri" w:hAnsi="Calibri" w:cs="Calibri"/>
                <w:b/>
                <w:bCs/>
                <w:color w:val="000000" w:themeColor="text1"/>
                <w:sz w:val="20"/>
                <w:szCs w:val="20"/>
              </w:rPr>
              <w:t>Component 3</w:t>
            </w:r>
            <w:r>
              <w:rPr>
                <w:rFonts w:ascii="Calibri" w:hAnsi="Calibri" w:cs="Calibri"/>
                <w:color w:val="000000" w:themeColor="text1"/>
                <w:sz w:val="20"/>
                <w:szCs w:val="20"/>
              </w:rPr>
              <w:t>: Improve coastal and marine pollution management in the BCLME</w:t>
            </w:r>
          </w:p>
        </w:tc>
        <w:tc>
          <w:tcPr>
            <w:tcW w:w="2693" w:type="dxa"/>
          </w:tcPr>
          <w:p w14:paraId="6809183F" w14:textId="77777777" w:rsidR="00CF33D9" w:rsidRDefault="00E3332A">
            <w:pPr>
              <w:rPr>
                <w:rFonts w:ascii="Calibri" w:hAnsi="Calibri" w:cs="Calibri"/>
                <w:color w:val="000000"/>
                <w:sz w:val="20"/>
                <w:szCs w:val="20"/>
              </w:rPr>
            </w:pPr>
            <w:r>
              <w:rPr>
                <w:rFonts w:ascii="Calibri" w:hAnsi="Calibri" w:cs="Calibri"/>
                <w:color w:val="000000" w:themeColor="text1"/>
                <w:sz w:val="20"/>
                <w:szCs w:val="20"/>
              </w:rPr>
              <w:t>3.2.2 Community awareness, training and capacity building and implementation plans and best practices for pollution management undertaken (with a gender-sensitive approach) in selected pilot sites along the BCLME coast 3.2.3</w:t>
            </w:r>
          </w:p>
        </w:tc>
        <w:tc>
          <w:tcPr>
            <w:tcW w:w="2693" w:type="dxa"/>
          </w:tcPr>
          <w:p w14:paraId="68091840" w14:textId="77777777" w:rsidR="00CF33D9" w:rsidRDefault="00E3332A">
            <w:pPr>
              <w:rPr>
                <w:rFonts w:ascii="Calibri" w:hAnsi="Calibri" w:cs="Calibri"/>
                <w:color w:val="000000" w:themeColor="text1"/>
                <w:sz w:val="20"/>
                <w:szCs w:val="20"/>
              </w:rPr>
            </w:pPr>
            <w:r>
              <w:rPr>
                <w:rFonts w:ascii="Calibri" w:hAnsi="Calibri" w:cs="Calibri"/>
                <w:color w:val="000000" w:themeColor="text1"/>
                <w:sz w:val="20"/>
                <w:szCs w:val="20"/>
              </w:rPr>
              <w:t>Activity 3.2.2.1: Identify relevant community/industry groups within the selected pilot sites.</w:t>
            </w:r>
          </w:p>
          <w:p w14:paraId="68091841" w14:textId="77777777" w:rsidR="00CF33D9" w:rsidRDefault="00E3332A">
            <w:pPr>
              <w:rPr>
                <w:rFonts w:ascii="Calibri" w:hAnsi="Calibri" w:cs="Calibri"/>
                <w:color w:val="000000"/>
                <w:sz w:val="20"/>
                <w:szCs w:val="20"/>
              </w:rPr>
            </w:pPr>
            <w:r>
              <w:rPr>
                <w:rFonts w:ascii="Calibri" w:hAnsi="Calibri" w:cs="Calibri"/>
                <w:color w:val="000000" w:themeColor="text1"/>
                <w:sz w:val="20"/>
                <w:szCs w:val="20"/>
              </w:rPr>
              <w:t xml:space="preserve">Activity 3.2.2.2: Conduct a training/capacity needs assessment for each selected pilot site, in coordination with other relevant activities (e.g. community-based solutions </w:t>
            </w:r>
            <w:r>
              <w:rPr>
                <w:rFonts w:ascii="Calibri" w:hAnsi="Calibri" w:cs="Calibri"/>
                <w:color w:val="000000" w:themeColor="text1"/>
                <w:sz w:val="20"/>
                <w:szCs w:val="20"/>
              </w:rPr>
              <w:lastRenderedPageBreak/>
              <w:t>for restoration under Output 3.2.1 above).</w:t>
            </w:r>
          </w:p>
        </w:tc>
        <w:tc>
          <w:tcPr>
            <w:tcW w:w="2127" w:type="dxa"/>
          </w:tcPr>
          <w:p w14:paraId="68091842" w14:textId="77777777" w:rsidR="00CF33D9" w:rsidRDefault="00E3332A">
            <w:pPr>
              <w:shd w:val="clear" w:color="auto" w:fill="FFFFFF"/>
              <w:rPr>
                <w:rFonts w:ascii="Calibri" w:hAnsi="Calibri" w:cs="Calibri"/>
                <w:bCs/>
                <w:color w:val="000000"/>
                <w:sz w:val="20"/>
                <w:szCs w:val="20"/>
              </w:rPr>
            </w:pPr>
            <w:r>
              <w:rPr>
                <w:rFonts w:ascii="Calibri" w:hAnsi="Calibri" w:cs="Calibri"/>
                <w:bCs/>
                <w:color w:val="000000"/>
                <w:sz w:val="20"/>
                <w:szCs w:val="20"/>
              </w:rPr>
              <w:lastRenderedPageBreak/>
              <w:t>Consultation meetings</w:t>
            </w:r>
          </w:p>
          <w:p w14:paraId="68091843" w14:textId="77777777" w:rsidR="00CF33D9" w:rsidRDefault="00CF33D9">
            <w:pPr>
              <w:shd w:val="clear" w:color="auto" w:fill="FFFFFF"/>
              <w:rPr>
                <w:rFonts w:ascii="Calibri" w:hAnsi="Calibri" w:cs="Calibri"/>
                <w:bCs/>
                <w:color w:val="000000"/>
                <w:sz w:val="20"/>
                <w:szCs w:val="20"/>
              </w:rPr>
            </w:pPr>
          </w:p>
          <w:p w14:paraId="68091844" w14:textId="77777777" w:rsidR="00CF33D9" w:rsidRDefault="00E3332A">
            <w:pPr>
              <w:shd w:val="clear" w:color="auto" w:fill="FFFFFF"/>
              <w:rPr>
                <w:rFonts w:ascii="Calibri" w:hAnsi="Calibri" w:cs="Calibri"/>
                <w:bCs/>
                <w:color w:val="000000"/>
                <w:sz w:val="20"/>
                <w:szCs w:val="20"/>
              </w:rPr>
            </w:pPr>
            <w:r>
              <w:rPr>
                <w:rFonts w:ascii="Calibri" w:hAnsi="Calibri" w:cs="Calibri"/>
                <w:bCs/>
                <w:color w:val="000000"/>
                <w:sz w:val="20"/>
                <w:szCs w:val="20"/>
              </w:rPr>
              <w:t>Themed training material</w:t>
            </w:r>
          </w:p>
          <w:p w14:paraId="68091845" w14:textId="77777777" w:rsidR="00CF33D9" w:rsidRDefault="00CF33D9">
            <w:pPr>
              <w:shd w:val="clear" w:color="auto" w:fill="FFFFFF"/>
              <w:rPr>
                <w:rFonts w:ascii="Calibri" w:hAnsi="Calibri" w:cs="Calibri"/>
                <w:b/>
                <w:color w:val="000000"/>
                <w:sz w:val="20"/>
                <w:szCs w:val="20"/>
              </w:rPr>
            </w:pPr>
          </w:p>
        </w:tc>
        <w:tc>
          <w:tcPr>
            <w:tcW w:w="2127" w:type="dxa"/>
          </w:tcPr>
          <w:p w14:paraId="68091846" w14:textId="77777777" w:rsidR="00CF33D9" w:rsidRDefault="00E3332A">
            <w:pPr>
              <w:rPr>
                <w:rFonts w:ascii="Calibri" w:hAnsi="Calibri" w:cs="Calibri"/>
                <w:color w:val="000000"/>
                <w:sz w:val="20"/>
                <w:szCs w:val="20"/>
              </w:rPr>
            </w:pPr>
            <w:r>
              <w:rPr>
                <w:rFonts w:ascii="Calibri" w:hAnsi="Calibri" w:cs="Calibri"/>
                <w:color w:val="000000"/>
                <w:sz w:val="20"/>
                <w:szCs w:val="20"/>
              </w:rPr>
              <w:t>Training reports</w:t>
            </w:r>
          </w:p>
          <w:p w14:paraId="68091847" w14:textId="77777777" w:rsidR="00CF33D9" w:rsidRDefault="00CF33D9">
            <w:pPr>
              <w:rPr>
                <w:rFonts w:ascii="Calibri" w:hAnsi="Calibri" w:cs="Calibri"/>
                <w:color w:val="000000"/>
                <w:sz w:val="20"/>
                <w:szCs w:val="20"/>
              </w:rPr>
            </w:pPr>
          </w:p>
          <w:p w14:paraId="68091848" w14:textId="77777777" w:rsidR="00CF33D9" w:rsidRDefault="00E3332A">
            <w:pPr>
              <w:rPr>
                <w:rFonts w:ascii="Calibri" w:hAnsi="Calibri" w:cs="Calibri"/>
                <w:color w:val="000000"/>
                <w:sz w:val="20"/>
                <w:szCs w:val="20"/>
              </w:rPr>
            </w:pPr>
            <w:r>
              <w:rPr>
                <w:rFonts w:ascii="Calibri" w:hAnsi="Calibri" w:cs="Calibri"/>
                <w:color w:val="000000"/>
                <w:sz w:val="20"/>
                <w:szCs w:val="20"/>
              </w:rPr>
              <w:t>Brochures</w:t>
            </w:r>
          </w:p>
        </w:tc>
        <w:tc>
          <w:tcPr>
            <w:tcW w:w="1620" w:type="dxa"/>
          </w:tcPr>
          <w:p w14:paraId="68091849" w14:textId="77777777" w:rsidR="00CF33D9" w:rsidRDefault="00E3332A">
            <w:pPr>
              <w:rPr>
                <w:rFonts w:ascii="Calibri" w:hAnsi="Calibri" w:cs="Calibri"/>
                <w:color w:val="000000"/>
                <w:sz w:val="20"/>
                <w:szCs w:val="20"/>
              </w:rPr>
            </w:pPr>
            <w:r>
              <w:rPr>
                <w:rFonts w:ascii="Calibri" w:hAnsi="Calibri" w:cs="Calibri"/>
                <w:color w:val="000000"/>
                <w:sz w:val="20"/>
                <w:szCs w:val="20"/>
              </w:rPr>
              <w:t>Project Coordinator</w:t>
            </w:r>
          </w:p>
        </w:tc>
        <w:tc>
          <w:tcPr>
            <w:tcW w:w="1497" w:type="dxa"/>
          </w:tcPr>
          <w:p w14:paraId="6809184A" w14:textId="77777777" w:rsidR="00CF33D9" w:rsidRDefault="00E3332A">
            <w:pPr>
              <w:rPr>
                <w:rFonts w:ascii="Calibri" w:hAnsi="Calibri" w:cs="Calibri"/>
                <w:color w:val="000000"/>
                <w:sz w:val="20"/>
                <w:szCs w:val="20"/>
              </w:rPr>
            </w:pPr>
            <w:r>
              <w:rPr>
                <w:rFonts w:ascii="Calibri" w:hAnsi="Calibri" w:cs="Calibri"/>
                <w:color w:val="000000"/>
                <w:sz w:val="20"/>
                <w:szCs w:val="20"/>
              </w:rPr>
              <w:t>Community members that have been selected for training</w:t>
            </w:r>
          </w:p>
        </w:tc>
        <w:tc>
          <w:tcPr>
            <w:tcW w:w="1249" w:type="dxa"/>
          </w:tcPr>
          <w:p w14:paraId="6809184B" w14:textId="77777777" w:rsidR="00CF33D9" w:rsidRDefault="00E3332A">
            <w:pPr>
              <w:rPr>
                <w:rFonts w:ascii="Calibri" w:hAnsi="Calibri" w:cs="Calibri"/>
                <w:color w:val="000000"/>
                <w:sz w:val="20"/>
                <w:szCs w:val="20"/>
              </w:rPr>
            </w:pPr>
            <w:r>
              <w:rPr>
                <w:rFonts w:ascii="Calibri" w:hAnsi="Calibri" w:cs="Calibri"/>
                <w:color w:val="000000"/>
                <w:sz w:val="20"/>
                <w:szCs w:val="20"/>
              </w:rPr>
              <w:t>20,000</w:t>
            </w:r>
          </w:p>
        </w:tc>
      </w:tr>
      <w:tr w:rsidR="00CF33D9" w14:paraId="68091860" w14:textId="77777777">
        <w:tc>
          <w:tcPr>
            <w:tcW w:w="1418" w:type="dxa"/>
            <w:vMerge w:val="restart"/>
          </w:tcPr>
          <w:p w14:paraId="6809184D" w14:textId="77777777" w:rsidR="00CF33D9" w:rsidRDefault="00E3332A">
            <w:pPr>
              <w:rPr>
                <w:rFonts w:ascii="Calibri" w:hAnsi="Calibri" w:cs="Calibri"/>
                <w:b/>
                <w:bCs/>
                <w:color w:val="000000" w:themeColor="text1"/>
                <w:sz w:val="20"/>
                <w:szCs w:val="20"/>
              </w:rPr>
            </w:pPr>
            <w:r>
              <w:rPr>
                <w:rFonts w:ascii="Calibri" w:hAnsi="Calibri" w:cs="Calibri"/>
                <w:b/>
                <w:bCs/>
                <w:color w:val="000000" w:themeColor="text1"/>
                <w:sz w:val="20"/>
                <w:szCs w:val="20"/>
              </w:rPr>
              <w:t>Component 4</w:t>
            </w:r>
            <w:r>
              <w:rPr>
                <w:rFonts w:ascii="Calibri" w:hAnsi="Calibri" w:cs="Calibri"/>
                <w:color w:val="000000" w:themeColor="text1"/>
                <w:sz w:val="20"/>
                <w:szCs w:val="20"/>
              </w:rPr>
              <w:t>: Promote regional and national frameworks for innovative sustainable blue/ocean economy finance to foster positive ecosystem, social and economic impacts</w:t>
            </w:r>
          </w:p>
        </w:tc>
        <w:tc>
          <w:tcPr>
            <w:tcW w:w="2693" w:type="dxa"/>
          </w:tcPr>
          <w:p w14:paraId="6809184E" w14:textId="77777777" w:rsidR="00CF33D9" w:rsidRDefault="00E3332A">
            <w:pPr>
              <w:rPr>
                <w:rFonts w:ascii="Calibri" w:hAnsi="Calibri" w:cs="Calibri"/>
                <w:color w:val="000000"/>
                <w:sz w:val="20"/>
                <w:szCs w:val="20"/>
              </w:rPr>
            </w:pPr>
            <w:r>
              <w:rPr>
                <w:rFonts w:ascii="Calibri" w:hAnsi="Calibri" w:cs="Calibri"/>
                <w:color w:val="000000" w:themeColor="text1"/>
                <w:sz w:val="20"/>
                <w:szCs w:val="20"/>
              </w:rPr>
              <w:t>4.1.1 Policies and strategies for Sustainable Blue/ Ocean Economy finance developed and/or strengthened</w:t>
            </w:r>
          </w:p>
        </w:tc>
        <w:tc>
          <w:tcPr>
            <w:tcW w:w="2693" w:type="dxa"/>
          </w:tcPr>
          <w:p w14:paraId="6809184F" w14:textId="77777777" w:rsidR="00CF33D9" w:rsidRDefault="00E3332A">
            <w:pPr>
              <w:rPr>
                <w:rFonts w:ascii="Calibri" w:hAnsi="Calibri" w:cs="Calibri"/>
                <w:color w:val="000000"/>
                <w:sz w:val="20"/>
                <w:szCs w:val="20"/>
              </w:rPr>
            </w:pPr>
            <w:r>
              <w:rPr>
                <w:rFonts w:ascii="Calibri" w:hAnsi="Calibri" w:cs="Calibri"/>
                <w:sz w:val="20"/>
                <w:szCs w:val="20"/>
                <w:lang w:val="en-IE"/>
              </w:rPr>
              <w:t>Activity 4.1.1.2 Rapid and consultation with key financing actors in the beneficiary countries’ financial ecosystem, to identify key constraints, gaps and opportunities</w:t>
            </w:r>
          </w:p>
        </w:tc>
        <w:tc>
          <w:tcPr>
            <w:tcW w:w="2127" w:type="dxa"/>
          </w:tcPr>
          <w:p w14:paraId="68091850" w14:textId="77777777" w:rsidR="00CF33D9" w:rsidRDefault="00E3332A">
            <w:pPr>
              <w:shd w:val="clear" w:color="auto" w:fill="FFFFFF"/>
              <w:rPr>
                <w:rFonts w:ascii="Calibri" w:hAnsi="Calibri" w:cs="Calibri"/>
                <w:color w:val="000000"/>
                <w:sz w:val="20"/>
                <w:szCs w:val="20"/>
              </w:rPr>
            </w:pPr>
            <w:r>
              <w:rPr>
                <w:rFonts w:ascii="Calibri" w:hAnsi="Calibri" w:cs="Calibri"/>
                <w:color w:val="000000"/>
                <w:sz w:val="20"/>
                <w:szCs w:val="20"/>
              </w:rPr>
              <w:t>Project Steering Committee</w:t>
            </w:r>
          </w:p>
          <w:p w14:paraId="68091851" w14:textId="77777777" w:rsidR="00CF33D9" w:rsidRDefault="00E3332A">
            <w:pPr>
              <w:shd w:val="clear" w:color="auto" w:fill="FFFFFF"/>
              <w:rPr>
                <w:rFonts w:ascii="Calibri" w:hAnsi="Calibri" w:cs="Calibri"/>
                <w:color w:val="000000"/>
                <w:sz w:val="20"/>
                <w:szCs w:val="20"/>
              </w:rPr>
            </w:pPr>
            <w:r>
              <w:rPr>
                <w:rFonts w:ascii="Calibri" w:hAnsi="Calibri" w:cs="Calibri"/>
                <w:color w:val="000000"/>
                <w:sz w:val="20"/>
                <w:szCs w:val="20"/>
              </w:rPr>
              <w:t>Consultation meetings</w:t>
            </w:r>
          </w:p>
          <w:p w14:paraId="68091852" w14:textId="77777777" w:rsidR="00CF33D9" w:rsidRDefault="00E3332A">
            <w:pPr>
              <w:shd w:val="clear" w:color="auto" w:fill="FFFFFF"/>
              <w:rPr>
                <w:rFonts w:ascii="Calibri" w:hAnsi="Calibri" w:cs="Calibri"/>
                <w:color w:val="000000"/>
                <w:sz w:val="20"/>
                <w:szCs w:val="20"/>
              </w:rPr>
            </w:pPr>
            <w:r>
              <w:rPr>
                <w:rFonts w:ascii="Calibri" w:hAnsi="Calibri" w:cs="Calibri"/>
                <w:color w:val="000000"/>
                <w:sz w:val="20"/>
                <w:szCs w:val="20"/>
              </w:rPr>
              <w:t xml:space="preserve">Workshops </w:t>
            </w:r>
          </w:p>
          <w:p w14:paraId="68091853" w14:textId="77777777" w:rsidR="00CF33D9" w:rsidRDefault="00CF33D9">
            <w:pPr>
              <w:shd w:val="clear" w:color="auto" w:fill="FFFFFF"/>
              <w:rPr>
                <w:rFonts w:ascii="Calibri" w:hAnsi="Calibri" w:cs="Calibri"/>
                <w:b/>
                <w:color w:val="000000"/>
                <w:sz w:val="20"/>
                <w:szCs w:val="20"/>
              </w:rPr>
            </w:pPr>
          </w:p>
        </w:tc>
        <w:tc>
          <w:tcPr>
            <w:tcW w:w="2127" w:type="dxa"/>
          </w:tcPr>
          <w:p w14:paraId="68091854" w14:textId="77777777" w:rsidR="00CF33D9" w:rsidRDefault="00E3332A">
            <w:pPr>
              <w:rPr>
                <w:rFonts w:ascii="Calibri" w:hAnsi="Calibri" w:cs="Calibri"/>
                <w:color w:val="000000"/>
                <w:sz w:val="20"/>
                <w:szCs w:val="20"/>
              </w:rPr>
            </w:pPr>
            <w:r>
              <w:rPr>
                <w:rFonts w:ascii="Calibri" w:hAnsi="Calibri" w:cs="Calibri"/>
                <w:color w:val="000000"/>
                <w:sz w:val="20"/>
                <w:szCs w:val="20"/>
              </w:rPr>
              <w:t xml:space="preserve">Updates on the BCC website </w:t>
            </w:r>
          </w:p>
          <w:p w14:paraId="68091855" w14:textId="77777777" w:rsidR="00CF33D9" w:rsidRDefault="00E3332A">
            <w:pPr>
              <w:rPr>
                <w:rFonts w:ascii="Calibri" w:hAnsi="Calibri" w:cs="Calibri"/>
                <w:color w:val="000000"/>
                <w:sz w:val="20"/>
                <w:szCs w:val="20"/>
              </w:rPr>
            </w:pPr>
            <w:r>
              <w:rPr>
                <w:rFonts w:ascii="Calibri" w:hAnsi="Calibri" w:cs="Calibri"/>
                <w:color w:val="000000"/>
                <w:sz w:val="20"/>
                <w:szCs w:val="20"/>
              </w:rPr>
              <w:t>Presentations</w:t>
            </w:r>
          </w:p>
          <w:p w14:paraId="68091856" w14:textId="77777777" w:rsidR="00CF33D9" w:rsidRDefault="00E3332A">
            <w:pPr>
              <w:rPr>
                <w:rFonts w:ascii="Calibri" w:hAnsi="Calibri" w:cs="Calibri"/>
                <w:color w:val="000000"/>
                <w:sz w:val="20"/>
                <w:szCs w:val="20"/>
              </w:rPr>
            </w:pPr>
            <w:r>
              <w:rPr>
                <w:rFonts w:ascii="Calibri" w:hAnsi="Calibri" w:cs="Calibri"/>
                <w:color w:val="000000"/>
                <w:sz w:val="20"/>
                <w:szCs w:val="20"/>
              </w:rPr>
              <w:t>Booklets</w:t>
            </w:r>
          </w:p>
          <w:p w14:paraId="68091857" w14:textId="77777777" w:rsidR="00CF33D9" w:rsidRDefault="00E3332A">
            <w:pPr>
              <w:rPr>
                <w:rFonts w:ascii="Calibri" w:hAnsi="Calibri" w:cs="Calibri"/>
                <w:color w:val="000000"/>
                <w:sz w:val="20"/>
                <w:szCs w:val="20"/>
              </w:rPr>
            </w:pPr>
            <w:r>
              <w:rPr>
                <w:rFonts w:ascii="Calibri" w:hAnsi="Calibri" w:cs="Calibri"/>
                <w:color w:val="000000"/>
                <w:sz w:val="20"/>
                <w:szCs w:val="20"/>
              </w:rPr>
              <w:t>Flyers</w:t>
            </w:r>
          </w:p>
          <w:p w14:paraId="68091858" w14:textId="77777777" w:rsidR="00CF33D9" w:rsidRDefault="00E3332A">
            <w:pPr>
              <w:rPr>
                <w:rFonts w:ascii="Calibri" w:hAnsi="Calibri" w:cs="Calibri"/>
                <w:color w:val="000000"/>
                <w:sz w:val="20"/>
                <w:szCs w:val="20"/>
              </w:rPr>
            </w:pPr>
            <w:r>
              <w:rPr>
                <w:rFonts w:ascii="Calibri" w:hAnsi="Calibri" w:cs="Calibri"/>
                <w:color w:val="000000"/>
                <w:sz w:val="20"/>
                <w:szCs w:val="20"/>
              </w:rPr>
              <w:t>Reports</w:t>
            </w:r>
          </w:p>
          <w:p w14:paraId="68091859" w14:textId="77777777" w:rsidR="00CF33D9" w:rsidRDefault="00E3332A">
            <w:pPr>
              <w:rPr>
                <w:rFonts w:ascii="Calibri" w:hAnsi="Calibri" w:cs="Calibri"/>
                <w:color w:val="000000"/>
                <w:sz w:val="20"/>
                <w:szCs w:val="20"/>
              </w:rPr>
            </w:pPr>
            <w:r>
              <w:rPr>
                <w:rFonts w:ascii="Calibri" w:hAnsi="Calibri" w:cs="Calibri"/>
                <w:color w:val="000000"/>
                <w:sz w:val="20"/>
                <w:szCs w:val="20"/>
              </w:rPr>
              <w:t>Press releases</w:t>
            </w:r>
          </w:p>
          <w:p w14:paraId="6809185A" w14:textId="77777777" w:rsidR="00CF33D9" w:rsidRDefault="00E3332A">
            <w:pPr>
              <w:rPr>
                <w:rFonts w:ascii="Calibri" w:hAnsi="Calibri" w:cs="Calibri"/>
                <w:color w:val="000000"/>
                <w:sz w:val="20"/>
                <w:szCs w:val="20"/>
              </w:rPr>
            </w:pPr>
            <w:r>
              <w:rPr>
                <w:rFonts w:ascii="Calibri" w:hAnsi="Calibri" w:cs="Calibri"/>
                <w:color w:val="000000"/>
                <w:sz w:val="20"/>
                <w:szCs w:val="20"/>
              </w:rPr>
              <w:t>Summaries of the meetings</w:t>
            </w:r>
          </w:p>
        </w:tc>
        <w:tc>
          <w:tcPr>
            <w:tcW w:w="1620" w:type="dxa"/>
          </w:tcPr>
          <w:p w14:paraId="6809185B" w14:textId="77777777" w:rsidR="00CF33D9" w:rsidRDefault="00E3332A">
            <w:pPr>
              <w:rPr>
                <w:rFonts w:ascii="Calibri" w:hAnsi="Calibri" w:cs="Calibri"/>
                <w:color w:val="000000"/>
                <w:sz w:val="20"/>
                <w:szCs w:val="20"/>
              </w:rPr>
            </w:pPr>
            <w:r>
              <w:rPr>
                <w:rFonts w:ascii="Calibri" w:hAnsi="Calibri" w:cs="Calibri"/>
                <w:color w:val="000000"/>
                <w:sz w:val="20"/>
                <w:szCs w:val="20"/>
              </w:rPr>
              <w:t>Project coordinator</w:t>
            </w:r>
          </w:p>
          <w:p w14:paraId="6809185C" w14:textId="77777777" w:rsidR="00CF33D9" w:rsidRDefault="00E3332A">
            <w:pPr>
              <w:rPr>
                <w:rFonts w:ascii="Calibri" w:hAnsi="Calibri" w:cs="Calibri"/>
                <w:color w:val="000000"/>
                <w:sz w:val="20"/>
                <w:szCs w:val="20"/>
              </w:rPr>
            </w:pPr>
            <w:r>
              <w:rPr>
                <w:rFonts w:ascii="Calibri" w:hAnsi="Calibri" w:cs="Calibri"/>
                <w:color w:val="000000"/>
                <w:sz w:val="20"/>
                <w:szCs w:val="20"/>
              </w:rPr>
              <w:t>BCC capacity development manager</w:t>
            </w:r>
          </w:p>
        </w:tc>
        <w:tc>
          <w:tcPr>
            <w:tcW w:w="1497" w:type="dxa"/>
          </w:tcPr>
          <w:p w14:paraId="6809185D" w14:textId="77777777" w:rsidR="00CF33D9" w:rsidRDefault="00E3332A">
            <w:pPr>
              <w:rPr>
                <w:rFonts w:ascii="Calibri" w:hAnsi="Calibri" w:cs="Calibri"/>
                <w:color w:val="000000"/>
                <w:sz w:val="20"/>
                <w:szCs w:val="20"/>
              </w:rPr>
            </w:pPr>
            <w:r>
              <w:rPr>
                <w:rFonts w:ascii="Calibri" w:hAnsi="Calibri" w:cs="Calibri"/>
                <w:color w:val="000000"/>
                <w:sz w:val="20"/>
                <w:szCs w:val="20"/>
              </w:rPr>
              <w:t>Private sector representatives</w:t>
            </w:r>
          </w:p>
          <w:p w14:paraId="6809185E" w14:textId="77777777" w:rsidR="00CF33D9" w:rsidRDefault="00E3332A">
            <w:pPr>
              <w:rPr>
                <w:rFonts w:ascii="Calibri" w:hAnsi="Calibri" w:cs="Calibri"/>
                <w:color w:val="000000"/>
                <w:sz w:val="20"/>
                <w:szCs w:val="20"/>
              </w:rPr>
            </w:pPr>
            <w:r>
              <w:rPr>
                <w:rFonts w:ascii="Calibri" w:hAnsi="Calibri" w:cs="Calibri"/>
                <w:color w:val="000000"/>
                <w:sz w:val="20"/>
                <w:szCs w:val="20"/>
              </w:rPr>
              <w:t>Regional donor agencies</w:t>
            </w:r>
          </w:p>
        </w:tc>
        <w:tc>
          <w:tcPr>
            <w:tcW w:w="1249" w:type="dxa"/>
          </w:tcPr>
          <w:p w14:paraId="6809185F" w14:textId="77777777" w:rsidR="00CF33D9" w:rsidRDefault="00E3332A">
            <w:pPr>
              <w:rPr>
                <w:rFonts w:ascii="Calibri" w:hAnsi="Calibri" w:cs="Calibri"/>
                <w:color w:val="000000"/>
                <w:sz w:val="20"/>
                <w:szCs w:val="20"/>
              </w:rPr>
            </w:pPr>
            <w:r>
              <w:rPr>
                <w:rFonts w:ascii="Calibri" w:hAnsi="Calibri" w:cs="Calibri"/>
                <w:color w:val="000000"/>
                <w:sz w:val="20"/>
                <w:szCs w:val="20"/>
              </w:rPr>
              <w:t>20,000</w:t>
            </w:r>
          </w:p>
        </w:tc>
      </w:tr>
      <w:tr w:rsidR="00CF33D9" w14:paraId="68091875" w14:textId="77777777">
        <w:tc>
          <w:tcPr>
            <w:tcW w:w="1418" w:type="dxa"/>
            <w:vMerge/>
          </w:tcPr>
          <w:p w14:paraId="68091861" w14:textId="77777777" w:rsidR="00CF33D9" w:rsidRDefault="00CF33D9">
            <w:pPr>
              <w:rPr>
                <w:rFonts w:ascii="Calibri" w:hAnsi="Calibri" w:cs="Calibri"/>
                <w:b/>
                <w:bCs/>
                <w:color w:val="000000" w:themeColor="text1"/>
                <w:sz w:val="20"/>
                <w:szCs w:val="20"/>
              </w:rPr>
            </w:pPr>
          </w:p>
        </w:tc>
        <w:tc>
          <w:tcPr>
            <w:tcW w:w="2693" w:type="dxa"/>
          </w:tcPr>
          <w:p w14:paraId="68091862" w14:textId="77777777" w:rsidR="00CF33D9" w:rsidRDefault="00E3332A">
            <w:pPr>
              <w:rPr>
                <w:rFonts w:ascii="Calibri" w:hAnsi="Calibri" w:cs="Calibri"/>
                <w:color w:val="000000"/>
                <w:sz w:val="20"/>
                <w:szCs w:val="20"/>
              </w:rPr>
            </w:pPr>
            <w:r>
              <w:rPr>
                <w:rFonts w:ascii="Calibri" w:hAnsi="Calibri" w:cs="Calibri"/>
                <w:color w:val="000000" w:themeColor="text1"/>
                <w:sz w:val="20"/>
                <w:szCs w:val="20"/>
              </w:rPr>
              <w:t>4.1.2: Reinforced national and regional (public sector) capacities in the design and implementation of bankable Sustainable Blue/ocean economy projects, innovative financing, principles, standards and green investments, among others, to advance the BE agenda through short and long-term training</w:t>
            </w:r>
          </w:p>
        </w:tc>
        <w:tc>
          <w:tcPr>
            <w:tcW w:w="2693" w:type="dxa"/>
          </w:tcPr>
          <w:p w14:paraId="68091863" w14:textId="77777777" w:rsidR="00CF33D9" w:rsidRDefault="00E3332A">
            <w:pPr>
              <w:rPr>
                <w:rFonts w:ascii="Calibri" w:hAnsi="Calibri" w:cs="Calibri"/>
                <w:color w:val="000000"/>
                <w:sz w:val="20"/>
                <w:szCs w:val="20"/>
              </w:rPr>
            </w:pPr>
            <w:r>
              <w:rPr>
                <w:rFonts w:ascii="Calibri" w:hAnsi="Calibri" w:cs="Calibri"/>
                <w:sz w:val="20"/>
                <w:szCs w:val="20"/>
                <w:lang w:val="en-IE"/>
              </w:rPr>
              <w:t>Activity 4.1.2.1: Needs analysis of the national and regional public sector capacities in the design and implementation of bankable Sustainable Blue/ocean economy projects, innovative financing, principles, standards and green investments.</w:t>
            </w:r>
          </w:p>
        </w:tc>
        <w:tc>
          <w:tcPr>
            <w:tcW w:w="2127" w:type="dxa"/>
          </w:tcPr>
          <w:p w14:paraId="68091864" w14:textId="77777777" w:rsidR="00CF33D9" w:rsidRDefault="00E3332A">
            <w:pPr>
              <w:shd w:val="clear" w:color="auto" w:fill="FFFFFF"/>
              <w:rPr>
                <w:rFonts w:ascii="Calibri" w:hAnsi="Calibri" w:cs="Calibri"/>
                <w:color w:val="000000"/>
                <w:sz w:val="20"/>
                <w:szCs w:val="20"/>
              </w:rPr>
            </w:pPr>
            <w:r>
              <w:rPr>
                <w:rFonts w:ascii="Calibri" w:hAnsi="Calibri" w:cs="Calibri"/>
                <w:color w:val="000000"/>
                <w:sz w:val="20"/>
                <w:szCs w:val="20"/>
              </w:rPr>
              <w:t>Consultation meetings</w:t>
            </w:r>
          </w:p>
          <w:p w14:paraId="68091865" w14:textId="77777777" w:rsidR="00CF33D9" w:rsidRDefault="00E3332A">
            <w:pPr>
              <w:shd w:val="clear" w:color="auto" w:fill="FFFFFF"/>
              <w:rPr>
                <w:rFonts w:ascii="Calibri" w:hAnsi="Calibri" w:cs="Calibri"/>
                <w:color w:val="000000"/>
                <w:sz w:val="20"/>
                <w:szCs w:val="20"/>
              </w:rPr>
            </w:pPr>
            <w:r>
              <w:rPr>
                <w:rFonts w:ascii="Calibri" w:hAnsi="Calibri" w:cs="Calibri"/>
                <w:color w:val="000000"/>
                <w:sz w:val="20"/>
                <w:szCs w:val="20"/>
              </w:rPr>
              <w:t xml:space="preserve">Workshops </w:t>
            </w:r>
          </w:p>
          <w:p w14:paraId="68091866" w14:textId="77777777" w:rsidR="00CF33D9" w:rsidRDefault="00CF33D9">
            <w:pPr>
              <w:shd w:val="clear" w:color="auto" w:fill="FFFFFF"/>
              <w:rPr>
                <w:rFonts w:ascii="Calibri" w:hAnsi="Calibri" w:cs="Calibri"/>
                <w:b/>
                <w:color w:val="000000"/>
                <w:sz w:val="20"/>
                <w:szCs w:val="20"/>
              </w:rPr>
            </w:pPr>
          </w:p>
        </w:tc>
        <w:tc>
          <w:tcPr>
            <w:tcW w:w="2127" w:type="dxa"/>
          </w:tcPr>
          <w:p w14:paraId="68091867" w14:textId="77777777" w:rsidR="00CF33D9" w:rsidRDefault="00E3332A">
            <w:pPr>
              <w:rPr>
                <w:rFonts w:ascii="Calibri" w:hAnsi="Calibri" w:cs="Calibri"/>
                <w:color w:val="000000"/>
                <w:sz w:val="20"/>
                <w:szCs w:val="20"/>
              </w:rPr>
            </w:pPr>
            <w:r>
              <w:rPr>
                <w:rFonts w:ascii="Calibri" w:hAnsi="Calibri" w:cs="Calibri"/>
                <w:color w:val="000000"/>
                <w:sz w:val="20"/>
                <w:szCs w:val="20"/>
              </w:rPr>
              <w:t xml:space="preserve">Updates on the BCC website </w:t>
            </w:r>
          </w:p>
          <w:p w14:paraId="68091868" w14:textId="77777777" w:rsidR="00CF33D9" w:rsidRDefault="00E3332A">
            <w:pPr>
              <w:rPr>
                <w:rFonts w:ascii="Calibri" w:hAnsi="Calibri" w:cs="Calibri"/>
                <w:color w:val="000000"/>
                <w:sz w:val="20"/>
                <w:szCs w:val="20"/>
              </w:rPr>
            </w:pPr>
            <w:r>
              <w:rPr>
                <w:rFonts w:ascii="Calibri" w:hAnsi="Calibri" w:cs="Calibri"/>
                <w:color w:val="000000"/>
                <w:sz w:val="20"/>
                <w:szCs w:val="20"/>
              </w:rPr>
              <w:t>Presentations</w:t>
            </w:r>
          </w:p>
          <w:p w14:paraId="68091869" w14:textId="77777777" w:rsidR="00CF33D9" w:rsidRDefault="00E3332A">
            <w:pPr>
              <w:rPr>
                <w:rFonts w:ascii="Calibri" w:hAnsi="Calibri" w:cs="Calibri"/>
                <w:color w:val="000000"/>
                <w:sz w:val="20"/>
                <w:szCs w:val="20"/>
              </w:rPr>
            </w:pPr>
            <w:r>
              <w:rPr>
                <w:rFonts w:ascii="Calibri" w:hAnsi="Calibri" w:cs="Calibri"/>
                <w:color w:val="000000"/>
                <w:sz w:val="20"/>
                <w:szCs w:val="20"/>
              </w:rPr>
              <w:t>Booklets</w:t>
            </w:r>
          </w:p>
          <w:p w14:paraId="6809186A" w14:textId="77777777" w:rsidR="00CF33D9" w:rsidRDefault="00E3332A">
            <w:pPr>
              <w:rPr>
                <w:rFonts w:ascii="Calibri" w:hAnsi="Calibri" w:cs="Calibri"/>
                <w:color w:val="000000"/>
                <w:sz w:val="20"/>
                <w:szCs w:val="20"/>
              </w:rPr>
            </w:pPr>
            <w:r>
              <w:rPr>
                <w:rFonts w:ascii="Calibri" w:hAnsi="Calibri" w:cs="Calibri"/>
                <w:color w:val="000000"/>
                <w:sz w:val="20"/>
                <w:szCs w:val="20"/>
              </w:rPr>
              <w:t>Flyers</w:t>
            </w:r>
          </w:p>
          <w:p w14:paraId="6809186B" w14:textId="77777777" w:rsidR="00CF33D9" w:rsidRDefault="00E3332A">
            <w:pPr>
              <w:rPr>
                <w:rFonts w:ascii="Calibri" w:hAnsi="Calibri" w:cs="Calibri"/>
                <w:color w:val="000000"/>
                <w:sz w:val="20"/>
                <w:szCs w:val="20"/>
              </w:rPr>
            </w:pPr>
            <w:r>
              <w:rPr>
                <w:rFonts w:ascii="Calibri" w:hAnsi="Calibri" w:cs="Calibri"/>
                <w:color w:val="000000"/>
                <w:sz w:val="20"/>
                <w:szCs w:val="20"/>
              </w:rPr>
              <w:t>Reports</w:t>
            </w:r>
          </w:p>
          <w:p w14:paraId="6809186C" w14:textId="77777777" w:rsidR="00CF33D9" w:rsidRDefault="00E3332A">
            <w:pPr>
              <w:rPr>
                <w:rFonts w:ascii="Calibri" w:hAnsi="Calibri" w:cs="Calibri"/>
                <w:color w:val="000000"/>
                <w:sz w:val="20"/>
                <w:szCs w:val="20"/>
              </w:rPr>
            </w:pPr>
            <w:r>
              <w:rPr>
                <w:rFonts w:ascii="Calibri" w:hAnsi="Calibri" w:cs="Calibri"/>
                <w:color w:val="000000"/>
                <w:sz w:val="20"/>
                <w:szCs w:val="20"/>
              </w:rPr>
              <w:t>Press releases</w:t>
            </w:r>
          </w:p>
          <w:p w14:paraId="6809186D" w14:textId="77777777" w:rsidR="00CF33D9" w:rsidRDefault="00E3332A">
            <w:pPr>
              <w:rPr>
                <w:rFonts w:ascii="Calibri" w:hAnsi="Calibri" w:cs="Calibri"/>
                <w:color w:val="000000"/>
                <w:sz w:val="20"/>
                <w:szCs w:val="20"/>
              </w:rPr>
            </w:pPr>
            <w:r>
              <w:rPr>
                <w:rFonts w:ascii="Calibri" w:hAnsi="Calibri" w:cs="Calibri"/>
                <w:color w:val="000000"/>
                <w:sz w:val="20"/>
                <w:szCs w:val="20"/>
              </w:rPr>
              <w:t>Summaries of the meetings</w:t>
            </w:r>
          </w:p>
          <w:p w14:paraId="6809186E" w14:textId="77777777" w:rsidR="00CF33D9" w:rsidRDefault="00CF33D9">
            <w:pPr>
              <w:rPr>
                <w:rFonts w:ascii="Calibri" w:hAnsi="Calibri" w:cs="Calibri"/>
                <w:color w:val="000000"/>
                <w:sz w:val="20"/>
                <w:szCs w:val="20"/>
              </w:rPr>
            </w:pPr>
          </w:p>
        </w:tc>
        <w:tc>
          <w:tcPr>
            <w:tcW w:w="1620" w:type="dxa"/>
          </w:tcPr>
          <w:p w14:paraId="6809186F" w14:textId="77777777" w:rsidR="00CF33D9" w:rsidRDefault="00E3332A">
            <w:pPr>
              <w:rPr>
                <w:rFonts w:ascii="Calibri" w:hAnsi="Calibri" w:cs="Calibri"/>
                <w:color w:val="000000"/>
                <w:sz w:val="20"/>
                <w:szCs w:val="20"/>
              </w:rPr>
            </w:pPr>
            <w:r>
              <w:rPr>
                <w:rFonts w:ascii="Calibri" w:hAnsi="Calibri" w:cs="Calibri"/>
                <w:color w:val="000000"/>
                <w:sz w:val="20"/>
                <w:szCs w:val="20"/>
              </w:rPr>
              <w:t>Project coordinator</w:t>
            </w:r>
          </w:p>
          <w:p w14:paraId="68091870" w14:textId="77777777" w:rsidR="00CF33D9" w:rsidRDefault="00E3332A">
            <w:pPr>
              <w:rPr>
                <w:rFonts w:ascii="Calibri" w:hAnsi="Calibri" w:cs="Calibri"/>
                <w:color w:val="000000"/>
                <w:sz w:val="20"/>
                <w:szCs w:val="20"/>
              </w:rPr>
            </w:pPr>
            <w:r>
              <w:rPr>
                <w:rFonts w:ascii="Calibri" w:hAnsi="Calibri" w:cs="Calibri"/>
                <w:color w:val="000000"/>
                <w:sz w:val="20"/>
                <w:szCs w:val="20"/>
              </w:rPr>
              <w:t>BCC capacity development manager</w:t>
            </w:r>
          </w:p>
        </w:tc>
        <w:tc>
          <w:tcPr>
            <w:tcW w:w="1497" w:type="dxa"/>
          </w:tcPr>
          <w:p w14:paraId="68091871" w14:textId="77777777" w:rsidR="00CF33D9" w:rsidRDefault="00E3332A">
            <w:pPr>
              <w:rPr>
                <w:rFonts w:ascii="Calibri" w:hAnsi="Calibri" w:cs="Calibri"/>
                <w:color w:val="000000"/>
                <w:sz w:val="20"/>
                <w:szCs w:val="20"/>
              </w:rPr>
            </w:pPr>
            <w:r>
              <w:rPr>
                <w:rFonts w:ascii="Calibri" w:hAnsi="Calibri" w:cs="Calibri"/>
                <w:color w:val="000000"/>
                <w:sz w:val="20"/>
                <w:szCs w:val="20"/>
              </w:rPr>
              <w:t>Government officials from sector ministries</w:t>
            </w:r>
          </w:p>
          <w:p w14:paraId="68091872" w14:textId="77777777" w:rsidR="00CF33D9" w:rsidRDefault="00E3332A">
            <w:pPr>
              <w:rPr>
                <w:rFonts w:ascii="Calibri" w:hAnsi="Calibri" w:cs="Calibri"/>
                <w:color w:val="000000"/>
                <w:sz w:val="20"/>
                <w:szCs w:val="20"/>
              </w:rPr>
            </w:pPr>
            <w:r>
              <w:rPr>
                <w:rFonts w:ascii="Calibri" w:hAnsi="Calibri" w:cs="Calibri"/>
                <w:color w:val="000000"/>
                <w:sz w:val="20"/>
                <w:szCs w:val="20"/>
              </w:rPr>
              <w:t>Academia</w:t>
            </w:r>
          </w:p>
          <w:p w14:paraId="68091873" w14:textId="77777777" w:rsidR="00CF33D9" w:rsidRDefault="00E3332A">
            <w:pPr>
              <w:rPr>
                <w:rFonts w:ascii="Calibri" w:hAnsi="Calibri" w:cs="Calibri"/>
                <w:color w:val="000000"/>
                <w:sz w:val="20"/>
                <w:szCs w:val="20"/>
              </w:rPr>
            </w:pPr>
            <w:r>
              <w:rPr>
                <w:rFonts w:ascii="Calibri" w:hAnsi="Calibri" w:cs="Calibri"/>
                <w:color w:val="000000"/>
                <w:sz w:val="20"/>
                <w:szCs w:val="20"/>
              </w:rPr>
              <w:t>Local authorities</w:t>
            </w:r>
          </w:p>
        </w:tc>
        <w:tc>
          <w:tcPr>
            <w:tcW w:w="1249" w:type="dxa"/>
          </w:tcPr>
          <w:p w14:paraId="68091874" w14:textId="77777777" w:rsidR="00CF33D9" w:rsidRDefault="00E3332A">
            <w:pPr>
              <w:rPr>
                <w:rFonts w:ascii="Calibri" w:hAnsi="Calibri" w:cs="Calibri"/>
                <w:color w:val="000000"/>
                <w:sz w:val="20"/>
                <w:szCs w:val="20"/>
              </w:rPr>
            </w:pPr>
            <w:r>
              <w:rPr>
                <w:rFonts w:ascii="Calibri" w:hAnsi="Calibri" w:cs="Calibri"/>
                <w:color w:val="000000"/>
                <w:sz w:val="20"/>
                <w:szCs w:val="20"/>
              </w:rPr>
              <w:t>15,000</w:t>
            </w:r>
          </w:p>
        </w:tc>
      </w:tr>
      <w:tr w:rsidR="00CF33D9" w14:paraId="68091889" w14:textId="77777777">
        <w:tc>
          <w:tcPr>
            <w:tcW w:w="1418" w:type="dxa"/>
            <w:vMerge/>
          </w:tcPr>
          <w:p w14:paraId="68091876" w14:textId="77777777" w:rsidR="00CF33D9" w:rsidRDefault="00CF33D9">
            <w:pPr>
              <w:rPr>
                <w:rFonts w:ascii="Calibri" w:hAnsi="Calibri" w:cs="Calibri"/>
                <w:b/>
                <w:bCs/>
                <w:color w:val="000000" w:themeColor="text1"/>
                <w:sz w:val="20"/>
                <w:szCs w:val="20"/>
              </w:rPr>
            </w:pPr>
          </w:p>
        </w:tc>
        <w:tc>
          <w:tcPr>
            <w:tcW w:w="2693" w:type="dxa"/>
          </w:tcPr>
          <w:p w14:paraId="68091877" w14:textId="77777777" w:rsidR="00CF33D9" w:rsidRDefault="00E3332A">
            <w:pPr>
              <w:rPr>
                <w:rFonts w:ascii="Calibri" w:hAnsi="Calibri" w:cs="Calibri"/>
                <w:color w:val="000000"/>
                <w:sz w:val="20"/>
                <w:szCs w:val="20"/>
              </w:rPr>
            </w:pPr>
            <w:r>
              <w:rPr>
                <w:rFonts w:ascii="Calibri" w:hAnsi="Calibri" w:cs="Calibri"/>
                <w:color w:val="000000" w:themeColor="text1"/>
                <w:sz w:val="20"/>
                <w:szCs w:val="20"/>
              </w:rPr>
              <w:t>4.1.3: Capacities developed (with gender-sensitive approach) for private sector and local level engagement, and delivery of investment-ready innovative bankable projects</w:t>
            </w:r>
          </w:p>
        </w:tc>
        <w:tc>
          <w:tcPr>
            <w:tcW w:w="2693" w:type="dxa"/>
          </w:tcPr>
          <w:p w14:paraId="68091878" w14:textId="77777777" w:rsidR="00CF33D9" w:rsidRDefault="00E3332A">
            <w:pPr>
              <w:rPr>
                <w:rFonts w:ascii="Calibri" w:hAnsi="Calibri" w:cs="Calibri"/>
                <w:color w:val="000000"/>
                <w:sz w:val="20"/>
                <w:szCs w:val="20"/>
              </w:rPr>
            </w:pPr>
            <w:r>
              <w:rPr>
                <w:rFonts w:ascii="Calibri" w:hAnsi="Calibri" w:cs="Calibri"/>
                <w:sz w:val="20"/>
                <w:szCs w:val="20"/>
                <w:lang w:val="en-IE"/>
              </w:rPr>
              <w:t>Activity 4.1.3.1: Needs analysis of the private sector and local level engagement capacity in delivering investment-ready innovative bankable projects.</w:t>
            </w:r>
          </w:p>
        </w:tc>
        <w:tc>
          <w:tcPr>
            <w:tcW w:w="2127" w:type="dxa"/>
          </w:tcPr>
          <w:p w14:paraId="68091879" w14:textId="77777777" w:rsidR="00CF33D9" w:rsidRDefault="00E3332A">
            <w:pPr>
              <w:shd w:val="clear" w:color="auto" w:fill="FFFFFF"/>
              <w:rPr>
                <w:rFonts w:ascii="Calibri" w:hAnsi="Calibri" w:cs="Calibri"/>
                <w:color w:val="000000"/>
                <w:sz w:val="20"/>
                <w:szCs w:val="20"/>
              </w:rPr>
            </w:pPr>
            <w:r>
              <w:rPr>
                <w:rFonts w:ascii="Calibri" w:hAnsi="Calibri" w:cs="Calibri"/>
                <w:color w:val="000000"/>
                <w:sz w:val="20"/>
                <w:szCs w:val="20"/>
              </w:rPr>
              <w:t>Consultation meetings</w:t>
            </w:r>
          </w:p>
          <w:p w14:paraId="6809187A" w14:textId="77777777" w:rsidR="00CF33D9" w:rsidRDefault="00E3332A">
            <w:pPr>
              <w:shd w:val="clear" w:color="auto" w:fill="FFFFFF"/>
              <w:rPr>
                <w:rFonts w:ascii="Calibri" w:hAnsi="Calibri" w:cs="Calibri"/>
                <w:color w:val="000000"/>
                <w:sz w:val="20"/>
                <w:szCs w:val="20"/>
              </w:rPr>
            </w:pPr>
            <w:r>
              <w:rPr>
                <w:rFonts w:ascii="Calibri" w:hAnsi="Calibri" w:cs="Calibri"/>
                <w:color w:val="000000"/>
                <w:sz w:val="20"/>
                <w:szCs w:val="20"/>
              </w:rPr>
              <w:t xml:space="preserve">Workshops </w:t>
            </w:r>
          </w:p>
          <w:p w14:paraId="6809187B" w14:textId="77777777" w:rsidR="00CF33D9" w:rsidRDefault="00CF33D9">
            <w:pPr>
              <w:shd w:val="clear" w:color="auto" w:fill="FFFFFF"/>
              <w:rPr>
                <w:rFonts w:ascii="Calibri" w:hAnsi="Calibri" w:cs="Calibri"/>
                <w:b/>
                <w:color w:val="000000"/>
                <w:sz w:val="20"/>
                <w:szCs w:val="20"/>
              </w:rPr>
            </w:pPr>
          </w:p>
        </w:tc>
        <w:tc>
          <w:tcPr>
            <w:tcW w:w="2127" w:type="dxa"/>
          </w:tcPr>
          <w:p w14:paraId="6809187C" w14:textId="77777777" w:rsidR="00CF33D9" w:rsidRDefault="00E3332A">
            <w:pPr>
              <w:rPr>
                <w:rFonts w:ascii="Calibri" w:hAnsi="Calibri" w:cs="Calibri"/>
                <w:color w:val="000000"/>
                <w:sz w:val="20"/>
                <w:szCs w:val="20"/>
              </w:rPr>
            </w:pPr>
            <w:r>
              <w:rPr>
                <w:rFonts w:ascii="Calibri" w:hAnsi="Calibri" w:cs="Calibri"/>
                <w:color w:val="000000"/>
                <w:sz w:val="20"/>
                <w:szCs w:val="20"/>
              </w:rPr>
              <w:t xml:space="preserve">Updates on the BCC website </w:t>
            </w:r>
          </w:p>
          <w:p w14:paraId="6809187D" w14:textId="77777777" w:rsidR="00CF33D9" w:rsidRDefault="00E3332A">
            <w:pPr>
              <w:rPr>
                <w:rFonts w:ascii="Calibri" w:hAnsi="Calibri" w:cs="Calibri"/>
                <w:color w:val="000000"/>
                <w:sz w:val="20"/>
                <w:szCs w:val="20"/>
              </w:rPr>
            </w:pPr>
            <w:r>
              <w:rPr>
                <w:rFonts w:ascii="Calibri" w:hAnsi="Calibri" w:cs="Calibri"/>
                <w:color w:val="000000"/>
                <w:sz w:val="20"/>
                <w:szCs w:val="20"/>
              </w:rPr>
              <w:t>Presentations</w:t>
            </w:r>
          </w:p>
          <w:p w14:paraId="6809187E" w14:textId="77777777" w:rsidR="00CF33D9" w:rsidRDefault="00E3332A">
            <w:pPr>
              <w:rPr>
                <w:rFonts w:ascii="Calibri" w:hAnsi="Calibri" w:cs="Calibri"/>
                <w:color w:val="000000"/>
                <w:sz w:val="20"/>
                <w:szCs w:val="20"/>
              </w:rPr>
            </w:pPr>
            <w:r>
              <w:rPr>
                <w:rFonts w:ascii="Calibri" w:hAnsi="Calibri" w:cs="Calibri"/>
                <w:color w:val="000000"/>
                <w:sz w:val="20"/>
                <w:szCs w:val="20"/>
              </w:rPr>
              <w:t>Booklets</w:t>
            </w:r>
          </w:p>
          <w:p w14:paraId="6809187F" w14:textId="77777777" w:rsidR="00CF33D9" w:rsidRDefault="00E3332A">
            <w:pPr>
              <w:rPr>
                <w:rFonts w:ascii="Calibri" w:hAnsi="Calibri" w:cs="Calibri"/>
                <w:color w:val="000000"/>
                <w:sz w:val="20"/>
                <w:szCs w:val="20"/>
              </w:rPr>
            </w:pPr>
            <w:r>
              <w:rPr>
                <w:rFonts w:ascii="Calibri" w:hAnsi="Calibri" w:cs="Calibri"/>
                <w:color w:val="000000"/>
                <w:sz w:val="20"/>
                <w:szCs w:val="20"/>
              </w:rPr>
              <w:t>Flyers</w:t>
            </w:r>
          </w:p>
          <w:p w14:paraId="68091880" w14:textId="77777777" w:rsidR="00CF33D9" w:rsidRDefault="00E3332A">
            <w:pPr>
              <w:rPr>
                <w:rFonts w:ascii="Calibri" w:hAnsi="Calibri" w:cs="Calibri"/>
                <w:color w:val="000000"/>
                <w:sz w:val="20"/>
                <w:szCs w:val="20"/>
              </w:rPr>
            </w:pPr>
            <w:r>
              <w:rPr>
                <w:rFonts w:ascii="Calibri" w:hAnsi="Calibri" w:cs="Calibri"/>
                <w:color w:val="000000"/>
                <w:sz w:val="20"/>
                <w:szCs w:val="20"/>
              </w:rPr>
              <w:t>Reports</w:t>
            </w:r>
          </w:p>
          <w:p w14:paraId="68091881" w14:textId="77777777" w:rsidR="00CF33D9" w:rsidRDefault="00E3332A">
            <w:pPr>
              <w:rPr>
                <w:rFonts w:ascii="Calibri" w:hAnsi="Calibri" w:cs="Calibri"/>
                <w:color w:val="000000"/>
                <w:sz w:val="20"/>
                <w:szCs w:val="20"/>
              </w:rPr>
            </w:pPr>
            <w:r>
              <w:rPr>
                <w:rFonts w:ascii="Calibri" w:hAnsi="Calibri" w:cs="Calibri"/>
                <w:color w:val="000000"/>
                <w:sz w:val="20"/>
                <w:szCs w:val="20"/>
              </w:rPr>
              <w:t>Press releases</w:t>
            </w:r>
          </w:p>
          <w:p w14:paraId="68091882" w14:textId="77777777" w:rsidR="00CF33D9" w:rsidRDefault="00E3332A">
            <w:pPr>
              <w:rPr>
                <w:rFonts w:ascii="Calibri" w:hAnsi="Calibri" w:cs="Calibri"/>
                <w:color w:val="000000"/>
                <w:sz w:val="20"/>
                <w:szCs w:val="20"/>
              </w:rPr>
            </w:pPr>
            <w:r>
              <w:rPr>
                <w:rFonts w:ascii="Calibri" w:hAnsi="Calibri" w:cs="Calibri"/>
                <w:color w:val="000000"/>
                <w:sz w:val="20"/>
                <w:szCs w:val="20"/>
              </w:rPr>
              <w:t>Summaries of the meetings</w:t>
            </w:r>
          </w:p>
        </w:tc>
        <w:tc>
          <w:tcPr>
            <w:tcW w:w="1620" w:type="dxa"/>
          </w:tcPr>
          <w:p w14:paraId="68091883" w14:textId="77777777" w:rsidR="00CF33D9" w:rsidRDefault="00E3332A">
            <w:pPr>
              <w:rPr>
                <w:rFonts w:ascii="Calibri" w:hAnsi="Calibri" w:cs="Calibri"/>
                <w:color w:val="000000"/>
                <w:sz w:val="20"/>
                <w:szCs w:val="20"/>
              </w:rPr>
            </w:pPr>
            <w:r>
              <w:rPr>
                <w:rFonts w:ascii="Calibri" w:hAnsi="Calibri" w:cs="Calibri"/>
                <w:color w:val="000000"/>
                <w:sz w:val="20"/>
                <w:szCs w:val="20"/>
              </w:rPr>
              <w:t>Project coordinator</w:t>
            </w:r>
          </w:p>
          <w:p w14:paraId="68091884" w14:textId="77777777" w:rsidR="00CF33D9" w:rsidRDefault="00E3332A">
            <w:pPr>
              <w:rPr>
                <w:rFonts w:ascii="Calibri" w:hAnsi="Calibri" w:cs="Calibri"/>
                <w:color w:val="000000"/>
                <w:sz w:val="20"/>
                <w:szCs w:val="20"/>
              </w:rPr>
            </w:pPr>
            <w:r>
              <w:rPr>
                <w:rFonts w:ascii="Calibri" w:hAnsi="Calibri" w:cs="Calibri"/>
                <w:color w:val="000000"/>
                <w:sz w:val="20"/>
                <w:szCs w:val="20"/>
              </w:rPr>
              <w:t>BCC capacity development manager</w:t>
            </w:r>
          </w:p>
        </w:tc>
        <w:tc>
          <w:tcPr>
            <w:tcW w:w="1497" w:type="dxa"/>
          </w:tcPr>
          <w:p w14:paraId="68091885" w14:textId="77777777" w:rsidR="00CF33D9" w:rsidRDefault="00E3332A">
            <w:pPr>
              <w:rPr>
                <w:rFonts w:ascii="Calibri" w:hAnsi="Calibri" w:cs="Calibri"/>
                <w:color w:val="000000"/>
                <w:sz w:val="20"/>
                <w:szCs w:val="20"/>
              </w:rPr>
            </w:pPr>
            <w:r>
              <w:rPr>
                <w:rFonts w:ascii="Calibri" w:hAnsi="Calibri" w:cs="Calibri"/>
                <w:color w:val="000000"/>
                <w:sz w:val="20"/>
                <w:szCs w:val="20"/>
              </w:rPr>
              <w:t>Government officials from sector ministries</w:t>
            </w:r>
          </w:p>
          <w:p w14:paraId="68091886" w14:textId="77777777" w:rsidR="00CF33D9" w:rsidRDefault="00E3332A">
            <w:pPr>
              <w:rPr>
                <w:rFonts w:ascii="Calibri" w:hAnsi="Calibri" w:cs="Calibri"/>
                <w:color w:val="000000"/>
                <w:sz w:val="20"/>
                <w:szCs w:val="20"/>
              </w:rPr>
            </w:pPr>
            <w:r>
              <w:rPr>
                <w:rFonts w:ascii="Calibri" w:hAnsi="Calibri" w:cs="Calibri"/>
                <w:color w:val="000000"/>
                <w:sz w:val="20"/>
                <w:szCs w:val="20"/>
              </w:rPr>
              <w:t>Academia</w:t>
            </w:r>
          </w:p>
          <w:p w14:paraId="68091887" w14:textId="77777777" w:rsidR="00CF33D9" w:rsidRDefault="00E3332A">
            <w:pPr>
              <w:rPr>
                <w:rFonts w:ascii="Calibri" w:hAnsi="Calibri" w:cs="Calibri"/>
                <w:color w:val="000000"/>
                <w:sz w:val="20"/>
                <w:szCs w:val="20"/>
              </w:rPr>
            </w:pPr>
            <w:r>
              <w:rPr>
                <w:rFonts w:ascii="Calibri" w:hAnsi="Calibri" w:cs="Calibri"/>
                <w:color w:val="000000"/>
                <w:sz w:val="20"/>
                <w:szCs w:val="20"/>
              </w:rPr>
              <w:t>Local authorities</w:t>
            </w:r>
          </w:p>
        </w:tc>
        <w:tc>
          <w:tcPr>
            <w:tcW w:w="1249" w:type="dxa"/>
          </w:tcPr>
          <w:p w14:paraId="68091888" w14:textId="77777777" w:rsidR="00CF33D9" w:rsidRDefault="00E3332A">
            <w:pPr>
              <w:rPr>
                <w:rFonts w:ascii="Calibri" w:hAnsi="Calibri" w:cs="Calibri"/>
                <w:color w:val="000000"/>
                <w:sz w:val="20"/>
                <w:szCs w:val="20"/>
              </w:rPr>
            </w:pPr>
            <w:r>
              <w:rPr>
                <w:rFonts w:ascii="Calibri" w:hAnsi="Calibri" w:cs="Calibri"/>
                <w:color w:val="000000"/>
                <w:sz w:val="20"/>
                <w:szCs w:val="20"/>
              </w:rPr>
              <w:t>25,000</w:t>
            </w:r>
          </w:p>
        </w:tc>
      </w:tr>
      <w:tr w:rsidR="00CF33D9" w14:paraId="6809189C" w14:textId="77777777">
        <w:tc>
          <w:tcPr>
            <w:tcW w:w="1418" w:type="dxa"/>
            <w:vMerge/>
          </w:tcPr>
          <w:p w14:paraId="6809188A" w14:textId="77777777" w:rsidR="00CF33D9" w:rsidRDefault="00CF33D9">
            <w:pPr>
              <w:rPr>
                <w:rFonts w:ascii="Calibri" w:hAnsi="Calibri" w:cs="Calibri"/>
                <w:b/>
                <w:bCs/>
                <w:color w:val="000000" w:themeColor="text1"/>
                <w:sz w:val="20"/>
                <w:szCs w:val="20"/>
              </w:rPr>
            </w:pPr>
          </w:p>
        </w:tc>
        <w:tc>
          <w:tcPr>
            <w:tcW w:w="2693" w:type="dxa"/>
          </w:tcPr>
          <w:p w14:paraId="6809188B" w14:textId="77777777" w:rsidR="00CF33D9" w:rsidRDefault="00E3332A">
            <w:pPr>
              <w:rPr>
                <w:rFonts w:ascii="Calibri" w:hAnsi="Calibri" w:cs="Calibri"/>
                <w:color w:val="000000"/>
                <w:sz w:val="20"/>
                <w:szCs w:val="20"/>
              </w:rPr>
            </w:pPr>
            <w:r>
              <w:rPr>
                <w:rFonts w:ascii="Calibri" w:hAnsi="Calibri" w:cs="Calibri"/>
                <w:color w:val="000000" w:themeColor="text1"/>
                <w:sz w:val="20"/>
                <w:szCs w:val="20"/>
              </w:rPr>
              <w:t>4.2.1: Viable sustainable blue/ocean finance mechanisms and tools developed and piloted (including incentives to stimulate regional, national, local and private sector SBE investments, pollution reduction, circular economy .)</w:t>
            </w:r>
          </w:p>
        </w:tc>
        <w:tc>
          <w:tcPr>
            <w:tcW w:w="2693" w:type="dxa"/>
          </w:tcPr>
          <w:p w14:paraId="6809188C" w14:textId="77777777" w:rsidR="00CF33D9" w:rsidRDefault="00E3332A">
            <w:pPr>
              <w:rPr>
                <w:rFonts w:ascii="Calibri" w:hAnsi="Calibri" w:cs="Calibri"/>
                <w:color w:val="000000"/>
                <w:sz w:val="20"/>
                <w:szCs w:val="20"/>
              </w:rPr>
            </w:pPr>
            <w:r>
              <w:rPr>
                <w:rFonts w:ascii="Calibri" w:hAnsi="Calibri" w:cs="Calibri"/>
                <w:sz w:val="20"/>
                <w:szCs w:val="20"/>
              </w:rPr>
              <w:t>Activity 4.2.1.4: Presentation and dissemination of the tailored innovative sustainable blue /ocean finance mechanisms and tools to each government and stakeholders to government and stakeholders in each target country.</w:t>
            </w:r>
          </w:p>
        </w:tc>
        <w:tc>
          <w:tcPr>
            <w:tcW w:w="2127" w:type="dxa"/>
          </w:tcPr>
          <w:p w14:paraId="6809188D" w14:textId="77777777" w:rsidR="00CF33D9" w:rsidRDefault="00E3332A">
            <w:pPr>
              <w:shd w:val="clear" w:color="auto" w:fill="FFFFFF"/>
              <w:rPr>
                <w:rFonts w:ascii="Calibri" w:hAnsi="Calibri" w:cs="Calibri"/>
                <w:color w:val="000000"/>
                <w:sz w:val="20"/>
                <w:szCs w:val="20"/>
              </w:rPr>
            </w:pPr>
            <w:r>
              <w:rPr>
                <w:rFonts w:ascii="Calibri" w:hAnsi="Calibri" w:cs="Calibri"/>
                <w:color w:val="000000"/>
                <w:sz w:val="20"/>
                <w:szCs w:val="20"/>
              </w:rPr>
              <w:t>Consultation meetings</w:t>
            </w:r>
          </w:p>
          <w:p w14:paraId="6809188E" w14:textId="77777777" w:rsidR="00CF33D9" w:rsidRDefault="00E3332A">
            <w:pPr>
              <w:shd w:val="clear" w:color="auto" w:fill="FFFFFF"/>
              <w:rPr>
                <w:rFonts w:ascii="Calibri" w:hAnsi="Calibri" w:cs="Calibri"/>
                <w:color w:val="000000"/>
                <w:sz w:val="20"/>
                <w:szCs w:val="20"/>
              </w:rPr>
            </w:pPr>
            <w:r>
              <w:rPr>
                <w:rFonts w:ascii="Calibri" w:hAnsi="Calibri" w:cs="Calibri"/>
                <w:color w:val="000000"/>
                <w:sz w:val="20"/>
                <w:szCs w:val="20"/>
              </w:rPr>
              <w:t xml:space="preserve">Workshops </w:t>
            </w:r>
          </w:p>
          <w:p w14:paraId="6809188F" w14:textId="77777777" w:rsidR="00CF33D9" w:rsidRDefault="00CF33D9">
            <w:pPr>
              <w:shd w:val="clear" w:color="auto" w:fill="FFFFFF"/>
              <w:rPr>
                <w:rFonts w:ascii="Calibri" w:hAnsi="Calibri" w:cs="Calibri"/>
                <w:b/>
                <w:color w:val="000000"/>
                <w:sz w:val="20"/>
                <w:szCs w:val="20"/>
              </w:rPr>
            </w:pPr>
          </w:p>
        </w:tc>
        <w:tc>
          <w:tcPr>
            <w:tcW w:w="2127" w:type="dxa"/>
          </w:tcPr>
          <w:p w14:paraId="68091890" w14:textId="77777777" w:rsidR="00CF33D9" w:rsidRDefault="00E3332A">
            <w:pPr>
              <w:rPr>
                <w:rFonts w:ascii="Calibri" w:hAnsi="Calibri" w:cs="Calibri"/>
                <w:color w:val="000000"/>
                <w:sz w:val="20"/>
                <w:szCs w:val="20"/>
              </w:rPr>
            </w:pPr>
            <w:r>
              <w:rPr>
                <w:rFonts w:ascii="Calibri" w:hAnsi="Calibri" w:cs="Calibri"/>
                <w:color w:val="000000"/>
                <w:sz w:val="20"/>
                <w:szCs w:val="20"/>
              </w:rPr>
              <w:t xml:space="preserve">Updates on the BCC website </w:t>
            </w:r>
          </w:p>
          <w:p w14:paraId="68091891" w14:textId="77777777" w:rsidR="00CF33D9" w:rsidRDefault="00E3332A">
            <w:pPr>
              <w:rPr>
                <w:rFonts w:ascii="Calibri" w:hAnsi="Calibri" w:cs="Calibri"/>
                <w:color w:val="000000"/>
                <w:sz w:val="20"/>
                <w:szCs w:val="20"/>
              </w:rPr>
            </w:pPr>
            <w:r>
              <w:rPr>
                <w:rFonts w:ascii="Calibri" w:hAnsi="Calibri" w:cs="Calibri"/>
                <w:color w:val="000000"/>
                <w:sz w:val="20"/>
                <w:szCs w:val="20"/>
              </w:rPr>
              <w:t>Presentations</w:t>
            </w:r>
          </w:p>
          <w:p w14:paraId="68091892" w14:textId="77777777" w:rsidR="00CF33D9" w:rsidRDefault="00E3332A">
            <w:pPr>
              <w:rPr>
                <w:rFonts w:ascii="Calibri" w:hAnsi="Calibri" w:cs="Calibri"/>
                <w:color w:val="000000"/>
                <w:sz w:val="20"/>
                <w:szCs w:val="20"/>
              </w:rPr>
            </w:pPr>
            <w:r>
              <w:rPr>
                <w:rFonts w:ascii="Calibri" w:hAnsi="Calibri" w:cs="Calibri"/>
                <w:color w:val="000000"/>
                <w:sz w:val="20"/>
                <w:szCs w:val="20"/>
              </w:rPr>
              <w:t>Booklets/Flyers</w:t>
            </w:r>
          </w:p>
          <w:p w14:paraId="68091893" w14:textId="77777777" w:rsidR="00CF33D9" w:rsidRDefault="00E3332A">
            <w:pPr>
              <w:rPr>
                <w:rFonts w:ascii="Calibri" w:hAnsi="Calibri" w:cs="Calibri"/>
                <w:color w:val="000000"/>
                <w:sz w:val="20"/>
                <w:szCs w:val="20"/>
              </w:rPr>
            </w:pPr>
            <w:r>
              <w:rPr>
                <w:rFonts w:ascii="Calibri" w:hAnsi="Calibri" w:cs="Calibri"/>
                <w:color w:val="000000"/>
                <w:sz w:val="20"/>
                <w:szCs w:val="20"/>
              </w:rPr>
              <w:t>Meeting reports</w:t>
            </w:r>
          </w:p>
          <w:p w14:paraId="68091894" w14:textId="77777777" w:rsidR="00CF33D9" w:rsidRDefault="00E3332A">
            <w:pPr>
              <w:rPr>
                <w:rFonts w:ascii="Calibri" w:hAnsi="Calibri" w:cs="Calibri"/>
                <w:color w:val="000000"/>
                <w:sz w:val="20"/>
                <w:szCs w:val="20"/>
              </w:rPr>
            </w:pPr>
            <w:r>
              <w:rPr>
                <w:rFonts w:ascii="Calibri" w:hAnsi="Calibri" w:cs="Calibri"/>
                <w:color w:val="000000"/>
                <w:sz w:val="20"/>
                <w:szCs w:val="20"/>
              </w:rPr>
              <w:t>Press releases</w:t>
            </w:r>
          </w:p>
          <w:p w14:paraId="68091895" w14:textId="77777777" w:rsidR="00CF33D9" w:rsidRDefault="00CF33D9">
            <w:pPr>
              <w:rPr>
                <w:rFonts w:ascii="Calibri" w:hAnsi="Calibri" w:cs="Calibri"/>
                <w:color w:val="000000"/>
                <w:sz w:val="20"/>
                <w:szCs w:val="20"/>
              </w:rPr>
            </w:pPr>
          </w:p>
        </w:tc>
        <w:tc>
          <w:tcPr>
            <w:tcW w:w="1620" w:type="dxa"/>
          </w:tcPr>
          <w:p w14:paraId="68091896" w14:textId="77777777" w:rsidR="00CF33D9" w:rsidRDefault="00E3332A">
            <w:pPr>
              <w:rPr>
                <w:rFonts w:ascii="Calibri" w:hAnsi="Calibri" w:cs="Calibri"/>
                <w:color w:val="000000"/>
                <w:sz w:val="20"/>
                <w:szCs w:val="20"/>
              </w:rPr>
            </w:pPr>
            <w:r>
              <w:rPr>
                <w:rFonts w:ascii="Calibri" w:hAnsi="Calibri" w:cs="Calibri"/>
                <w:color w:val="000000"/>
                <w:sz w:val="20"/>
                <w:szCs w:val="20"/>
              </w:rPr>
              <w:t>Project coordinator</w:t>
            </w:r>
          </w:p>
          <w:p w14:paraId="68091897" w14:textId="77777777" w:rsidR="00CF33D9" w:rsidRDefault="00E3332A">
            <w:pPr>
              <w:rPr>
                <w:rFonts w:ascii="Calibri" w:hAnsi="Calibri" w:cs="Calibri"/>
                <w:color w:val="000000"/>
                <w:sz w:val="20"/>
                <w:szCs w:val="20"/>
              </w:rPr>
            </w:pPr>
            <w:r>
              <w:rPr>
                <w:rFonts w:ascii="Calibri" w:hAnsi="Calibri" w:cs="Calibri"/>
                <w:color w:val="000000"/>
                <w:sz w:val="20"/>
                <w:szCs w:val="20"/>
              </w:rPr>
              <w:t>BCC capacity development manager</w:t>
            </w:r>
          </w:p>
        </w:tc>
        <w:tc>
          <w:tcPr>
            <w:tcW w:w="1497" w:type="dxa"/>
          </w:tcPr>
          <w:p w14:paraId="68091898" w14:textId="77777777" w:rsidR="00CF33D9" w:rsidRDefault="00E3332A">
            <w:pPr>
              <w:rPr>
                <w:rFonts w:ascii="Calibri" w:hAnsi="Calibri" w:cs="Calibri"/>
                <w:color w:val="000000"/>
                <w:sz w:val="20"/>
                <w:szCs w:val="20"/>
              </w:rPr>
            </w:pPr>
            <w:r>
              <w:rPr>
                <w:rFonts w:ascii="Calibri" w:hAnsi="Calibri" w:cs="Calibri"/>
                <w:color w:val="000000"/>
                <w:sz w:val="20"/>
                <w:szCs w:val="20"/>
              </w:rPr>
              <w:t>Government officials from sector ministries</w:t>
            </w:r>
          </w:p>
          <w:p w14:paraId="68091899" w14:textId="77777777" w:rsidR="00CF33D9" w:rsidRDefault="00E3332A">
            <w:pPr>
              <w:rPr>
                <w:rFonts w:ascii="Calibri" w:hAnsi="Calibri" w:cs="Calibri"/>
                <w:color w:val="000000"/>
                <w:sz w:val="20"/>
                <w:szCs w:val="20"/>
              </w:rPr>
            </w:pPr>
            <w:r>
              <w:rPr>
                <w:rFonts w:ascii="Calibri" w:hAnsi="Calibri" w:cs="Calibri"/>
                <w:color w:val="000000"/>
                <w:sz w:val="20"/>
                <w:szCs w:val="20"/>
              </w:rPr>
              <w:t>Academia</w:t>
            </w:r>
          </w:p>
          <w:p w14:paraId="6809189A" w14:textId="77777777" w:rsidR="00CF33D9" w:rsidRDefault="00E3332A">
            <w:pPr>
              <w:rPr>
                <w:rFonts w:ascii="Calibri" w:hAnsi="Calibri" w:cs="Calibri"/>
                <w:color w:val="000000"/>
                <w:sz w:val="20"/>
                <w:szCs w:val="20"/>
              </w:rPr>
            </w:pPr>
            <w:r>
              <w:rPr>
                <w:rFonts w:ascii="Calibri" w:hAnsi="Calibri" w:cs="Calibri"/>
                <w:color w:val="000000"/>
                <w:sz w:val="20"/>
                <w:szCs w:val="20"/>
              </w:rPr>
              <w:t>Local authorities</w:t>
            </w:r>
          </w:p>
        </w:tc>
        <w:tc>
          <w:tcPr>
            <w:tcW w:w="1249" w:type="dxa"/>
          </w:tcPr>
          <w:p w14:paraId="6809189B" w14:textId="77777777" w:rsidR="00CF33D9" w:rsidRDefault="00E3332A">
            <w:pPr>
              <w:rPr>
                <w:rFonts w:ascii="Calibri" w:hAnsi="Calibri" w:cs="Calibri"/>
                <w:color w:val="000000"/>
                <w:sz w:val="20"/>
                <w:szCs w:val="20"/>
              </w:rPr>
            </w:pPr>
            <w:r>
              <w:rPr>
                <w:rFonts w:ascii="Calibri" w:hAnsi="Calibri" w:cs="Calibri"/>
                <w:color w:val="000000"/>
                <w:sz w:val="20"/>
                <w:szCs w:val="20"/>
              </w:rPr>
              <w:t>10,000</w:t>
            </w:r>
          </w:p>
        </w:tc>
      </w:tr>
      <w:tr w:rsidR="00CF33D9" w14:paraId="680918B1" w14:textId="77777777">
        <w:tc>
          <w:tcPr>
            <w:tcW w:w="1418" w:type="dxa"/>
            <w:vMerge w:val="restart"/>
          </w:tcPr>
          <w:p w14:paraId="6809189D" w14:textId="77777777" w:rsidR="00CF33D9" w:rsidRDefault="00CF33D9">
            <w:pPr>
              <w:rPr>
                <w:rFonts w:ascii="Calibri" w:hAnsi="Calibri" w:cs="Calibri"/>
                <w:b/>
                <w:bCs/>
                <w:color w:val="000000" w:themeColor="text1"/>
                <w:sz w:val="20"/>
                <w:szCs w:val="20"/>
              </w:rPr>
            </w:pPr>
          </w:p>
        </w:tc>
        <w:tc>
          <w:tcPr>
            <w:tcW w:w="2693" w:type="dxa"/>
          </w:tcPr>
          <w:p w14:paraId="6809189E" w14:textId="77777777" w:rsidR="00CF33D9" w:rsidRDefault="00E3332A">
            <w:pPr>
              <w:rPr>
                <w:rFonts w:ascii="Calibri" w:hAnsi="Calibri" w:cs="Calibri"/>
                <w:color w:val="000000"/>
                <w:sz w:val="20"/>
                <w:szCs w:val="20"/>
              </w:rPr>
            </w:pPr>
            <w:r>
              <w:rPr>
                <w:rFonts w:ascii="Calibri" w:hAnsi="Calibri" w:cs="Calibri"/>
                <w:color w:val="000000" w:themeColor="text1"/>
                <w:sz w:val="20"/>
                <w:szCs w:val="20"/>
              </w:rPr>
              <w:t>4.2.2: Feasibility for blue carbon finance assessed and viable options developed (the project will work with NGI to expand kelp harvesting (e.g. such efforts as https://kelp.blue/namibia/).</w:t>
            </w:r>
          </w:p>
        </w:tc>
        <w:tc>
          <w:tcPr>
            <w:tcW w:w="2693" w:type="dxa"/>
          </w:tcPr>
          <w:p w14:paraId="6809189F" w14:textId="77777777" w:rsidR="00CF33D9" w:rsidRDefault="00E3332A">
            <w:pPr>
              <w:rPr>
                <w:rFonts w:ascii="Calibri" w:hAnsi="Calibri" w:cs="Calibri"/>
                <w:color w:val="000000"/>
                <w:sz w:val="20"/>
                <w:szCs w:val="20"/>
              </w:rPr>
            </w:pPr>
            <w:r>
              <w:rPr>
                <w:rFonts w:ascii="Calibri" w:hAnsi="Calibri" w:cs="Calibri"/>
                <w:sz w:val="20"/>
                <w:szCs w:val="20"/>
              </w:rPr>
              <w:t>Activity 4.2.2.1: Analysis of existing projects identified as bankable in the Activity 4.1.3.4 that are identified as having strong opportunities to become a blue carbon finance project.</w:t>
            </w:r>
          </w:p>
        </w:tc>
        <w:tc>
          <w:tcPr>
            <w:tcW w:w="2127" w:type="dxa"/>
          </w:tcPr>
          <w:p w14:paraId="680918A0" w14:textId="77777777" w:rsidR="00CF33D9" w:rsidRDefault="00E3332A">
            <w:pPr>
              <w:shd w:val="clear" w:color="auto" w:fill="FFFFFF"/>
              <w:rPr>
                <w:rFonts w:ascii="Calibri" w:hAnsi="Calibri" w:cs="Calibri"/>
                <w:color w:val="000000"/>
                <w:sz w:val="20"/>
                <w:szCs w:val="20"/>
              </w:rPr>
            </w:pPr>
            <w:r>
              <w:rPr>
                <w:rFonts w:ascii="Calibri" w:hAnsi="Calibri" w:cs="Calibri"/>
                <w:color w:val="000000"/>
                <w:sz w:val="20"/>
                <w:szCs w:val="20"/>
              </w:rPr>
              <w:t>Consultation meetings</w:t>
            </w:r>
          </w:p>
          <w:p w14:paraId="680918A1" w14:textId="77777777" w:rsidR="00CF33D9" w:rsidRDefault="00E3332A">
            <w:pPr>
              <w:shd w:val="clear" w:color="auto" w:fill="FFFFFF"/>
              <w:rPr>
                <w:rFonts w:ascii="Calibri" w:hAnsi="Calibri" w:cs="Calibri"/>
                <w:color w:val="000000"/>
                <w:sz w:val="20"/>
                <w:szCs w:val="20"/>
              </w:rPr>
            </w:pPr>
            <w:r>
              <w:rPr>
                <w:rFonts w:ascii="Calibri" w:hAnsi="Calibri" w:cs="Calibri"/>
                <w:color w:val="000000"/>
                <w:sz w:val="20"/>
                <w:szCs w:val="20"/>
              </w:rPr>
              <w:t xml:space="preserve">Workshops </w:t>
            </w:r>
          </w:p>
          <w:p w14:paraId="680918A2" w14:textId="77777777" w:rsidR="00CF33D9" w:rsidRDefault="00CF33D9">
            <w:pPr>
              <w:shd w:val="clear" w:color="auto" w:fill="FFFFFF"/>
              <w:rPr>
                <w:rFonts w:ascii="Calibri" w:hAnsi="Calibri" w:cs="Calibri"/>
                <w:b/>
                <w:color w:val="000000"/>
                <w:sz w:val="20"/>
                <w:szCs w:val="20"/>
              </w:rPr>
            </w:pPr>
          </w:p>
        </w:tc>
        <w:tc>
          <w:tcPr>
            <w:tcW w:w="2127" w:type="dxa"/>
          </w:tcPr>
          <w:p w14:paraId="680918A3" w14:textId="77777777" w:rsidR="00CF33D9" w:rsidRDefault="00E3332A">
            <w:pPr>
              <w:rPr>
                <w:rFonts w:ascii="Calibri" w:hAnsi="Calibri" w:cs="Calibri"/>
                <w:color w:val="000000"/>
                <w:sz w:val="20"/>
                <w:szCs w:val="20"/>
              </w:rPr>
            </w:pPr>
            <w:r>
              <w:rPr>
                <w:rFonts w:ascii="Calibri" w:hAnsi="Calibri" w:cs="Calibri"/>
                <w:color w:val="000000"/>
                <w:sz w:val="20"/>
                <w:szCs w:val="20"/>
              </w:rPr>
              <w:t xml:space="preserve">Updates on the BCC website </w:t>
            </w:r>
          </w:p>
          <w:p w14:paraId="680918A4" w14:textId="77777777" w:rsidR="00CF33D9" w:rsidRDefault="00E3332A">
            <w:pPr>
              <w:rPr>
                <w:rFonts w:ascii="Calibri" w:hAnsi="Calibri" w:cs="Calibri"/>
                <w:color w:val="000000"/>
                <w:sz w:val="20"/>
                <w:szCs w:val="20"/>
              </w:rPr>
            </w:pPr>
            <w:r>
              <w:rPr>
                <w:rFonts w:ascii="Calibri" w:hAnsi="Calibri" w:cs="Calibri"/>
                <w:color w:val="000000"/>
                <w:sz w:val="20"/>
                <w:szCs w:val="20"/>
              </w:rPr>
              <w:t>Presentations</w:t>
            </w:r>
          </w:p>
          <w:p w14:paraId="680918A5" w14:textId="77777777" w:rsidR="00CF33D9" w:rsidRDefault="00E3332A">
            <w:pPr>
              <w:rPr>
                <w:rFonts w:ascii="Calibri" w:hAnsi="Calibri" w:cs="Calibri"/>
                <w:color w:val="000000"/>
                <w:sz w:val="20"/>
                <w:szCs w:val="20"/>
              </w:rPr>
            </w:pPr>
            <w:r>
              <w:rPr>
                <w:rFonts w:ascii="Calibri" w:hAnsi="Calibri" w:cs="Calibri"/>
                <w:color w:val="000000"/>
                <w:sz w:val="20"/>
                <w:szCs w:val="20"/>
              </w:rPr>
              <w:t>Booklets/Flyers</w:t>
            </w:r>
          </w:p>
          <w:p w14:paraId="680918A6" w14:textId="77777777" w:rsidR="00CF33D9" w:rsidRDefault="00E3332A">
            <w:pPr>
              <w:rPr>
                <w:rFonts w:ascii="Calibri" w:hAnsi="Calibri" w:cs="Calibri"/>
                <w:color w:val="000000"/>
                <w:sz w:val="20"/>
                <w:szCs w:val="20"/>
              </w:rPr>
            </w:pPr>
            <w:r>
              <w:rPr>
                <w:rFonts w:ascii="Calibri" w:hAnsi="Calibri" w:cs="Calibri"/>
                <w:color w:val="000000"/>
                <w:sz w:val="20"/>
                <w:szCs w:val="20"/>
              </w:rPr>
              <w:t>Meeting reports</w:t>
            </w:r>
          </w:p>
          <w:p w14:paraId="680918A7" w14:textId="77777777" w:rsidR="00CF33D9" w:rsidRDefault="00E3332A">
            <w:pPr>
              <w:rPr>
                <w:rFonts w:ascii="Calibri" w:hAnsi="Calibri" w:cs="Calibri"/>
                <w:color w:val="000000"/>
                <w:sz w:val="20"/>
                <w:szCs w:val="20"/>
              </w:rPr>
            </w:pPr>
            <w:r>
              <w:rPr>
                <w:rFonts w:ascii="Calibri" w:hAnsi="Calibri" w:cs="Calibri"/>
                <w:color w:val="000000"/>
                <w:sz w:val="20"/>
                <w:szCs w:val="20"/>
              </w:rPr>
              <w:t>Press releases</w:t>
            </w:r>
          </w:p>
          <w:p w14:paraId="680918A8" w14:textId="77777777" w:rsidR="00CF33D9" w:rsidRDefault="00CF33D9">
            <w:pPr>
              <w:rPr>
                <w:rFonts w:ascii="Calibri" w:hAnsi="Calibri" w:cs="Calibri"/>
                <w:color w:val="000000"/>
                <w:sz w:val="20"/>
                <w:szCs w:val="20"/>
              </w:rPr>
            </w:pPr>
          </w:p>
        </w:tc>
        <w:tc>
          <w:tcPr>
            <w:tcW w:w="1620" w:type="dxa"/>
          </w:tcPr>
          <w:p w14:paraId="680918A9" w14:textId="77777777" w:rsidR="00CF33D9" w:rsidRDefault="00E3332A">
            <w:pPr>
              <w:rPr>
                <w:rFonts w:ascii="Calibri" w:hAnsi="Calibri" w:cs="Calibri"/>
                <w:color w:val="000000"/>
                <w:sz w:val="20"/>
                <w:szCs w:val="20"/>
              </w:rPr>
            </w:pPr>
            <w:r>
              <w:rPr>
                <w:rFonts w:ascii="Calibri" w:hAnsi="Calibri" w:cs="Calibri"/>
                <w:color w:val="000000"/>
                <w:sz w:val="20"/>
                <w:szCs w:val="20"/>
              </w:rPr>
              <w:t>Project coordinator</w:t>
            </w:r>
          </w:p>
          <w:p w14:paraId="680918AA" w14:textId="77777777" w:rsidR="00CF33D9" w:rsidRDefault="00E3332A">
            <w:pPr>
              <w:rPr>
                <w:rFonts w:ascii="Calibri" w:hAnsi="Calibri" w:cs="Calibri"/>
                <w:color w:val="000000"/>
                <w:sz w:val="20"/>
                <w:szCs w:val="20"/>
              </w:rPr>
            </w:pPr>
            <w:r>
              <w:rPr>
                <w:rFonts w:ascii="Calibri" w:hAnsi="Calibri" w:cs="Calibri"/>
                <w:color w:val="000000"/>
                <w:sz w:val="20"/>
                <w:szCs w:val="20"/>
              </w:rPr>
              <w:t>BCC capacity development manager</w:t>
            </w:r>
          </w:p>
        </w:tc>
        <w:tc>
          <w:tcPr>
            <w:tcW w:w="1497" w:type="dxa"/>
          </w:tcPr>
          <w:p w14:paraId="680918AB" w14:textId="77777777" w:rsidR="00CF33D9" w:rsidRDefault="00E3332A">
            <w:pPr>
              <w:rPr>
                <w:rFonts w:ascii="Calibri" w:hAnsi="Calibri" w:cs="Calibri"/>
                <w:color w:val="000000"/>
                <w:sz w:val="20"/>
                <w:szCs w:val="20"/>
              </w:rPr>
            </w:pPr>
            <w:r>
              <w:rPr>
                <w:rFonts w:ascii="Calibri" w:hAnsi="Calibri" w:cs="Calibri"/>
                <w:color w:val="000000"/>
                <w:sz w:val="20"/>
                <w:szCs w:val="20"/>
              </w:rPr>
              <w:t xml:space="preserve">Government </w:t>
            </w:r>
          </w:p>
          <w:p w14:paraId="680918AC" w14:textId="77777777" w:rsidR="00CF33D9" w:rsidRDefault="00E3332A">
            <w:pPr>
              <w:rPr>
                <w:rFonts w:ascii="Calibri" w:hAnsi="Calibri" w:cs="Calibri"/>
                <w:color w:val="000000"/>
                <w:sz w:val="20"/>
                <w:szCs w:val="20"/>
              </w:rPr>
            </w:pPr>
            <w:r>
              <w:rPr>
                <w:rFonts w:ascii="Calibri" w:hAnsi="Calibri" w:cs="Calibri"/>
                <w:color w:val="000000"/>
                <w:sz w:val="20"/>
                <w:szCs w:val="20"/>
              </w:rPr>
              <w:t>Academia</w:t>
            </w:r>
          </w:p>
          <w:p w14:paraId="680918AD" w14:textId="77777777" w:rsidR="00CF33D9" w:rsidRDefault="00E3332A">
            <w:pPr>
              <w:rPr>
                <w:rFonts w:ascii="Calibri" w:hAnsi="Calibri" w:cs="Calibri"/>
                <w:color w:val="000000"/>
                <w:sz w:val="20"/>
                <w:szCs w:val="20"/>
              </w:rPr>
            </w:pPr>
            <w:r>
              <w:rPr>
                <w:rFonts w:ascii="Calibri" w:hAnsi="Calibri" w:cs="Calibri"/>
                <w:color w:val="000000"/>
                <w:sz w:val="20"/>
                <w:szCs w:val="20"/>
              </w:rPr>
              <w:t>Local authorities</w:t>
            </w:r>
          </w:p>
          <w:p w14:paraId="680918AE" w14:textId="77777777" w:rsidR="00CF33D9" w:rsidRDefault="00E3332A">
            <w:pPr>
              <w:rPr>
                <w:rFonts w:ascii="Calibri" w:hAnsi="Calibri" w:cs="Calibri"/>
                <w:color w:val="000000"/>
                <w:sz w:val="20"/>
                <w:szCs w:val="20"/>
              </w:rPr>
            </w:pPr>
            <w:r>
              <w:rPr>
                <w:rFonts w:ascii="Calibri" w:hAnsi="Calibri" w:cs="Calibri"/>
                <w:color w:val="000000"/>
                <w:sz w:val="20"/>
                <w:szCs w:val="20"/>
              </w:rPr>
              <w:t>Private sector representatives</w:t>
            </w:r>
          </w:p>
          <w:p w14:paraId="680918AF" w14:textId="77777777" w:rsidR="00CF33D9" w:rsidRDefault="00E3332A">
            <w:pPr>
              <w:rPr>
                <w:rFonts w:ascii="Calibri" w:hAnsi="Calibri" w:cs="Calibri"/>
                <w:color w:val="000000"/>
                <w:sz w:val="20"/>
                <w:szCs w:val="20"/>
              </w:rPr>
            </w:pPr>
            <w:r>
              <w:rPr>
                <w:rFonts w:ascii="Calibri" w:hAnsi="Calibri" w:cs="Calibri"/>
                <w:color w:val="000000"/>
                <w:sz w:val="20"/>
                <w:szCs w:val="20"/>
              </w:rPr>
              <w:t>Regional donor agencies</w:t>
            </w:r>
          </w:p>
        </w:tc>
        <w:tc>
          <w:tcPr>
            <w:tcW w:w="1249" w:type="dxa"/>
          </w:tcPr>
          <w:p w14:paraId="680918B0" w14:textId="77777777" w:rsidR="00CF33D9" w:rsidRDefault="00E3332A">
            <w:pPr>
              <w:rPr>
                <w:rFonts w:ascii="Calibri" w:hAnsi="Calibri" w:cs="Calibri"/>
                <w:color w:val="000000"/>
                <w:sz w:val="20"/>
                <w:szCs w:val="20"/>
              </w:rPr>
            </w:pPr>
            <w:r>
              <w:rPr>
                <w:rFonts w:ascii="Calibri" w:hAnsi="Calibri" w:cs="Calibri"/>
                <w:color w:val="000000"/>
                <w:sz w:val="20"/>
                <w:szCs w:val="20"/>
              </w:rPr>
              <w:t>30,000</w:t>
            </w:r>
          </w:p>
        </w:tc>
      </w:tr>
      <w:tr w:rsidR="00CF33D9" w14:paraId="680918C6" w14:textId="77777777">
        <w:tc>
          <w:tcPr>
            <w:tcW w:w="1418" w:type="dxa"/>
            <w:vMerge/>
          </w:tcPr>
          <w:p w14:paraId="680918B2" w14:textId="77777777" w:rsidR="00CF33D9" w:rsidRDefault="00CF33D9">
            <w:pPr>
              <w:rPr>
                <w:rFonts w:ascii="Calibri" w:hAnsi="Calibri" w:cs="Calibri"/>
                <w:b/>
                <w:bCs/>
                <w:color w:val="000000" w:themeColor="text1"/>
                <w:sz w:val="20"/>
                <w:szCs w:val="20"/>
              </w:rPr>
            </w:pPr>
          </w:p>
        </w:tc>
        <w:tc>
          <w:tcPr>
            <w:tcW w:w="2693" w:type="dxa"/>
          </w:tcPr>
          <w:p w14:paraId="680918B3" w14:textId="77777777" w:rsidR="00CF33D9" w:rsidRDefault="00E3332A">
            <w:pPr>
              <w:rPr>
                <w:rFonts w:ascii="Calibri" w:hAnsi="Calibri" w:cs="Calibri"/>
                <w:color w:val="000000"/>
                <w:sz w:val="20"/>
                <w:szCs w:val="20"/>
              </w:rPr>
            </w:pPr>
            <w:r>
              <w:rPr>
                <w:rFonts w:ascii="Calibri" w:hAnsi="Calibri" w:cs="Calibri"/>
                <w:color w:val="000000" w:themeColor="text1"/>
                <w:sz w:val="20"/>
                <w:szCs w:val="20"/>
              </w:rPr>
              <w:t>4.2.3: Blue carbon finance mechanism developed and implemented</w:t>
            </w:r>
          </w:p>
        </w:tc>
        <w:tc>
          <w:tcPr>
            <w:tcW w:w="2693" w:type="dxa"/>
          </w:tcPr>
          <w:p w14:paraId="680918B4" w14:textId="77777777" w:rsidR="00CF33D9" w:rsidRDefault="00E3332A">
            <w:pPr>
              <w:rPr>
                <w:rFonts w:ascii="Calibri" w:hAnsi="Calibri" w:cs="Calibri"/>
                <w:color w:val="000000"/>
                <w:sz w:val="20"/>
                <w:szCs w:val="20"/>
              </w:rPr>
            </w:pPr>
            <w:r>
              <w:rPr>
                <w:rFonts w:ascii="Calibri" w:hAnsi="Calibri" w:cs="Calibri"/>
                <w:sz w:val="20"/>
                <w:szCs w:val="20"/>
              </w:rPr>
              <w:t>Activity 4.2.3.4: Design a stakeholder consultation on the tailored blue finance mechanisms.</w:t>
            </w:r>
          </w:p>
        </w:tc>
        <w:tc>
          <w:tcPr>
            <w:tcW w:w="2127" w:type="dxa"/>
          </w:tcPr>
          <w:p w14:paraId="680918B5" w14:textId="77777777" w:rsidR="00CF33D9" w:rsidRDefault="00E3332A">
            <w:pPr>
              <w:shd w:val="clear" w:color="auto" w:fill="FFFFFF"/>
              <w:rPr>
                <w:rFonts w:ascii="Calibri" w:hAnsi="Calibri" w:cs="Calibri"/>
                <w:color w:val="000000"/>
                <w:sz w:val="20"/>
                <w:szCs w:val="20"/>
              </w:rPr>
            </w:pPr>
            <w:r>
              <w:rPr>
                <w:rFonts w:ascii="Calibri" w:hAnsi="Calibri" w:cs="Calibri"/>
                <w:color w:val="000000"/>
                <w:sz w:val="20"/>
                <w:szCs w:val="20"/>
              </w:rPr>
              <w:t>Consultation meetings</w:t>
            </w:r>
          </w:p>
          <w:p w14:paraId="680918B6" w14:textId="77777777" w:rsidR="00CF33D9" w:rsidRDefault="00E3332A">
            <w:pPr>
              <w:shd w:val="clear" w:color="auto" w:fill="FFFFFF"/>
              <w:rPr>
                <w:rFonts w:ascii="Calibri" w:hAnsi="Calibri" w:cs="Calibri"/>
                <w:color w:val="000000"/>
                <w:sz w:val="20"/>
                <w:szCs w:val="20"/>
              </w:rPr>
            </w:pPr>
            <w:r>
              <w:rPr>
                <w:rFonts w:ascii="Calibri" w:hAnsi="Calibri" w:cs="Calibri"/>
                <w:color w:val="000000"/>
                <w:sz w:val="20"/>
                <w:szCs w:val="20"/>
              </w:rPr>
              <w:t xml:space="preserve">Workshops </w:t>
            </w:r>
          </w:p>
          <w:p w14:paraId="680918B7" w14:textId="77777777" w:rsidR="00CF33D9" w:rsidRDefault="00CF33D9">
            <w:pPr>
              <w:shd w:val="clear" w:color="auto" w:fill="FFFFFF"/>
              <w:rPr>
                <w:rFonts w:ascii="Calibri" w:hAnsi="Calibri" w:cs="Calibri"/>
                <w:b/>
                <w:color w:val="000000"/>
                <w:sz w:val="20"/>
                <w:szCs w:val="20"/>
              </w:rPr>
            </w:pPr>
          </w:p>
        </w:tc>
        <w:tc>
          <w:tcPr>
            <w:tcW w:w="2127" w:type="dxa"/>
          </w:tcPr>
          <w:p w14:paraId="680918B8" w14:textId="77777777" w:rsidR="00CF33D9" w:rsidRDefault="00E3332A">
            <w:pPr>
              <w:rPr>
                <w:rFonts w:ascii="Calibri" w:hAnsi="Calibri" w:cs="Calibri"/>
                <w:color w:val="000000"/>
                <w:sz w:val="20"/>
                <w:szCs w:val="20"/>
              </w:rPr>
            </w:pPr>
            <w:r>
              <w:rPr>
                <w:rFonts w:ascii="Calibri" w:hAnsi="Calibri" w:cs="Calibri"/>
                <w:color w:val="000000"/>
                <w:sz w:val="20"/>
                <w:szCs w:val="20"/>
              </w:rPr>
              <w:t xml:space="preserve">Updates on the BCC website </w:t>
            </w:r>
          </w:p>
          <w:p w14:paraId="680918B9" w14:textId="77777777" w:rsidR="00CF33D9" w:rsidRDefault="00E3332A">
            <w:pPr>
              <w:rPr>
                <w:rFonts w:ascii="Calibri" w:hAnsi="Calibri" w:cs="Calibri"/>
                <w:color w:val="000000"/>
                <w:sz w:val="20"/>
                <w:szCs w:val="20"/>
              </w:rPr>
            </w:pPr>
            <w:r>
              <w:rPr>
                <w:rFonts w:ascii="Calibri" w:hAnsi="Calibri" w:cs="Calibri"/>
                <w:color w:val="000000"/>
                <w:sz w:val="20"/>
                <w:szCs w:val="20"/>
              </w:rPr>
              <w:t>Presentations</w:t>
            </w:r>
          </w:p>
          <w:p w14:paraId="680918BA" w14:textId="77777777" w:rsidR="00CF33D9" w:rsidRDefault="00E3332A">
            <w:pPr>
              <w:rPr>
                <w:rFonts w:ascii="Calibri" w:hAnsi="Calibri" w:cs="Calibri"/>
                <w:color w:val="000000"/>
                <w:sz w:val="20"/>
                <w:szCs w:val="20"/>
              </w:rPr>
            </w:pPr>
            <w:r>
              <w:rPr>
                <w:rFonts w:ascii="Calibri" w:hAnsi="Calibri" w:cs="Calibri"/>
                <w:color w:val="000000"/>
                <w:sz w:val="20"/>
                <w:szCs w:val="20"/>
              </w:rPr>
              <w:t>Booklets/Flyers</w:t>
            </w:r>
          </w:p>
          <w:p w14:paraId="680918BB" w14:textId="77777777" w:rsidR="00CF33D9" w:rsidRDefault="00E3332A">
            <w:pPr>
              <w:rPr>
                <w:rFonts w:ascii="Calibri" w:hAnsi="Calibri" w:cs="Calibri"/>
                <w:color w:val="000000"/>
                <w:sz w:val="20"/>
                <w:szCs w:val="20"/>
              </w:rPr>
            </w:pPr>
            <w:r>
              <w:rPr>
                <w:rFonts w:ascii="Calibri" w:hAnsi="Calibri" w:cs="Calibri"/>
                <w:color w:val="000000"/>
                <w:sz w:val="20"/>
                <w:szCs w:val="20"/>
              </w:rPr>
              <w:t>Meeting reports</w:t>
            </w:r>
          </w:p>
          <w:p w14:paraId="680918BC" w14:textId="77777777" w:rsidR="00CF33D9" w:rsidRDefault="00E3332A">
            <w:pPr>
              <w:rPr>
                <w:rFonts w:ascii="Calibri" w:hAnsi="Calibri" w:cs="Calibri"/>
                <w:color w:val="000000"/>
                <w:sz w:val="20"/>
                <w:szCs w:val="20"/>
              </w:rPr>
            </w:pPr>
            <w:r>
              <w:rPr>
                <w:rFonts w:ascii="Calibri" w:hAnsi="Calibri" w:cs="Calibri"/>
                <w:color w:val="000000"/>
                <w:sz w:val="20"/>
                <w:szCs w:val="20"/>
              </w:rPr>
              <w:t>Press releases</w:t>
            </w:r>
          </w:p>
          <w:p w14:paraId="680918BD" w14:textId="77777777" w:rsidR="00CF33D9" w:rsidRDefault="00CF33D9">
            <w:pPr>
              <w:rPr>
                <w:rFonts w:ascii="Calibri" w:hAnsi="Calibri" w:cs="Calibri"/>
                <w:color w:val="000000"/>
                <w:sz w:val="20"/>
                <w:szCs w:val="20"/>
              </w:rPr>
            </w:pPr>
          </w:p>
        </w:tc>
        <w:tc>
          <w:tcPr>
            <w:tcW w:w="1620" w:type="dxa"/>
          </w:tcPr>
          <w:p w14:paraId="680918BE" w14:textId="77777777" w:rsidR="00CF33D9" w:rsidRDefault="00E3332A">
            <w:pPr>
              <w:rPr>
                <w:rFonts w:ascii="Calibri" w:hAnsi="Calibri" w:cs="Calibri"/>
                <w:color w:val="000000"/>
                <w:sz w:val="20"/>
                <w:szCs w:val="20"/>
              </w:rPr>
            </w:pPr>
            <w:r>
              <w:rPr>
                <w:rFonts w:ascii="Calibri" w:hAnsi="Calibri" w:cs="Calibri"/>
                <w:color w:val="000000"/>
                <w:sz w:val="20"/>
                <w:szCs w:val="20"/>
              </w:rPr>
              <w:t>Project coordinator</w:t>
            </w:r>
          </w:p>
          <w:p w14:paraId="680918BF" w14:textId="77777777" w:rsidR="00CF33D9" w:rsidRDefault="00E3332A">
            <w:pPr>
              <w:rPr>
                <w:rFonts w:ascii="Calibri" w:hAnsi="Calibri" w:cs="Calibri"/>
                <w:color w:val="000000"/>
                <w:sz w:val="20"/>
                <w:szCs w:val="20"/>
              </w:rPr>
            </w:pPr>
            <w:r>
              <w:rPr>
                <w:rFonts w:ascii="Calibri" w:hAnsi="Calibri" w:cs="Calibri"/>
                <w:color w:val="000000"/>
                <w:sz w:val="20"/>
                <w:szCs w:val="20"/>
              </w:rPr>
              <w:t>BCC capacity development manager</w:t>
            </w:r>
          </w:p>
        </w:tc>
        <w:tc>
          <w:tcPr>
            <w:tcW w:w="1497" w:type="dxa"/>
          </w:tcPr>
          <w:p w14:paraId="680918C0" w14:textId="77777777" w:rsidR="00CF33D9" w:rsidRDefault="00E3332A">
            <w:pPr>
              <w:rPr>
                <w:rFonts w:ascii="Calibri" w:hAnsi="Calibri" w:cs="Calibri"/>
                <w:color w:val="000000"/>
                <w:sz w:val="20"/>
                <w:szCs w:val="20"/>
              </w:rPr>
            </w:pPr>
            <w:r>
              <w:rPr>
                <w:rFonts w:ascii="Calibri" w:hAnsi="Calibri" w:cs="Calibri"/>
                <w:color w:val="000000"/>
                <w:sz w:val="20"/>
                <w:szCs w:val="20"/>
              </w:rPr>
              <w:t xml:space="preserve">Government </w:t>
            </w:r>
          </w:p>
          <w:p w14:paraId="680918C1" w14:textId="77777777" w:rsidR="00CF33D9" w:rsidRDefault="00E3332A">
            <w:pPr>
              <w:rPr>
                <w:rFonts w:ascii="Calibri" w:hAnsi="Calibri" w:cs="Calibri"/>
                <w:color w:val="000000"/>
                <w:sz w:val="20"/>
                <w:szCs w:val="20"/>
              </w:rPr>
            </w:pPr>
            <w:r>
              <w:rPr>
                <w:rFonts w:ascii="Calibri" w:hAnsi="Calibri" w:cs="Calibri"/>
                <w:color w:val="000000"/>
                <w:sz w:val="20"/>
                <w:szCs w:val="20"/>
              </w:rPr>
              <w:t>Academia</w:t>
            </w:r>
          </w:p>
          <w:p w14:paraId="680918C2" w14:textId="77777777" w:rsidR="00CF33D9" w:rsidRDefault="00E3332A">
            <w:pPr>
              <w:rPr>
                <w:rFonts w:ascii="Calibri" w:hAnsi="Calibri" w:cs="Calibri"/>
                <w:color w:val="000000"/>
                <w:sz w:val="20"/>
                <w:szCs w:val="20"/>
              </w:rPr>
            </w:pPr>
            <w:r>
              <w:rPr>
                <w:rFonts w:ascii="Calibri" w:hAnsi="Calibri" w:cs="Calibri"/>
                <w:color w:val="000000"/>
                <w:sz w:val="20"/>
                <w:szCs w:val="20"/>
              </w:rPr>
              <w:t>Local authorities</w:t>
            </w:r>
          </w:p>
          <w:p w14:paraId="680918C3" w14:textId="77777777" w:rsidR="00CF33D9" w:rsidRDefault="00E3332A">
            <w:pPr>
              <w:rPr>
                <w:rFonts w:ascii="Calibri" w:hAnsi="Calibri" w:cs="Calibri"/>
                <w:color w:val="000000"/>
                <w:sz w:val="20"/>
                <w:szCs w:val="20"/>
              </w:rPr>
            </w:pPr>
            <w:r>
              <w:rPr>
                <w:rFonts w:ascii="Calibri" w:hAnsi="Calibri" w:cs="Calibri"/>
                <w:color w:val="000000"/>
                <w:sz w:val="20"/>
                <w:szCs w:val="20"/>
              </w:rPr>
              <w:t>Private sector representatives</w:t>
            </w:r>
          </w:p>
          <w:p w14:paraId="680918C4" w14:textId="77777777" w:rsidR="00CF33D9" w:rsidRDefault="00E3332A">
            <w:pPr>
              <w:rPr>
                <w:rFonts w:ascii="Calibri" w:hAnsi="Calibri" w:cs="Calibri"/>
                <w:color w:val="000000"/>
                <w:sz w:val="20"/>
                <w:szCs w:val="20"/>
              </w:rPr>
            </w:pPr>
            <w:r>
              <w:rPr>
                <w:rFonts w:ascii="Calibri" w:hAnsi="Calibri" w:cs="Calibri"/>
                <w:color w:val="000000"/>
                <w:sz w:val="20"/>
                <w:szCs w:val="20"/>
              </w:rPr>
              <w:t>Regional donor agencies</w:t>
            </w:r>
          </w:p>
        </w:tc>
        <w:tc>
          <w:tcPr>
            <w:tcW w:w="1249" w:type="dxa"/>
          </w:tcPr>
          <w:p w14:paraId="680918C5" w14:textId="77777777" w:rsidR="00CF33D9" w:rsidRDefault="00E3332A">
            <w:pPr>
              <w:rPr>
                <w:rFonts w:ascii="Calibri" w:hAnsi="Calibri" w:cs="Calibri"/>
                <w:color w:val="000000"/>
                <w:sz w:val="20"/>
                <w:szCs w:val="20"/>
              </w:rPr>
            </w:pPr>
            <w:r>
              <w:rPr>
                <w:rFonts w:ascii="Calibri" w:hAnsi="Calibri" w:cs="Calibri"/>
                <w:color w:val="000000"/>
                <w:sz w:val="20"/>
                <w:szCs w:val="20"/>
              </w:rPr>
              <w:t>25,000</w:t>
            </w:r>
          </w:p>
        </w:tc>
      </w:tr>
      <w:tr w:rsidR="00CF33D9" w14:paraId="680918DB" w14:textId="77777777">
        <w:tc>
          <w:tcPr>
            <w:tcW w:w="1418" w:type="dxa"/>
            <w:vMerge w:val="restart"/>
          </w:tcPr>
          <w:p w14:paraId="680918C7" w14:textId="77777777" w:rsidR="00CF33D9" w:rsidRDefault="00E3332A">
            <w:pPr>
              <w:pStyle w:val="NormalWeb"/>
              <w:spacing w:before="0" w:beforeAutospacing="0" w:after="0" w:afterAutospacing="0"/>
              <w:contextualSpacing/>
              <w:rPr>
                <w:rFonts w:ascii="Calibri" w:hAnsi="Calibri" w:cs="Calibri"/>
                <w:color w:val="000000" w:themeColor="text1"/>
                <w:sz w:val="20"/>
                <w:szCs w:val="20"/>
              </w:rPr>
            </w:pPr>
            <w:r>
              <w:rPr>
                <w:rFonts w:ascii="Calibri" w:hAnsi="Calibri" w:cs="Calibri"/>
                <w:b/>
                <w:bCs/>
                <w:color w:val="000000" w:themeColor="text1"/>
                <w:sz w:val="20"/>
                <w:szCs w:val="20"/>
              </w:rPr>
              <w:t>Component 5</w:t>
            </w:r>
            <w:r>
              <w:rPr>
                <w:rFonts w:ascii="Calibri" w:hAnsi="Calibri" w:cs="Calibri"/>
                <w:color w:val="000000" w:themeColor="text1"/>
                <w:sz w:val="20"/>
                <w:szCs w:val="20"/>
              </w:rPr>
              <w:t xml:space="preserve">: Knowledge development, management, awareness raising and upscaling for </w:t>
            </w:r>
            <w:r>
              <w:rPr>
                <w:rFonts w:ascii="Calibri" w:hAnsi="Calibri" w:cs="Calibri"/>
                <w:color w:val="000000" w:themeColor="text1"/>
                <w:sz w:val="20"/>
                <w:szCs w:val="20"/>
              </w:rPr>
              <w:lastRenderedPageBreak/>
              <w:t xml:space="preserve">Sustainable Blue/Ocean Economy </w:t>
            </w:r>
          </w:p>
          <w:p w14:paraId="680918C8" w14:textId="77777777" w:rsidR="00CF33D9" w:rsidRDefault="00CF33D9">
            <w:pPr>
              <w:rPr>
                <w:rFonts w:ascii="Calibri" w:hAnsi="Calibri" w:cs="Calibri"/>
                <w:color w:val="000000"/>
                <w:sz w:val="20"/>
                <w:szCs w:val="20"/>
              </w:rPr>
            </w:pPr>
          </w:p>
        </w:tc>
        <w:tc>
          <w:tcPr>
            <w:tcW w:w="2693" w:type="dxa"/>
          </w:tcPr>
          <w:p w14:paraId="680918C9" w14:textId="77777777" w:rsidR="00CF33D9" w:rsidRDefault="00E3332A">
            <w:pPr>
              <w:rPr>
                <w:rFonts w:ascii="Calibri" w:hAnsi="Calibri" w:cs="Calibri"/>
                <w:color w:val="000000"/>
                <w:sz w:val="20"/>
                <w:szCs w:val="20"/>
              </w:rPr>
            </w:pPr>
            <w:r>
              <w:rPr>
                <w:rFonts w:ascii="Calibri" w:hAnsi="Calibri" w:cs="Calibri"/>
                <w:color w:val="000000" w:themeColor="text1"/>
                <w:sz w:val="20"/>
                <w:szCs w:val="20"/>
              </w:rPr>
              <w:lastRenderedPageBreak/>
              <w:t>5.1.1: Development of knowledge products (project results, innovative solutions, best practices and lessons learned) from sustainable blue/ocean economy shared for replication and upscaling</w:t>
            </w:r>
          </w:p>
        </w:tc>
        <w:tc>
          <w:tcPr>
            <w:tcW w:w="2693" w:type="dxa"/>
          </w:tcPr>
          <w:p w14:paraId="680918CA" w14:textId="77777777" w:rsidR="00CF33D9" w:rsidRDefault="00E3332A">
            <w:pPr>
              <w:rPr>
                <w:rFonts w:ascii="Calibri" w:hAnsi="Calibri" w:cs="Calibri"/>
                <w:color w:val="000000"/>
                <w:sz w:val="20"/>
                <w:szCs w:val="20"/>
              </w:rPr>
            </w:pPr>
            <w:r>
              <w:rPr>
                <w:rFonts w:ascii="Calibri" w:hAnsi="Calibri" w:cs="Calibri"/>
                <w:color w:val="000000"/>
                <w:sz w:val="20"/>
                <w:szCs w:val="20"/>
              </w:rPr>
              <w:t xml:space="preserve">Activity 5.1.1.1: Establishment of the BCLME Sustainable Blue Economy Observatory as a knowledge management platform to collect information and monitor </w:t>
            </w:r>
            <w:r>
              <w:rPr>
                <w:rFonts w:ascii="Calibri" w:hAnsi="Calibri" w:cs="Calibri"/>
                <w:color w:val="000000"/>
                <w:sz w:val="20"/>
                <w:szCs w:val="20"/>
              </w:rPr>
              <w:lastRenderedPageBreak/>
              <w:t>progress of transformation to SBE</w:t>
            </w:r>
          </w:p>
        </w:tc>
        <w:tc>
          <w:tcPr>
            <w:tcW w:w="2127" w:type="dxa"/>
          </w:tcPr>
          <w:p w14:paraId="680918CB" w14:textId="77777777" w:rsidR="00CF33D9" w:rsidRDefault="00E3332A">
            <w:pPr>
              <w:shd w:val="clear" w:color="auto" w:fill="FFFFFF"/>
              <w:rPr>
                <w:rFonts w:ascii="Calibri" w:hAnsi="Calibri" w:cs="Calibri"/>
                <w:color w:val="000000"/>
                <w:sz w:val="20"/>
                <w:szCs w:val="20"/>
              </w:rPr>
            </w:pPr>
            <w:r>
              <w:rPr>
                <w:rFonts w:ascii="Calibri" w:hAnsi="Calibri" w:cs="Calibri"/>
                <w:color w:val="000000"/>
                <w:sz w:val="20"/>
                <w:szCs w:val="20"/>
              </w:rPr>
              <w:lastRenderedPageBreak/>
              <w:t>Project steering committee</w:t>
            </w:r>
          </w:p>
          <w:p w14:paraId="680918CC" w14:textId="77777777" w:rsidR="00CF33D9" w:rsidRDefault="00E3332A">
            <w:pPr>
              <w:shd w:val="clear" w:color="auto" w:fill="FFFFFF"/>
              <w:rPr>
                <w:rFonts w:ascii="Calibri" w:hAnsi="Calibri" w:cs="Calibri"/>
                <w:color w:val="000000"/>
                <w:sz w:val="20"/>
                <w:szCs w:val="20"/>
              </w:rPr>
            </w:pPr>
            <w:r>
              <w:rPr>
                <w:rFonts w:ascii="Calibri" w:hAnsi="Calibri" w:cs="Calibri"/>
                <w:color w:val="000000"/>
                <w:sz w:val="20"/>
                <w:szCs w:val="20"/>
              </w:rPr>
              <w:t xml:space="preserve">Governmental meetings </w:t>
            </w:r>
          </w:p>
          <w:p w14:paraId="680918CD" w14:textId="77777777" w:rsidR="00CF33D9" w:rsidRDefault="00E3332A">
            <w:pPr>
              <w:shd w:val="clear" w:color="auto" w:fill="FFFFFF"/>
              <w:rPr>
                <w:rFonts w:ascii="Calibri" w:hAnsi="Calibri" w:cs="Calibri"/>
                <w:color w:val="000000"/>
                <w:sz w:val="20"/>
                <w:szCs w:val="20"/>
              </w:rPr>
            </w:pPr>
            <w:r>
              <w:rPr>
                <w:rFonts w:ascii="Calibri" w:hAnsi="Calibri" w:cs="Calibri"/>
                <w:color w:val="000000"/>
                <w:sz w:val="20"/>
                <w:szCs w:val="20"/>
              </w:rPr>
              <w:t>Working Group/Task Team meetings</w:t>
            </w:r>
          </w:p>
          <w:p w14:paraId="680918CE" w14:textId="77777777" w:rsidR="00CF33D9" w:rsidRDefault="00E3332A">
            <w:pPr>
              <w:shd w:val="clear" w:color="auto" w:fill="FFFFFF"/>
              <w:rPr>
                <w:rFonts w:ascii="Calibri" w:hAnsi="Calibri" w:cs="Calibri"/>
                <w:color w:val="000000"/>
                <w:sz w:val="20"/>
                <w:szCs w:val="20"/>
              </w:rPr>
            </w:pPr>
            <w:r>
              <w:rPr>
                <w:rFonts w:ascii="Calibri" w:hAnsi="Calibri" w:cs="Calibri"/>
                <w:color w:val="000000"/>
                <w:sz w:val="20"/>
                <w:szCs w:val="20"/>
              </w:rPr>
              <w:lastRenderedPageBreak/>
              <w:t xml:space="preserve">Inform on the project implementation status </w:t>
            </w:r>
          </w:p>
          <w:p w14:paraId="680918CF" w14:textId="77777777" w:rsidR="00CF33D9" w:rsidRDefault="00E3332A">
            <w:pPr>
              <w:shd w:val="clear" w:color="auto" w:fill="FFFFFF"/>
              <w:rPr>
                <w:rFonts w:ascii="Calibri" w:hAnsi="Calibri" w:cs="Calibri"/>
                <w:color w:val="000000"/>
                <w:sz w:val="20"/>
                <w:szCs w:val="20"/>
              </w:rPr>
            </w:pPr>
            <w:r>
              <w:rPr>
                <w:rFonts w:ascii="Calibri" w:hAnsi="Calibri" w:cs="Calibri"/>
                <w:color w:val="000000"/>
                <w:sz w:val="20"/>
                <w:szCs w:val="20"/>
              </w:rPr>
              <w:t>Consultation meetings</w:t>
            </w:r>
          </w:p>
          <w:p w14:paraId="680918D0" w14:textId="77777777" w:rsidR="00CF33D9" w:rsidRDefault="00E3332A">
            <w:pPr>
              <w:shd w:val="clear" w:color="auto" w:fill="FFFFFF"/>
              <w:rPr>
                <w:rFonts w:ascii="Calibri" w:hAnsi="Calibri" w:cs="Calibri"/>
                <w:color w:val="000000"/>
                <w:sz w:val="20"/>
                <w:szCs w:val="20"/>
              </w:rPr>
            </w:pPr>
            <w:r>
              <w:rPr>
                <w:rFonts w:ascii="Calibri" w:hAnsi="Calibri" w:cs="Calibri"/>
                <w:color w:val="000000"/>
                <w:sz w:val="20"/>
                <w:szCs w:val="20"/>
              </w:rPr>
              <w:t>Holding targeted group meetings</w:t>
            </w:r>
          </w:p>
        </w:tc>
        <w:tc>
          <w:tcPr>
            <w:tcW w:w="2127" w:type="dxa"/>
          </w:tcPr>
          <w:p w14:paraId="680918D1" w14:textId="77777777" w:rsidR="00CF33D9" w:rsidRDefault="00E3332A">
            <w:pPr>
              <w:rPr>
                <w:rFonts w:ascii="Calibri" w:hAnsi="Calibri" w:cs="Calibri"/>
                <w:color w:val="000000"/>
                <w:sz w:val="20"/>
                <w:szCs w:val="20"/>
              </w:rPr>
            </w:pPr>
            <w:r>
              <w:rPr>
                <w:rFonts w:ascii="Calibri" w:hAnsi="Calibri" w:cs="Calibri"/>
                <w:color w:val="000000"/>
                <w:sz w:val="20"/>
                <w:szCs w:val="20"/>
              </w:rPr>
              <w:lastRenderedPageBreak/>
              <w:t>Surveys reports</w:t>
            </w:r>
          </w:p>
          <w:p w14:paraId="680918D2" w14:textId="77777777" w:rsidR="00CF33D9" w:rsidRDefault="00E3332A">
            <w:pPr>
              <w:rPr>
                <w:rFonts w:ascii="Calibri" w:hAnsi="Calibri" w:cs="Calibri"/>
                <w:color w:val="000000"/>
                <w:sz w:val="20"/>
                <w:szCs w:val="20"/>
              </w:rPr>
            </w:pPr>
            <w:r>
              <w:rPr>
                <w:rFonts w:ascii="Calibri" w:hAnsi="Calibri" w:cs="Calibri"/>
                <w:color w:val="000000"/>
                <w:sz w:val="20"/>
                <w:szCs w:val="20"/>
              </w:rPr>
              <w:t>Leaflets</w:t>
            </w:r>
          </w:p>
          <w:p w14:paraId="680918D3" w14:textId="77777777" w:rsidR="00CF33D9" w:rsidRDefault="00E3332A">
            <w:pPr>
              <w:rPr>
                <w:rFonts w:ascii="Calibri" w:hAnsi="Calibri" w:cs="Calibri"/>
                <w:color w:val="000000"/>
                <w:sz w:val="20"/>
                <w:szCs w:val="20"/>
              </w:rPr>
            </w:pPr>
            <w:r>
              <w:rPr>
                <w:rFonts w:ascii="Calibri" w:hAnsi="Calibri" w:cs="Calibri"/>
                <w:color w:val="000000"/>
                <w:sz w:val="20"/>
                <w:szCs w:val="20"/>
              </w:rPr>
              <w:t>Presentations</w:t>
            </w:r>
          </w:p>
          <w:p w14:paraId="680918D4" w14:textId="77777777" w:rsidR="00CF33D9" w:rsidRDefault="00E3332A">
            <w:pPr>
              <w:rPr>
                <w:rFonts w:ascii="Calibri" w:hAnsi="Calibri" w:cs="Calibri"/>
                <w:color w:val="000000"/>
                <w:sz w:val="20"/>
                <w:szCs w:val="20"/>
              </w:rPr>
            </w:pPr>
            <w:r>
              <w:rPr>
                <w:rFonts w:ascii="Calibri" w:hAnsi="Calibri" w:cs="Calibri"/>
                <w:color w:val="000000"/>
                <w:sz w:val="20"/>
                <w:szCs w:val="20"/>
              </w:rPr>
              <w:t>Newsletters</w:t>
            </w:r>
          </w:p>
          <w:p w14:paraId="680918D5" w14:textId="77777777" w:rsidR="00CF33D9" w:rsidRDefault="00E3332A">
            <w:pPr>
              <w:rPr>
                <w:rFonts w:ascii="Calibri" w:hAnsi="Calibri" w:cs="Calibri"/>
                <w:color w:val="000000"/>
                <w:sz w:val="20"/>
                <w:szCs w:val="20"/>
              </w:rPr>
            </w:pPr>
            <w:r>
              <w:rPr>
                <w:rFonts w:ascii="Calibri" w:hAnsi="Calibri" w:cs="Calibri"/>
                <w:color w:val="000000"/>
                <w:sz w:val="20"/>
                <w:szCs w:val="20"/>
              </w:rPr>
              <w:t>Project website posting</w:t>
            </w:r>
          </w:p>
          <w:p w14:paraId="680918D6" w14:textId="77777777" w:rsidR="00CF33D9" w:rsidRDefault="00E3332A">
            <w:pPr>
              <w:rPr>
                <w:rFonts w:ascii="Calibri" w:hAnsi="Calibri" w:cs="Calibri"/>
                <w:color w:val="000000"/>
                <w:sz w:val="20"/>
                <w:szCs w:val="20"/>
              </w:rPr>
            </w:pPr>
            <w:r>
              <w:rPr>
                <w:rFonts w:ascii="Calibri" w:hAnsi="Calibri" w:cs="Calibri"/>
                <w:color w:val="000000"/>
                <w:sz w:val="20"/>
                <w:szCs w:val="20"/>
              </w:rPr>
              <w:t>Project reports</w:t>
            </w:r>
          </w:p>
        </w:tc>
        <w:tc>
          <w:tcPr>
            <w:tcW w:w="1620" w:type="dxa"/>
          </w:tcPr>
          <w:p w14:paraId="680918D7" w14:textId="77777777" w:rsidR="00CF33D9" w:rsidRDefault="00E3332A">
            <w:pPr>
              <w:rPr>
                <w:rFonts w:ascii="Calibri" w:hAnsi="Calibri" w:cs="Calibri"/>
                <w:color w:val="000000"/>
                <w:sz w:val="20"/>
                <w:szCs w:val="20"/>
              </w:rPr>
            </w:pPr>
            <w:r>
              <w:rPr>
                <w:rFonts w:ascii="Calibri" w:hAnsi="Calibri" w:cs="Calibri"/>
                <w:color w:val="000000"/>
                <w:sz w:val="20"/>
                <w:szCs w:val="20"/>
              </w:rPr>
              <w:t>Project coordinator</w:t>
            </w:r>
          </w:p>
          <w:p w14:paraId="680918D8" w14:textId="77777777" w:rsidR="00CF33D9" w:rsidRDefault="00E3332A">
            <w:pPr>
              <w:rPr>
                <w:rFonts w:ascii="Calibri" w:hAnsi="Calibri" w:cs="Calibri"/>
                <w:color w:val="000000"/>
                <w:sz w:val="20"/>
                <w:szCs w:val="20"/>
              </w:rPr>
            </w:pPr>
            <w:r>
              <w:rPr>
                <w:rFonts w:ascii="Calibri" w:hAnsi="Calibri" w:cs="Calibri"/>
                <w:color w:val="000000"/>
                <w:sz w:val="20"/>
                <w:szCs w:val="20"/>
              </w:rPr>
              <w:t>Communication Officer</w:t>
            </w:r>
          </w:p>
        </w:tc>
        <w:tc>
          <w:tcPr>
            <w:tcW w:w="1497" w:type="dxa"/>
          </w:tcPr>
          <w:p w14:paraId="680918D9" w14:textId="77777777" w:rsidR="00CF33D9" w:rsidRDefault="00E3332A">
            <w:pPr>
              <w:rPr>
                <w:rFonts w:ascii="Calibri" w:hAnsi="Calibri" w:cs="Calibri"/>
                <w:color w:val="000000"/>
                <w:sz w:val="20"/>
                <w:szCs w:val="20"/>
              </w:rPr>
            </w:pPr>
            <w:r>
              <w:rPr>
                <w:rFonts w:ascii="Calibri" w:hAnsi="Calibri" w:cs="Calibri"/>
                <w:color w:val="000000"/>
                <w:sz w:val="20"/>
                <w:szCs w:val="20"/>
              </w:rPr>
              <w:t xml:space="preserve">Stakeholders who are able to influence and decide the outcomes and make decisions based on the </w:t>
            </w:r>
            <w:r>
              <w:rPr>
                <w:rFonts w:ascii="Calibri" w:hAnsi="Calibri" w:cs="Calibri"/>
                <w:color w:val="000000"/>
                <w:sz w:val="20"/>
                <w:szCs w:val="20"/>
              </w:rPr>
              <w:lastRenderedPageBreak/>
              <w:t>outputs of the project</w:t>
            </w:r>
          </w:p>
        </w:tc>
        <w:tc>
          <w:tcPr>
            <w:tcW w:w="1249" w:type="dxa"/>
          </w:tcPr>
          <w:p w14:paraId="680918DA" w14:textId="77777777" w:rsidR="00CF33D9" w:rsidRDefault="00E3332A">
            <w:pPr>
              <w:rPr>
                <w:rFonts w:ascii="Calibri" w:hAnsi="Calibri" w:cs="Calibri"/>
                <w:color w:val="000000"/>
                <w:sz w:val="20"/>
                <w:szCs w:val="20"/>
              </w:rPr>
            </w:pPr>
            <w:r>
              <w:rPr>
                <w:rFonts w:ascii="Calibri" w:hAnsi="Calibri" w:cs="Calibri"/>
                <w:color w:val="000000"/>
                <w:sz w:val="20"/>
                <w:szCs w:val="20"/>
              </w:rPr>
              <w:lastRenderedPageBreak/>
              <w:t>50,000</w:t>
            </w:r>
          </w:p>
        </w:tc>
      </w:tr>
      <w:tr w:rsidR="00CF33D9" w14:paraId="680918E8" w14:textId="77777777">
        <w:tc>
          <w:tcPr>
            <w:tcW w:w="1418" w:type="dxa"/>
            <w:vMerge/>
          </w:tcPr>
          <w:p w14:paraId="680918DC" w14:textId="77777777" w:rsidR="00CF33D9" w:rsidRDefault="00CF33D9">
            <w:pPr>
              <w:pStyle w:val="NormalWeb"/>
              <w:spacing w:before="0" w:beforeAutospacing="0" w:after="0" w:afterAutospacing="0"/>
              <w:contextualSpacing/>
              <w:rPr>
                <w:rFonts w:ascii="Calibri" w:hAnsi="Calibri" w:cs="Calibri"/>
                <w:b/>
                <w:bCs/>
                <w:color w:val="000000" w:themeColor="text1"/>
                <w:sz w:val="20"/>
                <w:szCs w:val="20"/>
              </w:rPr>
            </w:pPr>
          </w:p>
        </w:tc>
        <w:tc>
          <w:tcPr>
            <w:tcW w:w="2693" w:type="dxa"/>
          </w:tcPr>
          <w:p w14:paraId="680918DD" w14:textId="77777777" w:rsidR="00CF33D9" w:rsidRDefault="00E3332A">
            <w:pPr>
              <w:rPr>
                <w:rFonts w:ascii="Calibri" w:hAnsi="Calibri" w:cs="Calibri"/>
                <w:color w:val="000000" w:themeColor="text1"/>
                <w:sz w:val="20"/>
                <w:szCs w:val="20"/>
              </w:rPr>
            </w:pPr>
            <w:r>
              <w:rPr>
                <w:rFonts w:ascii="Calibri" w:hAnsi="Calibri" w:cs="Calibri"/>
                <w:color w:val="000000" w:themeColor="text1"/>
                <w:sz w:val="20"/>
                <w:szCs w:val="20"/>
              </w:rPr>
              <w:t>5.1.2 Strengthened capacities knowledge management in relation to SBE, ICZM, MSP and MPA, and monitoring Knowledge Management performance</w:t>
            </w:r>
          </w:p>
        </w:tc>
        <w:tc>
          <w:tcPr>
            <w:tcW w:w="2693" w:type="dxa"/>
          </w:tcPr>
          <w:p w14:paraId="680918DE" w14:textId="77777777" w:rsidR="00CF33D9" w:rsidRDefault="00E3332A">
            <w:pPr>
              <w:rPr>
                <w:rFonts w:ascii="Calibri" w:hAnsi="Calibri" w:cs="Calibri"/>
                <w:color w:val="000000"/>
                <w:sz w:val="20"/>
                <w:szCs w:val="20"/>
              </w:rPr>
            </w:pPr>
            <w:r>
              <w:rPr>
                <w:rFonts w:ascii="Calibri" w:hAnsi="Calibri" w:cs="Calibri"/>
                <w:color w:val="000000"/>
                <w:sz w:val="20"/>
                <w:szCs w:val="20"/>
              </w:rPr>
              <w:t>Activity 5.1.2.1: Development of the training strategy, which will also integrate the capacity building activities in components 2 and 3 of the project </w:t>
            </w:r>
          </w:p>
        </w:tc>
        <w:tc>
          <w:tcPr>
            <w:tcW w:w="2127" w:type="dxa"/>
          </w:tcPr>
          <w:p w14:paraId="680918DF" w14:textId="77777777" w:rsidR="00CF33D9" w:rsidRDefault="00E3332A">
            <w:pPr>
              <w:shd w:val="clear" w:color="auto" w:fill="FFFFFF"/>
              <w:rPr>
                <w:rFonts w:ascii="Calibri" w:hAnsi="Calibri" w:cs="Calibri"/>
                <w:bCs/>
                <w:color w:val="000000"/>
                <w:sz w:val="20"/>
                <w:szCs w:val="20"/>
              </w:rPr>
            </w:pPr>
            <w:r>
              <w:rPr>
                <w:rFonts w:ascii="Calibri" w:hAnsi="Calibri" w:cs="Calibri"/>
                <w:bCs/>
                <w:color w:val="000000"/>
                <w:sz w:val="20"/>
                <w:szCs w:val="20"/>
              </w:rPr>
              <w:t>Workshop to review draft training strategy</w:t>
            </w:r>
          </w:p>
          <w:p w14:paraId="680918E0" w14:textId="77777777" w:rsidR="00CF33D9" w:rsidRDefault="00E3332A">
            <w:pPr>
              <w:shd w:val="clear" w:color="auto" w:fill="FFFFFF"/>
              <w:rPr>
                <w:rFonts w:ascii="Calibri" w:hAnsi="Calibri" w:cs="Calibri"/>
                <w:bCs/>
                <w:color w:val="000000"/>
                <w:sz w:val="20"/>
                <w:szCs w:val="20"/>
              </w:rPr>
            </w:pPr>
            <w:r>
              <w:rPr>
                <w:rFonts w:ascii="Calibri" w:hAnsi="Calibri" w:cs="Calibri"/>
                <w:bCs/>
                <w:color w:val="000000"/>
                <w:sz w:val="20"/>
                <w:szCs w:val="20"/>
              </w:rPr>
              <w:t>Subject specific training workshops (regional and national)</w:t>
            </w:r>
          </w:p>
        </w:tc>
        <w:tc>
          <w:tcPr>
            <w:tcW w:w="2127" w:type="dxa"/>
          </w:tcPr>
          <w:p w14:paraId="680918E1" w14:textId="77777777" w:rsidR="00CF33D9" w:rsidRDefault="00E3332A">
            <w:pPr>
              <w:rPr>
                <w:rFonts w:ascii="Calibri" w:hAnsi="Calibri" w:cs="Calibri"/>
                <w:color w:val="000000"/>
                <w:sz w:val="20"/>
                <w:szCs w:val="20"/>
              </w:rPr>
            </w:pPr>
            <w:r>
              <w:rPr>
                <w:rFonts w:ascii="Calibri" w:hAnsi="Calibri" w:cs="Calibri"/>
                <w:color w:val="000000"/>
                <w:sz w:val="20"/>
                <w:szCs w:val="20"/>
              </w:rPr>
              <w:t>Training Strategy</w:t>
            </w:r>
          </w:p>
          <w:p w14:paraId="680918E2" w14:textId="77777777" w:rsidR="00CF33D9" w:rsidRDefault="00E3332A">
            <w:pPr>
              <w:rPr>
                <w:rFonts w:ascii="Calibri" w:hAnsi="Calibri" w:cs="Calibri"/>
                <w:color w:val="000000"/>
                <w:sz w:val="20"/>
                <w:szCs w:val="20"/>
              </w:rPr>
            </w:pPr>
            <w:r>
              <w:rPr>
                <w:rFonts w:ascii="Calibri" w:hAnsi="Calibri" w:cs="Calibri"/>
                <w:color w:val="000000"/>
                <w:sz w:val="20"/>
                <w:szCs w:val="20"/>
              </w:rPr>
              <w:t>Presentations</w:t>
            </w:r>
          </w:p>
        </w:tc>
        <w:tc>
          <w:tcPr>
            <w:tcW w:w="1620" w:type="dxa"/>
          </w:tcPr>
          <w:p w14:paraId="680918E3" w14:textId="77777777" w:rsidR="00CF33D9" w:rsidRDefault="00E3332A">
            <w:pPr>
              <w:rPr>
                <w:rFonts w:ascii="Calibri" w:hAnsi="Calibri" w:cs="Calibri"/>
                <w:color w:val="000000"/>
                <w:sz w:val="20"/>
                <w:szCs w:val="20"/>
              </w:rPr>
            </w:pPr>
            <w:r>
              <w:rPr>
                <w:rFonts w:ascii="Calibri" w:hAnsi="Calibri" w:cs="Calibri"/>
                <w:color w:val="000000"/>
                <w:sz w:val="20"/>
                <w:szCs w:val="20"/>
              </w:rPr>
              <w:t>Project coordinator</w:t>
            </w:r>
          </w:p>
          <w:p w14:paraId="680918E4" w14:textId="77777777" w:rsidR="00CF33D9" w:rsidRDefault="00E3332A">
            <w:pPr>
              <w:rPr>
                <w:rFonts w:ascii="Calibri" w:hAnsi="Calibri" w:cs="Calibri"/>
                <w:color w:val="000000"/>
                <w:sz w:val="20"/>
                <w:szCs w:val="20"/>
              </w:rPr>
            </w:pPr>
            <w:r>
              <w:rPr>
                <w:rFonts w:ascii="Calibri" w:hAnsi="Calibri" w:cs="Calibri"/>
                <w:color w:val="000000"/>
                <w:sz w:val="20"/>
                <w:szCs w:val="20"/>
              </w:rPr>
              <w:t>BCC capacity development manager</w:t>
            </w:r>
          </w:p>
        </w:tc>
        <w:tc>
          <w:tcPr>
            <w:tcW w:w="1497" w:type="dxa"/>
          </w:tcPr>
          <w:p w14:paraId="680918E5" w14:textId="77777777" w:rsidR="00CF33D9" w:rsidRDefault="00E3332A">
            <w:pPr>
              <w:rPr>
                <w:rFonts w:ascii="Calibri" w:hAnsi="Calibri" w:cs="Calibri"/>
                <w:color w:val="000000"/>
                <w:sz w:val="20"/>
                <w:szCs w:val="20"/>
              </w:rPr>
            </w:pPr>
            <w:r>
              <w:rPr>
                <w:rFonts w:ascii="Calibri" w:hAnsi="Calibri" w:cs="Calibri"/>
                <w:color w:val="000000"/>
                <w:sz w:val="20"/>
                <w:szCs w:val="20"/>
              </w:rPr>
              <w:t>Working Group/Task team members</w:t>
            </w:r>
          </w:p>
          <w:p w14:paraId="680918E6" w14:textId="77777777" w:rsidR="00CF33D9" w:rsidRDefault="00E3332A">
            <w:pPr>
              <w:rPr>
                <w:rFonts w:ascii="Calibri" w:hAnsi="Calibri" w:cs="Calibri"/>
                <w:color w:val="000000"/>
                <w:sz w:val="20"/>
                <w:szCs w:val="20"/>
              </w:rPr>
            </w:pPr>
            <w:r>
              <w:rPr>
                <w:rFonts w:ascii="Calibri" w:hAnsi="Calibri" w:cs="Calibri"/>
                <w:color w:val="000000"/>
                <w:sz w:val="20"/>
                <w:szCs w:val="20"/>
              </w:rPr>
              <w:t>Scientists from academia and government entities</w:t>
            </w:r>
          </w:p>
        </w:tc>
        <w:tc>
          <w:tcPr>
            <w:tcW w:w="1249" w:type="dxa"/>
          </w:tcPr>
          <w:p w14:paraId="680918E7" w14:textId="77777777" w:rsidR="00CF33D9" w:rsidRDefault="00E3332A">
            <w:pPr>
              <w:rPr>
                <w:rFonts w:ascii="Calibri" w:hAnsi="Calibri" w:cs="Calibri"/>
                <w:color w:val="000000"/>
                <w:sz w:val="20"/>
                <w:szCs w:val="20"/>
              </w:rPr>
            </w:pPr>
            <w:r>
              <w:rPr>
                <w:rFonts w:ascii="Calibri" w:hAnsi="Calibri" w:cs="Calibri"/>
                <w:color w:val="000000"/>
                <w:sz w:val="20"/>
                <w:szCs w:val="20"/>
              </w:rPr>
              <w:t>30,000</w:t>
            </w:r>
          </w:p>
        </w:tc>
      </w:tr>
      <w:tr w:rsidR="00CF33D9" w14:paraId="680918FB" w14:textId="77777777">
        <w:tc>
          <w:tcPr>
            <w:tcW w:w="1418" w:type="dxa"/>
            <w:vMerge/>
          </w:tcPr>
          <w:p w14:paraId="680918E9" w14:textId="77777777" w:rsidR="00CF33D9" w:rsidRDefault="00CF33D9">
            <w:pPr>
              <w:pStyle w:val="NormalWeb"/>
              <w:spacing w:before="0" w:beforeAutospacing="0" w:after="0" w:afterAutospacing="0"/>
              <w:contextualSpacing/>
              <w:rPr>
                <w:rFonts w:ascii="Calibri" w:hAnsi="Calibri" w:cs="Calibri"/>
                <w:b/>
                <w:bCs/>
                <w:color w:val="000000" w:themeColor="text1"/>
                <w:sz w:val="20"/>
                <w:szCs w:val="20"/>
              </w:rPr>
            </w:pPr>
          </w:p>
        </w:tc>
        <w:tc>
          <w:tcPr>
            <w:tcW w:w="2693" w:type="dxa"/>
          </w:tcPr>
          <w:p w14:paraId="680918EA" w14:textId="77777777" w:rsidR="00CF33D9" w:rsidRDefault="00E3332A">
            <w:pPr>
              <w:rPr>
                <w:rFonts w:ascii="Calibri" w:hAnsi="Calibri" w:cs="Calibri"/>
                <w:color w:val="000000" w:themeColor="text1"/>
                <w:sz w:val="20"/>
                <w:szCs w:val="20"/>
              </w:rPr>
            </w:pPr>
            <w:r>
              <w:rPr>
                <w:rFonts w:ascii="Calibri" w:hAnsi="Calibri" w:cs="Calibri"/>
                <w:color w:val="000000" w:themeColor="text1"/>
                <w:sz w:val="20"/>
                <w:szCs w:val="20"/>
              </w:rPr>
              <w:t>5.1.3 Communication and Outreach Programme for awareness raising on Sustainable Blue/ocean economy approaches and opportunities developed and implemented</w:t>
            </w:r>
          </w:p>
        </w:tc>
        <w:tc>
          <w:tcPr>
            <w:tcW w:w="2693" w:type="dxa"/>
          </w:tcPr>
          <w:p w14:paraId="680918EB" w14:textId="77777777" w:rsidR="00CF33D9" w:rsidRDefault="00E3332A">
            <w:pPr>
              <w:rPr>
                <w:rFonts w:ascii="Calibri" w:hAnsi="Calibri" w:cs="Calibri"/>
                <w:color w:val="000000"/>
                <w:sz w:val="20"/>
                <w:szCs w:val="20"/>
              </w:rPr>
            </w:pPr>
            <w:r>
              <w:rPr>
                <w:rFonts w:ascii="Calibri" w:hAnsi="Calibri" w:cs="Calibri"/>
                <w:color w:val="000000"/>
                <w:sz w:val="20"/>
                <w:szCs w:val="20"/>
              </w:rPr>
              <w:t>Activity 5.1.3.1: Develop and implement the project communications strategy</w:t>
            </w:r>
          </w:p>
          <w:p w14:paraId="680918EC" w14:textId="77777777" w:rsidR="00CF33D9" w:rsidRDefault="00E3332A">
            <w:pPr>
              <w:rPr>
                <w:rFonts w:ascii="Calibri" w:hAnsi="Calibri" w:cs="Calibri"/>
                <w:color w:val="000000"/>
                <w:sz w:val="20"/>
                <w:szCs w:val="20"/>
              </w:rPr>
            </w:pPr>
            <w:r>
              <w:rPr>
                <w:rFonts w:ascii="Calibri" w:hAnsi="Calibri" w:cs="Calibri"/>
                <w:color w:val="000000"/>
                <w:sz w:val="20"/>
                <w:szCs w:val="20"/>
              </w:rPr>
              <w:t>Activity 5.1.3.2: Establishment of a new project website incorporating the information from previous versions of the website</w:t>
            </w:r>
          </w:p>
        </w:tc>
        <w:tc>
          <w:tcPr>
            <w:tcW w:w="2127" w:type="dxa"/>
          </w:tcPr>
          <w:p w14:paraId="680918ED" w14:textId="77777777" w:rsidR="00CF33D9" w:rsidRDefault="00E3332A">
            <w:pPr>
              <w:shd w:val="clear" w:color="auto" w:fill="FFFFFF"/>
              <w:rPr>
                <w:rFonts w:ascii="Calibri" w:hAnsi="Calibri" w:cs="Calibri"/>
                <w:bCs/>
                <w:color w:val="000000"/>
                <w:sz w:val="20"/>
                <w:szCs w:val="20"/>
              </w:rPr>
            </w:pPr>
            <w:r>
              <w:rPr>
                <w:rFonts w:ascii="Calibri" w:hAnsi="Calibri" w:cs="Calibri"/>
                <w:bCs/>
                <w:color w:val="000000"/>
                <w:sz w:val="20"/>
                <w:szCs w:val="20"/>
              </w:rPr>
              <w:t>Workshop to review draft communication strategy</w:t>
            </w:r>
          </w:p>
          <w:p w14:paraId="680918EE" w14:textId="77777777" w:rsidR="00CF33D9" w:rsidRDefault="00E3332A">
            <w:pPr>
              <w:shd w:val="clear" w:color="auto" w:fill="FFFFFF"/>
              <w:rPr>
                <w:rFonts w:ascii="Calibri" w:hAnsi="Calibri" w:cs="Calibri"/>
                <w:bCs/>
                <w:color w:val="000000"/>
                <w:sz w:val="20"/>
                <w:szCs w:val="20"/>
              </w:rPr>
            </w:pPr>
            <w:r>
              <w:rPr>
                <w:rFonts w:ascii="Calibri" w:hAnsi="Calibri" w:cs="Calibri"/>
                <w:bCs/>
                <w:color w:val="000000"/>
                <w:sz w:val="20"/>
                <w:szCs w:val="20"/>
              </w:rPr>
              <w:t>Workshop to launch the project website</w:t>
            </w:r>
          </w:p>
          <w:p w14:paraId="680918EF" w14:textId="77777777" w:rsidR="00CF33D9" w:rsidRDefault="00CF33D9">
            <w:pPr>
              <w:shd w:val="clear" w:color="auto" w:fill="FFFFFF"/>
              <w:rPr>
                <w:rFonts w:ascii="Calibri" w:hAnsi="Calibri" w:cs="Calibri"/>
                <w:b/>
                <w:color w:val="000000"/>
                <w:sz w:val="20"/>
                <w:szCs w:val="20"/>
              </w:rPr>
            </w:pPr>
          </w:p>
        </w:tc>
        <w:tc>
          <w:tcPr>
            <w:tcW w:w="2127" w:type="dxa"/>
          </w:tcPr>
          <w:p w14:paraId="680918F0" w14:textId="77777777" w:rsidR="00CF33D9" w:rsidRDefault="00E3332A">
            <w:pPr>
              <w:rPr>
                <w:rFonts w:ascii="Calibri" w:hAnsi="Calibri" w:cs="Calibri"/>
                <w:color w:val="000000"/>
                <w:sz w:val="20"/>
                <w:szCs w:val="20"/>
              </w:rPr>
            </w:pPr>
            <w:r>
              <w:rPr>
                <w:rFonts w:ascii="Calibri" w:hAnsi="Calibri" w:cs="Calibri"/>
                <w:color w:val="000000"/>
                <w:sz w:val="20"/>
                <w:szCs w:val="20"/>
              </w:rPr>
              <w:t>Presentations</w:t>
            </w:r>
          </w:p>
          <w:p w14:paraId="680918F1" w14:textId="77777777" w:rsidR="00CF33D9" w:rsidRDefault="00CF33D9">
            <w:pPr>
              <w:rPr>
                <w:rFonts w:ascii="Calibri" w:hAnsi="Calibri" w:cs="Calibri"/>
                <w:color w:val="000000"/>
                <w:sz w:val="20"/>
                <w:szCs w:val="20"/>
              </w:rPr>
            </w:pPr>
          </w:p>
          <w:p w14:paraId="680918F2" w14:textId="77777777" w:rsidR="00CF33D9" w:rsidRDefault="00E3332A">
            <w:pPr>
              <w:rPr>
                <w:rFonts w:ascii="Calibri" w:hAnsi="Calibri" w:cs="Calibri"/>
                <w:color w:val="000000"/>
                <w:sz w:val="20"/>
                <w:szCs w:val="20"/>
              </w:rPr>
            </w:pPr>
            <w:r>
              <w:rPr>
                <w:rFonts w:ascii="Calibri" w:hAnsi="Calibri" w:cs="Calibri"/>
                <w:color w:val="000000"/>
                <w:sz w:val="20"/>
                <w:szCs w:val="20"/>
              </w:rPr>
              <w:t>Virtual media (Webinars, conferences)</w:t>
            </w:r>
          </w:p>
        </w:tc>
        <w:tc>
          <w:tcPr>
            <w:tcW w:w="1620" w:type="dxa"/>
          </w:tcPr>
          <w:p w14:paraId="680918F3" w14:textId="77777777" w:rsidR="00CF33D9" w:rsidRDefault="00E3332A">
            <w:pPr>
              <w:rPr>
                <w:rFonts w:ascii="Calibri" w:hAnsi="Calibri" w:cs="Calibri"/>
                <w:color w:val="000000"/>
                <w:sz w:val="20"/>
                <w:szCs w:val="20"/>
              </w:rPr>
            </w:pPr>
            <w:r>
              <w:rPr>
                <w:rFonts w:ascii="Calibri" w:hAnsi="Calibri" w:cs="Calibri"/>
                <w:color w:val="000000"/>
                <w:sz w:val="20"/>
                <w:szCs w:val="20"/>
              </w:rPr>
              <w:t>PMU</w:t>
            </w:r>
          </w:p>
          <w:p w14:paraId="680918F4" w14:textId="77777777" w:rsidR="00CF33D9" w:rsidRDefault="00CF33D9">
            <w:pPr>
              <w:rPr>
                <w:rFonts w:ascii="Calibri" w:hAnsi="Calibri" w:cs="Calibri"/>
                <w:color w:val="000000"/>
                <w:sz w:val="20"/>
                <w:szCs w:val="20"/>
              </w:rPr>
            </w:pPr>
          </w:p>
        </w:tc>
        <w:tc>
          <w:tcPr>
            <w:tcW w:w="1497" w:type="dxa"/>
          </w:tcPr>
          <w:p w14:paraId="680918F5" w14:textId="77777777" w:rsidR="00CF33D9" w:rsidRDefault="00E3332A">
            <w:pPr>
              <w:rPr>
                <w:rFonts w:ascii="Calibri" w:hAnsi="Calibri" w:cs="Calibri"/>
                <w:color w:val="000000"/>
                <w:sz w:val="20"/>
                <w:szCs w:val="20"/>
              </w:rPr>
            </w:pPr>
            <w:r>
              <w:rPr>
                <w:rFonts w:ascii="Calibri" w:hAnsi="Calibri" w:cs="Calibri"/>
                <w:color w:val="000000"/>
                <w:sz w:val="20"/>
                <w:szCs w:val="20"/>
              </w:rPr>
              <w:t>Local community members in pilot sites</w:t>
            </w:r>
          </w:p>
          <w:p w14:paraId="680918F6" w14:textId="77777777" w:rsidR="00CF33D9" w:rsidRDefault="00E3332A">
            <w:pPr>
              <w:rPr>
                <w:rFonts w:ascii="Calibri" w:hAnsi="Calibri" w:cs="Calibri"/>
                <w:color w:val="000000"/>
                <w:sz w:val="20"/>
                <w:szCs w:val="20"/>
              </w:rPr>
            </w:pPr>
            <w:r>
              <w:rPr>
                <w:rFonts w:ascii="Calibri" w:hAnsi="Calibri" w:cs="Calibri"/>
                <w:color w:val="000000"/>
                <w:sz w:val="20"/>
                <w:szCs w:val="20"/>
              </w:rPr>
              <w:t>General public</w:t>
            </w:r>
          </w:p>
          <w:p w14:paraId="680918F7" w14:textId="77777777" w:rsidR="00CF33D9" w:rsidRDefault="00E3332A">
            <w:pPr>
              <w:rPr>
                <w:rFonts w:ascii="Calibri" w:hAnsi="Calibri" w:cs="Calibri"/>
                <w:color w:val="000000"/>
                <w:sz w:val="20"/>
                <w:szCs w:val="20"/>
              </w:rPr>
            </w:pPr>
            <w:r>
              <w:rPr>
                <w:rFonts w:ascii="Calibri" w:hAnsi="Calibri" w:cs="Calibri"/>
                <w:color w:val="000000"/>
                <w:sz w:val="20"/>
                <w:szCs w:val="20"/>
              </w:rPr>
              <w:t xml:space="preserve">Government </w:t>
            </w:r>
          </w:p>
          <w:p w14:paraId="680918F8" w14:textId="77777777" w:rsidR="00CF33D9" w:rsidRDefault="00E3332A">
            <w:pPr>
              <w:rPr>
                <w:rFonts w:ascii="Calibri" w:hAnsi="Calibri" w:cs="Calibri"/>
                <w:color w:val="000000"/>
                <w:sz w:val="20"/>
                <w:szCs w:val="20"/>
              </w:rPr>
            </w:pPr>
            <w:r>
              <w:rPr>
                <w:rFonts w:ascii="Calibri" w:hAnsi="Calibri" w:cs="Calibri"/>
                <w:color w:val="000000"/>
                <w:sz w:val="20"/>
                <w:szCs w:val="20"/>
              </w:rPr>
              <w:t>Academia</w:t>
            </w:r>
          </w:p>
          <w:p w14:paraId="680918F9" w14:textId="77777777" w:rsidR="00CF33D9" w:rsidRDefault="00E3332A">
            <w:pPr>
              <w:rPr>
                <w:rFonts w:ascii="Calibri" w:hAnsi="Calibri" w:cs="Calibri"/>
                <w:color w:val="000000"/>
                <w:sz w:val="20"/>
                <w:szCs w:val="20"/>
              </w:rPr>
            </w:pPr>
            <w:r>
              <w:rPr>
                <w:rFonts w:ascii="Calibri" w:hAnsi="Calibri" w:cs="Calibri"/>
                <w:color w:val="000000"/>
                <w:sz w:val="20"/>
                <w:szCs w:val="20"/>
              </w:rPr>
              <w:t>Private sector</w:t>
            </w:r>
          </w:p>
        </w:tc>
        <w:tc>
          <w:tcPr>
            <w:tcW w:w="1249" w:type="dxa"/>
          </w:tcPr>
          <w:p w14:paraId="680918FA" w14:textId="77777777" w:rsidR="00CF33D9" w:rsidRDefault="00E3332A">
            <w:pPr>
              <w:rPr>
                <w:rFonts w:ascii="Calibri" w:hAnsi="Calibri" w:cs="Calibri"/>
                <w:color w:val="000000"/>
                <w:sz w:val="20"/>
                <w:szCs w:val="20"/>
              </w:rPr>
            </w:pPr>
            <w:r>
              <w:rPr>
                <w:rFonts w:ascii="Calibri" w:hAnsi="Calibri" w:cs="Calibri"/>
                <w:color w:val="000000"/>
                <w:sz w:val="20"/>
                <w:szCs w:val="20"/>
              </w:rPr>
              <w:t>40,000</w:t>
            </w:r>
          </w:p>
        </w:tc>
      </w:tr>
      <w:tr w:rsidR="00CF33D9" w14:paraId="68091909" w14:textId="77777777">
        <w:tc>
          <w:tcPr>
            <w:tcW w:w="1418" w:type="dxa"/>
            <w:vMerge/>
          </w:tcPr>
          <w:p w14:paraId="680918FC" w14:textId="77777777" w:rsidR="00CF33D9" w:rsidRDefault="00CF33D9">
            <w:pPr>
              <w:pStyle w:val="NormalWeb"/>
              <w:spacing w:before="0" w:beforeAutospacing="0" w:after="0" w:afterAutospacing="0"/>
              <w:contextualSpacing/>
              <w:rPr>
                <w:rFonts w:ascii="Calibri" w:hAnsi="Calibri" w:cs="Calibri"/>
                <w:b/>
                <w:bCs/>
                <w:color w:val="000000" w:themeColor="text1"/>
                <w:sz w:val="20"/>
                <w:szCs w:val="20"/>
              </w:rPr>
            </w:pPr>
          </w:p>
        </w:tc>
        <w:tc>
          <w:tcPr>
            <w:tcW w:w="2693" w:type="dxa"/>
          </w:tcPr>
          <w:p w14:paraId="680918FD" w14:textId="77777777" w:rsidR="00CF33D9" w:rsidRDefault="00E3332A">
            <w:pPr>
              <w:rPr>
                <w:rFonts w:ascii="Calibri" w:hAnsi="Calibri" w:cs="Calibri"/>
                <w:color w:val="000000" w:themeColor="text1"/>
                <w:sz w:val="20"/>
                <w:szCs w:val="20"/>
              </w:rPr>
            </w:pPr>
            <w:r>
              <w:rPr>
                <w:rFonts w:ascii="Calibri" w:hAnsi="Calibri" w:cs="Calibri"/>
                <w:color w:val="000000" w:themeColor="text1"/>
                <w:sz w:val="20"/>
                <w:szCs w:val="20"/>
              </w:rPr>
              <w:t>5.2.1: Communications and knowledge products (information packages, tools and approaches) for upscaling developed and shared with beneficiaries via knowledge-sharing platform</w:t>
            </w:r>
          </w:p>
        </w:tc>
        <w:tc>
          <w:tcPr>
            <w:tcW w:w="2693" w:type="dxa"/>
          </w:tcPr>
          <w:p w14:paraId="680918FE" w14:textId="77777777" w:rsidR="00CF33D9" w:rsidRDefault="00E3332A">
            <w:pPr>
              <w:rPr>
                <w:rFonts w:ascii="Calibri" w:hAnsi="Calibri" w:cs="Calibri"/>
                <w:color w:val="000000"/>
                <w:sz w:val="20"/>
                <w:szCs w:val="20"/>
              </w:rPr>
            </w:pPr>
            <w:r>
              <w:rPr>
                <w:rFonts w:ascii="Calibri" w:hAnsi="Calibri" w:cs="Calibri"/>
                <w:color w:val="000000"/>
                <w:sz w:val="20"/>
                <w:szCs w:val="20"/>
              </w:rPr>
              <w:t>Activity 5.2.1.1: Compilation and dissemination of project knowledge products via various platforms</w:t>
            </w:r>
          </w:p>
          <w:p w14:paraId="680918FF" w14:textId="77777777" w:rsidR="00CF33D9" w:rsidRDefault="00E3332A">
            <w:pPr>
              <w:rPr>
                <w:rFonts w:ascii="Calibri" w:hAnsi="Calibri" w:cs="Calibri"/>
                <w:color w:val="000000"/>
                <w:sz w:val="20"/>
                <w:szCs w:val="20"/>
              </w:rPr>
            </w:pPr>
            <w:r>
              <w:rPr>
                <w:rFonts w:ascii="Calibri" w:hAnsi="Calibri" w:cs="Calibri"/>
                <w:color w:val="000000"/>
                <w:sz w:val="20"/>
                <w:szCs w:val="20"/>
              </w:rPr>
              <w:t>Activity 5.2.1.2 Undertaking the knowledge-sharing campaigns</w:t>
            </w:r>
          </w:p>
        </w:tc>
        <w:tc>
          <w:tcPr>
            <w:tcW w:w="2127" w:type="dxa"/>
          </w:tcPr>
          <w:p w14:paraId="68091900" w14:textId="77777777" w:rsidR="00CF33D9" w:rsidRDefault="00E3332A">
            <w:pPr>
              <w:shd w:val="clear" w:color="auto" w:fill="FFFFFF"/>
              <w:rPr>
                <w:rFonts w:ascii="Calibri" w:hAnsi="Calibri" w:cs="Calibri"/>
                <w:bCs/>
                <w:color w:val="000000"/>
                <w:sz w:val="20"/>
                <w:szCs w:val="20"/>
              </w:rPr>
            </w:pPr>
            <w:r>
              <w:rPr>
                <w:rFonts w:ascii="Calibri" w:hAnsi="Calibri" w:cs="Calibri"/>
                <w:bCs/>
                <w:color w:val="000000"/>
                <w:sz w:val="20"/>
                <w:szCs w:val="20"/>
              </w:rPr>
              <w:t>Host knowledge sharing events in pilot sites (celebration of events such as World Ocean Day)</w:t>
            </w:r>
          </w:p>
          <w:p w14:paraId="68091901" w14:textId="77777777" w:rsidR="00CF33D9" w:rsidRDefault="00E3332A">
            <w:pPr>
              <w:shd w:val="clear" w:color="auto" w:fill="FFFFFF"/>
              <w:rPr>
                <w:rFonts w:ascii="Calibri" w:hAnsi="Calibri" w:cs="Calibri"/>
                <w:bCs/>
                <w:color w:val="000000"/>
                <w:sz w:val="20"/>
                <w:szCs w:val="20"/>
              </w:rPr>
            </w:pPr>
            <w:r>
              <w:rPr>
                <w:rFonts w:ascii="Calibri" w:hAnsi="Calibri" w:cs="Calibri"/>
                <w:bCs/>
                <w:color w:val="000000"/>
                <w:sz w:val="20"/>
                <w:szCs w:val="20"/>
              </w:rPr>
              <w:t>Youth debate challenge on ocean literacy</w:t>
            </w:r>
          </w:p>
        </w:tc>
        <w:tc>
          <w:tcPr>
            <w:tcW w:w="2127" w:type="dxa"/>
          </w:tcPr>
          <w:p w14:paraId="68091902" w14:textId="77777777" w:rsidR="00CF33D9" w:rsidRDefault="00E3332A">
            <w:pPr>
              <w:rPr>
                <w:rFonts w:ascii="Calibri" w:hAnsi="Calibri" w:cs="Calibri"/>
                <w:color w:val="000000"/>
                <w:sz w:val="20"/>
                <w:szCs w:val="20"/>
              </w:rPr>
            </w:pPr>
            <w:r>
              <w:rPr>
                <w:rFonts w:ascii="Calibri" w:hAnsi="Calibri" w:cs="Calibri"/>
                <w:bCs/>
                <w:color w:val="000000"/>
                <w:sz w:val="20"/>
                <w:szCs w:val="20"/>
              </w:rPr>
              <w:t>Disseminate pamphlets and information material at schools (promote Ocean Literacy)</w:t>
            </w:r>
          </w:p>
        </w:tc>
        <w:tc>
          <w:tcPr>
            <w:tcW w:w="1620" w:type="dxa"/>
          </w:tcPr>
          <w:p w14:paraId="68091903" w14:textId="77777777" w:rsidR="00CF33D9" w:rsidRDefault="00E3332A">
            <w:pPr>
              <w:rPr>
                <w:rFonts w:ascii="Calibri" w:hAnsi="Calibri" w:cs="Calibri"/>
                <w:color w:val="000000"/>
                <w:sz w:val="20"/>
                <w:szCs w:val="20"/>
              </w:rPr>
            </w:pPr>
            <w:r>
              <w:rPr>
                <w:rFonts w:ascii="Calibri" w:hAnsi="Calibri" w:cs="Calibri"/>
                <w:color w:val="000000"/>
                <w:sz w:val="20"/>
                <w:szCs w:val="20"/>
              </w:rPr>
              <w:t>PMU</w:t>
            </w:r>
          </w:p>
        </w:tc>
        <w:tc>
          <w:tcPr>
            <w:tcW w:w="1497" w:type="dxa"/>
          </w:tcPr>
          <w:p w14:paraId="68091904" w14:textId="77777777" w:rsidR="00CF33D9" w:rsidRDefault="00E3332A">
            <w:pPr>
              <w:rPr>
                <w:rFonts w:ascii="Calibri" w:hAnsi="Calibri" w:cs="Calibri"/>
                <w:color w:val="000000"/>
                <w:sz w:val="20"/>
                <w:szCs w:val="20"/>
              </w:rPr>
            </w:pPr>
            <w:r>
              <w:rPr>
                <w:rFonts w:ascii="Calibri" w:hAnsi="Calibri" w:cs="Calibri"/>
                <w:color w:val="000000"/>
                <w:sz w:val="20"/>
                <w:szCs w:val="20"/>
              </w:rPr>
              <w:t>Local community members in pilot sites</w:t>
            </w:r>
          </w:p>
          <w:p w14:paraId="68091905" w14:textId="77777777" w:rsidR="00CF33D9" w:rsidRDefault="00E3332A">
            <w:pPr>
              <w:rPr>
                <w:rFonts w:ascii="Calibri" w:hAnsi="Calibri" w:cs="Calibri"/>
                <w:color w:val="000000"/>
                <w:sz w:val="20"/>
                <w:szCs w:val="20"/>
              </w:rPr>
            </w:pPr>
            <w:r>
              <w:rPr>
                <w:rFonts w:ascii="Calibri" w:hAnsi="Calibri" w:cs="Calibri"/>
                <w:color w:val="000000"/>
                <w:sz w:val="20"/>
                <w:szCs w:val="20"/>
              </w:rPr>
              <w:t>Government officials</w:t>
            </w:r>
          </w:p>
          <w:p w14:paraId="68091906" w14:textId="77777777" w:rsidR="00CF33D9" w:rsidRDefault="00E3332A">
            <w:pPr>
              <w:rPr>
                <w:rFonts w:ascii="Calibri" w:hAnsi="Calibri" w:cs="Calibri"/>
                <w:color w:val="000000"/>
                <w:sz w:val="20"/>
                <w:szCs w:val="20"/>
              </w:rPr>
            </w:pPr>
            <w:r>
              <w:rPr>
                <w:rFonts w:ascii="Calibri" w:hAnsi="Calibri" w:cs="Calibri"/>
                <w:color w:val="000000"/>
                <w:sz w:val="20"/>
                <w:szCs w:val="20"/>
              </w:rPr>
              <w:t>Academia</w:t>
            </w:r>
          </w:p>
          <w:p w14:paraId="68091907" w14:textId="77777777" w:rsidR="00CF33D9" w:rsidRDefault="00E3332A">
            <w:pPr>
              <w:rPr>
                <w:rFonts w:ascii="Calibri" w:hAnsi="Calibri" w:cs="Calibri"/>
                <w:color w:val="000000"/>
                <w:sz w:val="20"/>
                <w:szCs w:val="20"/>
              </w:rPr>
            </w:pPr>
            <w:r>
              <w:rPr>
                <w:rFonts w:ascii="Calibri" w:hAnsi="Calibri" w:cs="Calibri"/>
                <w:color w:val="000000"/>
                <w:sz w:val="20"/>
                <w:szCs w:val="20"/>
              </w:rPr>
              <w:t>Private sector</w:t>
            </w:r>
          </w:p>
        </w:tc>
        <w:tc>
          <w:tcPr>
            <w:tcW w:w="1249" w:type="dxa"/>
          </w:tcPr>
          <w:p w14:paraId="68091908" w14:textId="77777777" w:rsidR="00CF33D9" w:rsidRDefault="00E3332A">
            <w:pPr>
              <w:rPr>
                <w:rFonts w:ascii="Calibri" w:hAnsi="Calibri" w:cs="Calibri"/>
                <w:color w:val="000000"/>
                <w:sz w:val="20"/>
                <w:szCs w:val="20"/>
              </w:rPr>
            </w:pPr>
            <w:r>
              <w:rPr>
                <w:rFonts w:ascii="Calibri" w:hAnsi="Calibri" w:cs="Calibri"/>
                <w:color w:val="000000"/>
                <w:sz w:val="20"/>
                <w:szCs w:val="20"/>
              </w:rPr>
              <w:t>50,000</w:t>
            </w:r>
          </w:p>
        </w:tc>
      </w:tr>
      <w:tr w:rsidR="00CF33D9" w14:paraId="68091919" w14:textId="77777777">
        <w:tc>
          <w:tcPr>
            <w:tcW w:w="1418" w:type="dxa"/>
            <w:vMerge/>
          </w:tcPr>
          <w:p w14:paraId="6809190A" w14:textId="77777777" w:rsidR="00CF33D9" w:rsidRDefault="00CF33D9">
            <w:pPr>
              <w:pStyle w:val="NormalWeb"/>
              <w:spacing w:before="0" w:beforeAutospacing="0" w:after="0" w:afterAutospacing="0"/>
              <w:contextualSpacing/>
              <w:rPr>
                <w:rFonts w:ascii="Calibri" w:hAnsi="Calibri" w:cs="Calibri"/>
                <w:b/>
                <w:bCs/>
                <w:color w:val="000000" w:themeColor="text1"/>
                <w:sz w:val="20"/>
                <w:szCs w:val="20"/>
              </w:rPr>
            </w:pPr>
          </w:p>
        </w:tc>
        <w:tc>
          <w:tcPr>
            <w:tcW w:w="2693" w:type="dxa"/>
          </w:tcPr>
          <w:p w14:paraId="6809190B" w14:textId="77777777" w:rsidR="00CF33D9" w:rsidRDefault="00E3332A">
            <w:pPr>
              <w:rPr>
                <w:rFonts w:ascii="Calibri" w:hAnsi="Calibri" w:cs="Calibri"/>
                <w:color w:val="000000" w:themeColor="text1"/>
                <w:sz w:val="20"/>
                <w:szCs w:val="20"/>
              </w:rPr>
            </w:pPr>
            <w:r>
              <w:rPr>
                <w:rFonts w:ascii="Calibri" w:hAnsi="Calibri" w:cs="Calibri"/>
                <w:color w:val="000000" w:themeColor="text1"/>
                <w:sz w:val="20"/>
                <w:szCs w:val="20"/>
              </w:rPr>
              <w:t xml:space="preserve">5.2.2: Sustainable blue/ocean economy practice, knowledge and lessons shared across </w:t>
            </w:r>
            <w:r>
              <w:rPr>
                <w:rFonts w:ascii="Calibri" w:hAnsi="Calibri" w:cs="Calibri"/>
                <w:color w:val="000000" w:themeColor="text1"/>
                <w:sz w:val="20"/>
                <w:szCs w:val="20"/>
              </w:rPr>
              <w:lastRenderedPageBreak/>
              <w:t>African LMEs in partnership with IW:LEARN.</w:t>
            </w:r>
          </w:p>
        </w:tc>
        <w:tc>
          <w:tcPr>
            <w:tcW w:w="2693" w:type="dxa"/>
          </w:tcPr>
          <w:p w14:paraId="6809190C" w14:textId="77777777" w:rsidR="00CF33D9" w:rsidRDefault="00E3332A">
            <w:pPr>
              <w:rPr>
                <w:rFonts w:ascii="Calibri" w:hAnsi="Calibri" w:cs="Calibri"/>
                <w:color w:val="000000"/>
                <w:sz w:val="20"/>
                <w:szCs w:val="20"/>
              </w:rPr>
            </w:pPr>
            <w:r>
              <w:rPr>
                <w:rFonts w:ascii="Calibri" w:hAnsi="Calibri" w:cs="Calibri"/>
                <w:color w:val="000000"/>
                <w:sz w:val="20"/>
                <w:szCs w:val="20"/>
              </w:rPr>
              <w:lastRenderedPageBreak/>
              <w:t>Activity 5.2.2.3: Participation at GEF International waters Conference and presentation of project’s results.</w:t>
            </w:r>
          </w:p>
          <w:p w14:paraId="6809190D" w14:textId="77777777" w:rsidR="00CF33D9" w:rsidRDefault="00E3332A">
            <w:pPr>
              <w:rPr>
                <w:rFonts w:ascii="Calibri" w:hAnsi="Calibri" w:cs="Calibri"/>
                <w:color w:val="000000"/>
                <w:sz w:val="20"/>
                <w:szCs w:val="20"/>
              </w:rPr>
            </w:pPr>
            <w:r>
              <w:rPr>
                <w:rFonts w:ascii="Calibri" w:hAnsi="Calibri" w:cs="Calibri"/>
                <w:color w:val="000000"/>
                <w:sz w:val="20"/>
                <w:szCs w:val="20"/>
              </w:rPr>
              <w:lastRenderedPageBreak/>
              <w:t>Activity 5.2.2.4: Presentation of project’s results at other international fora</w:t>
            </w:r>
          </w:p>
        </w:tc>
        <w:tc>
          <w:tcPr>
            <w:tcW w:w="2127" w:type="dxa"/>
          </w:tcPr>
          <w:p w14:paraId="6809190E" w14:textId="77777777" w:rsidR="00CF33D9" w:rsidRDefault="00E3332A">
            <w:pPr>
              <w:shd w:val="clear" w:color="auto" w:fill="FFFFFF"/>
              <w:rPr>
                <w:rFonts w:ascii="Calibri" w:hAnsi="Calibri" w:cs="Calibri"/>
                <w:bCs/>
                <w:color w:val="000000"/>
                <w:sz w:val="20"/>
                <w:szCs w:val="20"/>
              </w:rPr>
            </w:pPr>
            <w:r>
              <w:rPr>
                <w:rFonts w:ascii="Calibri" w:hAnsi="Calibri" w:cs="Calibri"/>
                <w:bCs/>
                <w:color w:val="000000"/>
                <w:sz w:val="20"/>
                <w:szCs w:val="20"/>
              </w:rPr>
              <w:lastRenderedPageBreak/>
              <w:t xml:space="preserve">Present project outcomes at international events </w:t>
            </w:r>
            <w:r>
              <w:rPr>
                <w:rFonts w:ascii="Calibri" w:hAnsi="Calibri" w:cs="Calibri"/>
                <w:bCs/>
                <w:color w:val="000000"/>
                <w:sz w:val="20"/>
                <w:szCs w:val="20"/>
              </w:rPr>
              <w:lastRenderedPageBreak/>
              <w:t>such as UN Ocean Conference</w:t>
            </w:r>
          </w:p>
          <w:p w14:paraId="6809190F" w14:textId="77777777" w:rsidR="00CF33D9" w:rsidRDefault="00E3332A">
            <w:pPr>
              <w:shd w:val="clear" w:color="auto" w:fill="FFFFFF"/>
              <w:rPr>
                <w:rFonts w:ascii="Calibri" w:hAnsi="Calibri" w:cs="Calibri"/>
                <w:bCs/>
                <w:color w:val="000000"/>
                <w:sz w:val="20"/>
                <w:szCs w:val="20"/>
              </w:rPr>
            </w:pPr>
            <w:r>
              <w:rPr>
                <w:rFonts w:ascii="Calibri" w:hAnsi="Calibri" w:cs="Calibri"/>
                <w:bCs/>
                <w:color w:val="000000"/>
                <w:sz w:val="20"/>
                <w:szCs w:val="20"/>
              </w:rPr>
              <w:t>Submit project publications to IW:LEARN</w:t>
            </w:r>
          </w:p>
        </w:tc>
        <w:tc>
          <w:tcPr>
            <w:tcW w:w="2127" w:type="dxa"/>
          </w:tcPr>
          <w:p w14:paraId="68091910" w14:textId="77777777" w:rsidR="00CF33D9" w:rsidRDefault="00E3332A">
            <w:pPr>
              <w:rPr>
                <w:rFonts w:ascii="Calibri" w:hAnsi="Calibri" w:cs="Calibri"/>
                <w:bCs/>
                <w:color w:val="000000"/>
                <w:sz w:val="20"/>
                <w:szCs w:val="20"/>
              </w:rPr>
            </w:pPr>
            <w:r>
              <w:rPr>
                <w:rFonts w:ascii="Calibri" w:hAnsi="Calibri" w:cs="Calibri"/>
                <w:color w:val="000000"/>
                <w:sz w:val="20"/>
                <w:szCs w:val="20"/>
              </w:rPr>
              <w:lastRenderedPageBreak/>
              <w:t>Virtual media (Webinars, conferences)</w:t>
            </w:r>
            <w:r>
              <w:rPr>
                <w:rFonts w:ascii="Calibri" w:hAnsi="Calibri" w:cs="Calibri"/>
                <w:bCs/>
                <w:color w:val="000000"/>
                <w:sz w:val="20"/>
                <w:szCs w:val="20"/>
              </w:rPr>
              <w:t xml:space="preserve"> </w:t>
            </w:r>
          </w:p>
          <w:p w14:paraId="68091911" w14:textId="77777777" w:rsidR="00CF33D9" w:rsidRDefault="00CF33D9">
            <w:pPr>
              <w:rPr>
                <w:rFonts w:ascii="Calibri" w:hAnsi="Calibri" w:cs="Calibri"/>
                <w:color w:val="000000"/>
                <w:sz w:val="20"/>
                <w:szCs w:val="20"/>
              </w:rPr>
            </w:pPr>
          </w:p>
        </w:tc>
        <w:tc>
          <w:tcPr>
            <w:tcW w:w="1620" w:type="dxa"/>
          </w:tcPr>
          <w:p w14:paraId="68091912" w14:textId="77777777" w:rsidR="00CF33D9" w:rsidRDefault="00E3332A">
            <w:pPr>
              <w:rPr>
                <w:rFonts w:ascii="Calibri" w:hAnsi="Calibri" w:cs="Calibri"/>
                <w:color w:val="000000"/>
                <w:sz w:val="20"/>
                <w:szCs w:val="20"/>
              </w:rPr>
            </w:pPr>
            <w:r>
              <w:rPr>
                <w:rFonts w:ascii="Calibri" w:hAnsi="Calibri" w:cs="Calibri"/>
                <w:color w:val="000000"/>
                <w:sz w:val="20"/>
                <w:szCs w:val="20"/>
              </w:rPr>
              <w:t>PMU</w:t>
            </w:r>
          </w:p>
          <w:p w14:paraId="68091913" w14:textId="77777777" w:rsidR="00CF33D9" w:rsidRDefault="00E3332A">
            <w:pPr>
              <w:rPr>
                <w:rFonts w:ascii="Calibri" w:hAnsi="Calibri" w:cs="Calibri"/>
                <w:color w:val="000000"/>
                <w:sz w:val="20"/>
                <w:szCs w:val="20"/>
              </w:rPr>
            </w:pPr>
            <w:r>
              <w:rPr>
                <w:rFonts w:ascii="Calibri" w:hAnsi="Calibri" w:cs="Calibri"/>
                <w:color w:val="000000"/>
                <w:sz w:val="20"/>
                <w:szCs w:val="20"/>
              </w:rPr>
              <w:t>BCC</w:t>
            </w:r>
          </w:p>
          <w:p w14:paraId="68091914" w14:textId="77777777" w:rsidR="00CF33D9" w:rsidRDefault="00E3332A">
            <w:pPr>
              <w:rPr>
                <w:rFonts w:ascii="Calibri" w:hAnsi="Calibri" w:cs="Calibri"/>
                <w:color w:val="000000"/>
                <w:sz w:val="20"/>
                <w:szCs w:val="20"/>
              </w:rPr>
            </w:pPr>
            <w:r>
              <w:rPr>
                <w:rFonts w:ascii="Calibri" w:hAnsi="Calibri" w:cs="Calibri"/>
                <w:color w:val="000000"/>
                <w:sz w:val="20"/>
                <w:szCs w:val="20"/>
              </w:rPr>
              <w:t>Scientists</w:t>
            </w:r>
          </w:p>
        </w:tc>
        <w:tc>
          <w:tcPr>
            <w:tcW w:w="1497" w:type="dxa"/>
          </w:tcPr>
          <w:p w14:paraId="68091915" w14:textId="77777777" w:rsidR="00CF33D9" w:rsidRDefault="00E3332A">
            <w:pPr>
              <w:rPr>
                <w:rFonts w:ascii="Calibri" w:hAnsi="Calibri" w:cs="Calibri"/>
                <w:color w:val="000000"/>
                <w:sz w:val="20"/>
                <w:szCs w:val="20"/>
              </w:rPr>
            </w:pPr>
            <w:r>
              <w:rPr>
                <w:rFonts w:ascii="Calibri" w:hAnsi="Calibri" w:cs="Calibri"/>
                <w:color w:val="000000"/>
                <w:sz w:val="20"/>
                <w:szCs w:val="20"/>
              </w:rPr>
              <w:t>Donor agencies</w:t>
            </w:r>
          </w:p>
          <w:p w14:paraId="68091916" w14:textId="77777777" w:rsidR="00CF33D9" w:rsidRDefault="00E3332A">
            <w:pPr>
              <w:rPr>
                <w:rFonts w:ascii="Calibri" w:hAnsi="Calibri" w:cs="Calibri"/>
                <w:color w:val="000000"/>
                <w:sz w:val="20"/>
                <w:szCs w:val="20"/>
              </w:rPr>
            </w:pPr>
            <w:r>
              <w:rPr>
                <w:rFonts w:ascii="Calibri" w:hAnsi="Calibri" w:cs="Calibri"/>
                <w:color w:val="000000"/>
                <w:sz w:val="20"/>
                <w:szCs w:val="20"/>
              </w:rPr>
              <w:t>Private sector</w:t>
            </w:r>
          </w:p>
          <w:p w14:paraId="68091917" w14:textId="77777777" w:rsidR="00CF33D9" w:rsidRDefault="00E3332A">
            <w:pPr>
              <w:rPr>
                <w:rFonts w:ascii="Calibri" w:hAnsi="Calibri" w:cs="Calibri"/>
                <w:color w:val="000000"/>
                <w:sz w:val="20"/>
                <w:szCs w:val="20"/>
              </w:rPr>
            </w:pPr>
            <w:r>
              <w:rPr>
                <w:rFonts w:ascii="Calibri" w:hAnsi="Calibri" w:cs="Calibri"/>
                <w:color w:val="000000"/>
                <w:sz w:val="20"/>
                <w:szCs w:val="20"/>
              </w:rPr>
              <w:t>Sister projects</w:t>
            </w:r>
          </w:p>
        </w:tc>
        <w:tc>
          <w:tcPr>
            <w:tcW w:w="1249" w:type="dxa"/>
          </w:tcPr>
          <w:p w14:paraId="68091918" w14:textId="77777777" w:rsidR="00CF33D9" w:rsidRDefault="00E3332A">
            <w:pPr>
              <w:rPr>
                <w:rFonts w:ascii="Calibri" w:hAnsi="Calibri" w:cs="Calibri"/>
                <w:color w:val="000000"/>
                <w:sz w:val="20"/>
                <w:szCs w:val="20"/>
              </w:rPr>
            </w:pPr>
            <w:r>
              <w:rPr>
                <w:rFonts w:ascii="Calibri" w:hAnsi="Calibri" w:cs="Calibri"/>
                <w:color w:val="000000"/>
                <w:sz w:val="20"/>
                <w:szCs w:val="20"/>
              </w:rPr>
              <w:t>85,000</w:t>
            </w:r>
          </w:p>
        </w:tc>
      </w:tr>
      <w:tr w:rsidR="00CF33D9" w14:paraId="6809191C" w14:textId="77777777">
        <w:tc>
          <w:tcPr>
            <w:tcW w:w="14175" w:type="dxa"/>
            <w:gridSpan w:val="7"/>
          </w:tcPr>
          <w:p w14:paraId="6809191A" w14:textId="77777777" w:rsidR="00CF33D9" w:rsidRDefault="00E3332A">
            <w:pPr>
              <w:jc w:val="right"/>
              <w:rPr>
                <w:rFonts w:ascii="Calibri" w:hAnsi="Calibri" w:cs="Calibri"/>
                <w:color w:val="000000"/>
                <w:sz w:val="20"/>
                <w:szCs w:val="20"/>
              </w:rPr>
            </w:pPr>
            <w:r>
              <w:rPr>
                <w:rFonts w:ascii="Calibri" w:hAnsi="Calibri" w:cs="Calibri"/>
                <w:b/>
                <w:bCs/>
                <w:color w:val="000000"/>
                <w:sz w:val="20"/>
                <w:szCs w:val="20"/>
              </w:rPr>
              <w:t>Total Budget Estimate to implement stakeholder engagement during project duration</w:t>
            </w:r>
          </w:p>
        </w:tc>
        <w:tc>
          <w:tcPr>
            <w:tcW w:w="1249" w:type="dxa"/>
          </w:tcPr>
          <w:p w14:paraId="6809191B" w14:textId="77777777" w:rsidR="00CF33D9" w:rsidRDefault="00E3332A">
            <w:pPr>
              <w:rPr>
                <w:rFonts w:ascii="Calibri" w:hAnsi="Calibri" w:cs="Calibri"/>
                <w:b/>
                <w:bCs/>
                <w:color w:val="000000"/>
                <w:sz w:val="20"/>
                <w:szCs w:val="20"/>
              </w:rPr>
            </w:pPr>
            <w:r>
              <w:rPr>
                <w:rFonts w:ascii="Calibri" w:hAnsi="Calibri" w:cs="Calibri"/>
                <w:b/>
                <w:bCs/>
                <w:color w:val="000000"/>
                <w:sz w:val="20"/>
                <w:szCs w:val="20"/>
              </w:rPr>
              <w:t>475,000</w:t>
            </w:r>
          </w:p>
        </w:tc>
      </w:tr>
    </w:tbl>
    <w:p w14:paraId="6809191D" w14:textId="77777777" w:rsidR="00CF33D9" w:rsidRDefault="00CF33D9">
      <w:pPr>
        <w:rPr>
          <w:rFonts w:ascii="Calibri" w:eastAsia="Calibri" w:hAnsi="Calibri" w:cs="Calibri"/>
          <w:sz w:val="20"/>
          <w:szCs w:val="20"/>
        </w:rPr>
        <w:sectPr w:rsidR="00CF33D9">
          <w:pgSz w:w="16838" w:h="11906" w:orient="landscape"/>
          <w:pgMar w:top="1440" w:right="1440" w:bottom="1622" w:left="1440" w:header="708" w:footer="708" w:gutter="0"/>
          <w:cols w:space="708"/>
          <w:docGrid w:linePitch="360"/>
        </w:sectPr>
      </w:pPr>
    </w:p>
    <w:p w14:paraId="6809191E" w14:textId="77777777" w:rsidR="00CF33D9" w:rsidRDefault="00E3332A">
      <w:pPr>
        <w:rPr>
          <w:rFonts w:ascii="Calibri" w:eastAsia="Calibri" w:hAnsi="Calibri" w:cs="Calibri"/>
          <w:color w:val="000000"/>
          <w:sz w:val="20"/>
          <w:szCs w:val="20"/>
          <w:u w:val="single"/>
        </w:rPr>
      </w:pPr>
      <w:r>
        <w:rPr>
          <w:rFonts w:ascii="Calibri" w:eastAsia="Calibri" w:hAnsi="Calibri" w:cs="Calibri"/>
          <w:b/>
          <w:color w:val="000000"/>
          <w:sz w:val="20"/>
          <w:szCs w:val="20"/>
          <w:u w:val="single"/>
        </w:rPr>
        <w:lastRenderedPageBreak/>
        <w:t xml:space="preserve">Disclosure of information </w:t>
      </w:r>
    </w:p>
    <w:p w14:paraId="6809191F" w14:textId="77777777" w:rsidR="00CF33D9" w:rsidRDefault="00CF33D9">
      <w:pPr>
        <w:jc w:val="both"/>
        <w:rPr>
          <w:rFonts w:ascii="Calibri" w:eastAsia="Calibri" w:hAnsi="Calibri" w:cs="Calibri"/>
          <w:color w:val="000000"/>
          <w:sz w:val="20"/>
          <w:szCs w:val="20"/>
        </w:rPr>
      </w:pPr>
    </w:p>
    <w:p w14:paraId="68091920" w14:textId="77777777" w:rsidR="00CF33D9" w:rsidRDefault="00E3332A">
      <w:pPr>
        <w:jc w:val="both"/>
        <w:rPr>
          <w:rFonts w:ascii="Calibri" w:eastAsia="Calibri" w:hAnsi="Calibri" w:cs="Calibri"/>
          <w:color w:val="000000"/>
          <w:sz w:val="20"/>
          <w:szCs w:val="20"/>
        </w:rPr>
      </w:pPr>
      <w:r>
        <w:rPr>
          <w:rFonts w:ascii="Calibri" w:eastAsia="Calibri" w:hAnsi="Calibri" w:cs="Calibri"/>
          <w:color w:val="000000"/>
          <w:sz w:val="20"/>
          <w:szCs w:val="20"/>
        </w:rPr>
        <w:t xml:space="preserve">The project will endeavour to make information available to the public on the website </w:t>
      </w:r>
      <w:hyperlink r:id="rId83" w:history="1">
        <w:r>
          <w:rPr>
            <w:rStyle w:val="Hyperlink"/>
            <w:rFonts w:ascii="Calibri" w:eastAsia="Calibri" w:hAnsi="Calibri" w:cs="Calibri"/>
            <w:sz w:val="20"/>
            <w:szCs w:val="20"/>
          </w:rPr>
          <w:t>https://www.benguelacc.org</w:t>
        </w:r>
      </w:hyperlink>
      <w:r>
        <w:rPr>
          <w:rFonts w:ascii="Calibri" w:eastAsia="Calibri" w:hAnsi="Calibri" w:cs="Calibri"/>
          <w:color w:val="000000"/>
          <w:sz w:val="20"/>
          <w:szCs w:val="20"/>
        </w:rPr>
        <w:t xml:space="preserve"> to allow stakeholders to get to know and understand both the environmental and social impacts associated with the project, as well as opportunities provided by the project. This will further enable stakeholders to utilise the project results and outputs to make informed decision in areas associated with trans-boundary water management. </w:t>
      </w:r>
    </w:p>
    <w:p w14:paraId="68091921" w14:textId="77777777" w:rsidR="00CF33D9" w:rsidRDefault="00E3332A">
      <w:pPr>
        <w:jc w:val="both"/>
        <w:rPr>
          <w:rFonts w:ascii="Calibri" w:eastAsia="Calibri" w:hAnsi="Calibri" w:cs="Calibri"/>
          <w:color w:val="000000"/>
          <w:sz w:val="20"/>
          <w:szCs w:val="20"/>
        </w:rPr>
      </w:pPr>
      <w:r>
        <w:rPr>
          <w:rFonts w:ascii="Calibri" w:eastAsia="Calibri" w:hAnsi="Calibri" w:cs="Calibri"/>
          <w:color w:val="000000"/>
          <w:sz w:val="20"/>
          <w:szCs w:val="20"/>
        </w:rPr>
        <w:t xml:space="preserve">On an ongoing basis, the project will regularly convene consultations with stakeholders to obtain input on the new emerging issues that may affect implementation of the project. The disclosures will be done to all stakeholders through project reports or technical annual/biannual meetings and conferences.  </w:t>
      </w:r>
    </w:p>
    <w:p w14:paraId="68091922" w14:textId="77777777" w:rsidR="00CF33D9" w:rsidRDefault="00CF33D9">
      <w:pPr>
        <w:rPr>
          <w:rFonts w:ascii="Calibri" w:eastAsia="Calibri" w:hAnsi="Calibri" w:cs="Calibri"/>
          <w:b/>
          <w:color w:val="000000"/>
          <w:sz w:val="20"/>
          <w:szCs w:val="20"/>
          <w:u w:val="single"/>
        </w:rPr>
      </w:pPr>
    </w:p>
    <w:p w14:paraId="68091923" w14:textId="77777777" w:rsidR="00CF33D9" w:rsidRDefault="00E3332A">
      <w:pPr>
        <w:rPr>
          <w:rFonts w:ascii="Calibri" w:eastAsia="Calibri" w:hAnsi="Calibri" w:cs="Calibri"/>
          <w:b/>
          <w:color w:val="000000"/>
          <w:sz w:val="20"/>
          <w:szCs w:val="20"/>
          <w:u w:val="single"/>
        </w:rPr>
      </w:pPr>
      <w:r>
        <w:rPr>
          <w:rFonts w:ascii="Calibri" w:eastAsia="Calibri" w:hAnsi="Calibri" w:cs="Calibri"/>
          <w:b/>
          <w:color w:val="000000"/>
          <w:sz w:val="20"/>
          <w:szCs w:val="20"/>
          <w:u w:val="single"/>
        </w:rPr>
        <w:t>Monitoring and reporting</w:t>
      </w:r>
    </w:p>
    <w:p w14:paraId="68091924" w14:textId="77777777" w:rsidR="00CF33D9" w:rsidRDefault="00CF33D9">
      <w:pPr>
        <w:jc w:val="both"/>
        <w:rPr>
          <w:rFonts w:ascii="Calibri" w:eastAsia="Calibri" w:hAnsi="Calibri" w:cs="Calibri"/>
          <w:sz w:val="20"/>
          <w:szCs w:val="20"/>
        </w:rPr>
      </w:pPr>
    </w:p>
    <w:p w14:paraId="68091925"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 xml:space="preserve">Monitoring is an integral component of project management as it tracks and assesses progress towards achieving tangible development results associated with the project being implemented. This helps to detect problems earlier and coming up with appropriate measures to address them. Therefore, monitoring usually provides data used for analysis and synthesis prior to reporting for decision making. </w:t>
      </w:r>
    </w:p>
    <w:p w14:paraId="68091926" w14:textId="77777777" w:rsidR="00CF33D9" w:rsidRDefault="00CF33D9">
      <w:pPr>
        <w:jc w:val="both"/>
        <w:rPr>
          <w:rFonts w:ascii="Calibri" w:eastAsia="Calibri" w:hAnsi="Calibri" w:cs="Calibri"/>
          <w:sz w:val="20"/>
          <w:szCs w:val="20"/>
        </w:rPr>
      </w:pPr>
    </w:p>
    <w:p w14:paraId="68091927"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The Project Management Unit will be tasked with supervision and monitoring implementation of the stakeholder engagement plan as presented in Table 4. This oversight task will be conducted in close coordination with the BCC and respective Working Groups and task teams; as well as respective government sector representatives from the BCC Parties. The Project Management Unit or a designated member of the PMU will be responsible for monitoring the plan; and report periodically to the Project Steering Committee. All project staff will be fully briefed on the contents and goals of the stakeholder engagement plan and in particular of its grievance mechanism and will channel accordingly any complaints from affected stakeholders.</w:t>
      </w:r>
    </w:p>
    <w:p w14:paraId="68091928" w14:textId="77777777" w:rsidR="00CF33D9" w:rsidRDefault="00CF33D9">
      <w:pPr>
        <w:jc w:val="both"/>
        <w:rPr>
          <w:rFonts w:ascii="Calibri" w:eastAsia="Calibri" w:hAnsi="Calibri" w:cs="Calibri"/>
          <w:sz w:val="20"/>
          <w:szCs w:val="20"/>
        </w:rPr>
      </w:pPr>
    </w:p>
    <w:p w14:paraId="68091929" w14:textId="77777777" w:rsidR="00CF33D9" w:rsidRDefault="00E3332A">
      <w:pPr>
        <w:pStyle w:val="Caption"/>
        <w:keepNext/>
        <w:jc w:val="center"/>
        <w:rPr>
          <w:rFonts w:ascii="Calibri" w:hAnsi="Calibri" w:cs="Calibri"/>
          <w:b w:val="0"/>
          <w:bCs w:val="0"/>
          <w:sz w:val="20"/>
          <w:szCs w:val="20"/>
        </w:rPr>
      </w:pPr>
      <w:r>
        <w:rPr>
          <w:rFonts w:ascii="Calibri" w:hAnsi="Calibri" w:cs="Calibri"/>
          <w:b w:val="0"/>
          <w:bCs w:val="0"/>
          <w:sz w:val="20"/>
          <w:szCs w:val="20"/>
        </w:rPr>
        <w:t xml:space="preserve">Table </w:t>
      </w:r>
      <w:r>
        <w:rPr>
          <w:rFonts w:ascii="Calibri" w:hAnsi="Calibri" w:cs="Calibri"/>
          <w:b w:val="0"/>
          <w:bCs w:val="0"/>
          <w:sz w:val="20"/>
          <w:szCs w:val="20"/>
        </w:rPr>
        <w:fldChar w:fldCharType="begin"/>
      </w:r>
      <w:r>
        <w:rPr>
          <w:rFonts w:ascii="Calibri" w:hAnsi="Calibri" w:cs="Calibri"/>
          <w:b w:val="0"/>
          <w:bCs w:val="0"/>
          <w:sz w:val="20"/>
          <w:szCs w:val="20"/>
        </w:rPr>
        <w:instrText xml:space="preserve"> SEQ Table \* ARABIC </w:instrText>
      </w:r>
      <w:r>
        <w:rPr>
          <w:rFonts w:ascii="Calibri" w:hAnsi="Calibri" w:cs="Calibri"/>
          <w:b w:val="0"/>
          <w:bCs w:val="0"/>
          <w:sz w:val="20"/>
          <w:szCs w:val="20"/>
        </w:rPr>
        <w:fldChar w:fldCharType="separate"/>
      </w:r>
      <w:r>
        <w:rPr>
          <w:rFonts w:ascii="Calibri" w:hAnsi="Calibri" w:cs="Calibri"/>
          <w:b w:val="0"/>
          <w:bCs w:val="0"/>
          <w:sz w:val="20"/>
          <w:szCs w:val="20"/>
        </w:rPr>
        <w:t>4</w:t>
      </w:r>
      <w:r>
        <w:rPr>
          <w:rFonts w:ascii="Calibri" w:hAnsi="Calibri" w:cs="Calibri"/>
          <w:b w:val="0"/>
          <w:bCs w:val="0"/>
          <w:sz w:val="20"/>
          <w:szCs w:val="20"/>
        </w:rPr>
        <w:fldChar w:fldCharType="end"/>
      </w:r>
      <w:r>
        <w:rPr>
          <w:rFonts w:ascii="Calibri" w:hAnsi="Calibri" w:cs="Calibri"/>
          <w:b w:val="0"/>
          <w:bCs w:val="0"/>
          <w:sz w:val="20"/>
          <w:szCs w:val="20"/>
        </w:rPr>
        <w:t>: Reporting format</w:t>
      </w:r>
    </w:p>
    <w:p w14:paraId="6809192A" w14:textId="77777777" w:rsidR="00CF33D9" w:rsidRDefault="00CF33D9">
      <w:pPr>
        <w:rPr>
          <w:rFonts w:ascii="Calibri" w:hAnsi="Calibri" w:cs="Calibri"/>
          <w:sz w:val="20"/>
          <w:szCs w:val="20"/>
        </w:rPr>
      </w:pPr>
    </w:p>
    <w:tbl>
      <w:tblPr>
        <w:tblW w:w="90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836"/>
        <w:gridCol w:w="1466"/>
        <w:gridCol w:w="1752"/>
      </w:tblGrid>
      <w:tr w:rsidR="00CF33D9" w14:paraId="6809192F" w14:textId="77777777">
        <w:trPr>
          <w:trHeight w:val="892"/>
        </w:trPr>
        <w:tc>
          <w:tcPr>
            <w:tcW w:w="5836" w:type="dxa"/>
            <w:shd w:val="clear" w:color="auto" w:fill="DEEAF6" w:themeFill="accent1" w:themeFillTint="33"/>
          </w:tcPr>
          <w:p w14:paraId="6809192B" w14:textId="77777777" w:rsidR="00CF33D9" w:rsidRDefault="00E3332A">
            <w:pPr>
              <w:rPr>
                <w:rFonts w:ascii="Calibri" w:hAnsi="Calibri" w:cs="Calibri"/>
                <w:b/>
                <w:color w:val="000000"/>
                <w:sz w:val="20"/>
                <w:szCs w:val="20"/>
              </w:rPr>
            </w:pPr>
            <w:r>
              <w:rPr>
                <w:rFonts w:ascii="Calibri" w:hAnsi="Calibri" w:cs="Calibri"/>
                <w:b/>
                <w:color w:val="000000"/>
                <w:sz w:val="20"/>
                <w:szCs w:val="20"/>
              </w:rPr>
              <w:t>Parameter</w:t>
            </w:r>
          </w:p>
        </w:tc>
        <w:tc>
          <w:tcPr>
            <w:tcW w:w="1466" w:type="dxa"/>
            <w:shd w:val="clear" w:color="auto" w:fill="DEEAF6" w:themeFill="accent1" w:themeFillTint="33"/>
          </w:tcPr>
          <w:p w14:paraId="6809192C" w14:textId="77777777" w:rsidR="00CF33D9" w:rsidRDefault="00E3332A">
            <w:pPr>
              <w:rPr>
                <w:rFonts w:ascii="Calibri" w:hAnsi="Calibri" w:cs="Calibri"/>
                <w:b/>
                <w:color w:val="000000"/>
                <w:sz w:val="20"/>
                <w:szCs w:val="20"/>
              </w:rPr>
            </w:pPr>
            <w:r>
              <w:rPr>
                <w:rFonts w:ascii="Calibri" w:hAnsi="Calibri" w:cs="Calibri"/>
                <w:b/>
                <w:color w:val="000000"/>
                <w:sz w:val="20"/>
                <w:szCs w:val="20"/>
              </w:rPr>
              <w:t xml:space="preserve">Monitoring and reporting responsibility </w:t>
            </w:r>
          </w:p>
        </w:tc>
        <w:tc>
          <w:tcPr>
            <w:tcW w:w="1752" w:type="dxa"/>
            <w:shd w:val="clear" w:color="auto" w:fill="DEEAF6" w:themeFill="accent1" w:themeFillTint="33"/>
          </w:tcPr>
          <w:p w14:paraId="6809192D" w14:textId="77777777" w:rsidR="00CF33D9" w:rsidRDefault="00E3332A">
            <w:pPr>
              <w:rPr>
                <w:rFonts w:ascii="Calibri" w:hAnsi="Calibri" w:cs="Calibri"/>
                <w:b/>
                <w:color w:val="000000"/>
                <w:sz w:val="20"/>
                <w:szCs w:val="20"/>
              </w:rPr>
            </w:pPr>
            <w:r>
              <w:rPr>
                <w:rFonts w:ascii="Calibri" w:hAnsi="Calibri" w:cs="Calibri"/>
                <w:b/>
                <w:color w:val="000000"/>
                <w:sz w:val="20"/>
                <w:szCs w:val="20"/>
              </w:rPr>
              <w:t xml:space="preserve">Reporting period </w:t>
            </w:r>
          </w:p>
          <w:p w14:paraId="6809192E" w14:textId="77777777" w:rsidR="00CF33D9" w:rsidRDefault="00CF33D9">
            <w:pPr>
              <w:rPr>
                <w:rFonts w:ascii="Calibri" w:hAnsi="Calibri" w:cs="Calibri"/>
                <w:b/>
                <w:color w:val="000000"/>
                <w:sz w:val="20"/>
                <w:szCs w:val="20"/>
              </w:rPr>
            </w:pPr>
          </w:p>
        </w:tc>
      </w:tr>
      <w:tr w:rsidR="00CF33D9" w14:paraId="68091934" w14:textId="77777777">
        <w:trPr>
          <w:trHeight w:val="1158"/>
        </w:trPr>
        <w:tc>
          <w:tcPr>
            <w:tcW w:w="5836" w:type="dxa"/>
          </w:tcPr>
          <w:p w14:paraId="68091930" w14:textId="77777777" w:rsidR="00CF33D9" w:rsidRDefault="00E3332A">
            <w:pPr>
              <w:shd w:val="clear" w:color="auto" w:fill="FFFFFF"/>
              <w:rPr>
                <w:rFonts w:ascii="Calibri" w:hAnsi="Calibri" w:cs="Calibri"/>
                <w:color w:val="000000"/>
                <w:sz w:val="20"/>
                <w:szCs w:val="20"/>
              </w:rPr>
            </w:pPr>
            <w:r>
              <w:rPr>
                <w:rFonts w:ascii="Calibri" w:hAnsi="Calibri" w:cs="Calibri"/>
                <w:color w:val="000000"/>
                <w:sz w:val="20"/>
                <w:szCs w:val="20"/>
              </w:rPr>
              <w:t xml:space="preserve">Number of government agencies, transboundary water commissions, civil society organizations, private sector companies, indigenous groups and other stakeholder groups that have been involved in the project implementation phase </w:t>
            </w:r>
          </w:p>
        </w:tc>
        <w:tc>
          <w:tcPr>
            <w:tcW w:w="1466" w:type="dxa"/>
          </w:tcPr>
          <w:p w14:paraId="68091931" w14:textId="77777777" w:rsidR="00CF33D9" w:rsidRDefault="00E3332A">
            <w:pPr>
              <w:rPr>
                <w:rFonts w:ascii="Calibri" w:hAnsi="Calibri" w:cs="Calibri"/>
                <w:color w:val="000000"/>
                <w:sz w:val="20"/>
                <w:szCs w:val="20"/>
              </w:rPr>
            </w:pPr>
            <w:r>
              <w:rPr>
                <w:rFonts w:ascii="Calibri" w:hAnsi="Calibri" w:cs="Calibri"/>
                <w:color w:val="000000"/>
                <w:sz w:val="20"/>
                <w:szCs w:val="20"/>
              </w:rPr>
              <w:t>PMU</w:t>
            </w:r>
          </w:p>
          <w:p w14:paraId="68091932" w14:textId="77777777" w:rsidR="00CF33D9" w:rsidRDefault="00E3332A">
            <w:pPr>
              <w:rPr>
                <w:rFonts w:ascii="Calibri" w:hAnsi="Calibri" w:cs="Calibri"/>
                <w:color w:val="000000"/>
                <w:sz w:val="20"/>
                <w:szCs w:val="20"/>
              </w:rPr>
            </w:pPr>
            <w:r>
              <w:rPr>
                <w:rFonts w:ascii="Calibri" w:hAnsi="Calibri" w:cs="Calibri"/>
                <w:color w:val="000000"/>
                <w:sz w:val="20"/>
                <w:szCs w:val="20"/>
              </w:rPr>
              <w:t>BCC</w:t>
            </w:r>
          </w:p>
        </w:tc>
        <w:tc>
          <w:tcPr>
            <w:tcW w:w="1752" w:type="dxa"/>
          </w:tcPr>
          <w:p w14:paraId="68091933" w14:textId="77777777" w:rsidR="00CF33D9" w:rsidRDefault="00E3332A">
            <w:pPr>
              <w:rPr>
                <w:rFonts w:ascii="Calibri" w:hAnsi="Calibri" w:cs="Calibri"/>
                <w:color w:val="000000"/>
                <w:sz w:val="20"/>
                <w:szCs w:val="20"/>
              </w:rPr>
            </w:pPr>
            <w:r>
              <w:rPr>
                <w:rFonts w:ascii="Calibri" w:hAnsi="Calibri" w:cs="Calibri"/>
                <w:color w:val="000000"/>
                <w:sz w:val="20"/>
                <w:szCs w:val="20"/>
              </w:rPr>
              <w:t>Annual basis</w:t>
            </w:r>
          </w:p>
        </w:tc>
      </w:tr>
      <w:tr w:rsidR="00CF33D9" w14:paraId="68091939" w14:textId="77777777">
        <w:trPr>
          <w:trHeight w:val="814"/>
        </w:trPr>
        <w:tc>
          <w:tcPr>
            <w:tcW w:w="5836" w:type="dxa"/>
          </w:tcPr>
          <w:p w14:paraId="68091935" w14:textId="77777777" w:rsidR="00CF33D9" w:rsidRDefault="00E3332A">
            <w:pPr>
              <w:rPr>
                <w:rFonts w:ascii="Calibri" w:hAnsi="Calibri" w:cs="Calibri"/>
                <w:color w:val="000000"/>
                <w:sz w:val="20"/>
                <w:szCs w:val="20"/>
              </w:rPr>
            </w:pPr>
            <w:r>
              <w:rPr>
                <w:rFonts w:ascii="Calibri" w:hAnsi="Calibri" w:cs="Calibri"/>
                <w:color w:val="000000"/>
                <w:sz w:val="20"/>
                <w:szCs w:val="20"/>
              </w:rPr>
              <w:t xml:space="preserve">Number of persons (sex disaggregated) that have been involved in project implementation phase </w:t>
            </w:r>
          </w:p>
        </w:tc>
        <w:tc>
          <w:tcPr>
            <w:tcW w:w="1466" w:type="dxa"/>
          </w:tcPr>
          <w:p w14:paraId="68091936" w14:textId="77777777" w:rsidR="00CF33D9" w:rsidRDefault="00E3332A">
            <w:pPr>
              <w:rPr>
                <w:rFonts w:ascii="Calibri" w:hAnsi="Calibri" w:cs="Calibri"/>
                <w:color w:val="000000"/>
                <w:sz w:val="20"/>
                <w:szCs w:val="20"/>
              </w:rPr>
            </w:pPr>
            <w:r>
              <w:rPr>
                <w:rFonts w:ascii="Calibri" w:hAnsi="Calibri" w:cs="Calibri"/>
                <w:color w:val="000000"/>
                <w:sz w:val="20"/>
                <w:szCs w:val="20"/>
              </w:rPr>
              <w:t>PMU</w:t>
            </w:r>
          </w:p>
          <w:p w14:paraId="68091937" w14:textId="77777777" w:rsidR="00CF33D9" w:rsidRDefault="00E3332A">
            <w:pPr>
              <w:rPr>
                <w:rFonts w:ascii="Calibri" w:hAnsi="Calibri" w:cs="Calibri"/>
                <w:color w:val="000000"/>
                <w:sz w:val="20"/>
                <w:szCs w:val="20"/>
              </w:rPr>
            </w:pPr>
            <w:r>
              <w:rPr>
                <w:rFonts w:ascii="Calibri" w:hAnsi="Calibri" w:cs="Calibri"/>
                <w:color w:val="000000"/>
                <w:sz w:val="20"/>
                <w:szCs w:val="20"/>
              </w:rPr>
              <w:t>BCC</w:t>
            </w:r>
          </w:p>
        </w:tc>
        <w:tc>
          <w:tcPr>
            <w:tcW w:w="1752" w:type="dxa"/>
          </w:tcPr>
          <w:p w14:paraId="68091938" w14:textId="77777777" w:rsidR="00CF33D9" w:rsidRDefault="00E3332A">
            <w:pPr>
              <w:rPr>
                <w:rFonts w:ascii="Calibri" w:hAnsi="Calibri" w:cs="Calibri"/>
                <w:color w:val="000000"/>
                <w:sz w:val="20"/>
                <w:szCs w:val="20"/>
              </w:rPr>
            </w:pPr>
            <w:r>
              <w:rPr>
                <w:rFonts w:ascii="Calibri" w:hAnsi="Calibri" w:cs="Calibri"/>
                <w:color w:val="000000"/>
                <w:sz w:val="20"/>
                <w:szCs w:val="20"/>
              </w:rPr>
              <w:t>Annual basis</w:t>
            </w:r>
          </w:p>
        </w:tc>
      </w:tr>
      <w:tr w:rsidR="00CF33D9" w14:paraId="6809193E" w14:textId="77777777">
        <w:trPr>
          <w:trHeight w:val="892"/>
        </w:trPr>
        <w:tc>
          <w:tcPr>
            <w:tcW w:w="5836" w:type="dxa"/>
          </w:tcPr>
          <w:p w14:paraId="6809193A" w14:textId="77777777" w:rsidR="00CF33D9" w:rsidRDefault="00E3332A">
            <w:pPr>
              <w:shd w:val="clear" w:color="auto" w:fill="FFFFFF"/>
              <w:rPr>
                <w:rFonts w:ascii="Calibri" w:hAnsi="Calibri" w:cs="Calibri"/>
                <w:color w:val="000000"/>
                <w:sz w:val="20"/>
                <w:szCs w:val="20"/>
              </w:rPr>
            </w:pPr>
            <w:r>
              <w:rPr>
                <w:rFonts w:ascii="Calibri" w:hAnsi="Calibri" w:cs="Calibri"/>
                <w:color w:val="000000"/>
                <w:sz w:val="20"/>
                <w:szCs w:val="20"/>
              </w:rPr>
              <w:t xml:space="preserve">Number of engagement (e.g. meeting, workshops, consultations, conferences) with stakeholders during the project implementation phase </w:t>
            </w:r>
          </w:p>
        </w:tc>
        <w:tc>
          <w:tcPr>
            <w:tcW w:w="1466" w:type="dxa"/>
          </w:tcPr>
          <w:p w14:paraId="6809193B" w14:textId="77777777" w:rsidR="00CF33D9" w:rsidRDefault="00E3332A">
            <w:pPr>
              <w:rPr>
                <w:rFonts w:ascii="Calibri" w:hAnsi="Calibri" w:cs="Calibri"/>
                <w:color w:val="000000"/>
                <w:sz w:val="20"/>
                <w:szCs w:val="20"/>
              </w:rPr>
            </w:pPr>
            <w:r>
              <w:rPr>
                <w:rFonts w:ascii="Calibri" w:hAnsi="Calibri" w:cs="Calibri"/>
                <w:color w:val="000000"/>
                <w:sz w:val="20"/>
                <w:szCs w:val="20"/>
              </w:rPr>
              <w:t>PMU</w:t>
            </w:r>
          </w:p>
          <w:p w14:paraId="6809193C" w14:textId="77777777" w:rsidR="00CF33D9" w:rsidRDefault="00E3332A">
            <w:pPr>
              <w:rPr>
                <w:rFonts w:ascii="Calibri" w:hAnsi="Calibri" w:cs="Calibri"/>
                <w:color w:val="000000"/>
                <w:sz w:val="20"/>
                <w:szCs w:val="20"/>
              </w:rPr>
            </w:pPr>
            <w:r>
              <w:rPr>
                <w:rFonts w:ascii="Calibri" w:hAnsi="Calibri" w:cs="Calibri"/>
                <w:color w:val="000000"/>
                <w:sz w:val="20"/>
                <w:szCs w:val="20"/>
              </w:rPr>
              <w:t>BCC</w:t>
            </w:r>
          </w:p>
        </w:tc>
        <w:tc>
          <w:tcPr>
            <w:tcW w:w="1752" w:type="dxa"/>
          </w:tcPr>
          <w:p w14:paraId="6809193D" w14:textId="77777777" w:rsidR="00CF33D9" w:rsidRDefault="00E3332A">
            <w:pPr>
              <w:rPr>
                <w:rFonts w:ascii="Calibri" w:hAnsi="Calibri" w:cs="Calibri"/>
                <w:color w:val="000000"/>
                <w:sz w:val="20"/>
                <w:szCs w:val="20"/>
              </w:rPr>
            </w:pPr>
            <w:r>
              <w:rPr>
                <w:rFonts w:ascii="Calibri" w:hAnsi="Calibri" w:cs="Calibri"/>
                <w:color w:val="000000"/>
                <w:sz w:val="20"/>
                <w:szCs w:val="20"/>
              </w:rPr>
              <w:t>Quarterly</w:t>
            </w:r>
          </w:p>
        </w:tc>
      </w:tr>
      <w:tr w:rsidR="00CF33D9" w14:paraId="68091943" w14:textId="77777777">
        <w:trPr>
          <w:trHeight w:val="798"/>
        </w:trPr>
        <w:tc>
          <w:tcPr>
            <w:tcW w:w="5836" w:type="dxa"/>
          </w:tcPr>
          <w:p w14:paraId="6809193F" w14:textId="77777777" w:rsidR="00CF33D9" w:rsidRDefault="00E3332A">
            <w:pPr>
              <w:shd w:val="clear" w:color="auto" w:fill="FFFFFF"/>
              <w:rPr>
                <w:rFonts w:ascii="Calibri" w:hAnsi="Calibri" w:cs="Calibri"/>
                <w:color w:val="000000"/>
                <w:sz w:val="20"/>
                <w:szCs w:val="20"/>
              </w:rPr>
            </w:pPr>
            <w:r>
              <w:rPr>
                <w:rFonts w:ascii="Calibri" w:hAnsi="Calibri" w:cs="Calibri"/>
                <w:color w:val="000000"/>
                <w:sz w:val="20"/>
                <w:szCs w:val="20"/>
              </w:rPr>
              <w:t xml:space="preserve">Percentage of stakeholders who rate as satisfactory the quality of the services they receive </w:t>
            </w:r>
          </w:p>
        </w:tc>
        <w:tc>
          <w:tcPr>
            <w:tcW w:w="1466" w:type="dxa"/>
          </w:tcPr>
          <w:p w14:paraId="68091940" w14:textId="77777777" w:rsidR="00CF33D9" w:rsidRDefault="00E3332A">
            <w:pPr>
              <w:rPr>
                <w:rFonts w:ascii="Calibri" w:hAnsi="Calibri" w:cs="Calibri"/>
                <w:color w:val="000000"/>
                <w:sz w:val="20"/>
                <w:szCs w:val="20"/>
              </w:rPr>
            </w:pPr>
            <w:r>
              <w:rPr>
                <w:rFonts w:ascii="Calibri" w:hAnsi="Calibri" w:cs="Calibri"/>
                <w:color w:val="000000"/>
                <w:sz w:val="20"/>
                <w:szCs w:val="20"/>
              </w:rPr>
              <w:t>PMU</w:t>
            </w:r>
          </w:p>
          <w:p w14:paraId="68091941" w14:textId="77777777" w:rsidR="00CF33D9" w:rsidRDefault="00E3332A">
            <w:pPr>
              <w:rPr>
                <w:rFonts w:ascii="Calibri" w:hAnsi="Calibri" w:cs="Calibri"/>
                <w:color w:val="000000"/>
                <w:sz w:val="20"/>
                <w:szCs w:val="20"/>
              </w:rPr>
            </w:pPr>
            <w:r>
              <w:rPr>
                <w:rFonts w:ascii="Calibri" w:hAnsi="Calibri" w:cs="Calibri"/>
                <w:color w:val="000000"/>
                <w:sz w:val="20"/>
                <w:szCs w:val="20"/>
              </w:rPr>
              <w:t>BCC</w:t>
            </w:r>
          </w:p>
        </w:tc>
        <w:tc>
          <w:tcPr>
            <w:tcW w:w="1752" w:type="dxa"/>
          </w:tcPr>
          <w:p w14:paraId="68091942" w14:textId="77777777" w:rsidR="00CF33D9" w:rsidRDefault="00E3332A">
            <w:pPr>
              <w:rPr>
                <w:rFonts w:ascii="Calibri" w:hAnsi="Calibri" w:cs="Calibri"/>
                <w:color w:val="000000"/>
                <w:sz w:val="20"/>
                <w:szCs w:val="20"/>
              </w:rPr>
            </w:pPr>
            <w:r>
              <w:rPr>
                <w:rFonts w:ascii="Calibri" w:hAnsi="Calibri" w:cs="Calibri"/>
                <w:color w:val="000000"/>
                <w:sz w:val="20"/>
                <w:szCs w:val="20"/>
              </w:rPr>
              <w:t>Each stakeholder engagement event</w:t>
            </w:r>
          </w:p>
        </w:tc>
      </w:tr>
    </w:tbl>
    <w:p w14:paraId="68091944" w14:textId="77777777" w:rsidR="00CF33D9" w:rsidRDefault="00CF33D9">
      <w:pPr>
        <w:rPr>
          <w:rFonts w:ascii="Calibri" w:hAnsi="Calibri" w:cs="Calibri"/>
          <w:sz w:val="20"/>
          <w:szCs w:val="20"/>
        </w:rPr>
      </w:pPr>
    </w:p>
    <w:p w14:paraId="68091945" w14:textId="77777777" w:rsidR="00CF33D9" w:rsidRDefault="00CF33D9">
      <w:pPr>
        <w:rPr>
          <w:rFonts w:ascii="Calibri" w:hAnsi="Calibri" w:cs="Calibri"/>
          <w:sz w:val="20"/>
          <w:szCs w:val="20"/>
        </w:rPr>
      </w:pPr>
    </w:p>
    <w:p w14:paraId="68091946" w14:textId="77777777" w:rsidR="00CF33D9" w:rsidRDefault="00CF33D9">
      <w:pPr>
        <w:rPr>
          <w:rFonts w:ascii="Calibri" w:hAnsi="Calibri" w:cs="Calibri"/>
          <w:sz w:val="20"/>
          <w:szCs w:val="20"/>
        </w:rPr>
      </w:pPr>
    </w:p>
    <w:p w14:paraId="68091947" w14:textId="77777777" w:rsidR="00CF33D9" w:rsidRDefault="00E3332A">
      <w:pPr>
        <w:pStyle w:val="Heading1"/>
        <w:numPr>
          <w:ilvl w:val="0"/>
          <w:numId w:val="75"/>
        </w:numPr>
        <w:ind w:left="426" w:hanging="426"/>
        <w:rPr>
          <w:rFonts w:ascii="Calibri" w:hAnsi="Calibri" w:cs="Calibri"/>
          <w:b/>
          <w:bCs/>
          <w:color w:val="auto"/>
          <w:sz w:val="20"/>
          <w:szCs w:val="20"/>
        </w:rPr>
      </w:pPr>
      <w:r>
        <w:rPr>
          <w:rFonts w:ascii="Calibri" w:hAnsi="Calibri" w:cs="Calibri"/>
          <w:b/>
          <w:bCs/>
          <w:color w:val="auto"/>
          <w:sz w:val="20"/>
          <w:szCs w:val="20"/>
        </w:rPr>
        <w:t>Grievance Redress Mechanism</w:t>
      </w:r>
    </w:p>
    <w:p w14:paraId="68091948" w14:textId="77777777" w:rsidR="00CF33D9" w:rsidRDefault="00CF33D9">
      <w:pPr>
        <w:jc w:val="both"/>
        <w:rPr>
          <w:rFonts w:ascii="Calibri" w:eastAsia="Calibri" w:hAnsi="Calibri" w:cs="Calibri"/>
          <w:sz w:val="20"/>
          <w:szCs w:val="20"/>
        </w:rPr>
      </w:pPr>
    </w:p>
    <w:p w14:paraId="68091949" w14:textId="77777777" w:rsidR="00CF33D9" w:rsidRDefault="00E3332A">
      <w:pPr>
        <w:jc w:val="both"/>
        <w:rPr>
          <w:rFonts w:ascii="Calibri" w:eastAsia="Calibri" w:hAnsi="Calibri" w:cs="Calibri"/>
          <w:sz w:val="20"/>
          <w:szCs w:val="20"/>
        </w:rPr>
      </w:pPr>
      <w:r>
        <w:rPr>
          <w:rFonts w:ascii="Calibri" w:eastAsia="Calibri" w:hAnsi="Calibri" w:cs="Calibri"/>
          <w:sz w:val="20"/>
          <w:szCs w:val="20"/>
        </w:rPr>
        <w:lastRenderedPageBreak/>
        <w:t>In accordance with the UNDP policies; environmental and social safeguards, a response mechanism for the concerned interested parties or a Grievance Redress Mechanism (GRM) to guarantee that persons, indigenous peoples and local communities impacted by the project have access to adequate procedures for dispute resolution and address complaints and disputes related to the project. The GRM provides a formal channel for stakeholders to register complaints about the project social and environmental risks and impacts. It is however not a substitute for proactive outreach to stakeholders to inform them about the project, seek their input, and respond to their suggestions and concerns regarding social and environmental benefits, risks and impacts.</w:t>
      </w:r>
    </w:p>
    <w:p w14:paraId="6809194A" w14:textId="77777777" w:rsidR="00CF33D9" w:rsidRDefault="00CF33D9">
      <w:pPr>
        <w:jc w:val="both"/>
        <w:rPr>
          <w:rFonts w:ascii="Calibri" w:eastAsia="Calibri" w:hAnsi="Calibri" w:cs="Calibri"/>
          <w:sz w:val="20"/>
          <w:szCs w:val="20"/>
        </w:rPr>
      </w:pPr>
    </w:p>
    <w:p w14:paraId="6809194B"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A detailed mechanism for grievance redress shall be designed to complement the proactive participation of the stakeholders in project activities. This effective participation of stakeholders creates opportunities to solve problems that would otherwise lead to conflict. In this context, any person or community group who believe they are negatively affected by the BCLME IV Project, or is at risk of adverse impacts, may file a grievance following the procedure (inclusive of GRM Form) that will be established. The procedure should ideally consist of the following elements:</w:t>
      </w:r>
    </w:p>
    <w:p w14:paraId="6809194C" w14:textId="77777777" w:rsidR="00CF33D9" w:rsidRDefault="00CF33D9">
      <w:pPr>
        <w:jc w:val="both"/>
        <w:rPr>
          <w:rFonts w:ascii="Calibri" w:eastAsia="Calibri" w:hAnsi="Calibri" w:cs="Calibri"/>
          <w:sz w:val="20"/>
          <w:szCs w:val="20"/>
        </w:rPr>
      </w:pPr>
    </w:p>
    <w:p w14:paraId="6809194D" w14:textId="77777777" w:rsidR="00CF33D9" w:rsidRDefault="00E3332A">
      <w:pPr>
        <w:pStyle w:val="ListParagraph"/>
        <w:numPr>
          <w:ilvl w:val="0"/>
          <w:numId w:val="80"/>
        </w:numPr>
        <w:spacing w:after="160"/>
        <w:contextualSpacing/>
        <w:jc w:val="both"/>
        <w:rPr>
          <w:rFonts w:ascii="Calibri" w:eastAsia="Calibri" w:hAnsi="Calibri" w:cs="Calibri"/>
          <w:sz w:val="20"/>
          <w:szCs w:val="20"/>
        </w:rPr>
      </w:pPr>
      <w:r>
        <w:rPr>
          <w:rFonts w:ascii="Calibri" w:eastAsia="Calibri" w:hAnsi="Calibri" w:cs="Calibri"/>
          <w:sz w:val="20"/>
          <w:szCs w:val="20"/>
        </w:rPr>
        <w:t>An accessible, predictable and transparent procedure for receiving and responding to complaints. The project should establish communication channels to receive complaints and identify staff that will be responsible for documenting and responding to complaints.</w:t>
      </w:r>
    </w:p>
    <w:p w14:paraId="6809194E" w14:textId="77777777" w:rsidR="00CF33D9" w:rsidRDefault="00E3332A">
      <w:pPr>
        <w:pStyle w:val="ListParagraph"/>
        <w:numPr>
          <w:ilvl w:val="0"/>
          <w:numId w:val="80"/>
        </w:numPr>
        <w:spacing w:after="160"/>
        <w:contextualSpacing/>
        <w:jc w:val="both"/>
        <w:rPr>
          <w:rFonts w:ascii="Calibri" w:eastAsia="Calibri" w:hAnsi="Calibri" w:cs="Calibri"/>
          <w:sz w:val="20"/>
          <w:szCs w:val="20"/>
        </w:rPr>
      </w:pPr>
      <w:r>
        <w:rPr>
          <w:rFonts w:ascii="Calibri" w:eastAsia="Calibri" w:hAnsi="Calibri" w:cs="Calibri"/>
          <w:sz w:val="20"/>
          <w:szCs w:val="20"/>
        </w:rPr>
        <w:t>Direct engagement and dialogue with complainants to clarify issues and interests and develop mutually acceptable responses. Establish procedures to engage with the complainant, seek resolution, ad document all complaints and responses.</w:t>
      </w:r>
    </w:p>
    <w:p w14:paraId="6809194F" w14:textId="77777777" w:rsidR="00CF33D9" w:rsidRDefault="00E3332A">
      <w:pPr>
        <w:pStyle w:val="ListParagraph"/>
        <w:numPr>
          <w:ilvl w:val="0"/>
          <w:numId w:val="80"/>
        </w:numPr>
        <w:spacing w:after="160"/>
        <w:contextualSpacing/>
        <w:jc w:val="both"/>
        <w:rPr>
          <w:rFonts w:ascii="Calibri" w:eastAsia="Calibri" w:hAnsi="Calibri" w:cs="Calibri"/>
          <w:sz w:val="20"/>
          <w:szCs w:val="20"/>
        </w:rPr>
      </w:pPr>
      <w:r>
        <w:rPr>
          <w:rFonts w:ascii="Calibri" w:eastAsia="Calibri" w:hAnsi="Calibri" w:cs="Calibri"/>
          <w:sz w:val="20"/>
          <w:szCs w:val="20"/>
        </w:rPr>
        <w:t>Equitable and right-compatible resolution of complaints, including contribution to remedy for environmental or social harm demonstrably caused or contributed to by the project.</w:t>
      </w:r>
    </w:p>
    <w:p w14:paraId="68091950" w14:textId="77777777" w:rsidR="00CF33D9" w:rsidRDefault="00E3332A">
      <w:pPr>
        <w:pStyle w:val="ListParagraph"/>
        <w:numPr>
          <w:ilvl w:val="0"/>
          <w:numId w:val="80"/>
        </w:numPr>
        <w:spacing w:after="160"/>
        <w:contextualSpacing/>
        <w:jc w:val="both"/>
        <w:rPr>
          <w:rFonts w:ascii="Calibri" w:eastAsia="Calibri" w:hAnsi="Calibri" w:cs="Calibri"/>
          <w:sz w:val="20"/>
          <w:szCs w:val="20"/>
        </w:rPr>
      </w:pPr>
      <w:r>
        <w:rPr>
          <w:rFonts w:ascii="Calibri" w:eastAsia="Calibri" w:hAnsi="Calibri" w:cs="Calibri"/>
          <w:sz w:val="20"/>
          <w:szCs w:val="20"/>
        </w:rPr>
        <w:t>Opportunity for learning from complaints and their resolution, in ways that contribute to improved management or environmental and social risks and ensure alignment with UNDP’s SES as well as applicable laws, regulations and policies at country levels.</w:t>
      </w:r>
    </w:p>
    <w:p w14:paraId="68091951"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The grievance process shall be based upon the premise that:</w:t>
      </w:r>
    </w:p>
    <w:p w14:paraId="68091952" w14:textId="77777777" w:rsidR="00CF33D9" w:rsidRDefault="00CF33D9">
      <w:pPr>
        <w:jc w:val="both"/>
        <w:rPr>
          <w:rFonts w:ascii="Calibri" w:eastAsia="Calibri" w:hAnsi="Calibri" w:cs="Calibri"/>
          <w:sz w:val="20"/>
          <w:szCs w:val="20"/>
        </w:rPr>
      </w:pPr>
    </w:p>
    <w:p w14:paraId="68091953" w14:textId="77777777" w:rsidR="00CF33D9" w:rsidRDefault="00E3332A">
      <w:pPr>
        <w:pStyle w:val="ListParagraph"/>
        <w:numPr>
          <w:ilvl w:val="0"/>
          <w:numId w:val="81"/>
        </w:numPr>
        <w:spacing w:after="160"/>
        <w:contextualSpacing/>
        <w:jc w:val="both"/>
        <w:rPr>
          <w:rFonts w:ascii="Calibri" w:eastAsia="Calibri" w:hAnsi="Calibri" w:cs="Calibri"/>
          <w:sz w:val="20"/>
          <w:szCs w:val="20"/>
        </w:rPr>
      </w:pPr>
      <w:r>
        <w:rPr>
          <w:rFonts w:ascii="Calibri" w:eastAsia="Calibri" w:hAnsi="Calibri" w:cs="Calibri"/>
          <w:sz w:val="20"/>
          <w:szCs w:val="20"/>
        </w:rPr>
        <w:t>Stakeholders are free to raise concerns to relevant officials at no cost or threat; or any negative repercussions.</w:t>
      </w:r>
    </w:p>
    <w:p w14:paraId="68091954" w14:textId="77777777" w:rsidR="00CF33D9" w:rsidRDefault="00E3332A">
      <w:pPr>
        <w:pStyle w:val="ListParagraph"/>
        <w:numPr>
          <w:ilvl w:val="0"/>
          <w:numId w:val="81"/>
        </w:numPr>
        <w:spacing w:after="160"/>
        <w:contextualSpacing/>
        <w:jc w:val="both"/>
        <w:rPr>
          <w:rFonts w:ascii="Calibri" w:eastAsia="Calibri" w:hAnsi="Calibri" w:cs="Calibri"/>
          <w:sz w:val="20"/>
          <w:szCs w:val="20"/>
        </w:rPr>
      </w:pPr>
      <w:r>
        <w:rPr>
          <w:rFonts w:ascii="Calibri" w:eastAsia="Calibri" w:hAnsi="Calibri" w:cs="Calibri"/>
          <w:sz w:val="20"/>
          <w:szCs w:val="20"/>
        </w:rPr>
        <w:t>Concerns arising from the project implementation are adequately addressed in a timely and respectful manner; and</w:t>
      </w:r>
    </w:p>
    <w:p w14:paraId="68091955" w14:textId="77777777" w:rsidR="00CF33D9" w:rsidRDefault="00E3332A">
      <w:pPr>
        <w:pStyle w:val="ListParagraph"/>
        <w:numPr>
          <w:ilvl w:val="0"/>
          <w:numId w:val="81"/>
        </w:numPr>
        <w:spacing w:after="160"/>
        <w:contextualSpacing/>
        <w:jc w:val="both"/>
        <w:rPr>
          <w:rFonts w:ascii="Calibri" w:eastAsia="Calibri" w:hAnsi="Calibri" w:cs="Calibri"/>
          <w:sz w:val="20"/>
          <w:szCs w:val="20"/>
        </w:rPr>
      </w:pPr>
      <w:r>
        <w:rPr>
          <w:rFonts w:ascii="Calibri" w:eastAsia="Calibri" w:hAnsi="Calibri" w:cs="Calibri"/>
          <w:sz w:val="20"/>
          <w:szCs w:val="20"/>
        </w:rPr>
        <w:t>Participation in the grievance process does not preclude pursuit of legal remedies under the respective BCC member state.</w:t>
      </w:r>
    </w:p>
    <w:p w14:paraId="68091956"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BCLME IV PMU will manage the overall GRM process throughout implementation of the project; using procedures that will be suitable for the context. The GRM aims to address all complaints received, regardless of whether they arise from real or perceived issues. The intention is to resolve a complaint as quickly as possible to avoid a minor issue from becoming a significant grievance. At demonstration sites, it is recommended that grievances be resolved at the community level as much as possible with assistance from local authorities or customary conflict mediation arrangements in place and only escalated to the Project Steering Committee when agreement could not be reached.</w:t>
      </w:r>
    </w:p>
    <w:p w14:paraId="68091957" w14:textId="77777777" w:rsidR="00CF33D9" w:rsidRDefault="00CF33D9">
      <w:pPr>
        <w:jc w:val="both"/>
        <w:rPr>
          <w:rFonts w:ascii="Calibri" w:eastAsia="Calibri" w:hAnsi="Calibri" w:cs="Calibri"/>
          <w:sz w:val="20"/>
          <w:szCs w:val="20"/>
        </w:rPr>
      </w:pPr>
    </w:p>
    <w:p w14:paraId="68091958" w14:textId="77777777" w:rsidR="00CF33D9" w:rsidRDefault="00E3332A">
      <w:pPr>
        <w:pStyle w:val="Heading2"/>
        <w:numPr>
          <w:ilvl w:val="1"/>
          <w:numId w:val="75"/>
        </w:numPr>
        <w:spacing w:after="240"/>
        <w:ind w:left="426" w:hanging="360"/>
        <w:rPr>
          <w:rFonts w:ascii="Calibri" w:eastAsia="Calibri" w:hAnsi="Calibri" w:cs="Calibri"/>
          <w:szCs w:val="20"/>
        </w:rPr>
      </w:pPr>
      <w:r>
        <w:rPr>
          <w:rFonts w:ascii="Calibri" w:eastAsia="Calibri" w:hAnsi="Calibri" w:cs="Calibri"/>
          <w:szCs w:val="20"/>
        </w:rPr>
        <w:t xml:space="preserve">Disclosure of GRM </w:t>
      </w:r>
    </w:p>
    <w:p w14:paraId="68091959" w14:textId="77777777" w:rsidR="00CF33D9" w:rsidRDefault="00E3332A">
      <w:pPr>
        <w:jc w:val="both"/>
        <w:rPr>
          <w:rFonts w:ascii="Calibri" w:hAnsi="Calibri" w:cs="Calibri"/>
          <w:sz w:val="20"/>
          <w:szCs w:val="20"/>
        </w:rPr>
      </w:pPr>
      <w:r>
        <w:rPr>
          <w:rFonts w:ascii="Calibri" w:hAnsi="Calibri" w:cs="Calibri"/>
          <w:sz w:val="20"/>
          <w:szCs w:val="20"/>
        </w:rPr>
        <w:t xml:space="preserve">To ensure that the GRM established is functional as intended, the potential complainants need to be aware of how to access the GRM. It is therefore important that the GRM and its objectives are presented to potentially impacted stakeholders. It is recommended that the GRM Form be included on the BCC project portal for stakeholders to download it </w:t>
      </w:r>
      <w:hyperlink r:id="rId84" w:history="1">
        <w:r>
          <w:rPr>
            <w:rStyle w:val="Hyperlink"/>
            <w:rFonts w:ascii="Calibri" w:eastAsia="Calibri" w:hAnsi="Calibri" w:cs="Calibri"/>
            <w:sz w:val="20"/>
            <w:szCs w:val="20"/>
          </w:rPr>
          <w:t>https://www.benguelacc.org</w:t>
        </w:r>
      </w:hyperlink>
      <w:r>
        <w:rPr>
          <w:rStyle w:val="Hyperlink"/>
          <w:rFonts w:ascii="Calibri" w:eastAsia="Calibri" w:hAnsi="Calibri" w:cs="Calibri"/>
          <w:sz w:val="20"/>
          <w:szCs w:val="20"/>
        </w:rPr>
        <w:t xml:space="preserve">. </w:t>
      </w:r>
      <w:r>
        <w:rPr>
          <w:rFonts w:ascii="Calibri" w:hAnsi="Calibri" w:cs="Calibri"/>
          <w:sz w:val="20"/>
          <w:szCs w:val="20"/>
        </w:rPr>
        <w:t>Key details that require to be disclosed include:</w:t>
      </w:r>
    </w:p>
    <w:p w14:paraId="6809195A" w14:textId="77777777" w:rsidR="00CF33D9" w:rsidRDefault="00CF33D9">
      <w:pPr>
        <w:jc w:val="both"/>
        <w:rPr>
          <w:rFonts w:ascii="Calibri" w:hAnsi="Calibri" w:cs="Calibri"/>
          <w:sz w:val="20"/>
          <w:szCs w:val="20"/>
        </w:rPr>
      </w:pPr>
    </w:p>
    <w:p w14:paraId="6809195B" w14:textId="77777777" w:rsidR="00CF33D9" w:rsidRDefault="00E3332A">
      <w:pPr>
        <w:pStyle w:val="ListParagraph"/>
        <w:numPr>
          <w:ilvl w:val="0"/>
          <w:numId w:val="82"/>
        </w:numPr>
        <w:spacing w:after="160"/>
        <w:contextualSpacing/>
        <w:jc w:val="both"/>
        <w:rPr>
          <w:rFonts w:ascii="Calibri" w:hAnsi="Calibri" w:cs="Calibri"/>
          <w:sz w:val="20"/>
          <w:szCs w:val="20"/>
        </w:rPr>
      </w:pPr>
      <w:r>
        <w:rPr>
          <w:rFonts w:ascii="Calibri" w:hAnsi="Calibri" w:cs="Calibri"/>
          <w:b/>
          <w:bCs/>
          <w:sz w:val="20"/>
          <w:szCs w:val="20"/>
        </w:rPr>
        <w:t xml:space="preserve">How to lodge a complaint: </w:t>
      </w:r>
      <w:r>
        <w:rPr>
          <w:rFonts w:ascii="Calibri" w:hAnsi="Calibri" w:cs="Calibri"/>
          <w:sz w:val="20"/>
          <w:szCs w:val="20"/>
        </w:rPr>
        <w:t>This includes the different methods of making a complaint or grievance (face to face, phone, email, through an intermediary or representative).</w:t>
      </w:r>
    </w:p>
    <w:p w14:paraId="6809195C" w14:textId="77777777" w:rsidR="00CF33D9" w:rsidRDefault="00E3332A">
      <w:pPr>
        <w:pStyle w:val="ListParagraph"/>
        <w:numPr>
          <w:ilvl w:val="0"/>
          <w:numId w:val="82"/>
        </w:numPr>
        <w:spacing w:after="160"/>
        <w:contextualSpacing/>
        <w:jc w:val="both"/>
        <w:rPr>
          <w:rFonts w:ascii="Calibri" w:hAnsi="Calibri" w:cs="Calibri"/>
          <w:sz w:val="20"/>
          <w:szCs w:val="20"/>
        </w:rPr>
      </w:pPr>
      <w:r>
        <w:rPr>
          <w:rFonts w:ascii="Calibri" w:hAnsi="Calibri" w:cs="Calibri"/>
          <w:b/>
          <w:bCs/>
          <w:sz w:val="20"/>
          <w:szCs w:val="20"/>
        </w:rPr>
        <w:lastRenderedPageBreak/>
        <w:t>Contact details:</w:t>
      </w:r>
      <w:r>
        <w:rPr>
          <w:rFonts w:ascii="Calibri" w:hAnsi="Calibri" w:cs="Calibri"/>
          <w:sz w:val="20"/>
          <w:szCs w:val="20"/>
        </w:rPr>
        <w:t xml:space="preserve"> Where the complaint can be submitted, includes contact details of people responsible for project implementation.</w:t>
      </w:r>
    </w:p>
    <w:p w14:paraId="6809195D" w14:textId="77777777" w:rsidR="00CF33D9" w:rsidRDefault="00E3332A">
      <w:pPr>
        <w:pStyle w:val="ListParagraph"/>
        <w:numPr>
          <w:ilvl w:val="0"/>
          <w:numId w:val="82"/>
        </w:numPr>
        <w:spacing w:after="160"/>
        <w:contextualSpacing/>
        <w:jc w:val="both"/>
        <w:rPr>
          <w:rFonts w:ascii="Calibri" w:hAnsi="Calibri" w:cs="Calibri"/>
          <w:sz w:val="20"/>
          <w:szCs w:val="20"/>
        </w:rPr>
      </w:pPr>
      <w:r>
        <w:rPr>
          <w:rFonts w:ascii="Calibri" w:hAnsi="Calibri" w:cs="Calibri"/>
          <w:b/>
          <w:bCs/>
          <w:sz w:val="20"/>
          <w:szCs w:val="20"/>
        </w:rPr>
        <w:t>Responsibilities:</w:t>
      </w:r>
      <w:r>
        <w:rPr>
          <w:rFonts w:ascii="Calibri" w:hAnsi="Calibri" w:cs="Calibri"/>
          <w:sz w:val="20"/>
          <w:szCs w:val="20"/>
        </w:rPr>
        <w:t xml:space="preserve"> the person responsible for recording and resolving a complaint, (includes the responsibility of the complainant to be accurate about the grievance). Timeframes for responding to the complaint should also be stipulated.</w:t>
      </w:r>
    </w:p>
    <w:p w14:paraId="6809195E" w14:textId="77777777" w:rsidR="00CF33D9" w:rsidRDefault="00CF33D9">
      <w:pPr>
        <w:pStyle w:val="ListParagraph"/>
        <w:jc w:val="both"/>
        <w:rPr>
          <w:rFonts w:ascii="Calibri" w:hAnsi="Calibri" w:cs="Calibri"/>
          <w:b/>
          <w:bCs/>
          <w:sz w:val="20"/>
          <w:szCs w:val="20"/>
        </w:rPr>
      </w:pPr>
    </w:p>
    <w:p w14:paraId="6809195F" w14:textId="77777777" w:rsidR="00CF33D9" w:rsidRDefault="00E3332A">
      <w:pPr>
        <w:pStyle w:val="ListParagraph"/>
        <w:keepNext/>
        <w:jc w:val="center"/>
        <w:rPr>
          <w:rFonts w:ascii="Calibri" w:hAnsi="Calibri" w:cs="Calibri"/>
          <w:sz w:val="20"/>
          <w:szCs w:val="20"/>
        </w:rPr>
      </w:pPr>
      <w:r>
        <w:rPr>
          <w:rFonts w:ascii="Calibri" w:hAnsi="Calibri" w:cs="Calibri"/>
          <w:noProof/>
          <w:sz w:val="20"/>
          <w:szCs w:val="20"/>
        </w:rPr>
        <w:drawing>
          <wp:inline distT="0" distB="0" distL="0" distR="0" wp14:anchorId="68092301" wp14:editId="68092302">
            <wp:extent cx="4973955" cy="3319145"/>
            <wp:effectExtent l="0" t="0" r="4445" b="0"/>
            <wp:docPr id="5513813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381365" name="Picture 1"/>
                    <pic:cNvPicPr>
                      <a:picLocks noChangeAspect="1"/>
                    </pic:cNvPicPr>
                  </pic:nvPicPr>
                  <pic:blipFill>
                    <a:blip r:embed="rId85"/>
                    <a:stretch>
                      <a:fillRect/>
                    </a:stretch>
                  </pic:blipFill>
                  <pic:spPr>
                    <a:xfrm>
                      <a:off x="0" y="0"/>
                      <a:ext cx="4988822" cy="3329266"/>
                    </a:xfrm>
                    <a:prstGeom prst="rect">
                      <a:avLst/>
                    </a:prstGeom>
                  </pic:spPr>
                </pic:pic>
              </a:graphicData>
            </a:graphic>
          </wp:inline>
        </w:drawing>
      </w:r>
    </w:p>
    <w:p w14:paraId="68091960" w14:textId="77777777" w:rsidR="00CF33D9" w:rsidRDefault="00E3332A">
      <w:pPr>
        <w:pStyle w:val="Caption"/>
        <w:jc w:val="center"/>
        <w:rPr>
          <w:rFonts w:ascii="Calibri" w:hAnsi="Calibri" w:cs="Calibri"/>
          <w:b w:val="0"/>
          <w:bCs w:val="0"/>
          <w:sz w:val="20"/>
          <w:szCs w:val="20"/>
        </w:rPr>
      </w:pPr>
      <w:bookmarkStart w:id="48" w:name="_Toc161176163"/>
      <w:r>
        <w:rPr>
          <w:rFonts w:ascii="Calibri" w:hAnsi="Calibri" w:cs="Calibri"/>
          <w:b w:val="0"/>
          <w:bCs w:val="0"/>
          <w:sz w:val="20"/>
          <w:szCs w:val="20"/>
        </w:rPr>
        <w:t xml:space="preserve">Figure </w:t>
      </w:r>
      <w:r>
        <w:rPr>
          <w:rFonts w:ascii="Calibri" w:hAnsi="Calibri" w:cs="Calibri"/>
          <w:b w:val="0"/>
          <w:bCs w:val="0"/>
          <w:sz w:val="20"/>
          <w:szCs w:val="20"/>
        </w:rPr>
        <w:fldChar w:fldCharType="begin"/>
      </w:r>
      <w:r>
        <w:rPr>
          <w:rFonts w:ascii="Calibri" w:hAnsi="Calibri" w:cs="Calibri"/>
          <w:b w:val="0"/>
          <w:bCs w:val="0"/>
          <w:sz w:val="20"/>
          <w:szCs w:val="20"/>
        </w:rPr>
        <w:instrText xml:space="preserve"> SEQ Figure \* ARABIC </w:instrText>
      </w:r>
      <w:r>
        <w:rPr>
          <w:rFonts w:ascii="Calibri" w:hAnsi="Calibri" w:cs="Calibri"/>
          <w:b w:val="0"/>
          <w:bCs w:val="0"/>
          <w:sz w:val="20"/>
          <w:szCs w:val="20"/>
        </w:rPr>
        <w:fldChar w:fldCharType="separate"/>
      </w:r>
      <w:r>
        <w:rPr>
          <w:rFonts w:ascii="Calibri" w:hAnsi="Calibri" w:cs="Calibri"/>
          <w:b w:val="0"/>
          <w:bCs w:val="0"/>
          <w:sz w:val="20"/>
          <w:szCs w:val="20"/>
        </w:rPr>
        <w:t>2</w:t>
      </w:r>
      <w:r>
        <w:rPr>
          <w:rFonts w:ascii="Calibri" w:hAnsi="Calibri" w:cs="Calibri"/>
          <w:b w:val="0"/>
          <w:bCs w:val="0"/>
          <w:sz w:val="20"/>
          <w:szCs w:val="20"/>
        </w:rPr>
        <w:fldChar w:fldCharType="end"/>
      </w:r>
      <w:r>
        <w:rPr>
          <w:rFonts w:ascii="Calibri" w:hAnsi="Calibri" w:cs="Calibri"/>
          <w:b w:val="0"/>
          <w:bCs w:val="0"/>
          <w:sz w:val="20"/>
          <w:szCs w:val="20"/>
        </w:rPr>
        <w:t>: A step wise process of lodging a complaint that can be applied in the BCLME IV project</w:t>
      </w:r>
      <w:bookmarkEnd w:id="48"/>
    </w:p>
    <w:p w14:paraId="68091961" w14:textId="77777777" w:rsidR="00CF33D9" w:rsidRDefault="00CF33D9">
      <w:pPr>
        <w:rPr>
          <w:rFonts w:ascii="Calibri" w:hAnsi="Calibri" w:cs="Calibri"/>
          <w:sz w:val="20"/>
          <w:szCs w:val="20"/>
        </w:rPr>
      </w:pPr>
    </w:p>
    <w:p w14:paraId="68091962" w14:textId="77777777" w:rsidR="00CF33D9" w:rsidRDefault="00E3332A">
      <w:pPr>
        <w:pStyle w:val="Heading2"/>
        <w:numPr>
          <w:ilvl w:val="1"/>
          <w:numId w:val="75"/>
        </w:numPr>
        <w:spacing w:after="240"/>
        <w:ind w:left="426" w:hanging="426"/>
        <w:rPr>
          <w:rFonts w:ascii="Calibri" w:hAnsi="Calibri" w:cs="Calibri"/>
          <w:szCs w:val="20"/>
        </w:rPr>
      </w:pPr>
      <w:r>
        <w:rPr>
          <w:rFonts w:ascii="Calibri" w:eastAsia="Calibri" w:hAnsi="Calibri" w:cs="Calibri"/>
          <w:szCs w:val="20"/>
        </w:rPr>
        <w:t>Eligibility</w:t>
      </w:r>
      <w:r>
        <w:rPr>
          <w:rFonts w:ascii="Calibri" w:hAnsi="Calibri" w:cs="Calibri"/>
          <w:szCs w:val="20"/>
        </w:rPr>
        <w:t xml:space="preserve"> of complaints</w:t>
      </w:r>
    </w:p>
    <w:p w14:paraId="68091963" w14:textId="77777777" w:rsidR="00CF33D9" w:rsidRDefault="00E3332A">
      <w:pPr>
        <w:jc w:val="both"/>
        <w:rPr>
          <w:rFonts w:ascii="Calibri" w:hAnsi="Calibri" w:cs="Calibri"/>
          <w:sz w:val="20"/>
          <w:szCs w:val="20"/>
        </w:rPr>
      </w:pPr>
      <w:r>
        <w:rPr>
          <w:rFonts w:ascii="Calibri" w:hAnsi="Calibri" w:cs="Calibri"/>
          <w:sz w:val="20"/>
          <w:szCs w:val="20"/>
        </w:rPr>
        <w:t xml:space="preserve">To be eligible for a project GRM response, the complaint should firstly conform to the confines of the BCLME iv project activities. The complaint must indicate how project activities have caused or contributed or may cause or contribute to social or environmental harm. The complaint must also be lodged by a stakeholder or group of people who could plausibly be affected by the impacts referenced in the complaint. Complainants should be enabled to receive confidentiality, however, to maintain transparency, the GRM cannot respond to anonymous grievances. </w:t>
      </w:r>
    </w:p>
    <w:p w14:paraId="68091964" w14:textId="77777777" w:rsidR="00CF33D9" w:rsidRDefault="00E3332A">
      <w:pPr>
        <w:rPr>
          <w:rFonts w:ascii="Calibri" w:eastAsia="Calibri" w:hAnsi="Calibri" w:cs="Calibri"/>
          <w:sz w:val="20"/>
          <w:szCs w:val="20"/>
        </w:rPr>
      </w:pPr>
      <w:r>
        <w:rPr>
          <w:rFonts w:ascii="Calibri" w:eastAsia="Calibri" w:hAnsi="Calibri" w:cs="Calibri"/>
          <w:sz w:val="20"/>
          <w:szCs w:val="20"/>
        </w:rPr>
        <w:br w:type="page"/>
      </w:r>
    </w:p>
    <w:p w14:paraId="68091965" w14:textId="77777777" w:rsidR="00CF33D9" w:rsidRDefault="00CF33D9">
      <w:pPr>
        <w:rPr>
          <w:rFonts w:ascii="Calibri" w:eastAsia="Calibri" w:hAnsi="Calibri" w:cs="Calibri"/>
          <w:sz w:val="20"/>
          <w:szCs w:val="20"/>
        </w:rPr>
      </w:pPr>
    </w:p>
    <w:p w14:paraId="68091966" w14:textId="77777777" w:rsidR="00CF33D9" w:rsidRDefault="00E3332A">
      <w:pPr>
        <w:pStyle w:val="Heading2"/>
        <w:rPr>
          <w:rFonts w:ascii="Calibri" w:hAnsi="Calibri" w:cs="Calibri"/>
          <w:szCs w:val="20"/>
        </w:rPr>
      </w:pPr>
      <w:bookmarkStart w:id="49" w:name="_Toc169739177"/>
      <w:r>
        <w:rPr>
          <w:rFonts w:ascii="Calibri" w:hAnsi="Calibri" w:cs="Calibri"/>
          <w:szCs w:val="20"/>
        </w:rPr>
        <w:t>Annex 8: Environmental and Social Management Framework</w:t>
      </w:r>
      <w:bookmarkEnd w:id="49"/>
      <w:r>
        <w:rPr>
          <w:rFonts w:ascii="Calibri" w:hAnsi="Calibri" w:cs="Calibri"/>
          <w:szCs w:val="20"/>
        </w:rPr>
        <w:t xml:space="preserve"> </w:t>
      </w:r>
    </w:p>
    <w:p w14:paraId="68091967" w14:textId="77777777" w:rsidR="00CF33D9" w:rsidRDefault="00CF33D9">
      <w:pPr>
        <w:rPr>
          <w:rFonts w:ascii="Calibri" w:hAnsi="Calibri" w:cs="Calibri"/>
          <w:sz w:val="20"/>
          <w:szCs w:val="20"/>
        </w:rPr>
      </w:pPr>
    </w:p>
    <w:p w14:paraId="68091968" w14:textId="77777777" w:rsidR="00CF33D9" w:rsidRDefault="00E3332A">
      <w:pPr>
        <w:rPr>
          <w:rFonts w:ascii="Calibri" w:hAnsi="Calibri" w:cs="Calibri"/>
          <w:sz w:val="20"/>
          <w:szCs w:val="20"/>
        </w:rPr>
      </w:pPr>
      <w:r>
        <w:rPr>
          <w:rFonts w:ascii="Calibri" w:eastAsiaTheme="minorHAnsi" w:hAnsi="Calibri" w:cs="Calibri"/>
          <w:noProof/>
          <w:sz w:val="20"/>
          <w:szCs w:val="20"/>
        </w:rPr>
        <w:drawing>
          <wp:inline distT="0" distB="0" distL="0" distR="0" wp14:anchorId="68092303" wp14:editId="68092304">
            <wp:extent cx="843915" cy="1247140"/>
            <wp:effectExtent l="0" t="0" r="0" b="0"/>
            <wp:docPr id="1308087655" name="Picture 1308087655"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087655" name="Picture 1308087655" descr="A blue and white logo&#10;&#10;Description automatically generated"/>
                    <pic:cNvPicPr>
                      <a:picLocks noChangeAspect="1" noChangeArrowheads="1"/>
                    </pic:cNvPicPr>
                  </pic:nvPicPr>
                  <pic:blipFill>
                    <a:blip r:embed="rId76">
                      <a:extLst>
                        <a:ext uri="{28A0092B-C50C-407E-A947-70E740481C1C}">
                          <a14:useLocalDpi xmlns:a14="http://schemas.microsoft.com/office/drawing/2010/main" val="0"/>
                        </a:ext>
                      </a:extLst>
                    </a:blip>
                    <a:srcRect b="21698"/>
                    <a:stretch>
                      <a:fillRect/>
                    </a:stretch>
                  </pic:blipFill>
                  <pic:spPr>
                    <a:xfrm>
                      <a:off x="0" y="0"/>
                      <a:ext cx="872299" cy="1288950"/>
                    </a:xfrm>
                    <a:prstGeom prst="rect">
                      <a:avLst/>
                    </a:prstGeom>
                    <a:noFill/>
                    <a:ln>
                      <a:noFill/>
                    </a:ln>
                  </pic:spPr>
                </pic:pic>
              </a:graphicData>
            </a:graphic>
          </wp:inline>
        </w:drawing>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eastAsiaTheme="minorHAnsi" w:hAnsi="Calibri" w:cs="Calibri"/>
          <w:noProof/>
          <w:sz w:val="20"/>
          <w:szCs w:val="20"/>
        </w:rPr>
        <w:drawing>
          <wp:inline distT="0" distB="0" distL="0" distR="0" wp14:anchorId="68092305" wp14:editId="68092306">
            <wp:extent cx="1957070" cy="1066800"/>
            <wp:effectExtent l="0" t="0" r="0" b="0"/>
            <wp:docPr id="1308794882" name="Picture 1308794882" descr="A group of round flags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794882" name="Picture 1308794882" descr="A group of round flags with blue text&#10;&#10;Description automatically generated"/>
                    <pic:cNvPicPr>
                      <a:picLocks noChangeAspect="1"/>
                    </pic:cNvPicPr>
                  </pic:nvPicPr>
                  <pic:blipFill>
                    <a:blip r:embed="rId75"/>
                    <a:stretch>
                      <a:fillRect/>
                    </a:stretch>
                  </pic:blipFill>
                  <pic:spPr>
                    <a:xfrm>
                      <a:off x="0" y="0"/>
                      <a:ext cx="2042309" cy="1113233"/>
                    </a:xfrm>
                    <a:prstGeom prst="rect">
                      <a:avLst/>
                    </a:prstGeom>
                  </pic:spPr>
                </pic:pic>
              </a:graphicData>
            </a:graphic>
          </wp:inline>
        </w:drawing>
      </w:r>
      <w:r>
        <w:rPr>
          <w:rFonts w:ascii="Calibri" w:eastAsiaTheme="minorHAnsi" w:hAnsi="Calibri" w:cs="Calibri"/>
          <w:noProof/>
          <w:sz w:val="20"/>
          <w:szCs w:val="20"/>
          <w14:ligatures w14:val="standardContextual"/>
        </w:rPr>
        <w:drawing>
          <wp:inline distT="0" distB="0" distL="0" distR="0" wp14:anchorId="68092307" wp14:editId="68092308">
            <wp:extent cx="1894205" cy="1219200"/>
            <wp:effectExtent l="0" t="0" r="0" b="0"/>
            <wp:docPr id="421362674" name="Picture 1" descr="A blue and green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362674" name="Picture 1" descr="A blue and green logo&#10;&#10;Description automatically generated"/>
                    <pic:cNvPicPr>
                      <a:picLocks noChangeAspect="1"/>
                    </pic:cNvPicPr>
                  </pic:nvPicPr>
                  <pic:blipFill>
                    <a:blip r:embed="rId74">
                      <a:extLst>
                        <a:ext uri="{28A0092B-C50C-407E-A947-70E740481C1C}">
                          <a14:useLocalDpi xmlns:a14="http://schemas.microsoft.com/office/drawing/2010/main" val="0"/>
                        </a:ext>
                      </a:extLst>
                    </a:blip>
                    <a:stretch>
                      <a:fillRect/>
                    </a:stretch>
                  </pic:blipFill>
                  <pic:spPr>
                    <a:xfrm>
                      <a:off x="0" y="0"/>
                      <a:ext cx="1914798" cy="1232131"/>
                    </a:xfrm>
                    <a:prstGeom prst="rect">
                      <a:avLst/>
                    </a:prstGeom>
                  </pic:spPr>
                </pic:pic>
              </a:graphicData>
            </a:graphic>
          </wp:inline>
        </w:drawing>
      </w:r>
    </w:p>
    <w:p w14:paraId="68091969" w14:textId="77777777" w:rsidR="00CF33D9" w:rsidRDefault="00CF33D9">
      <w:pPr>
        <w:rPr>
          <w:rFonts w:ascii="Calibri" w:hAnsi="Calibri" w:cs="Calibri"/>
          <w:sz w:val="20"/>
          <w:szCs w:val="20"/>
        </w:rPr>
      </w:pPr>
    </w:p>
    <w:p w14:paraId="6809196A" w14:textId="77777777" w:rsidR="00CF33D9" w:rsidRDefault="00CF33D9">
      <w:pPr>
        <w:rPr>
          <w:rFonts w:ascii="Calibri" w:hAnsi="Calibri" w:cs="Calibri"/>
          <w:sz w:val="20"/>
          <w:szCs w:val="20"/>
        </w:rPr>
      </w:pPr>
    </w:p>
    <w:p w14:paraId="6809196B" w14:textId="77777777" w:rsidR="00CF33D9" w:rsidRDefault="00CF33D9">
      <w:pPr>
        <w:rPr>
          <w:rFonts w:ascii="Calibri" w:hAnsi="Calibri" w:cs="Calibri"/>
          <w:sz w:val="20"/>
          <w:szCs w:val="20"/>
        </w:rPr>
      </w:pPr>
    </w:p>
    <w:p w14:paraId="6809196C" w14:textId="77777777" w:rsidR="00CF33D9" w:rsidRDefault="00CF33D9">
      <w:pPr>
        <w:rPr>
          <w:rFonts w:ascii="Calibri" w:hAnsi="Calibri" w:cs="Calibri"/>
          <w:sz w:val="20"/>
          <w:szCs w:val="20"/>
        </w:rPr>
      </w:pPr>
    </w:p>
    <w:p w14:paraId="6809196D" w14:textId="77777777" w:rsidR="00CF33D9" w:rsidRDefault="00CF33D9">
      <w:pPr>
        <w:rPr>
          <w:rFonts w:ascii="Calibri" w:hAnsi="Calibri" w:cs="Calibri"/>
          <w:sz w:val="20"/>
          <w:szCs w:val="20"/>
        </w:rPr>
      </w:pPr>
    </w:p>
    <w:p w14:paraId="6809196E" w14:textId="77777777" w:rsidR="00CF33D9" w:rsidRDefault="00CF33D9">
      <w:pPr>
        <w:rPr>
          <w:rFonts w:ascii="Calibri" w:hAnsi="Calibri" w:cs="Calibri"/>
          <w:sz w:val="20"/>
          <w:szCs w:val="20"/>
        </w:rPr>
      </w:pPr>
    </w:p>
    <w:tbl>
      <w:tblPr>
        <w:tblW w:w="98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7"/>
        <w:gridCol w:w="1968"/>
        <w:gridCol w:w="1916"/>
        <w:gridCol w:w="3098"/>
      </w:tblGrid>
      <w:tr w:rsidR="00CF33D9" w14:paraId="68091970" w14:textId="77777777">
        <w:trPr>
          <w:trHeight w:val="397"/>
          <w:jc w:val="center"/>
        </w:trPr>
        <w:tc>
          <w:tcPr>
            <w:tcW w:w="9819" w:type="dxa"/>
            <w:gridSpan w:val="4"/>
            <w:shd w:val="clear" w:color="auto" w:fill="auto"/>
          </w:tcPr>
          <w:p w14:paraId="6809196F" w14:textId="77777777" w:rsidR="00CF33D9" w:rsidRDefault="00E3332A">
            <w:pPr>
              <w:rPr>
                <w:rFonts w:ascii="Calibri" w:hAnsi="Calibri" w:cs="Calibri"/>
                <w:bCs/>
                <w:sz w:val="20"/>
                <w:szCs w:val="20"/>
              </w:rPr>
            </w:pPr>
            <w:r>
              <w:rPr>
                <w:rFonts w:ascii="Calibri" w:hAnsi="Calibri" w:cs="Calibri"/>
                <w:b/>
                <w:sz w:val="20"/>
                <w:szCs w:val="20"/>
              </w:rPr>
              <w:t xml:space="preserve">Project title: </w:t>
            </w:r>
            <w:r>
              <w:rPr>
                <w:rFonts w:ascii="Calibri" w:eastAsia="SimSun" w:hAnsi="Calibri" w:cs="Calibri"/>
                <w:sz w:val="20"/>
                <w:szCs w:val="20"/>
              </w:rPr>
              <w:t>Mainstreaming Climate Resilient Blue Economy in the Benguela Current Large Marine Ecosystem (BCLME IV Project)</w:t>
            </w:r>
          </w:p>
        </w:tc>
      </w:tr>
      <w:tr w:rsidR="00CF33D9" w14:paraId="68091977" w14:textId="77777777">
        <w:trPr>
          <w:trHeight w:val="729"/>
          <w:jc w:val="center"/>
        </w:trPr>
        <w:tc>
          <w:tcPr>
            <w:tcW w:w="2837" w:type="dxa"/>
            <w:shd w:val="clear" w:color="auto" w:fill="auto"/>
          </w:tcPr>
          <w:p w14:paraId="68091971" w14:textId="77777777" w:rsidR="00CF33D9" w:rsidRDefault="00E3332A">
            <w:pPr>
              <w:rPr>
                <w:rFonts w:ascii="Calibri" w:hAnsi="Calibri" w:cs="Calibri"/>
                <w:bCs/>
                <w:sz w:val="20"/>
                <w:szCs w:val="20"/>
              </w:rPr>
            </w:pPr>
            <w:r>
              <w:rPr>
                <w:rFonts w:ascii="Calibri" w:hAnsi="Calibri" w:cs="Calibri"/>
                <w:b/>
                <w:sz w:val="20"/>
                <w:szCs w:val="20"/>
              </w:rPr>
              <w:t xml:space="preserve">Country: </w:t>
            </w:r>
            <w:r>
              <w:rPr>
                <w:rFonts w:ascii="Calibri" w:hAnsi="Calibri" w:cs="Calibri"/>
                <w:bCs/>
                <w:sz w:val="20"/>
                <w:szCs w:val="20"/>
              </w:rPr>
              <w:t xml:space="preserve"> </w:t>
            </w:r>
          </w:p>
          <w:p w14:paraId="68091972" w14:textId="77777777" w:rsidR="00CF33D9" w:rsidRDefault="00E3332A">
            <w:pPr>
              <w:rPr>
                <w:rFonts w:ascii="Calibri" w:hAnsi="Calibri" w:cs="Calibri"/>
                <w:sz w:val="20"/>
                <w:szCs w:val="20"/>
              </w:rPr>
            </w:pPr>
            <w:r>
              <w:rPr>
                <w:rFonts w:ascii="Calibri" w:hAnsi="Calibri" w:cs="Calibri"/>
                <w:bCs/>
                <w:sz w:val="20"/>
                <w:szCs w:val="20"/>
              </w:rPr>
              <w:t>Angola, Namibia, South Africa</w:t>
            </w:r>
          </w:p>
        </w:tc>
        <w:tc>
          <w:tcPr>
            <w:tcW w:w="3884" w:type="dxa"/>
            <w:gridSpan w:val="2"/>
            <w:shd w:val="clear" w:color="auto" w:fill="auto"/>
          </w:tcPr>
          <w:p w14:paraId="68091973" w14:textId="77777777" w:rsidR="00CF33D9" w:rsidRDefault="00E3332A">
            <w:pPr>
              <w:rPr>
                <w:rFonts w:ascii="Calibri" w:hAnsi="Calibri" w:cs="Calibri"/>
                <w:b/>
                <w:sz w:val="20"/>
                <w:szCs w:val="20"/>
              </w:rPr>
            </w:pPr>
            <w:r>
              <w:rPr>
                <w:rFonts w:ascii="Calibri" w:hAnsi="Calibri" w:cs="Calibri"/>
                <w:b/>
                <w:sz w:val="20"/>
                <w:szCs w:val="20"/>
              </w:rPr>
              <w:t xml:space="preserve">Executing Partner:  </w:t>
            </w:r>
          </w:p>
          <w:p w14:paraId="68091974" w14:textId="77777777" w:rsidR="00CF33D9" w:rsidRDefault="00E3332A">
            <w:pPr>
              <w:rPr>
                <w:rStyle w:val="Hyperlink"/>
                <w:rFonts w:ascii="Calibri" w:hAnsi="Calibri" w:cs="Calibri"/>
                <w:iCs/>
                <w:sz w:val="20"/>
                <w:szCs w:val="20"/>
              </w:rPr>
            </w:pPr>
            <w:r>
              <w:rPr>
                <w:rFonts w:ascii="Calibri" w:hAnsi="Calibri" w:cs="Calibri"/>
                <w:sz w:val="20"/>
                <w:szCs w:val="20"/>
              </w:rPr>
              <w:t>Benguela Current Convention Secretariat</w:t>
            </w:r>
          </w:p>
        </w:tc>
        <w:tc>
          <w:tcPr>
            <w:tcW w:w="3098" w:type="dxa"/>
            <w:shd w:val="clear" w:color="auto" w:fill="auto"/>
          </w:tcPr>
          <w:p w14:paraId="68091975" w14:textId="77777777" w:rsidR="00CF33D9" w:rsidRDefault="00E3332A">
            <w:pPr>
              <w:ind w:left="305"/>
              <w:rPr>
                <w:rFonts w:ascii="Calibri" w:hAnsi="Calibri" w:cs="Calibri"/>
                <w:i/>
                <w:sz w:val="20"/>
                <w:szCs w:val="20"/>
              </w:rPr>
            </w:pPr>
            <w:r>
              <w:rPr>
                <w:rFonts w:ascii="Calibri" w:hAnsi="Calibri" w:cs="Calibri"/>
                <w:b/>
                <w:sz w:val="20"/>
                <w:szCs w:val="20"/>
              </w:rPr>
              <w:t>Type of Project</w:t>
            </w:r>
            <w:r>
              <w:rPr>
                <w:rFonts w:ascii="Calibri" w:hAnsi="Calibri" w:cs="Calibri"/>
                <w:i/>
                <w:sz w:val="20"/>
                <w:szCs w:val="20"/>
              </w:rPr>
              <w:t xml:space="preserve">: </w:t>
            </w:r>
          </w:p>
          <w:p w14:paraId="68091976" w14:textId="77777777" w:rsidR="00CF33D9" w:rsidRDefault="00E3332A">
            <w:pPr>
              <w:ind w:left="305"/>
              <w:rPr>
                <w:rFonts w:ascii="Calibri" w:hAnsi="Calibri" w:cs="Calibri"/>
                <w:sz w:val="20"/>
                <w:szCs w:val="20"/>
              </w:rPr>
            </w:pPr>
            <w:r>
              <w:rPr>
                <w:rFonts w:ascii="Calibri" w:hAnsi="Calibri" w:cs="Calibri"/>
                <w:iCs/>
                <w:sz w:val="20"/>
                <w:szCs w:val="20"/>
              </w:rPr>
              <w:t>FSP</w:t>
            </w:r>
          </w:p>
        </w:tc>
      </w:tr>
      <w:tr w:rsidR="00CF33D9" w14:paraId="6809197C" w14:textId="77777777">
        <w:trPr>
          <w:trHeight w:val="442"/>
          <w:jc w:val="center"/>
        </w:trPr>
        <w:tc>
          <w:tcPr>
            <w:tcW w:w="4805" w:type="dxa"/>
            <w:gridSpan w:val="2"/>
            <w:shd w:val="clear" w:color="auto" w:fill="auto"/>
          </w:tcPr>
          <w:p w14:paraId="68091978" w14:textId="77777777" w:rsidR="00CF33D9" w:rsidRDefault="00E3332A">
            <w:pPr>
              <w:spacing w:after="240"/>
              <w:rPr>
                <w:rFonts w:ascii="Calibri" w:hAnsi="Calibri" w:cs="Calibri"/>
                <w:b/>
                <w:sz w:val="20"/>
                <w:szCs w:val="20"/>
              </w:rPr>
            </w:pPr>
            <w:r>
              <w:rPr>
                <w:rFonts w:ascii="Calibri" w:hAnsi="Calibri" w:cs="Calibri"/>
                <w:b/>
                <w:sz w:val="20"/>
                <w:szCs w:val="20"/>
              </w:rPr>
              <w:t>UNDP Social and Environmental Screening Category:</w:t>
            </w:r>
          </w:p>
          <w:p w14:paraId="68091979" w14:textId="77777777" w:rsidR="00CF33D9" w:rsidRDefault="00E3332A">
            <w:pPr>
              <w:spacing w:after="240"/>
              <w:rPr>
                <w:rFonts w:ascii="Calibri" w:hAnsi="Calibri" w:cs="Calibri"/>
                <w:bCs/>
                <w:sz w:val="20"/>
                <w:szCs w:val="20"/>
              </w:rPr>
            </w:pPr>
            <w:r>
              <w:rPr>
                <w:rFonts w:ascii="Calibri" w:hAnsi="Calibri" w:cs="Calibri"/>
                <w:bCs/>
                <w:sz w:val="20"/>
                <w:szCs w:val="20"/>
              </w:rPr>
              <w:t>Substantial</w:t>
            </w:r>
          </w:p>
        </w:tc>
        <w:tc>
          <w:tcPr>
            <w:tcW w:w="5014" w:type="dxa"/>
            <w:gridSpan w:val="2"/>
            <w:shd w:val="clear" w:color="auto" w:fill="auto"/>
          </w:tcPr>
          <w:p w14:paraId="6809197A" w14:textId="77777777" w:rsidR="00CF33D9" w:rsidRDefault="00E3332A">
            <w:pPr>
              <w:spacing w:after="240"/>
              <w:rPr>
                <w:rFonts w:ascii="Calibri" w:hAnsi="Calibri" w:cs="Calibri"/>
                <w:bCs/>
                <w:i/>
                <w:sz w:val="20"/>
                <w:szCs w:val="20"/>
              </w:rPr>
            </w:pPr>
            <w:r>
              <w:rPr>
                <w:rFonts w:ascii="Calibri" w:hAnsi="Calibri" w:cs="Calibri"/>
                <w:b/>
                <w:sz w:val="20"/>
                <w:szCs w:val="20"/>
              </w:rPr>
              <w:t>GEF Agency(ies):</w:t>
            </w:r>
          </w:p>
          <w:p w14:paraId="6809197B" w14:textId="77777777" w:rsidR="00CF33D9" w:rsidRDefault="00E3332A">
            <w:pPr>
              <w:spacing w:after="240"/>
              <w:rPr>
                <w:rFonts w:ascii="Calibri" w:hAnsi="Calibri" w:cs="Calibri"/>
                <w:bCs/>
                <w:iCs/>
                <w:sz w:val="20"/>
                <w:szCs w:val="20"/>
              </w:rPr>
            </w:pPr>
            <w:r>
              <w:rPr>
                <w:rFonts w:ascii="Calibri" w:hAnsi="Calibri" w:cs="Calibri"/>
                <w:bCs/>
                <w:iCs/>
                <w:sz w:val="20"/>
                <w:szCs w:val="20"/>
              </w:rPr>
              <w:t>UNDP</w:t>
            </w:r>
          </w:p>
        </w:tc>
      </w:tr>
      <w:tr w:rsidR="00CF33D9" w14:paraId="6809197F" w14:textId="77777777">
        <w:trPr>
          <w:trHeight w:val="423"/>
          <w:jc w:val="center"/>
        </w:trPr>
        <w:tc>
          <w:tcPr>
            <w:tcW w:w="4805" w:type="dxa"/>
            <w:gridSpan w:val="2"/>
            <w:shd w:val="clear" w:color="auto" w:fill="auto"/>
          </w:tcPr>
          <w:p w14:paraId="6809197D" w14:textId="77777777" w:rsidR="00CF33D9" w:rsidRDefault="00E3332A">
            <w:pPr>
              <w:spacing w:after="240"/>
              <w:rPr>
                <w:rFonts w:ascii="Calibri" w:hAnsi="Calibri" w:cs="Calibri"/>
                <w:bCs/>
                <w:sz w:val="20"/>
                <w:szCs w:val="20"/>
                <w:lang w:eastAsia="zh-CN"/>
              </w:rPr>
            </w:pPr>
            <w:r>
              <w:rPr>
                <w:rFonts w:ascii="Calibri" w:hAnsi="Calibri" w:cs="Calibri"/>
                <w:b/>
                <w:sz w:val="20"/>
                <w:szCs w:val="20"/>
              </w:rPr>
              <w:t xml:space="preserve">GEF Agency ID: </w:t>
            </w:r>
            <w:r>
              <w:rPr>
                <w:rFonts w:ascii="Calibri" w:hAnsi="Calibri" w:cs="Calibri"/>
                <w:bCs/>
                <w:sz w:val="20"/>
                <w:szCs w:val="20"/>
              </w:rPr>
              <w:t>6732</w:t>
            </w:r>
          </w:p>
        </w:tc>
        <w:tc>
          <w:tcPr>
            <w:tcW w:w="5014" w:type="dxa"/>
            <w:gridSpan w:val="2"/>
            <w:shd w:val="clear" w:color="auto" w:fill="auto"/>
          </w:tcPr>
          <w:p w14:paraId="6809197E" w14:textId="77777777" w:rsidR="00CF33D9" w:rsidRDefault="00E3332A">
            <w:pPr>
              <w:rPr>
                <w:rFonts w:ascii="Calibri" w:hAnsi="Calibri" w:cs="Calibri"/>
                <w:bCs/>
                <w:sz w:val="20"/>
                <w:szCs w:val="20"/>
              </w:rPr>
            </w:pPr>
            <w:r>
              <w:rPr>
                <w:rFonts w:ascii="Calibri" w:hAnsi="Calibri" w:cs="Calibri"/>
                <w:b/>
                <w:sz w:val="20"/>
                <w:szCs w:val="20"/>
              </w:rPr>
              <w:t>GEF Project</w:t>
            </w:r>
            <w:r>
              <w:rPr>
                <w:rFonts w:ascii="Calibri" w:hAnsi="Calibri" w:cs="Calibri"/>
                <w:b/>
                <w:sz w:val="20"/>
                <w:szCs w:val="20"/>
                <w:lang w:eastAsia="zh-CN"/>
              </w:rPr>
              <w:t xml:space="preserve"> ID</w:t>
            </w:r>
            <w:r>
              <w:rPr>
                <w:rFonts w:ascii="Calibri" w:hAnsi="Calibri" w:cs="Calibri"/>
                <w:b/>
                <w:sz w:val="20"/>
                <w:szCs w:val="20"/>
              </w:rPr>
              <w:t xml:space="preserve">: </w:t>
            </w:r>
            <w:r>
              <w:rPr>
                <w:rFonts w:ascii="Calibri" w:hAnsi="Calibri" w:cs="Calibri"/>
                <w:bCs/>
                <w:sz w:val="20"/>
                <w:szCs w:val="20"/>
              </w:rPr>
              <w:t>11282</w:t>
            </w:r>
          </w:p>
        </w:tc>
      </w:tr>
    </w:tbl>
    <w:p w14:paraId="68091980" w14:textId="77777777" w:rsidR="00CF33D9" w:rsidRDefault="00CF33D9">
      <w:pPr>
        <w:rPr>
          <w:rFonts w:ascii="Calibri" w:hAnsi="Calibri" w:cs="Calibri"/>
          <w:sz w:val="20"/>
          <w:szCs w:val="20"/>
        </w:rPr>
      </w:pPr>
    </w:p>
    <w:p w14:paraId="68091981" w14:textId="77777777" w:rsidR="00CF33D9" w:rsidRDefault="00CF33D9">
      <w:pPr>
        <w:rPr>
          <w:rFonts w:ascii="Calibri" w:hAnsi="Calibri" w:cs="Calibri"/>
          <w:sz w:val="20"/>
          <w:szCs w:val="20"/>
        </w:rPr>
      </w:pPr>
    </w:p>
    <w:p w14:paraId="68091982" w14:textId="77777777" w:rsidR="00CF33D9" w:rsidRDefault="00CF33D9">
      <w:pPr>
        <w:rPr>
          <w:rFonts w:ascii="Calibri" w:hAnsi="Calibri" w:cs="Calibri"/>
          <w:sz w:val="20"/>
          <w:szCs w:val="20"/>
        </w:rPr>
      </w:pPr>
    </w:p>
    <w:p w14:paraId="68091983" w14:textId="77777777" w:rsidR="00CF33D9" w:rsidRDefault="00CF33D9">
      <w:pPr>
        <w:rPr>
          <w:rFonts w:ascii="Calibri" w:hAnsi="Calibri" w:cs="Calibri"/>
          <w:sz w:val="20"/>
          <w:szCs w:val="20"/>
        </w:rPr>
      </w:pPr>
    </w:p>
    <w:p w14:paraId="68091984" w14:textId="77777777" w:rsidR="00CF33D9" w:rsidRDefault="00CF33D9">
      <w:pPr>
        <w:rPr>
          <w:rFonts w:ascii="Calibri" w:hAnsi="Calibri" w:cs="Calibri"/>
          <w:sz w:val="20"/>
          <w:szCs w:val="20"/>
        </w:rPr>
      </w:pPr>
    </w:p>
    <w:p w14:paraId="68091985" w14:textId="77777777" w:rsidR="00CF33D9" w:rsidRDefault="00CF33D9">
      <w:pPr>
        <w:rPr>
          <w:rFonts w:ascii="Calibri" w:hAnsi="Calibri" w:cs="Calibri"/>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7"/>
      </w:tblGrid>
      <w:tr w:rsidR="00CF33D9" w14:paraId="68091987" w14:textId="77777777">
        <w:trPr>
          <w:trHeight w:val="386"/>
          <w:jc w:val="center"/>
        </w:trPr>
        <w:tc>
          <w:tcPr>
            <w:tcW w:w="9017" w:type="dxa"/>
            <w:tcBorders>
              <w:top w:val="single" w:sz="4" w:space="0" w:color="auto"/>
              <w:left w:val="single" w:sz="4" w:space="0" w:color="auto"/>
              <w:bottom w:val="nil"/>
              <w:right w:val="single" w:sz="4" w:space="0" w:color="auto"/>
            </w:tcBorders>
            <w:vAlign w:val="center"/>
          </w:tcPr>
          <w:p w14:paraId="68091986" w14:textId="77777777" w:rsidR="00CF33D9" w:rsidRDefault="00E3332A">
            <w:pPr>
              <w:spacing w:before="60" w:after="60"/>
              <w:jc w:val="center"/>
              <w:rPr>
                <w:rFonts w:cs="Calibri"/>
                <w:b/>
                <w:sz w:val="20"/>
                <w:szCs w:val="20"/>
                <w:u w:val="single"/>
              </w:rPr>
            </w:pPr>
            <w:bookmarkStart w:id="50" w:name="_Toc506792061"/>
            <w:r>
              <w:rPr>
                <w:rFonts w:cs="Calibri"/>
                <w:b/>
                <w:sz w:val="20"/>
                <w:szCs w:val="20"/>
                <w:u w:val="single"/>
              </w:rPr>
              <w:t>Public Consultation/Disclosure Notice</w:t>
            </w:r>
            <w:bookmarkEnd w:id="50"/>
          </w:p>
        </w:tc>
      </w:tr>
      <w:tr w:rsidR="00CF33D9" w14:paraId="68091989" w14:textId="77777777">
        <w:trPr>
          <w:trHeight w:val="351"/>
          <w:jc w:val="center"/>
        </w:trPr>
        <w:tc>
          <w:tcPr>
            <w:tcW w:w="9017" w:type="dxa"/>
            <w:tcBorders>
              <w:top w:val="nil"/>
              <w:left w:val="single" w:sz="4" w:space="0" w:color="auto"/>
              <w:bottom w:val="nil"/>
              <w:right w:val="single" w:sz="4" w:space="0" w:color="auto"/>
            </w:tcBorders>
            <w:vAlign w:val="center"/>
          </w:tcPr>
          <w:p w14:paraId="68091988" w14:textId="77777777" w:rsidR="00CF33D9" w:rsidRDefault="00E3332A">
            <w:pPr>
              <w:spacing w:before="60" w:after="60"/>
              <w:rPr>
                <w:rFonts w:cs="Calibri"/>
                <w:sz w:val="20"/>
                <w:szCs w:val="20"/>
              </w:rPr>
            </w:pPr>
            <w:bookmarkStart w:id="51" w:name="_Toc506792062"/>
            <w:r>
              <w:rPr>
                <w:rFonts w:cs="Calibri"/>
                <w:sz w:val="20"/>
                <w:szCs w:val="20"/>
              </w:rPr>
              <w:t xml:space="preserve">Date: </w:t>
            </w:r>
            <w:r>
              <w:rPr>
                <w:rFonts w:cs="Calibri"/>
                <w:b/>
                <w:sz w:val="20"/>
                <w:szCs w:val="20"/>
              </w:rPr>
              <w:t>XXXX</w:t>
            </w:r>
            <w:bookmarkEnd w:id="51"/>
          </w:p>
        </w:tc>
      </w:tr>
      <w:tr w:rsidR="00CF33D9" w14:paraId="6809198C" w14:textId="77777777">
        <w:trPr>
          <w:trHeight w:val="496"/>
          <w:jc w:val="center"/>
        </w:trPr>
        <w:tc>
          <w:tcPr>
            <w:tcW w:w="9017" w:type="dxa"/>
            <w:tcBorders>
              <w:top w:val="nil"/>
              <w:left w:val="single" w:sz="4" w:space="0" w:color="auto"/>
              <w:bottom w:val="nil"/>
              <w:right w:val="single" w:sz="4" w:space="0" w:color="auto"/>
            </w:tcBorders>
            <w:vAlign w:val="center"/>
          </w:tcPr>
          <w:p w14:paraId="6809198A" w14:textId="77777777" w:rsidR="00CF33D9" w:rsidRDefault="00E3332A">
            <w:pPr>
              <w:spacing w:before="60" w:after="60"/>
              <w:rPr>
                <w:rFonts w:cs="Calibri"/>
                <w:sz w:val="20"/>
                <w:szCs w:val="20"/>
              </w:rPr>
            </w:pPr>
            <w:bookmarkStart w:id="52" w:name="_Toc506792063"/>
            <w:r>
              <w:rPr>
                <w:rFonts w:cs="Calibri"/>
                <w:sz w:val="20"/>
                <w:szCs w:val="20"/>
              </w:rPr>
              <w:t>The United Nations Development Programme (UNDP) is requesting feedback on the attached draft Environmental and Social Management Framework and associated Social and Environmental Screening Procedures for this project.</w:t>
            </w:r>
            <w:bookmarkEnd w:id="52"/>
          </w:p>
          <w:p w14:paraId="6809198B" w14:textId="77777777" w:rsidR="00CF33D9" w:rsidRDefault="00E3332A">
            <w:pPr>
              <w:spacing w:before="60" w:after="60"/>
              <w:rPr>
                <w:rFonts w:cs="Calibri"/>
                <w:sz w:val="20"/>
                <w:szCs w:val="20"/>
              </w:rPr>
            </w:pPr>
            <w:bookmarkStart w:id="53" w:name="_Toc506792064"/>
            <w:r>
              <w:rPr>
                <w:rFonts w:cs="Calibri"/>
                <w:sz w:val="20"/>
                <w:szCs w:val="20"/>
              </w:rPr>
              <w:t>Comments and questions can be sent to the following address:</w:t>
            </w:r>
            <w:bookmarkEnd w:id="53"/>
          </w:p>
        </w:tc>
      </w:tr>
      <w:tr w:rsidR="00CF33D9" w14:paraId="68091993" w14:textId="77777777">
        <w:trPr>
          <w:trHeight w:val="496"/>
          <w:jc w:val="center"/>
        </w:trPr>
        <w:tc>
          <w:tcPr>
            <w:tcW w:w="9017" w:type="dxa"/>
            <w:tcBorders>
              <w:top w:val="nil"/>
              <w:left w:val="single" w:sz="4" w:space="0" w:color="auto"/>
              <w:bottom w:val="nil"/>
              <w:right w:val="single" w:sz="4" w:space="0" w:color="auto"/>
            </w:tcBorders>
            <w:vAlign w:val="center"/>
          </w:tcPr>
          <w:p w14:paraId="6809198D" w14:textId="77777777" w:rsidR="00CF33D9" w:rsidRDefault="00E3332A">
            <w:pPr>
              <w:rPr>
                <w:rFonts w:cs="Calibri"/>
                <w:sz w:val="20"/>
                <w:szCs w:val="20"/>
                <w:lang w:val="pt-BR"/>
              </w:rPr>
            </w:pPr>
            <w:bookmarkStart w:id="54" w:name="_Toc506792065"/>
            <w:r>
              <w:rPr>
                <w:rFonts w:cs="Calibri"/>
                <w:sz w:val="20"/>
                <w:szCs w:val="20"/>
                <w:lang w:val="pt-BR"/>
              </w:rPr>
              <w:t>United Nations Development Programme</w:t>
            </w:r>
            <w:bookmarkEnd w:id="54"/>
          </w:p>
          <w:p w14:paraId="6809198E" w14:textId="77777777" w:rsidR="00CF33D9" w:rsidRDefault="00E3332A">
            <w:pPr>
              <w:rPr>
                <w:rFonts w:cs="Calibri"/>
                <w:sz w:val="20"/>
                <w:szCs w:val="20"/>
                <w:lang w:val="pt-BR"/>
              </w:rPr>
            </w:pPr>
            <w:bookmarkStart w:id="55" w:name="_Toc506792066"/>
            <w:r>
              <w:rPr>
                <w:rFonts w:cs="Calibri"/>
                <w:b/>
                <w:sz w:val="20"/>
                <w:szCs w:val="20"/>
                <w:lang w:val="pt-BR"/>
              </w:rPr>
              <w:t>Physical Address</w:t>
            </w:r>
            <w:r>
              <w:rPr>
                <w:rFonts w:cs="Calibri"/>
                <w:sz w:val="20"/>
                <w:szCs w:val="20"/>
                <w:lang w:val="pt-BR"/>
              </w:rPr>
              <w:t xml:space="preserve">: </w:t>
            </w:r>
            <w:bookmarkEnd w:id="55"/>
          </w:p>
          <w:p w14:paraId="6809198F" w14:textId="77777777" w:rsidR="00CF33D9" w:rsidRDefault="00E3332A">
            <w:pPr>
              <w:rPr>
                <w:rFonts w:cs="Calibri"/>
                <w:sz w:val="20"/>
                <w:szCs w:val="20"/>
              </w:rPr>
            </w:pPr>
            <w:r>
              <w:rPr>
                <w:rFonts w:cs="Calibri"/>
                <w:b/>
                <w:sz w:val="20"/>
                <w:szCs w:val="20"/>
              </w:rPr>
              <w:t>Tel</w:t>
            </w:r>
            <w:r>
              <w:rPr>
                <w:rFonts w:cs="Calibri"/>
                <w:sz w:val="20"/>
                <w:szCs w:val="20"/>
              </w:rPr>
              <w:t xml:space="preserve">: </w:t>
            </w:r>
          </w:p>
          <w:p w14:paraId="68091990" w14:textId="77777777" w:rsidR="00CF33D9" w:rsidRDefault="00E3332A">
            <w:pPr>
              <w:rPr>
                <w:rFonts w:cs="Calibri"/>
                <w:sz w:val="20"/>
                <w:szCs w:val="20"/>
              </w:rPr>
            </w:pPr>
            <w:r>
              <w:rPr>
                <w:rFonts w:cs="Calibri"/>
                <w:b/>
                <w:sz w:val="20"/>
                <w:szCs w:val="20"/>
              </w:rPr>
              <w:t>Fax</w:t>
            </w:r>
            <w:r>
              <w:rPr>
                <w:rFonts w:cs="Calibri"/>
                <w:sz w:val="20"/>
                <w:szCs w:val="20"/>
              </w:rPr>
              <w:t xml:space="preserve">: </w:t>
            </w:r>
          </w:p>
          <w:p w14:paraId="68091991" w14:textId="77777777" w:rsidR="00CF33D9" w:rsidRDefault="00E3332A">
            <w:pPr>
              <w:rPr>
                <w:rFonts w:cs="Calibri"/>
                <w:sz w:val="20"/>
                <w:szCs w:val="20"/>
              </w:rPr>
            </w:pPr>
            <w:r>
              <w:rPr>
                <w:rFonts w:cs="Calibri"/>
                <w:b/>
                <w:sz w:val="20"/>
                <w:szCs w:val="20"/>
              </w:rPr>
              <w:t>Email</w:t>
            </w:r>
            <w:r>
              <w:rPr>
                <w:rFonts w:cs="Calibri"/>
                <w:sz w:val="20"/>
                <w:szCs w:val="20"/>
              </w:rPr>
              <w:t xml:space="preserve">: </w:t>
            </w:r>
          </w:p>
          <w:p w14:paraId="68091992" w14:textId="77777777" w:rsidR="00CF33D9" w:rsidRDefault="00E3332A">
            <w:pPr>
              <w:rPr>
                <w:rFonts w:cs="Calibri"/>
                <w:color w:val="000000"/>
                <w:sz w:val="20"/>
                <w:szCs w:val="20"/>
              </w:rPr>
            </w:pPr>
            <w:r>
              <w:rPr>
                <w:rFonts w:cs="Calibri"/>
                <w:b/>
                <w:sz w:val="20"/>
                <w:szCs w:val="20"/>
              </w:rPr>
              <w:t>Website</w:t>
            </w:r>
            <w:r>
              <w:rPr>
                <w:rFonts w:cs="Calibri"/>
                <w:sz w:val="20"/>
                <w:szCs w:val="20"/>
              </w:rPr>
              <w:t>:</w:t>
            </w:r>
            <w:r>
              <w:rPr>
                <w:rFonts w:cs="Calibri"/>
                <w:color w:val="000000"/>
                <w:sz w:val="20"/>
                <w:szCs w:val="20"/>
              </w:rPr>
              <w:t xml:space="preserve"> </w:t>
            </w:r>
          </w:p>
        </w:tc>
      </w:tr>
      <w:tr w:rsidR="00CF33D9" w14:paraId="68091995" w14:textId="77777777">
        <w:trPr>
          <w:trHeight w:val="396"/>
          <w:jc w:val="center"/>
        </w:trPr>
        <w:tc>
          <w:tcPr>
            <w:tcW w:w="9017" w:type="dxa"/>
            <w:tcBorders>
              <w:top w:val="nil"/>
              <w:left w:val="single" w:sz="4" w:space="0" w:color="auto"/>
              <w:bottom w:val="single" w:sz="4" w:space="0" w:color="auto"/>
              <w:right w:val="single" w:sz="4" w:space="0" w:color="auto"/>
            </w:tcBorders>
            <w:vAlign w:val="center"/>
          </w:tcPr>
          <w:p w14:paraId="68091994" w14:textId="77777777" w:rsidR="00CF33D9" w:rsidRDefault="00E3332A">
            <w:pPr>
              <w:spacing w:before="60" w:after="60"/>
              <w:rPr>
                <w:rFonts w:cs="Calibri"/>
                <w:b/>
                <w:sz w:val="20"/>
                <w:szCs w:val="20"/>
              </w:rPr>
            </w:pPr>
            <w:bookmarkStart w:id="56" w:name="_Toc506792067"/>
            <w:r>
              <w:rPr>
                <w:rFonts w:cs="Calibri"/>
                <w:b/>
                <w:sz w:val="20"/>
                <w:szCs w:val="20"/>
              </w:rPr>
              <w:t>The last date for receiving of comments</w:t>
            </w:r>
            <w:bookmarkEnd w:id="56"/>
            <w:r>
              <w:rPr>
                <w:rFonts w:cs="Calibri"/>
                <w:b/>
                <w:sz w:val="20"/>
                <w:szCs w:val="20"/>
              </w:rPr>
              <w:t xml:space="preserve"> is XXXX</w:t>
            </w:r>
          </w:p>
        </w:tc>
      </w:tr>
    </w:tbl>
    <w:p w14:paraId="68091996" w14:textId="77777777" w:rsidR="00CF33D9" w:rsidRDefault="00CF33D9">
      <w:pPr>
        <w:rPr>
          <w:rFonts w:ascii="Calibri" w:hAnsi="Calibri" w:cs="Calibri"/>
          <w:sz w:val="20"/>
          <w:szCs w:val="20"/>
        </w:rPr>
      </w:pPr>
    </w:p>
    <w:p w14:paraId="68091997" w14:textId="77777777" w:rsidR="00CF33D9" w:rsidRDefault="00CF33D9">
      <w:pPr>
        <w:rPr>
          <w:rFonts w:ascii="Calibri" w:hAnsi="Calibri" w:cs="Calibri"/>
          <w:sz w:val="20"/>
          <w:szCs w:val="20"/>
        </w:rPr>
      </w:pPr>
    </w:p>
    <w:p w14:paraId="68091998" w14:textId="77777777" w:rsidR="00CF33D9" w:rsidRDefault="00CF33D9">
      <w:pPr>
        <w:rPr>
          <w:rFonts w:ascii="Calibri" w:hAnsi="Calibri" w:cs="Calibri"/>
          <w:sz w:val="20"/>
          <w:szCs w:val="20"/>
        </w:rPr>
      </w:pPr>
    </w:p>
    <w:p w14:paraId="68091999" w14:textId="77777777" w:rsidR="00CF33D9" w:rsidRDefault="00E3332A">
      <w:pPr>
        <w:rPr>
          <w:rFonts w:ascii="Calibri" w:hAnsi="Calibri" w:cs="Calibri"/>
          <w:sz w:val="20"/>
          <w:szCs w:val="20"/>
        </w:rPr>
      </w:pPr>
      <w:r>
        <w:rPr>
          <w:rFonts w:ascii="Calibri" w:hAnsi="Calibri" w:cs="Calibri"/>
          <w:sz w:val="20"/>
          <w:szCs w:val="20"/>
        </w:rPr>
        <w:lastRenderedPageBreak/>
        <w:t>Abbreviations and Acronyms</w:t>
      </w:r>
    </w:p>
    <w:p w14:paraId="6809199A" w14:textId="77777777" w:rsidR="00CF33D9" w:rsidRDefault="00CF33D9">
      <w:pPr>
        <w:rPr>
          <w:rFonts w:ascii="Calibri" w:hAnsi="Calibri" w:cs="Calibri"/>
          <w:sz w:val="20"/>
          <w:szCs w:val="20"/>
        </w:rPr>
      </w:pPr>
    </w:p>
    <w:p w14:paraId="6809199B" w14:textId="77777777" w:rsidR="00CF33D9" w:rsidRDefault="00CF33D9">
      <w:pPr>
        <w:rPr>
          <w:rFonts w:ascii="Calibri" w:hAnsi="Calibri" w:cs="Calibri"/>
          <w:sz w:val="20"/>
          <w:szCs w:val="20"/>
        </w:rPr>
      </w:pPr>
    </w:p>
    <w:tbl>
      <w:tblPr>
        <w:tblStyle w:val="TableGrid"/>
        <w:tblW w:w="9634" w:type="dxa"/>
        <w:tblLook w:val="04A0" w:firstRow="1" w:lastRow="0" w:firstColumn="1" w:lastColumn="0" w:noHBand="0" w:noVBand="1"/>
      </w:tblPr>
      <w:tblGrid>
        <w:gridCol w:w="2689"/>
        <w:gridCol w:w="6945"/>
      </w:tblGrid>
      <w:tr w:rsidR="00CF33D9" w14:paraId="6809199E" w14:textId="77777777">
        <w:tc>
          <w:tcPr>
            <w:tcW w:w="2689" w:type="dxa"/>
          </w:tcPr>
          <w:p w14:paraId="6809199C" w14:textId="77777777" w:rsidR="00CF33D9" w:rsidRDefault="00E3332A">
            <w:pPr>
              <w:rPr>
                <w:rFonts w:cs="Calibri"/>
                <w:sz w:val="20"/>
                <w:szCs w:val="20"/>
              </w:rPr>
            </w:pPr>
            <w:r>
              <w:rPr>
                <w:rFonts w:cs="Calibri"/>
                <w:sz w:val="20"/>
                <w:szCs w:val="20"/>
              </w:rPr>
              <w:t>BCLME</w:t>
            </w:r>
          </w:p>
        </w:tc>
        <w:tc>
          <w:tcPr>
            <w:tcW w:w="6945" w:type="dxa"/>
          </w:tcPr>
          <w:p w14:paraId="6809199D" w14:textId="77777777" w:rsidR="00CF33D9" w:rsidRDefault="00E3332A">
            <w:pPr>
              <w:rPr>
                <w:rFonts w:cs="Calibri"/>
                <w:sz w:val="20"/>
                <w:szCs w:val="20"/>
              </w:rPr>
            </w:pPr>
            <w:r>
              <w:rPr>
                <w:rFonts w:cs="Calibri"/>
                <w:sz w:val="20"/>
                <w:szCs w:val="20"/>
              </w:rPr>
              <w:t>Benguela Current Large Marine Ecosystem</w:t>
            </w:r>
          </w:p>
        </w:tc>
      </w:tr>
      <w:tr w:rsidR="00CF33D9" w14:paraId="680919A1" w14:textId="77777777">
        <w:tc>
          <w:tcPr>
            <w:tcW w:w="2689" w:type="dxa"/>
          </w:tcPr>
          <w:p w14:paraId="6809199F" w14:textId="77777777" w:rsidR="00CF33D9" w:rsidRDefault="00E3332A">
            <w:pPr>
              <w:rPr>
                <w:rFonts w:cs="Calibri"/>
                <w:sz w:val="20"/>
                <w:szCs w:val="20"/>
              </w:rPr>
            </w:pPr>
            <w:r>
              <w:rPr>
                <w:rFonts w:cs="Calibri"/>
                <w:sz w:val="20"/>
                <w:szCs w:val="20"/>
              </w:rPr>
              <w:t>BCC</w:t>
            </w:r>
          </w:p>
        </w:tc>
        <w:tc>
          <w:tcPr>
            <w:tcW w:w="6945" w:type="dxa"/>
          </w:tcPr>
          <w:p w14:paraId="680919A0" w14:textId="77777777" w:rsidR="00CF33D9" w:rsidRDefault="00E3332A">
            <w:pPr>
              <w:rPr>
                <w:rFonts w:cs="Calibri"/>
                <w:sz w:val="20"/>
                <w:szCs w:val="20"/>
              </w:rPr>
            </w:pPr>
            <w:r>
              <w:rPr>
                <w:rFonts w:cs="Calibri"/>
                <w:sz w:val="20"/>
                <w:szCs w:val="20"/>
              </w:rPr>
              <w:t>Benguela Current Convention</w:t>
            </w:r>
          </w:p>
        </w:tc>
      </w:tr>
      <w:tr w:rsidR="00CF33D9" w14:paraId="680919A4" w14:textId="77777777">
        <w:tc>
          <w:tcPr>
            <w:tcW w:w="2689" w:type="dxa"/>
          </w:tcPr>
          <w:p w14:paraId="680919A2" w14:textId="77777777" w:rsidR="00CF33D9" w:rsidRDefault="00E3332A">
            <w:pPr>
              <w:rPr>
                <w:rFonts w:cs="Calibri"/>
                <w:sz w:val="20"/>
                <w:szCs w:val="20"/>
              </w:rPr>
            </w:pPr>
            <w:r>
              <w:rPr>
                <w:rFonts w:cs="Calibri"/>
                <w:sz w:val="20"/>
                <w:szCs w:val="20"/>
              </w:rPr>
              <w:t>EAF</w:t>
            </w:r>
          </w:p>
        </w:tc>
        <w:tc>
          <w:tcPr>
            <w:tcW w:w="6945" w:type="dxa"/>
          </w:tcPr>
          <w:p w14:paraId="680919A3" w14:textId="77777777" w:rsidR="00CF33D9" w:rsidRDefault="00E3332A">
            <w:pPr>
              <w:rPr>
                <w:rFonts w:cs="Calibri"/>
                <w:sz w:val="20"/>
                <w:szCs w:val="20"/>
              </w:rPr>
            </w:pPr>
            <w:r>
              <w:rPr>
                <w:rFonts w:cs="Calibri"/>
                <w:sz w:val="20"/>
                <w:szCs w:val="20"/>
              </w:rPr>
              <w:t>Ecosystem-Based Approach to Fisheries</w:t>
            </w:r>
          </w:p>
        </w:tc>
      </w:tr>
      <w:tr w:rsidR="00CF33D9" w14:paraId="680919A7" w14:textId="77777777">
        <w:tc>
          <w:tcPr>
            <w:tcW w:w="2689" w:type="dxa"/>
          </w:tcPr>
          <w:p w14:paraId="680919A5" w14:textId="77777777" w:rsidR="00CF33D9" w:rsidRDefault="00E3332A">
            <w:pPr>
              <w:rPr>
                <w:rFonts w:cs="Calibri"/>
                <w:sz w:val="20"/>
                <w:szCs w:val="20"/>
              </w:rPr>
            </w:pPr>
            <w:r>
              <w:rPr>
                <w:rFonts w:cs="Calibri"/>
                <w:sz w:val="20"/>
                <w:szCs w:val="20"/>
              </w:rPr>
              <w:t>EIA</w:t>
            </w:r>
          </w:p>
        </w:tc>
        <w:tc>
          <w:tcPr>
            <w:tcW w:w="6945" w:type="dxa"/>
          </w:tcPr>
          <w:p w14:paraId="680919A6" w14:textId="77777777" w:rsidR="00CF33D9" w:rsidRDefault="00E3332A">
            <w:pPr>
              <w:rPr>
                <w:rFonts w:cs="Calibri"/>
                <w:sz w:val="20"/>
                <w:szCs w:val="20"/>
              </w:rPr>
            </w:pPr>
            <w:r>
              <w:rPr>
                <w:rFonts w:cs="Calibri"/>
                <w:sz w:val="20"/>
                <w:szCs w:val="20"/>
              </w:rPr>
              <w:t>Environmental Impact Assessment</w:t>
            </w:r>
          </w:p>
        </w:tc>
      </w:tr>
      <w:tr w:rsidR="00CF33D9" w14:paraId="680919AA" w14:textId="77777777">
        <w:tc>
          <w:tcPr>
            <w:tcW w:w="2689" w:type="dxa"/>
          </w:tcPr>
          <w:p w14:paraId="680919A8" w14:textId="77777777" w:rsidR="00CF33D9" w:rsidRDefault="00E3332A">
            <w:pPr>
              <w:rPr>
                <w:rFonts w:cs="Calibri"/>
                <w:sz w:val="20"/>
                <w:szCs w:val="20"/>
              </w:rPr>
            </w:pPr>
            <w:r>
              <w:rPr>
                <w:rFonts w:cs="Calibri"/>
                <w:sz w:val="20"/>
                <w:szCs w:val="20"/>
              </w:rPr>
              <w:t>ESIA</w:t>
            </w:r>
          </w:p>
        </w:tc>
        <w:tc>
          <w:tcPr>
            <w:tcW w:w="6945" w:type="dxa"/>
          </w:tcPr>
          <w:p w14:paraId="680919A9" w14:textId="77777777" w:rsidR="00CF33D9" w:rsidRDefault="00E3332A">
            <w:pPr>
              <w:rPr>
                <w:rFonts w:cs="Calibri"/>
                <w:sz w:val="20"/>
                <w:szCs w:val="20"/>
              </w:rPr>
            </w:pPr>
            <w:r>
              <w:rPr>
                <w:rFonts w:cs="Calibri"/>
                <w:sz w:val="20"/>
                <w:szCs w:val="20"/>
              </w:rPr>
              <w:t>Environmental and Social Impact Assessment</w:t>
            </w:r>
          </w:p>
        </w:tc>
      </w:tr>
      <w:tr w:rsidR="00CF33D9" w14:paraId="680919AD" w14:textId="77777777">
        <w:tc>
          <w:tcPr>
            <w:tcW w:w="2689" w:type="dxa"/>
          </w:tcPr>
          <w:p w14:paraId="680919AB" w14:textId="77777777" w:rsidR="00CF33D9" w:rsidRDefault="00E3332A">
            <w:pPr>
              <w:rPr>
                <w:rFonts w:cs="Calibri"/>
                <w:sz w:val="20"/>
                <w:szCs w:val="20"/>
              </w:rPr>
            </w:pPr>
            <w:r>
              <w:rPr>
                <w:rFonts w:cs="Calibri"/>
                <w:sz w:val="20"/>
                <w:szCs w:val="20"/>
              </w:rPr>
              <w:t>ESMF</w:t>
            </w:r>
          </w:p>
        </w:tc>
        <w:tc>
          <w:tcPr>
            <w:tcW w:w="6945" w:type="dxa"/>
          </w:tcPr>
          <w:p w14:paraId="680919AC" w14:textId="77777777" w:rsidR="00CF33D9" w:rsidRDefault="00E3332A">
            <w:pPr>
              <w:rPr>
                <w:rFonts w:cs="Calibri"/>
                <w:sz w:val="20"/>
                <w:szCs w:val="20"/>
              </w:rPr>
            </w:pPr>
            <w:r>
              <w:rPr>
                <w:rFonts w:cs="Calibri"/>
                <w:sz w:val="20"/>
                <w:szCs w:val="20"/>
              </w:rPr>
              <w:t>Environmental and Social Management Framework</w:t>
            </w:r>
          </w:p>
        </w:tc>
      </w:tr>
      <w:tr w:rsidR="00CF33D9" w14:paraId="680919B0" w14:textId="77777777">
        <w:tc>
          <w:tcPr>
            <w:tcW w:w="2689" w:type="dxa"/>
          </w:tcPr>
          <w:p w14:paraId="680919AE" w14:textId="77777777" w:rsidR="00CF33D9" w:rsidRDefault="00E3332A">
            <w:pPr>
              <w:rPr>
                <w:rFonts w:cs="Calibri"/>
                <w:sz w:val="20"/>
                <w:szCs w:val="20"/>
              </w:rPr>
            </w:pPr>
            <w:r>
              <w:rPr>
                <w:rFonts w:cs="Calibri"/>
                <w:sz w:val="20"/>
                <w:szCs w:val="20"/>
              </w:rPr>
              <w:t>ESMP</w:t>
            </w:r>
          </w:p>
        </w:tc>
        <w:tc>
          <w:tcPr>
            <w:tcW w:w="6945" w:type="dxa"/>
          </w:tcPr>
          <w:p w14:paraId="680919AF" w14:textId="77777777" w:rsidR="00CF33D9" w:rsidRDefault="00E3332A">
            <w:pPr>
              <w:rPr>
                <w:rFonts w:cs="Calibri"/>
                <w:sz w:val="20"/>
                <w:szCs w:val="20"/>
              </w:rPr>
            </w:pPr>
            <w:r>
              <w:rPr>
                <w:rFonts w:cs="Calibri"/>
                <w:sz w:val="20"/>
                <w:szCs w:val="20"/>
              </w:rPr>
              <w:t>Environmental and Social Management Plan</w:t>
            </w:r>
          </w:p>
        </w:tc>
      </w:tr>
      <w:tr w:rsidR="00CF33D9" w14:paraId="680919B3" w14:textId="77777777">
        <w:tc>
          <w:tcPr>
            <w:tcW w:w="2689" w:type="dxa"/>
          </w:tcPr>
          <w:p w14:paraId="680919B1" w14:textId="77777777" w:rsidR="00CF33D9" w:rsidRDefault="00E3332A">
            <w:pPr>
              <w:rPr>
                <w:rFonts w:cs="Calibri"/>
                <w:sz w:val="20"/>
                <w:szCs w:val="20"/>
              </w:rPr>
            </w:pPr>
            <w:r>
              <w:rPr>
                <w:rFonts w:cs="Calibri"/>
                <w:sz w:val="20"/>
                <w:szCs w:val="20"/>
              </w:rPr>
              <w:t>GEF</w:t>
            </w:r>
          </w:p>
        </w:tc>
        <w:tc>
          <w:tcPr>
            <w:tcW w:w="6945" w:type="dxa"/>
          </w:tcPr>
          <w:p w14:paraId="680919B2" w14:textId="77777777" w:rsidR="00CF33D9" w:rsidRDefault="00E3332A">
            <w:pPr>
              <w:rPr>
                <w:rFonts w:cs="Calibri"/>
                <w:sz w:val="20"/>
                <w:szCs w:val="20"/>
              </w:rPr>
            </w:pPr>
            <w:r>
              <w:rPr>
                <w:rFonts w:cs="Calibri"/>
                <w:sz w:val="20"/>
                <w:szCs w:val="20"/>
              </w:rPr>
              <w:t>Global Environment Facility</w:t>
            </w:r>
          </w:p>
        </w:tc>
      </w:tr>
      <w:tr w:rsidR="00CF33D9" w14:paraId="680919B6" w14:textId="77777777">
        <w:tc>
          <w:tcPr>
            <w:tcW w:w="2689" w:type="dxa"/>
          </w:tcPr>
          <w:p w14:paraId="680919B4" w14:textId="77777777" w:rsidR="00CF33D9" w:rsidRDefault="00E3332A">
            <w:pPr>
              <w:rPr>
                <w:rFonts w:cs="Calibri"/>
                <w:sz w:val="20"/>
                <w:szCs w:val="20"/>
              </w:rPr>
            </w:pPr>
            <w:r>
              <w:rPr>
                <w:rFonts w:cs="Calibri"/>
                <w:sz w:val="20"/>
                <w:szCs w:val="20"/>
              </w:rPr>
              <w:t>GRM</w:t>
            </w:r>
          </w:p>
        </w:tc>
        <w:tc>
          <w:tcPr>
            <w:tcW w:w="6945" w:type="dxa"/>
          </w:tcPr>
          <w:p w14:paraId="680919B5" w14:textId="77777777" w:rsidR="00CF33D9" w:rsidRDefault="00E3332A">
            <w:pPr>
              <w:rPr>
                <w:rFonts w:cs="Calibri"/>
                <w:sz w:val="20"/>
                <w:szCs w:val="20"/>
              </w:rPr>
            </w:pPr>
            <w:r>
              <w:rPr>
                <w:rFonts w:cs="Calibri"/>
                <w:sz w:val="20"/>
                <w:szCs w:val="20"/>
              </w:rPr>
              <w:t>Grievance Redress Mechanism</w:t>
            </w:r>
          </w:p>
        </w:tc>
      </w:tr>
      <w:tr w:rsidR="00CF33D9" w14:paraId="680919B9" w14:textId="77777777">
        <w:tc>
          <w:tcPr>
            <w:tcW w:w="2689" w:type="dxa"/>
          </w:tcPr>
          <w:p w14:paraId="680919B7" w14:textId="77777777" w:rsidR="00CF33D9" w:rsidRDefault="00E3332A">
            <w:pPr>
              <w:rPr>
                <w:rFonts w:cs="Calibri"/>
                <w:sz w:val="20"/>
                <w:szCs w:val="20"/>
              </w:rPr>
            </w:pPr>
            <w:r>
              <w:rPr>
                <w:rFonts w:cs="Calibri"/>
                <w:sz w:val="20"/>
                <w:szCs w:val="20"/>
              </w:rPr>
              <w:t>GRN</w:t>
            </w:r>
          </w:p>
        </w:tc>
        <w:tc>
          <w:tcPr>
            <w:tcW w:w="6945" w:type="dxa"/>
          </w:tcPr>
          <w:p w14:paraId="680919B8" w14:textId="77777777" w:rsidR="00CF33D9" w:rsidRDefault="00E3332A">
            <w:pPr>
              <w:rPr>
                <w:rFonts w:cs="Calibri"/>
                <w:sz w:val="20"/>
                <w:szCs w:val="20"/>
              </w:rPr>
            </w:pPr>
            <w:r>
              <w:rPr>
                <w:rFonts w:cs="Calibri"/>
                <w:sz w:val="20"/>
                <w:szCs w:val="20"/>
              </w:rPr>
              <w:t>Government of Namibia</w:t>
            </w:r>
          </w:p>
        </w:tc>
      </w:tr>
      <w:tr w:rsidR="00CF33D9" w14:paraId="680919BC" w14:textId="77777777">
        <w:tc>
          <w:tcPr>
            <w:tcW w:w="2689" w:type="dxa"/>
          </w:tcPr>
          <w:p w14:paraId="680919BA" w14:textId="77777777" w:rsidR="00CF33D9" w:rsidRDefault="00E3332A">
            <w:pPr>
              <w:rPr>
                <w:rFonts w:cs="Calibri"/>
                <w:sz w:val="20"/>
                <w:szCs w:val="20"/>
              </w:rPr>
            </w:pPr>
            <w:r>
              <w:rPr>
                <w:rFonts w:cs="Calibri"/>
                <w:sz w:val="20"/>
                <w:szCs w:val="20"/>
              </w:rPr>
              <w:t>IUU</w:t>
            </w:r>
          </w:p>
        </w:tc>
        <w:tc>
          <w:tcPr>
            <w:tcW w:w="6945" w:type="dxa"/>
          </w:tcPr>
          <w:p w14:paraId="680919BB" w14:textId="77777777" w:rsidR="00CF33D9" w:rsidRDefault="00E3332A">
            <w:pPr>
              <w:rPr>
                <w:rFonts w:cs="Calibri"/>
                <w:sz w:val="20"/>
                <w:szCs w:val="20"/>
              </w:rPr>
            </w:pPr>
            <w:r>
              <w:rPr>
                <w:rFonts w:cs="Calibri"/>
                <w:sz w:val="20"/>
                <w:szCs w:val="20"/>
              </w:rPr>
              <w:t xml:space="preserve">Illegal, Unreported and Unregulated fishing </w:t>
            </w:r>
          </w:p>
        </w:tc>
      </w:tr>
      <w:tr w:rsidR="00CF33D9" w14:paraId="680919BF" w14:textId="77777777">
        <w:tc>
          <w:tcPr>
            <w:tcW w:w="2689" w:type="dxa"/>
          </w:tcPr>
          <w:p w14:paraId="680919BD" w14:textId="77777777" w:rsidR="00CF33D9" w:rsidRDefault="00E3332A">
            <w:pPr>
              <w:rPr>
                <w:rFonts w:cs="Calibri"/>
                <w:sz w:val="20"/>
                <w:szCs w:val="20"/>
              </w:rPr>
            </w:pPr>
            <w:r>
              <w:rPr>
                <w:rFonts w:cs="Calibri"/>
                <w:sz w:val="20"/>
                <w:szCs w:val="20"/>
              </w:rPr>
              <w:t>LME</w:t>
            </w:r>
          </w:p>
        </w:tc>
        <w:tc>
          <w:tcPr>
            <w:tcW w:w="6945" w:type="dxa"/>
          </w:tcPr>
          <w:p w14:paraId="680919BE" w14:textId="77777777" w:rsidR="00CF33D9" w:rsidRDefault="00E3332A">
            <w:pPr>
              <w:rPr>
                <w:rFonts w:cs="Calibri"/>
                <w:sz w:val="20"/>
                <w:szCs w:val="20"/>
              </w:rPr>
            </w:pPr>
            <w:r>
              <w:rPr>
                <w:rFonts w:cs="Calibri"/>
                <w:sz w:val="20"/>
                <w:szCs w:val="20"/>
              </w:rPr>
              <w:t>Large Marine Ecosystem</w:t>
            </w:r>
          </w:p>
        </w:tc>
      </w:tr>
      <w:tr w:rsidR="00CF33D9" w14:paraId="680919C2" w14:textId="77777777">
        <w:tc>
          <w:tcPr>
            <w:tcW w:w="2689" w:type="dxa"/>
          </w:tcPr>
          <w:p w14:paraId="680919C0" w14:textId="77777777" w:rsidR="00CF33D9" w:rsidRDefault="00E3332A">
            <w:pPr>
              <w:rPr>
                <w:rFonts w:cs="Calibri"/>
                <w:sz w:val="20"/>
                <w:szCs w:val="20"/>
              </w:rPr>
            </w:pPr>
            <w:r>
              <w:rPr>
                <w:rFonts w:cs="Calibri"/>
                <w:sz w:val="20"/>
                <w:szCs w:val="20"/>
              </w:rPr>
              <w:t>MSP</w:t>
            </w:r>
          </w:p>
        </w:tc>
        <w:tc>
          <w:tcPr>
            <w:tcW w:w="6945" w:type="dxa"/>
          </w:tcPr>
          <w:p w14:paraId="680919C1" w14:textId="77777777" w:rsidR="00CF33D9" w:rsidRDefault="00E3332A">
            <w:pPr>
              <w:rPr>
                <w:rFonts w:cs="Calibri"/>
                <w:sz w:val="20"/>
                <w:szCs w:val="20"/>
              </w:rPr>
            </w:pPr>
            <w:r>
              <w:rPr>
                <w:rFonts w:cs="Calibri"/>
                <w:sz w:val="20"/>
                <w:szCs w:val="20"/>
              </w:rPr>
              <w:t>Marine Spatial Plans</w:t>
            </w:r>
          </w:p>
        </w:tc>
      </w:tr>
      <w:tr w:rsidR="00CF33D9" w14:paraId="680919C5" w14:textId="77777777">
        <w:tc>
          <w:tcPr>
            <w:tcW w:w="2689" w:type="dxa"/>
          </w:tcPr>
          <w:p w14:paraId="680919C3" w14:textId="77777777" w:rsidR="00CF33D9" w:rsidRDefault="00E3332A">
            <w:pPr>
              <w:rPr>
                <w:rFonts w:cs="Calibri"/>
                <w:sz w:val="20"/>
                <w:szCs w:val="20"/>
              </w:rPr>
            </w:pPr>
            <w:r>
              <w:rPr>
                <w:rFonts w:cs="Calibri"/>
                <w:sz w:val="20"/>
                <w:szCs w:val="20"/>
              </w:rPr>
              <w:t>MPA</w:t>
            </w:r>
          </w:p>
        </w:tc>
        <w:tc>
          <w:tcPr>
            <w:tcW w:w="6945" w:type="dxa"/>
          </w:tcPr>
          <w:p w14:paraId="680919C4" w14:textId="77777777" w:rsidR="00CF33D9" w:rsidRDefault="00E3332A">
            <w:pPr>
              <w:rPr>
                <w:rFonts w:cs="Calibri"/>
                <w:sz w:val="20"/>
                <w:szCs w:val="20"/>
              </w:rPr>
            </w:pPr>
            <w:r>
              <w:rPr>
                <w:rFonts w:cs="Calibri"/>
                <w:sz w:val="20"/>
                <w:szCs w:val="20"/>
              </w:rPr>
              <w:t>Marine Protected Area</w:t>
            </w:r>
          </w:p>
        </w:tc>
      </w:tr>
      <w:tr w:rsidR="00CF33D9" w14:paraId="680919C8" w14:textId="77777777">
        <w:tc>
          <w:tcPr>
            <w:tcW w:w="2689" w:type="dxa"/>
          </w:tcPr>
          <w:p w14:paraId="680919C6" w14:textId="77777777" w:rsidR="00CF33D9" w:rsidRDefault="00E3332A">
            <w:pPr>
              <w:rPr>
                <w:rFonts w:cs="Calibri"/>
                <w:sz w:val="20"/>
                <w:szCs w:val="20"/>
              </w:rPr>
            </w:pPr>
            <w:r>
              <w:rPr>
                <w:rFonts w:cs="Calibri"/>
                <w:sz w:val="20"/>
                <w:szCs w:val="20"/>
              </w:rPr>
              <w:t>M&amp;E</w:t>
            </w:r>
          </w:p>
        </w:tc>
        <w:tc>
          <w:tcPr>
            <w:tcW w:w="6945" w:type="dxa"/>
          </w:tcPr>
          <w:p w14:paraId="680919C7" w14:textId="77777777" w:rsidR="00CF33D9" w:rsidRDefault="00E3332A">
            <w:pPr>
              <w:rPr>
                <w:rFonts w:cs="Calibri"/>
                <w:sz w:val="20"/>
                <w:szCs w:val="20"/>
              </w:rPr>
            </w:pPr>
            <w:r>
              <w:rPr>
                <w:rFonts w:cs="Calibri"/>
                <w:sz w:val="20"/>
                <w:szCs w:val="20"/>
              </w:rPr>
              <w:t>Monitoring and Evaluation</w:t>
            </w:r>
          </w:p>
        </w:tc>
      </w:tr>
      <w:tr w:rsidR="00CF33D9" w14:paraId="680919CB" w14:textId="77777777">
        <w:tc>
          <w:tcPr>
            <w:tcW w:w="2689" w:type="dxa"/>
          </w:tcPr>
          <w:p w14:paraId="680919C9" w14:textId="77777777" w:rsidR="00CF33D9" w:rsidRDefault="00E3332A">
            <w:pPr>
              <w:rPr>
                <w:rFonts w:cs="Calibri"/>
                <w:sz w:val="20"/>
                <w:szCs w:val="20"/>
              </w:rPr>
            </w:pPr>
            <w:r>
              <w:rPr>
                <w:rFonts w:cs="Calibri"/>
                <w:sz w:val="20"/>
                <w:szCs w:val="20"/>
              </w:rPr>
              <w:t>NAP</w:t>
            </w:r>
          </w:p>
        </w:tc>
        <w:tc>
          <w:tcPr>
            <w:tcW w:w="6945" w:type="dxa"/>
          </w:tcPr>
          <w:p w14:paraId="680919CA" w14:textId="77777777" w:rsidR="00CF33D9" w:rsidRDefault="00E3332A">
            <w:pPr>
              <w:rPr>
                <w:rFonts w:cs="Calibri"/>
                <w:sz w:val="20"/>
                <w:szCs w:val="20"/>
              </w:rPr>
            </w:pPr>
            <w:r>
              <w:rPr>
                <w:rFonts w:cs="Calibri"/>
                <w:sz w:val="20"/>
                <w:szCs w:val="20"/>
              </w:rPr>
              <w:t>National Action Plans</w:t>
            </w:r>
          </w:p>
        </w:tc>
      </w:tr>
      <w:tr w:rsidR="00CF33D9" w14:paraId="680919CE" w14:textId="77777777">
        <w:tc>
          <w:tcPr>
            <w:tcW w:w="2689" w:type="dxa"/>
          </w:tcPr>
          <w:p w14:paraId="680919CC" w14:textId="77777777" w:rsidR="00CF33D9" w:rsidRDefault="00E3332A">
            <w:pPr>
              <w:rPr>
                <w:rFonts w:cs="Calibri"/>
                <w:sz w:val="20"/>
                <w:szCs w:val="20"/>
              </w:rPr>
            </w:pPr>
            <w:r>
              <w:rPr>
                <w:rFonts w:cs="Calibri"/>
                <w:sz w:val="20"/>
                <w:szCs w:val="20"/>
              </w:rPr>
              <w:t>PIF</w:t>
            </w:r>
          </w:p>
        </w:tc>
        <w:tc>
          <w:tcPr>
            <w:tcW w:w="6945" w:type="dxa"/>
          </w:tcPr>
          <w:p w14:paraId="680919CD" w14:textId="77777777" w:rsidR="00CF33D9" w:rsidRDefault="00E3332A">
            <w:pPr>
              <w:rPr>
                <w:rFonts w:cs="Calibri"/>
                <w:sz w:val="20"/>
                <w:szCs w:val="20"/>
              </w:rPr>
            </w:pPr>
            <w:r>
              <w:rPr>
                <w:rFonts w:cs="Calibri"/>
                <w:sz w:val="20"/>
                <w:szCs w:val="20"/>
              </w:rPr>
              <w:t xml:space="preserve">Project Identification Form </w:t>
            </w:r>
          </w:p>
        </w:tc>
      </w:tr>
      <w:tr w:rsidR="00CF33D9" w14:paraId="680919D1" w14:textId="77777777">
        <w:tc>
          <w:tcPr>
            <w:tcW w:w="2689" w:type="dxa"/>
          </w:tcPr>
          <w:p w14:paraId="680919CF" w14:textId="77777777" w:rsidR="00CF33D9" w:rsidRDefault="00E3332A">
            <w:pPr>
              <w:rPr>
                <w:rFonts w:cs="Calibri"/>
                <w:sz w:val="20"/>
                <w:szCs w:val="20"/>
              </w:rPr>
            </w:pPr>
            <w:r>
              <w:rPr>
                <w:rFonts w:cs="Calibri"/>
                <w:sz w:val="20"/>
                <w:szCs w:val="20"/>
              </w:rPr>
              <w:t>PMU</w:t>
            </w:r>
          </w:p>
        </w:tc>
        <w:tc>
          <w:tcPr>
            <w:tcW w:w="6945" w:type="dxa"/>
          </w:tcPr>
          <w:p w14:paraId="680919D0" w14:textId="77777777" w:rsidR="00CF33D9" w:rsidRDefault="00E3332A">
            <w:pPr>
              <w:rPr>
                <w:rFonts w:cs="Calibri"/>
                <w:sz w:val="20"/>
                <w:szCs w:val="20"/>
              </w:rPr>
            </w:pPr>
            <w:r>
              <w:rPr>
                <w:rFonts w:cs="Calibri"/>
                <w:sz w:val="20"/>
                <w:szCs w:val="20"/>
              </w:rPr>
              <w:t>Project Management Unit</w:t>
            </w:r>
          </w:p>
        </w:tc>
      </w:tr>
      <w:tr w:rsidR="00CF33D9" w14:paraId="680919D4" w14:textId="77777777">
        <w:tc>
          <w:tcPr>
            <w:tcW w:w="2689" w:type="dxa"/>
          </w:tcPr>
          <w:p w14:paraId="680919D2" w14:textId="77777777" w:rsidR="00CF33D9" w:rsidRDefault="00E3332A">
            <w:pPr>
              <w:rPr>
                <w:rFonts w:cs="Calibri"/>
                <w:sz w:val="20"/>
                <w:szCs w:val="20"/>
              </w:rPr>
            </w:pPr>
            <w:r>
              <w:rPr>
                <w:rFonts w:cs="Calibri"/>
                <w:sz w:val="20"/>
                <w:szCs w:val="20"/>
              </w:rPr>
              <w:t>SAP</w:t>
            </w:r>
          </w:p>
        </w:tc>
        <w:tc>
          <w:tcPr>
            <w:tcW w:w="6945" w:type="dxa"/>
          </w:tcPr>
          <w:p w14:paraId="680919D3" w14:textId="77777777" w:rsidR="00CF33D9" w:rsidRDefault="00E3332A">
            <w:pPr>
              <w:rPr>
                <w:rFonts w:cs="Calibri"/>
                <w:sz w:val="20"/>
                <w:szCs w:val="20"/>
              </w:rPr>
            </w:pPr>
            <w:r>
              <w:rPr>
                <w:rFonts w:cs="Calibri"/>
                <w:sz w:val="20"/>
                <w:szCs w:val="20"/>
              </w:rPr>
              <w:t>Strategic Action Programme</w:t>
            </w:r>
          </w:p>
        </w:tc>
      </w:tr>
      <w:tr w:rsidR="00CF33D9" w14:paraId="680919D7" w14:textId="77777777">
        <w:tc>
          <w:tcPr>
            <w:tcW w:w="2689" w:type="dxa"/>
          </w:tcPr>
          <w:p w14:paraId="680919D5" w14:textId="77777777" w:rsidR="00CF33D9" w:rsidRDefault="00E3332A">
            <w:pPr>
              <w:rPr>
                <w:rFonts w:cs="Calibri"/>
                <w:sz w:val="20"/>
                <w:szCs w:val="20"/>
              </w:rPr>
            </w:pPr>
            <w:r>
              <w:rPr>
                <w:rFonts w:cs="Calibri"/>
                <w:sz w:val="20"/>
                <w:szCs w:val="20"/>
              </w:rPr>
              <w:t>SECU</w:t>
            </w:r>
          </w:p>
        </w:tc>
        <w:tc>
          <w:tcPr>
            <w:tcW w:w="6945" w:type="dxa"/>
          </w:tcPr>
          <w:p w14:paraId="680919D6" w14:textId="77777777" w:rsidR="00CF33D9" w:rsidRDefault="00E3332A">
            <w:pPr>
              <w:rPr>
                <w:rFonts w:cs="Calibri"/>
                <w:sz w:val="20"/>
                <w:szCs w:val="20"/>
              </w:rPr>
            </w:pPr>
            <w:r>
              <w:rPr>
                <w:rFonts w:cs="Calibri"/>
                <w:sz w:val="20"/>
                <w:szCs w:val="20"/>
              </w:rPr>
              <w:t>Social and Environmental Compliance Review Unit</w:t>
            </w:r>
          </w:p>
        </w:tc>
      </w:tr>
      <w:tr w:rsidR="00CF33D9" w14:paraId="680919DA" w14:textId="77777777">
        <w:tc>
          <w:tcPr>
            <w:tcW w:w="2689" w:type="dxa"/>
          </w:tcPr>
          <w:p w14:paraId="680919D8" w14:textId="77777777" w:rsidR="00CF33D9" w:rsidRDefault="00E3332A">
            <w:pPr>
              <w:rPr>
                <w:rFonts w:cs="Calibri"/>
                <w:sz w:val="20"/>
                <w:szCs w:val="20"/>
              </w:rPr>
            </w:pPr>
            <w:r>
              <w:rPr>
                <w:rFonts w:cs="Calibri"/>
                <w:sz w:val="20"/>
                <w:szCs w:val="20"/>
              </w:rPr>
              <w:t>SES</w:t>
            </w:r>
          </w:p>
        </w:tc>
        <w:tc>
          <w:tcPr>
            <w:tcW w:w="6945" w:type="dxa"/>
          </w:tcPr>
          <w:p w14:paraId="680919D9" w14:textId="77777777" w:rsidR="00CF33D9" w:rsidRDefault="00E3332A">
            <w:pPr>
              <w:rPr>
                <w:rFonts w:cs="Calibri"/>
                <w:sz w:val="20"/>
                <w:szCs w:val="20"/>
              </w:rPr>
            </w:pPr>
            <w:r>
              <w:rPr>
                <w:rFonts w:cs="Calibri"/>
                <w:sz w:val="20"/>
                <w:szCs w:val="20"/>
              </w:rPr>
              <w:t>Social and Environmental Standards</w:t>
            </w:r>
          </w:p>
        </w:tc>
      </w:tr>
      <w:tr w:rsidR="00CF33D9" w14:paraId="680919DD" w14:textId="77777777">
        <w:tc>
          <w:tcPr>
            <w:tcW w:w="2689" w:type="dxa"/>
          </w:tcPr>
          <w:p w14:paraId="680919DB" w14:textId="77777777" w:rsidR="00CF33D9" w:rsidRDefault="00E3332A">
            <w:pPr>
              <w:rPr>
                <w:rFonts w:cs="Calibri"/>
                <w:sz w:val="20"/>
                <w:szCs w:val="20"/>
              </w:rPr>
            </w:pPr>
            <w:r>
              <w:rPr>
                <w:rFonts w:cs="Calibri"/>
                <w:sz w:val="20"/>
                <w:szCs w:val="20"/>
              </w:rPr>
              <w:t>SESA</w:t>
            </w:r>
          </w:p>
        </w:tc>
        <w:tc>
          <w:tcPr>
            <w:tcW w:w="6945" w:type="dxa"/>
          </w:tcPr>
          <w:p w14:paraId="680919DC" w14:textId="77777777" w:rsidR="00CF33D9" w:rsidRDefault="00E3332A">
            <w:pPr>
              <w:rPr>
                <w:rFonts w:cs="Calibri"/>
                <w:sz w:val="20"/>
                <w:szCs w:val="20"/>
              </w:rPr>
            </w:pPr>
            <w:r>
              <w:rPr>
                <w:rFonts w:cs="Calibri"/>
                <w:sz w:val="20"/>
                <w:szCs w:val="20"/>
              </w:rPr>
              <w:t>Social and Environmental Assessment</w:t>
            </w:r>
          </w:p>
        </w:tc>
      </w:tr>
      <w:tr w:rsidR="00CF33D9" w14:paraId="680919E0" w14:textId="77777777">
        <w:tc>
          <w:tcPr>
            <w:tcW w:w="2689" w:type="dxa"/>
          </w:tcPr>
          <w:p w14:paraId="680919DE" w14:textId="77777777" w:rsidR="00CF33D9" w:rsidRDefault="00E3332A">
            <w:pPr>
              <w:rPr>
                <w:rFonts w:cs="Calibri"/>
                <w:sz w:val="20"/>
                <w:szCs w:val="20"/>
              </w:rPr>
            </w:pPr>
            <w:r>
              <w:rPr>
                <w:rFonts w:cs="Calibri"/>
                <w:sz w:val="20"/>
                <w:szCs w:val="20"/>
              </w:rPr>
              <w:t>SESP</w:t>
            </w:r>
          </w:p>
        </w:tc>
        <w:tc>
          <w:tcPr>
            <w:tcW w:w="6945" w:type="dxa"/>
          </w:tcPr>
          <w:p w14:paraId="680919DF" w14:textId="77777777" w:rsidR="00CF33D9" w:rsidRDefault="00E3332A">
            <w:pPr>
              <w:rPr>
                <w:rFonts w:cs="Calibri"/>
                <w:sz w:val="20"/>
                <w:szCs w:val="20"/>
              </w:rPr>
            </w:pPr>
            <w:r>
              <w:rPr>
                <w:rFonts w:cs="Calibri"/>
                <w:sz w:val="20"/>
                <w:szCs w:val="20"/>
              </w:rPr>
              <w:t>Social and Environmental Screening Procedure</w:t>
            </w:r>
          </w:p>
        </w:tc>
      </w:tr>
      <w:tr w:rsidR="00CF33D9" w14:paraId="680919E3" w14:textId="77777777">
        <w:tc>
          <w:tcPr>
            <w:tcW w:w="2689" w:type="dxa"/>
          </w:tcPr>
          <w:p w14:paraId="680919E1" w14:textId="77777777" w:rsidR="00CF33D9" w:rsidRDefault="00E3332A">
            <w:pPr>
              <w:rPr>
                <w:rFonts w:cs="Calibri"/>
                <w:sz w:val="20"/>
                <w:szCs w:val="20"/>
              </w:rPr>
            </w:pPr>
            <w:r>
              <w:rPr>
                <w:rFonts w:cs="Calibri"/>
                <w:sz w:val="20"/>
                <w:szCs w:val="20"/>
              </w:rPr>
              <w:t>SMA</w:t>
            </w:r>
          </w:p>
        </w:tc>
        <w:tc>
          <w:tcPr>
            <w:tcW w:w="6945" w:type="dxa"/>
          </w:tcPr>
          <w:p w14:paraId="680919E2" w14:textId="77777777" w:rsidR="00CF33D9" w:rsidRDefault="00E3332A">
            <w:pPr>
              <w:rPr>
                <w:rFonts w:cs="Calibri"/>
                <w:sz w:val="20"/>
                <w:szCs w:val="20"/>
              </w:rPr>
            </w:pPr>
            <w:r>
              <w:rPr>
                <w:rFonts w:cs="Calibri"/>
                <w:sz w:val="20"/>
                <w:szCs w:val="20"/>
              </w:rPr>
              <w:t>Special Management Areas</w:t>
            </w:r>
          </w:p>
        </w:tc>
      </w:tr>
      <w:tr w:rsidR="00CF33D9" w14:paraId="680919E6" w14:textId="77777777">
        <w:tc>
          <w:tcPr>
            <w:tcW w:w="2689" w:type="dxa"/>
          </w:tcPr>
          <w:p w14:paraId="680919E4" w14:textId="77777777" w:rsidR="00CF33D9" w:rsidRDefault="00E3332A">
            <w:pPr>
              <w:rPr>
                <w:rFonts w:cs="Calibri"/>
                <w:sz w:val="20"/>
                <w:szCs w:val="20"/>
              </w:rPr>
            </w:pPr>
            <w:r>
              <w:rPr>
                <w:rFonts w:cs="Calibri"/>
                <w:sz w:val="20"/>
                <w:szCs w:val="20"/>
              </w:rPr>
              <w:t>SRM</w:t>
            </w:r>
          </w:p>
        </w:tc>
        <w:tc>
          <w:tcPr>
            <w:tcW w:w="6945" w:type="dxa"/>
          </w:tcPr>
          <w:p w14:paraId="680919E5" w14:textId="77777777" w:rsidR="00CF33D9" w:rsidRDefault="00E3332A">
            <w:pPr>
              <w:rPr>
                <w:rFonts w:cs="Calibri"/>
                <w:sz w:val="20"/>
                <w:szCs w:val="20"/>
              </w:rPr>
            </w:pPr>
            <w:r>
              <w:rPr>
                <w:rFonts w:cs="Calibri"/>
                <w:sz w:val="20"/>
                <w:szCs w:val="20"/>
              </w:rPr>
              <w:t>Stakeholder Response Mechanism</w:t>
            </w:r>
          </w:p>
        </w:tc>
      </w:tr>
      <w:tr w:rsidR="00CF33D9" w14:paraId="680919E9" w14:textId="77777777">
        <w:tc>
          <w:tcPr>
            <w:tcW w:w="2689" w:type="dxa"/>
          </w:tcPr>
          <w:p w14:paraId="680919E7" w14:textId="77777777" w:rsidR="00CF33D9" w:rsidRDefault="00E3332A">
            <w:pPr>
              <w:rPr>
                <w:rFonts w:cs="Calibri"/>
                <w:sz w:val="20"/>
                <w:szCs w:val="20"/>
              </w:rPr>
            </w:pPr>
            <w:r>
              <w:rPr>
                <w:rFonts w:cs="Calibri"/>
                <w:sz w:val="20"/>
                <w:szCs w:val="20"/>
              </w:rPr>
              <w:t>SSF</w:t>
            </w:r>
          </w:p>
        </w:tc>
        <w:tc>
          <w:tcPr>
            <w:tcW w:w="6945" w:type="dxa"/>
          </w:tcPr>
          <w:p w14:paraId="680919E8" w14:textId="77777777" w:rsidR="00CF33D9" w:rsidRDefault="00E3332A">
            <w:pPr>
              <w:rPr>
                <w:rFonts w:cs="Calibri"/>
                <w:sz w:val="20"/>
                <w:szCs w:val="20"/>
              </w:rPr>
            </w:pPr>
            <w:r>
              <w:rPr>
                <w:rFonts w:cs="Calibri"/>
                <w:sz w:val="20"/>
                <w:szCs w:val="20"/>
              </w:rPr>
              <w:t>Small-Scale Fisheries</w:t>
            </w:r>
          </w:p>
        </w:tc>
      </w:tr>
      <w:tr w:rsidR="00CF33D9" w14:paraId="680919EC" w14:textId="77777777">
        <w:tc>
          <w:tcPr>
            <w:tcW w:w="2689" w:type="dxa"/>
          </w:tcPr>
          <w:p w14:paraId="680919EA" w14:textId="77777777" w:rsidR="00CF33D9" w:rsidRDefault="00E3332A">
            <w:pPr>
              <w:rPr>
                <w:rFonts w:cs="Calibri"/>
                <w:sz w:val="20"/>
                <w:szCs w:val="20"/>
              </w:rPr>
            </w:pPr>
            <w:r>
              <w:rPr>
                <w:rFonts w:cs="Calibri"/>
                <w:sz w:val="20"/>
                <w:szCs w:val="20"/>
              </w:rPr>
              <w:t>TAC</w:t>
            </w:r>
          </w:p>
        </w:tc>
        <w:tc>
          <w:tcPr>
            <w:tcW w:w="6945" w:type="dxa"/>
          </w:tcPr>
          <w:p w14:paraId="680919EB" w14:textId="77777777" w:rsidR="00CF33D9" w:rsidRDefault="00E3332A">
            <w:pPr>
              <w:rPr>
                <w:rFonts w:cs="Calibri"/>
                <w:sz w:val="20"/>
                <w:szCs w:val="20"/>
              </w:rPr>
            </w:pPr>
            <w:r>
              <w:rPr>
                <w:rFonts w:cs="Calibri"/>
                <w:sz w:val="20"/>
                <w:szCs w:val="20"/>
              </w:rPr>
              <w:t>Total Allowable Catch</w:t>
            </w:r>
          </w:p>
        </w:tc>
      </w:tr>
      <w:tr w:rsidR="00CF33D9" w14:paraId="680919EF" w14:textId="77777777">
        <w:tc>
          <w:tcPr>
            <w:tcW w:w="2689" w:type="dxa"/>
          </w:tcPr>
          <w:p w14:paraId="680919ED" w14:textId="77777777" w:rsidR="00CF33D9" w:rsidRDefault="00E3332A">
            <w:pPr>
              <w:rPr>
                <w:rFonts w:cs="Calibri"/>
                <w:sz w:val="20"/>
                <w:szCs w:val="20"/>
              </w:rPr>
            </w:pPr>
            <w:r>
              <w:rPr>
                <w:rFonts w:cs="Calibri"/>
                <w:sz w:val="20"/>
                <w:szCs w:val="20"/>
              </w:rPr>
              <w:t>TDA</w:t>
            </w:r>
          </w:p>
        </w:tc>
        <w:tc>
          <w:tcPr>
            <w:tcW w:w="6945" w:type="dxa"/>
          </w:tcPr>
          <w:p w14:paraId="680919EE" w14:textId="77777777" w:rsidR="00CF33D9" w:rsidRDefault="00E3332A">
            <w:pPr>
              <w:rPr>
                <w:rFonts w:cs="Calibri"/>
                <w:sz w:val="20"/>
                <w:szCs w:val="20"/>
              </w:rPr>
            </w:pPr>
            <w:r>
              <w:rPr>
                <w:rFonts w:cs="Calibri"/>
                <w:sz w:val="20"/>
                <w:szCs w:val="20"/>
              </w:rPr>
              <w:t>Transboundary Diagnostic Analysis</w:t>
            </w:r>
          </w:p>
        </w:tc>
      </w:tr>
      <w:tr w:rsidR="00CF33D9" w14:paraId="680919F2" w14:textId="77777777">
        <w:tc>
          <w:tcPr>
            <w:tcW w:w="2689" w:type="dxa"/>
          </w:tcPr>
          <w:p w14:paraId="680919F0" w14:textId="77777777" w:rsidR="00CF33D9" w:rsidRDefault="00E3332A">
            <w:pPr>
              <w:rPr>
                <w:rFonts w:cs="Calibri"/>
                <w:sz w:val="20"/>
                <w:szCs w:val="20"/>
              </w:rPr>
            </w:pPr>
            <w:r>
              <w:rPr>
                <w:rFonts w:cs="Calibri"/>
                <w:sz w:val="20"/>
                <w:szCs w:val="20"/>
              </w:rPr>
              <w:t>UNDP</w:t>
            </w:r>
          </w:p>
        </w:tc>
        <w:tc>
          <w:tcPr>
            <w:tcW w:w="6945" w:type="dxa"/>
          </w:tcPr>
          <w:p w14:paraId="680919F1" w14:textId="77777777" w:rsidR="00CF33D9" w:rsidRDefault="00E3332A">
            <w:pPr>
              <w:rPr>
                <w:rFonts w:cs="Calibri"/>
                <w:sz w:val="20"/>
                <w:szCs w:val="20"/>
              </w:rPr>
            </w:pPr>
            <w:r>
              <w:rPr>
                <w:rFonts w:cs="Calibri"/>
                <w:sz w:val="20"/>
                <w:szCs w:val="20"/>
              </w:rPr>
              <w:t>United Nations Development Programme</w:t>
            </w:r>
          </w:p>
        </w:tc>
      </w:tr>
    </w:tbl>
    <w:p w14:paraId="680919F3" w14:textId="77777777" w:rsidR="00CF33D9" w:rsidRDefault="00CF33D9">
      <w:pPr>
        <w:rPr>
          <w:rFonts w:ascii="Calibri" w:hAnsi="Calibri" w:cs="Calibri"/>
          <w:sz w:val="20"/>
          <w:szCs w:val="20"/>
        </w:rPr>
      </w:pPr>
    </w:p>
    <w:p w14:paraId="680919F4" w14:textId="77777777" w:rsidR="00CF33D9" w:rsidRDefault="00CF33D9">
      <w:pPr>
        <w:rPr>
          <w:rFonts w:ascii="Calibri" w:hAnsi="Calibri" w:cs="Calibri"/>
          <w:sz w:val="20"/>
          <w:szCs w:val="20"/>
        </w:rPr>
      </w:pPr>
    </w:p>
    <w:p w14:paraId="680919F5" w14:textId="77777777" w:rsidR="00CF33D9" w:rsidRDefault="00CF33D9">
      <w:pPr>
        <w:rPr>
          <w:rFonts w:ascii="Calibri" w:hAnsi="Calibri" w:cs="Calibri"/>
          <w:sz w:val="20"/>
          <w:szCs w:val="20"/>
        </w:rPr>
      </w:pPr>
    </w:p>
    <w:p w14:paraId="680919F6" w14:textId="77777777" w:rsidR="00CF33D9" w:rsidRDefault="00E3332A">
      <w:pPr>
        <w:rPr>
          <w:rFonts w:ascii="Calibri" w:hAnsi="Calibri" w:cs="Calibri"/>
          <w:sz w:val="20"/>
          <w:szCs w:val="20"/>
        </w:rPr>
      </w:pPr>
      <w:r>
        <w:rPr>
          <w:rFonts w:ascii="Calibri" w:hAnsi="Calibri" w:cs="Calibri"/>
          <w:sz w:val="20"/>
          <w:szCs w:val="20"/>
        </w:rPr>
        <w:br w:type="page"/>
      </w:r>
    </w:p>
    <w:p w14:paraId="680919F7" w14:textId="77777777" w:rsidR="00CF33D9" w:rsidRDefault="00E3332A">
      <w:pPr>
        <w:rPr>
          <w:rFonts w:ascii="Calibri" w:hAnsi="Calibri" w:cs="Calibri"/>
          <w:sz w:val="20"/>
          <w:szCs w:val="20"/>
        </w:rPr>
      </w:pPr>
      <w:r>
        <w:rPr>
          <w:rFonts w:ascii="Calibri" w:hAnsi="Calibri" w:cs="Calibri"/>
          <w:sz w:val="20"/>
          <w:szCs w:val="20"/>
        </w:rPr>
        <w:lastRenderedPageBreak/>
        <w:t>Executive Summary</w:t>
      </w:r>
    </w:p>
    <w:p w14:paraId="680919F8" w14:textId="77777777" w:rsidR="00CF33D9" w:rsidRDefault="00CF33D9">
      <w:pPr>
        <w:rPr>
          <w:rFonts w:ascii="Calibri" w:hAnsi="Calibri" w:cs="Calibri"/>
          <w:sz w:val="20"/>
          <w:szCs w:val="20"/>
        </w:rPr>
      </w:pPr>
    </w:p>
    <w:p w14:paraId="680919F9" w14:textId="77777777" w:rsidR="00CF33D9" w:rsidRDefault="00E3332A">
      <w:pPr>
        <w:spacing w:line="220" w:lineRule="exact"/>
        <w:ind w:left="426"/>
        <w:jc w:val="both"/>
        <w:rPr>
          <w:rFonts w:ascii="Calibri" w:eastAsia="SimSun" w:hAnsi="Calibri" w:cs="Calibri"/>
          <w:sz w:val="20"/>
          <w:szCs w:val="20"/>
        </w:rPr>
      </w:pPr>
      <w:r>
        <w:rPr>
          <w:rFonts w:ascii="Calibri" w:hAnsi="Calibri" w:cs="Calibri"/>
          <w:sz w:val="20"/>
          <w:szCs w:val="20"/>
        </w:rPr>
        <w:t xml:space="preserve">This Environmental and Social Management Framework (ESMF) has been prepared for the submission of the GEF-UNDP Project proposal “Mainstreaming Climate Resilient Blue Economy in the Benguela Current Large Marine Ecosystem (BCLME IV Project)”. </w:t>
      </w:r>
      <w:r>
        <w:rPr>
          <w:rFonts w:ascii="Calibri" w:eastAsia="SimSun" w:hAnsi="Calibri" w:cs="Calibri"/>
          <w:sz w:val="20"/>
          <w:szCs w:val="20"/>
        </w:rPr>
        <w:t xml:space="preserve">Its purpose is to assist in the assessment of potential environmental and social impacts. The Framework forms the basis upon which Environmental and Social Management Plan(s) will be developed, so as to ensure full compliance with the requirements of UNDP’s Social and Environmental Standards. The project and its ESMP will be implemented by its executing partner the </w:t>
      </w:r>
      <w:r>
        <w:rPr>
          <w:rFonts w:ascii="Calibri" w:hAnsi="Calibri" w:cs="Calibri"/>
          <w:sz w:val="20"/>
          <w:szCs w:val="20"/>
        </w:rPr>
        <w:t>Benguela Current Convention Secretariat</w:t>
      </w:r>
      <w:r>
        <w:rPr>
          <w:rFonts w:ascii="Calibri" w:eastAsia="SimSun" w:hAnsi="Calibri" w:cs="Calibri"/>
          <w:sz w:val="20"/>
          <w:szCs w:val="20"/>
        </w:rPr>
        <w:t xml:space="preserve"> and overseen by UNDP. The management measures will be monitored throughout the duration of the project.</w:t>
      </w:r>
    </w:p>
    <w:p w14:paraId="680919FA" w14:textId="77777777" w:rsidR="00CF33D9" w:rsidRDefault="00CF33D9">
      <w:pPr>
        <w:spacing w:line="220" w:lineRule="exact"/>
        <w:ind w:left="426"/>
        <w:jc w:val="both"/>
        <w:rPr>
          <w:rFonts w:ascii="Calibri" w:hAnsi="Calibri" w:cs="Calibri"/>
          <w:sz w:val="20"/>
          <w:szCs w:val="20"/>
        </w:rPr>
      </w:pPr>
    </w:p>
    <w:p w14:paraId="680919FB" w14:textId="77777777" w:rsidR="00CF33D9" w:rsidRDefault="00E3332A">
      <w:pPr>
        <w:spacing w:line="220" w:lineRule="exact"/>
        <w:ind w:left="426"/>
        <w:jc w:val="both"/>
        <w:rPr>
          <w:rFonts w:ascii="Calibri" w:hAnsi="Calibri" w:cs="Calibri"/>
          <w:sz w:val="20"/>
          <w:szCs w:val="20"/>
        </w:rPr>
      </w:pPr>
      <w:r>
        <w:rPr>
          <w:rFonts w:ascii="Calibri" w:hAnsi="Calibri" w:cs="Calibri"/>
          <w:sz w:val="20"/>
          <w:szCs w:val="20"/>
        </w:rPr>
        <w:t xml:space="preserve">Preliminary analysis and screening conducted during the project development phase via UNDP’s Social and Environment Screening Procedure (SESP) identified potential social and environmental risks associated with project activities. The screening procedure established that the project falls under </w:t>
      </w:r>
      <w:r>
        <w:rPr>
          <w:rFonts w:ascii="Calibri" w:hAnsi="Calibri" w:cs="Calibri"/>
          <w:sz w:val="20"/>
          <w:szCs w:val="20"/>
          <w:u w:val="single"/>
        </w:rPr>
        <w:t>Substantial Risk category</w:t>
      </w:r>
      <w:r>
        <w:rPr>
          <w:rFonts w:ascii="Calibri" w:hAnsi="Calibri" w:cs="Calibri"/>
          <w:sz w:val="20"/>
          <w:szCs w:val="20"/>
        </w:rPr>
        <w:t xml:space="preserve"> and the identified potential social and environmental risks’ impacts are manageable through identified mitigation measures detailed in the Screening Template, included in </w:t>
      </w:r>
      <w:r>
        <w:rPr>
          <w:rFonts w:ascii="Calibri" w:hAnsi="Calibri" w:cs="Calibri"/>
          <w:b/>
          <w:bCs/>
          <w:sz w:val="20"/>
          <w:szCs w:val="20"/>
        </w:rPr>
        <w:t>Annex 6</w:t>
      </w:r>
      <w:r>
        <w:rPr>
          <w:rFonts w:ascii="Calibri" w:hAnsi="Calibri" w:cs="Calibri"/>
          <w:sz w:val="20"/>
          <w:szCs w:val="20"/>
        </w:rPr>
        <w:t xml:space="preserve"> to the UNDP/GEF Project Document. </w:t>
      </w:r>
    </w:p>
    <w:p w14:paraId="680919FC" w14:textId="77777777" w:rsidR="00CF33D9" w:rsidRDefault="00CF33D9">
      <w:pPr>
        <w:spacing w:line="220" w:lineRule="exact"/>
        <w:ind w:left="426"/>
        <w:jc w:val="both"/>
        <w:rPr>
          <w:rFonts w:ascii="Calibri" w:hAnsi="Calibri" w:cs="Calibri"/>
          <w:sz w:val="20"/>
          <w:szCs w:val="20"/>
        </w:rPr>
      </w:pPr>
    </w:p>
    <w:p w14:paraId="680919FD" w14:textId="77777777" w:rsidR="00CF33D9" w:rsidRDefault="00E3332A">
      <w:pPr>
        <w:spacing w:line="220" w:lineRule="exact"/>
        <w:ind w:left="426"/>
        <w:jc w:val="both"/>
        <w:rPr>
          <w:rFonts w:ascii="Calibri" w:hAnsi="Calibri" w:cs="Calibri"/>
          <w:b/>
          <w:bCs/>
          <w:sz w:val="20"/>
          <w:szCs w:val="20"/>
        </w:rPr>
      </w:pPr>
      <w:r>
        <w:rPr>
          <w:rFonts w:ascii="Calibri" w:hAnsi="Calibri" w:cs="Calibri"/>
          <w:sz w:val="20"/>
          <w:szCs w:val="20"/>
        </w:rPr>
        <w:t xml:space="preserve">This ESMF has been prepared when the project’s risks and impacts cannot fully be assessed, and management measures cannot be fully put in place before the start of project implementation. Further assessment will be required during the inception phase once the pilot intervention sites are fully determined. However, the PPG stage have identified the following risks: </w:t>
      </w:r>
      <w:r>
        <w:rPr>
          <w:rFonts w:ascii="Calibri" w:hAnsi="Calibri" w:cs="Calibri"/>
          <w:b/>
          <w:bCs/>
          <w:sz w:val="20"/>
          <w:szCs w:val="20"/>
        </w:rPr>
        <w:t>six Substantial Risks</w:t>
      </w:r>
      <w:r>
        <w:rPr>
          <w:rFonts w:ascii="Calibri" w:hAnsi="Calibri" w:cs="Calibri"/>
          <w:sz w:val="20"/>
          <w:szCs w:val="20"/>
        </w:rPr>
        <w:t xml:space="preserve"> and </w:t>
      </w:r>
      <w:r>
        <w:rPr>
          <w:rFonts w:ascii="Calibri" w:hAnsi="Calibri" w:cs="Calibri"/>
          <w:b/>
          <w:bCs/>
          <w:sz w:val="20"/>
          <w:szCs w:val="20"/>
        </w:rPr>
        <w:t xml:space="preserve">four Moderate Risks </w:t>
      </w:r>
      <w:r>
        <w:rPr>
          <w:rFonts w:ascii="Calibri" w:hAnsi="Calibri" w:cs="Calibri"/>
          <w:sz w:val="20"/>
          <w:szCs w:val="20"/>
        </w:rPr>
        <w:t xml:space="preserve">related to project activities. </w:t>
      </w:r>
    </w:p>
    <w:p w14:paraId="680919FE" w14:textId="77777777" w:rsidR="00CF33D9" w:rsidRDefault="00CF33D9">
      <w:pPr>
        <w:spacing w:line="220" w:lineRule="exact"/>
        <w:jc w:val="both"/>
        <w:rPr>
          <w:rFonts w:ascii="Calibri" w:hAnsi="Calibri" w:cs="Calibri"/>
          <w:sz w:val="20"/>
          <w:szCs w:val="20"/>
        </w:rPr>
      </w:pPr>
    </w:p>
    <w:p w14:paraId="680919FF" w14:textId="77777777" w:rsidR="00CF33D9" w:rsidRDefault="00E3332A">
      <w:pPr>
        <w:spacing w:line="220" w:lineRule="exact"/>
        <w:ind w:left="426"/>
        <w:jc w:val="both"/>
        <w:rPr>
          <w:rFonts w:ascii="Calibri" w:hAnsi="Calibri" w:cs="Calibri"/>
          <w:sz w:val="20"/>
          <w:szCs w:val="20"/>
        </w:rPr>
      </w:pPr>
      <w:r>
        <w:rPr>
          <w:rFonts w:ascii="Calibri" w:hAnsi="Calibri" w:cs="Calibri"/>
          <w:sz w:val="20"/>
          <w:szCs w:val="20"/>
        </w:rPr>
        <w:t>This ESMF has been developed on the basis of the risk screening during SESP (</w:t>
      </w:r>
      <w:r>
        <w:rPr>
          <w:rFonts w:ascii="Calibri" w:hAnsi="Calibri" w:cs="Calibri"/>
          <w:b/>
          <w:bCs/>
          <w:sz w:val="20"/>
          <w:szCs w:val="20"/>
        </w:rPr>
        <w:t>Annex 6</w:t>
      </w:r>
      <w:r>
        <w:rPr>
          <w:rFonts w:ascii="Calibri" w:hAnsi="Calibri" w:cs="Calibri"/>
          <w:sz w:val="20"/>
          <w:szCs w:val="20"/>
        </w:rPr>
        <w:t xml:space="preserve"> Project Document) to specify the processes that will be undertaken by the project for the additional assessments of potential impacts and identification and development of appropriate risk management measures, in line with UNDP’s Social and Environmental Standards (SES). This ESMF also details the roles and responsibilities for its implementation and includes a budget and Monitoring and Evaluation plan. </w:t>
      </w:r>
      <w:r>
        <w:rPr>
          <w:rFonts w:ascii="Calibri" w:hAnsi="Calibri" w:cs="Calibri"/>
          <w:sz w:val="20"/>
          <w:szCs w:val="20"/>
          <w:u w:val="single"/>
        </w:rPr>
        <w:t>This ESMF identifies the steps that will be followed after the inception phase of the project:</w:t>
      </w:r>
    </w:p>
    <w:p w14:paraId="68091A00" w14:textId="77777777" w:rsidR="00CF33D9" w:rsidRDefault="00CF33D9">
      <w:pPr>
        <w:ind w:left="426"/>
        <w:jc w:val="both"/>
        <w:rPr>
          <w:rFonts w:ascii="Calibri" w:hAnsi="Calibri" w:cs="Calibri"/>
          <w:sz w:val="20"/>
          <w:szCs w:val="20"/>
          <w:u w:val="single"/>
        </w:rPr>
      </w:pPr>
    </w:p>
    <w:p w14:paraId="68091A01" w14:textId="77777777" w:rsidR="00CF33D9" w:rsidRDefault="00E3332A">
      <w:pPr>
        <w:pStyle w:val="ListParagraph"/>
        <w:numPr>
          <w:ilvl w:val="0"/>
          <w:numId w:val="83"/>
        </w:numPr>
        <w:spacing w:line="220" w:lineRule="exact"/>
        <w:ind w:left="851" w:hanging="425"/>
        <w:contextualSpacing/>
        <w:jc w:val="both"/>
        <w:rPr>
          <w:rFonts w:ascii="Calibri" w:hAnsi="Calibri" w:cs="Calibri"/>
          <w:sz w:val="20"/>
          <w:szCs w:val="20"/>
        </w:rPr>
      </w:pPr>
      <w:r>
        <w:rPr>
          <w:rFonts w:ascii="Calibri" w:hAnsi="Calibri" w:cs="Calibri"/>
          <w:sz w:val="20"/>
          <w:szCs w:val="20"/>
        </w:rPr>
        <w:t xml:space="preserve">Preparing and implementing Strategic Social and Environmental Assessment (SESA) for upstream activities associated with the strengthening of policy, regulatory and institutional framework for the sustainable management of the BCLME (Output 1.1.1 and Output 4.1.1). </w:t>
      </w:r>
    </w:p>
    <w:p w14:paraId="68091A02" w14:textId="77777777" w:rsidR="00CF33D9" w:rsidRDefault="00CF33D9">
      <w:pPr>
        <w:pStyle w:val="ListParagraph"/>
        <w:spacing w:line="220" w:lineRule="exact"/>
        <w:ind w:left="851"/>
        <w:jc w:val="both"/>
        <w:rPr>
          <w:rFonts w:ascii="Calibri" w:hAnsi="Calibri" w:cs="Calibri"/>
          <w:sz w:val="20"/>
          <w:szCs w:val="20"/>
        </w:rPr>
      </w:pPr>
    </w:p>
    <w:p w14:paraId="68091A03" w14:textId="77777777" w:rsidR="00CF33D9" w:rsidRDefault="00E3332A">
      <w:pPr>
        <w:pStyle w:val="ListParagraph"/>
        <w:numPr>
          <w:ilvl w:val="0"/>
          <w:numId w:val="83"/>
        </w:numPr>
        <w:spacing w:line="220" w:lineRule="exact"/>
        <w:ind w:left="851" w:hanging="425"/>
        <w:contextualSpacing/>
        <w:jc w:val="both"/>
        <w:rPr>
          <w:rFonts w:ascii="Calibri" w:hAnsi="Calibri" w:cs="Calibri"/>
          <w:sz w:val="20"/>
          <w:szCs w:val="20"/>
        </w:rPr>
      </w:pPr>
      <w:r>
        <w:rPr>
          <w:rFonts w:ascii="Calibri" w:hAnsi="Calibri" w:cs="Calibri"/>
          <w:sz w:val="20"/>
          <w:szCs w:val="20"/>
        </w:rPr>
        <w:t xml:space="preserve">In cases where restrictions to access resources within MPA are planned, a Process Framework will be implemented to establish dialogue and negotiation with local communities. The PF will be the basis for preparing a Livelihood Action Plan (LAP). Economic displacement outside MPAs will be managed through a LAP. </w:t>
      </w:r>
    </w:p>
    <w:p w14:paraId="68091A04" w14:textId="77777777" w:rsidR="00CF33D9" w:rsidRDefault="00CF33D9">
      <w:pPr>
        <w:pStyle w:val="ListParagraph"/>
        <w:spacing w:line="220" w:lineRule="exact"/>
        <w:rPr>
          <w:rFonts w:ascii="Calibri" w:hAnsi="Calibri" w:cs="Calibri"/>
          <w:sz w:val="20"/>
          <w:szCs w:val="20"/>
        </w:rPr>
      </w:pPr>
    </w:p>
    <w:p w14:paraId="68091A05" w14:textId="77777777" w:rsidR="00CF33D9" w:rsidRDefault="00E3332A">
      <w:pPr>
        <w:pStyle w:val="ListParagraph"/>
        <w:numPr>
          <w:ilvl w:val="0"/>
          <w:numId w:val="83"/>
        </w:numPr>
        <w:spacing w:line="220" w:lineRule="exact"/>
        <w:ind w:left="851" w:hanging="425"/>
        <w:contextualSpacing/>
        <w:jc w:val="both"/>
        <w:rPr>
          <w:rFonts w:ascii="Calibri" w:hAnsi="Calibri" w:cs="Calibri"/>
          <w:sz w:val="20"/>
          <w:szCs w:val="20"/>
        </w:rPr>
      </w:pPr>
      <w:r>
        <w:rPr>
          <w:rFonts w:ascii="Calibri" w:hAnsi="Calibri" w:cs="Calibri"/>
          <w:sz w:val="20"/>
          <w:szCs w:val="20"/>
        </w:rPr>
        <w:t xml:space="preserve">A targeted assessment for activity 2.1.1.1 will be incorporated into a scoped ESIA that will focus on the potential negative and cumulative environmental and social impacts for joint management of transboundary fish stock (Cape horse mackerel; Cape hakes). Upon completion of the scoped ESIA, the project will develop an ESMP that will layout the measures to prevent transboundary negative impacts on fish stock availability. </w:t>
      </w:r>
    </w:p>
    <w:p w14:paraId="68091A06" w14:textId="77777777" w:rsidR="00CF33D9" w:rsidRDefault="00CF33D9">
      <w:pPr>
        <w:spacing w:line="220" w:lineRule="exact"/>
        <w:rPr>
          <w:rFonts w:ascii="Calibri" w:hAnsi="Calibri" w:cs="Calibri"/>
          <w:sz w:val="20"/>
          <w:szCs w:val="20"/>
        </w:rPr>
      </w:pPr>
    </w:p>
    <w:p w14:paraId="68091A07" w14:textId="77777777" w:rsidR="00CF33D9" w:rsidRDefault="00E3332A">
      <w:pPr>
        <w:pStyle w:val="ListParagraph"/>
        <w:numPr>
          <w:ilvl w:val="0"/>
          <w:numId w:val="83"/>
        </w:numPr>
        <w:spacing w:line="220" w:lineRule="exact"/>
        <w:ind w:left="851" w:hanging="425"/>
        <w:contextualSpacing/>
        <w:jc w:val="both"/>
        <w:rPr>
          <w:rFonts w:ascii="Calibri" w:hAnsi="Calibri" w:cs="Calibri"/>
          <w:sz w:val="20"/>
          <w:szCs w:val="20"/>
        </w:rPr>
      </w:pPr>
      <w:r>
        <w:rPr>
          <w:rFonts w:ascii="Calibri" w:hAnsi="Calibri" w:cs="Calibri"/>
          <w:sz w:val="20"/>
          <w:szCs w:val="20"/>
        </w:rPr>
        <w:t xml:space="preserve"> A scoped ESIA for the introduction of mariculture (Activity 2.1.2.1) will be developed in each country where mariculture is introduced to assess the potential negative environmental and social impacts of mariculture. The ESMP will establish mitigation measures to ensure proper waste management associated with these activities. </w:t>
      </w:r>
    </w:p>
    <w:p w14:paraId="68091A08" w14:textId="77777777" w:rsidR="00CF33D9" w:rsidRDefault="00CF33D9">
      <w:pPr>
        <w:spacing w:line="220" w:lineRule="exact"/>
        <w:jc w:val="both"/>
        <w:rPr>
          <w:rFonts w:ascii="Calibri" w:hAnsi="Calibri" w:cs="Calibri"/>
          <w:sz w:val="20"/>
          <w:szCs w:val="20"/>
        </w:rPr>
      </w:pPr>
    </w:p>
    <w:p w14:paraId="68091A09" w14:textId="77777777" w:rsidR="00CF33D9" w:rsidRDefault="00E3332A">
      <w:pPr>
        <w:pStyle w:val="ListParagraph"/>
        <w:numPr>
          <w:ilvl w:val="0"/>
          <w:numId w:val="83"/>
        </w:numPr>
        <w:spacing w:line="220" w:lineRule="exact"/>
        <w:ind w:left="851" w:hanging="425"/>
        <w:contextualSpacing/>
        <w:jc w:val="both"/>
        <w:rPr>
          <w:rFonts w:ascii="Calibri" w:hAnsi="Calibri" w:cs="Calibri"/>
          <w:sz w:val="20"/>
          <w:szCs w:val="20"/>
        </w:rPr>
      </w:pPr>
      <w:r>
        <w:rPr>
          <w:rFonts w:ascii="Calibri" w:hAnsi="Calibri" w:cs="Calibri"/>
          <w:sz w:val="20"/>
          <w:szCs w:val="20"/>
        </w:rPr>
        <w:t>Screening aligned with UNDP SES for activities that are not precisely identified at PPG stage. Based on the screenings and required assessment, preparing and approving appropriate management plans for avoiding, and where avoidance is not possible, reducing, mitigating, and managing adverse impacts, via preparation of targeted management plans.</w:t>
      </w:r>
    </w:p>
    <w:p w14:paraId="68091A0A" w14:textId="77777777" w:rsidR="00CF33D9" w:rsidRDefault="00CF33D9">
      <w:pPr>
        <w:spacing w:line="220" w:lineRule="exact"/>
        <w:jc w:val="both"/>
        <w:rPr>
          <w:rFonts w:ascii="Calibri" w:hAnsi="Calibri" w:cs="Calibri"/>
          <w:sz w:val="20"/>
          <w:szCs w:val="20"/>
        </w:rPr>
      </w:pPr>
    </w:p>
    <w:p w14:paraId="68091A0B" w14:textId="77777777" w:rsidR="00CF33D9" w:rsidRDefault="00E3332A">
      <w:pPr>
        <w:pStyle w:val="ListParagraph"/>
        <w:numPr>
          <w:ilvl w:val="0"/>
          <w:numId w:val="83"/>
        </w:numPr>
        <w:spacing w:line="220" w:lineRule="exact"/>
        <w:ind w:left="851" w:hanging="425"/>
        <w:contextualSpacing/>
        <w:jc w:val="both"/>
        <w:rPr>
          <w:rFonts w:ascii="Calibri" w:hAnsi="Calibri" w:cs="Calibri"/>
          <w:sz w:val="20"/>
          <w:szCs w:val="20"/>
        </w:rPr>
      </w:pPr>
      <w:r>
        <w:rPr>
          <w:rFonts w:ascii="Calibri" w:hAnsi="Calibri" w:cs="Calibri"/>
          <w:sz w:val="20"/>
          <w:szCs w:val="20"/>
        </w:rPr>
        <w:t>Updating the project’s SESP as necessary.</w:t>
      </w:r>
      <w:r>
        <w:rPr>
          <w:rFonts w:ascii="Calibri" w:hAnsi="Calibri" w:cs="Calibri"/>
          <w:sz w:val="20"/>
          <w:szCs w:val="20"/>
        </w:rPr>
        <w:br w:type="page"/>
      </w:r>
    </w:p>
    <w:p w14:paraId="68091A0C" w14:textId="77777777" w:rsidR="00CF33D9" w:rsidRDefault="00E3332A">
      <w:pPr>
        <w:rPr>
          <w:rFonts w:ascii="Calibri" w:hAnsi="Calibri" w:cs="Calibri"/>
          <w:sz w:val="20"/>
          <w:szCs w:val="20"/>
        </w:rPr>
      </w:pPr>
      <w:r>
        <w:rPr>
          <w:rFonts w:ascii="Calibri" w:hAnsi="Calibri" w:cs="Calibri"/>
          <w:sz w:val="20"/>
          <w:szCs w:val="20"/>
        </w:rPr>
        <w:lastRenderedPageBreak/>
        <w:t>1.</w:t>
      </w:r>
      <w:r>
        <w:rPr>
          <w:rFonts w:ascii="Calibri" w:hAnsi="Calibri" w:cs="Calibri"/>
          <w:sz w:val="20"/>
          <w:szCs w:val="20"/>
        </w:rPr>
        <w:tab/>
        <w:t>Introduction</w:t>
      </w:r>
    </w:p>
    <w:p w14:paraId="68091A0D" w14:textId="77777777" w:rsidR="00CF33D9" w:rsidRDefault="00CF33D9">
      <w:pPr>
        <w:rPr>
          <w:rFonts w:ascii="Calibri" w:hAnsi="Calibri" w:cs="Calibri"/>
          <w:sz w:val="20"/>
          <w:szCs w:val="20"/>
        </w:rPr>
      </w:pPr>
    </w:p>
    <w:p w14:paraId="68091A0E" w14:textId="77777777" w:rsidR="00CF33D9" w:rsidRDefault="00E3332A">
      <w:pPr>
        <w:jc w:val="both"/>
        <w:rPr>
          <w:rFonts w:ascii="Calibri" w:hAnsi="Calibri" w:cs="Calibri"/>
          <w:sz w:val="20"/>
          <w:szCs w:val="20"/>
        </w:rPr>
      </w:pPr>
      <w:r>
        <w:rPr>
          <w:rFonts w:ascii="Calibri" w:hAnsi="Calibri" w:cs="Calibri"/>
          <w:sz w:val="20"/>
          <w:szCs w:val="20"/>
        </w:rPr>
        <w:t xml:space="preserve">This Environmental and Social Management Framework (ESMF) has been prepared for the UNDP-supported project “Supporting Sustainable Blue Economy Investment in the Benguela Current Large Marine Ecosystem (BCLME)”.  It sets out the principles, guidelines, and procedures for screening, assessing, and managing the potential social and environmental impacts of forthcoming interventions of the project. It aims to effectively address risks through thorough application of the environmental and social measures, including time-bound action plans for avoiding, and where avoidance is not possible, reducing, mitigating, and managing adverse impacts related to the future activities or policies/regulations. It specifies the most likely applicable social and environmental policies and requirements, as well as how those requirements will be met through procedures for the screening, assessment, approval, mitigation, monitoring, and reporting of social and environmental risks and impacts associated with the activities to be supported. It ensures that the activities are screened and assessed, and that appropriate management measures are in place prior to implementation. </w:t>
      </w:r>
    </w:p>
    <w:p w14:paraId="68091A0F" w14:textId="77777777" w:rsidR="00CF33D9" w:rsidRDefault="00CF33D9">
      <w:pPr>
        <w:jc w:val="both"/>
        <w:rPr>
          <w:rFonts w:ascii="Calibri" w:hAnsi="Calibri" w:cs="Calibri"/>
          <w:sz w:val="20"/>
          <w:szCs w:val="20"/>
        </w:rPr>
      </w:pPr>
    </w:p>
    <w:p w14:paraId="68091A10" w14:textId="77777777" w:rsidR="00CF33D9" w:rsidRDefault="00E3332A">
      <w:pPr>
        <w:rPr>
          <w:rFonts w:ascii="Calibri" w:hAnsi="Calibri" w:cs="Calibri"/>
          <w:sz w:val="20"/>
          <w:szCs w:val="20"/>
        </w:rPr>
      </w:pPr>
      <w:r>
        <w:rPr>
          <w:rFonts w:ascii="Calibri" w:hAnsi="Calibri" w:cs="Calibri"/>
          <w:sz w:val="20"/>
          <w:szCs w:val="20"/>
        </w:rPr>
        <w:t>1.1</w:t>
      </w:r>
      <w:r>
        <w:rPr>
          <w:rFonts w:ascii="Calibri" w:hAnsi="Calibri" w:cs="Calibri"/>
          <w:sz w:val="20"/>
          <w:szCs w:val="20"/>
        </w:rPr>
        <w:tab/>
        <w:t>Project Description</w:t>
      </w:r>
    </w:p>
    <w:p w14:paraId="68091A11" w14:textId="77777777" w:rsidR="00CF33D9" w:rsidRDefault="00CF33D9">
      <w:pPr>
        <w:pStyle w:val="ListParagraph"/>
        <w:ind w:left="740"/>
        <w:rPr>
          <w:rFonts w:ascii="Calibri" w:hAnsi="Calibri" w:cs="Calibri"/>
          <w:sz w:val="20"/>
          <w:szCs w:val="20"/>
        </w:rPr>
      </w:pPr>
    </w:p>
    <w:p w14:paraId="68091A12" w14:textId="77777777" w:rsidR="00CF33D9" w:rsidRDefault="00E3332A">
      <w:pPr>
        <w:jc w:val="both"/>
        <w:rPr>
          <w:rFonts w:ascii="Calibri" w:hAnsi="Calibri" w:cs="Calibri"/>
          <w:sz w:val="20"/>
          <w:szCs w:val="20"/>
        </w:rPr>
      </w:pPr>
      <w:r>
        <w:rPr>
          <w:rFonts w:ascii="Calibri" w:hAnsi="Calibri" w:cs="Calibri"/>
          <w:sz w:val="20"/>
          <w:szCs w:val="20"/>
        </w:rPr>
        <w:t xml:space="preserve">The project Mainstreaming Climate-Resilient Blue Economy in the BCLME Region (BCLME IV Project) will be implemented in the Benguela Current Large Marine Ecosystem (BCLME) shared by Angola, Namibia, and South Africa. The BCLME is among the world’s most productive Large Marine Ecosystems (LMEs). This important global reservoir of marine biodiversity is, however, threatened by habitat degradation, illegal overexploitation and unreported an unregulated (IUU) fishing and marine pollution. Furthermore, the increase in shipping activities and mineral exploration, as well as the effects of climate change have the potential to significantly impact the BCLME. </w:t>
      </w:r>
    </w:p>
    <w:p w14:paraId="68091A13" w14:textId="77777777" w:rsidR="00CF33D9" w:rsidRDefault="00CF33D9">
      <w:pPr>
        <w:jc w:val="both"/>
        <w:rPr>
          <w:rFonts w:ascii="Calibri" w:hAnsi="Calibri" w:cs="Calibri"/>
          <w:sz w:val="20"/>
          <w:szCs w:val="20"/>
        </w:rPr>
      </w:pPr>
    </w:p>
    <w:p w14:paraId="68091A14" w14:textId="77777777" w:rsidR="00CF33D9" w:rsidRDefault="00E3332A">
      <w:pPr>
        <w:jc w:val="both"/>
        <w:rPr>
          <w:rFonts w:ascii="Calibri" w:hAnsi="Calibri" w:cs="Calibri"/>
          <w:sz w:val="20"/>
          <w:szCs w:val="20"/>
        </w:rPr>
      </w:pPr>
      <w:r>
        <w:rPr>
          <w:rFonts w:ascii="Calibri" w:hAnsi="Calibri" w:cs="Calibri"/>
          <w:sz w:val="20"/>
          <w:szCs w:val="20"/>
        </w:rPr>
        <w:t xml:space="preserve">Recognizing the threats to the BCLME, the parties joined forces to collaborate on the sustainable use and management of the BCLME. The proposed regional project involves a set of enabling transformational interventions aimed at addressing and overcoming several transboundary environmental constraints, challenges and priorities, as highlighted in the countries’ NAPS and the regional SAP (2023-2033), related to fitting strategies, policies, capacities and access to technology, adapting to new developments, and satisfying the evolving needs for effective governance to address environmental concerns; all of which influence the productivity and sustainability of existing and envisioned blue economy investments that rely on, and also affect marine ecosystem services. </w:t>
      </w:r>
    </w:p>
    <w:p w14:paraId="68091A15" w14:textId="77777777" w:rsidR="00CF33D9" w:rsidRDefault="00CF33D9">
      <w:pPr>
        <w:jc w:val="both"/>
        <w:rPr>
          <w:rFonts w:ascii="Calibri" w:hAnsi="Calibri" w:cs="Calibri"/>
          <w:sz w:val="20"/>
          <w:szCs w:val="20"/>
        </w:rPr>
      </w:pPr>
    </w:p>
    <w:p w14:paraId="68091A16" w14:textId="77777777" w:rsidR="00CF33D9" w:rsidRDefault="00E3332A">
      <w:pPr>
        <w:jc w:val="both"/>
        <w:rPr>
          <w:rFonts w:ascii="Calibri" w:hAnsi="Calibri" w:cs="Calibri"/>
          <w:sz w:val="20"/>
          <w:szCs w:val="20"/>
        </w:rPr>
      </w:pPr>
      <w:r>
        <w:rPr>
          <w:rFonts w:ascii="Calibri" w:hAnsi="Calibri" w:cs="Calibri"/>
          <w:sz w:val="20"/>
          <w:szCs w:val="20"/>
        </w:rPr>
        <w:t xml:space="preserve">The Blue Economy concept promotes environmental protection, sustainable production, social inclusivity, and equitable distribution of benefits from activities in the aquatic ecosystems. The concept also recognizes that ocean, coastal and inland surface and ground waters, and atmospheric water are all interconnected into one global water ecosystem, with interdependent sustainability. </w:t>
      </w:r>
    </w:p>
    <w:p w14:paraId="68091A17" w14:textId="77777777" w:rsidR="00CF33D9" w:rsidRDefault="00CF33D9">
      <w:pPr>
        <w:jc w:val="both"/>
        <w:rPr>
          <w:rFonts w:ascii="Calibri" w:hAnsi="Calibri" w:cs="Calibri"/>
          <w:sz w:val="20"/>
          <w:szCs w:val="20"/>
        </w:rPr>
      </w:pPr>
    </w:p>
    <w:p w14:paraId="68091A18" w14:textId="77777777" w:rsidR="00CF33D9" w:rsidRDefault="00E3332A">
      <w:pPr>
        <w:jc w:val="both"/>
        <w:rPr>
          <w:rFonts w:ascii="Calibri" w:hAnsi="Calibri" w:cs="Calibri"/>
          <w:sz w:val="20"/>
          <w:szCs w:val="20"/>
        </w:rPr>
      </w:pPr>
      <w:r>
        <w:rPr>
          <w:rFonts w:ascii="Calibri" w:hAnsi="Calibri" w:cs="Calibri"/>
          <w:sz w:val="20"/>
          <w:szCs w:val="20"/>
        </w:rPr>
        <w:t>The project’s components and outputs are as follows:</w:t>
      </w:r>
    </w:p>
    <w:p w14:paraId="68091A19" w14:textId="77777777" w:rsidR="00CF33D9" w:rsidRDefault="00CF33D9">
      <w:pPr>
        <w:jc w:val="both"/>
        <w:rPr>
          <w:rFonts w:ascii="Calibri" w:hAnsi="Calibri" w:cs="Calibri"/>
          <w:sz w:val="20"/>
          <w:szCs w:val="20"/>
        </w:rPr>
      </w:pPr>
    </w:p>
    <w:p w14:paraId="68091A1A" w14:textId="77777777" w:rsidR="00CF33D9" w:rsidRDefault="00E3332A">
      <w:pPr>
        <w:jc w:val="both"/>
        <w:rPr>
          <w:rFonts w:ascii="Calibri" w:hAnsi="Calibri" w:cs="Calibri"/>
          <w:b/>
          <w:bCs/>
          <w:color w:val="000000" w:themeColor="text1"/>
          <w:sz w:val="20"/>
          <w:szCs w:val="20"/>
        </w:rPr>
      </w:pPr>
      <w:r>
        <w:rPr>
          <w:rFonts w:ascii="Calibri" w:eastAsia="SimSun" w:hAnsi="Calibri" w:cs="Calibri"/>
          <w:b/>
          <w:bCs/>
          <w:iCs/>
          <w:sz w:val="20"/>
          <w:szCs w:val="20"/>
        </w:rPr>
        <w:t xml:space="preserve">Component 1: </w:t>
      </w:r>
      <w:r>
        <w:rPr>
          <w:rFonts w:ascii="Calibri" w:hAnsi="Calibri" w:cs="Calibri"/>
          <w:b/>
          <w:bCs/>
          <w:color w:val="000000" w:themeColor="text1"/>
          <w:sz w:val="20"/>
          <w:szCs w:val="20"/>
        </w:rPr>
        <w:t>Improve marine and coastal management efforts in the BCLME through effective spatial management tools and the establishment and expansion of MPAs and SMAs taking into consideration climate change and ensuring climate-resilient socio-economic development.</w:t>
      </w:r>
    </w:p>
    <w:p w14:paraId="68091A1B" w14:textId="77777777" w:rsidR="00CF33D9" w:rsidRDefault="00CF33D9">
      <w:pPr>
        <w:contextualSpacing/>
        <w:jc w:val="both"/>
        <w:rPr>
          <w:rFonts w:ascii="Calibri" w:hAnsi="Calibri" w:cs="Calibri"/>
          <w:b/>
          <w:bCs/>
          <w:color w:val="000000" w:themeColor="text1"/>
          <w:sz w:val="20"/>
          <w:szCs w:val="20"/>
        </w:rPr>
      </w:pPr>
    </w:p>
    <w:p w14:paraId="68091A1C" w14:textId="77777777" w:rsidR="00CF33D9" w:rsidRDefault="00E3332A">
      <w:pPr>
        <w:contextualSpacing/>
        <w:jc w:val="both"/>
        <w:rPr>
          <w:rFonts w:ascii="Calibri" w:hAnsi="Calibri" w:cs="Calibri"/>
          <w:sz w:val="20"/>
          <w:szCs w:val="20"/>
        </w:rPr>
      </w:pPr>
      <w:r>
        <w:rPr>
          <w:rFonts w:ascii="Calibri" w:hAnsi="Calibri" w:cs="Calibri"/>
          <w:color w:val="000000"/>
          <w:sz w:val="20"/>
          <w:szCs w:val="20"/>
        </w:rPr>
        <w:t>Component 1 is dedicated to advancing ocean and coastal governance across regional, national, and local levels, promoting collaboration, informed decision-making, and sustainable practices. Based on the existing implementation of Strategic Action Program (SAP) under BCLME III and aiming to boost the use of effective spatial management tools within the BCLME to establish and expand MPAs and SMAs within climate resilient socio-economic development, that will support gender inclusivity and empowerment of women. </w:t>
      </w:r>
    </w:p>
    <w:p w14:paraId="68091A1D" w14:textId="77777777" w:rsidR="00CF33D9" w:rsidRDefault="00CF33D9">
      <w:pPr>
        <w:jc w:val="both"/>
        <w:rPr>
          <w:rFonts w:ascii="Calibri" w:hAnsi="Calibri" w:cs="Calibri"/>
          <w:color w:val="000000" w:themeColor="text1"/>
          <w:sz w:val="20"/>
          <w:szCs w:val="20"/>
        </w:rPr>
      </w:pPr>
    </w:p>
    <w:p w14:paraId="68091A1E" w14:textId="77777777" w:rsidR="00CF33D9" w:rsidRDefault="00E3332A">
      <w:pPr>
        <w:jc w:val="both"/>
        <w:rPr>
          <w:rFonts w:ascii="Calibri" w:eastAsia="SimSun" w:hAnsi="Calibri" w:cs="Calibri"/>
          <w:i/>
          <w:iCs/>
          <w:sz w:val="20"/>
          <w:szCs w:val="20"/>
        </w:rPr>
      </w:pPr>
      <w:r>
        <w:rPr>
          <w:rFonts w:ascii="Calibri" w:hAnsi="Calibri" w:cs="Calibri"/>
          <w:i/>
          <w:iCs/>
          <w:color w:val="000000" w:themeColor="text1"/>
          <w:sz w:val="20"/>
          <w:szCs w:val="20"/>
        </w:rPr>
        <w:t>Outcome 1.1 Policy, regulatory and institutional framework for the sustainable management of the BCLME strengthened.</w:t>
      </w:r>
    </w:p>
    <w:p w14:paraId="68091A1F" w14:textId="77777777" w:rsidR="00CF33D9" w:rsidRDefault="00CF33D9">
      <w:pPr>
        <w:jc w:val="both"/>
        <w:rPr>
          <w:rFonts w:ascii="Calibri" w:hAnsi="Calibri" w:cs="Calibri"/>
          <w:sz w:val="20"/>
          <w:szCs w:val="20"/>
          <w:u w:val="single"/>
        </w:rPr>
      </w:pPr>
    </w:p>
    <w:p w14:paraId="68091A20" w14:textId="77777777" w:rsidR="00CF33D9" w:rsidRDefault="00E3332A">
      <w:pPr>
        <w:pStyle w:val="NormalWeb"/>
        <w:spacing w:before="240" w:after="240"/>
        <w:rPr>
          <w:rFonts w:ascii="Calibri" w:hAnsi="Calibri" w:cs="Calibri"/>
          <w:sz w:val="20"/>
          <w:szCs w:val="20"/>
          <w:lang w:val="en-CA"/>
        </w:rPr>
      </w:pPr>
      <w:r>
        <w:rPr>
          <w:rFonts w:ascii="Calibri" w:hAnsi="Calibri" w:cs="Calibri"/>
          <w:b/>
          <w:bCs/>
          <w:color w:val="000000"/>
          <w:sz w:val="20"/>
          <w:szCs w:val="20"/>
          <w:lang w:val="en-CA"/>
        </w:rPr>
        <w:lastRenderedPageBreak/>
        <w:t>Output: 1.1.1: Legal frameworks of selected MPAs and coastal ecosystems of global importance improved to enhance their protection and conservation in a context of coexistence with other marine economic sectors</w:t>
      </w:r>
      <w:r>
        <w:rPr>
          <w:rFonts w:ascii="Calibri" w:hAnsi="Calibri" w:cs="Calibri"/>
          <w:color w:val="000000"/>
          <w:sz w:val="20"/>
          <w:szCs w:val="20"/>
          <w:lang w:val="en-CA"/>
        </w:rPr>
        <w:t>.</w:t>
      </w:r>
    </w:p>
    <w:p w14:paraId="68091A21" w14:textId="77777777" w:rsidR="00CF33D9" w:rsidRDefault="00E3332A">
      <w:pPr>
        <w:pStyle w:val="NormalWeb"/>
        <w:spacing w:before="240" w:after="240"/>
        <w:rPr>
          <w:rFonts w:ascii="Calibri" w:hAnsi="Calibri" w:cs="Calibri"/>
          <w:sz w:val="20"/>
          <w:szCs w:val="20"/>
          <w:lang w:val="en-CA"/>
        </w:rPr>
      </w:pPr>
      <w:r>
        <w:rPr>
          <w:rFonts w:ascii="Calibri" w:hAnsi="Calibri" w:cs="Calibri"/>
          <w:b/>
          <w:bCs/>
          <w:color w:val="000000"/>
          <w:sz w:val="20"/>
          <w:szCs w:val="20"/>
          <w:lang w:val="en-CA"/>
        </w:rPr>
        <w:t>Output: 1.1.2 Enhanced management plans of selected MPAs recognising the ecological, socioeconomic, and institutional linkages and strategies to address threats that disrupt connectivity and marine ecosystem functionalities prepared with a participatory, climate and gender-sensitive approach.</w:t>
      </w:r>
    </w:p>
    <w:p w14:paraId="68091A22" w14:textId="77777777" w:rsidR="00CF33D9" w:rsidRDefault="00E3332A">
      <w:pPr>
        <w:pStyle w:val="NormalWeb"/>
        <w:spacing w:before="240" w:after="240"/>
        <w:rPr>
          <w:rFonts w:ascii="Calibri" w:hAnsi="Calibri" w:cs="Calibri"/>
          <w:b/>
          <w:bCs/>
          <w:color w:val="000000"/>
          <w:sz w:val="20"/>
          <w:szCs w:val="20"/>
          <w:lang w:val="en-CA"/>
        </w:rPr>
      </w:pPr>
      <w:r>
        <w:rPr>
          <w:rFonts w:ascii="Calibri" w:hAnsi="Calibri" w:cs="Calibri"/>
          <w:b/>
          <w:bCs/>
          <w:color w:val="000000"/>
          <w:sz w:val="20"/>
          <w:szCs w:val="20"/>
          <w:lang w:val="en-CA"/>
        </w:rPr>
        <w:t>Output: 1.1.3: Strengthened legal and institutional capacity for the implementation of ecosystem-based marine spatial planning.</w:t>
      </w:r>
    </w:p>
    <w:p w14:paraId="68091A23" w14:textId="77777777" w:rsidR="00CF33D9" w:rsidRDefault="00E3332A">
      <w:pPr>
        <w:pStyle w:val="NormalWeb"/>
        <w:spacing w:before="240" w:after="240"/>
        <w:rPr>
          <w:rFonts w:ascii="Calibri" w:hAnsi="Calibri" w:cs="Calibri"/>
          <w:b/>
          <w:bCs/>
          <w:color w:val="000000"/>
          <w:sz w:val="20"/>
          <w:szCs w:val="20"/>
          <w:lang w:val="en-CA"/>
        </w:rPr>
      </w:pPr>
      <w:r>
        <w:rPr>
          <w:rFonts w:ascii="Calibri" w:hAnsi="Calibri" w:cs="Calibri"/>
          <w:b/>
          <w:bCs/>
          <w:color w:val="000000"/>
          <w:sz w:val="20"/>
          <w:szCs w:val="20"/>
          <w:lang w:val="en-CA"/>
        </w:rPr>
        <w:t>Output: 1.1.4: Participatory ecosystem-based marine spatial plans prepared for areas not yet covered by MSP.</w:t>
      </w:r>
    </w:p>
    <w:p w14:paraId="68091A24" w14:textId="77777777" w:rsidR="00CF33D9" w:rsidRDefault="00E3332A">
      <w:pPr>
        <w:pStyle w:val="NormalWeb"/>
        <w:spacing w:before="240" w:after="240"/>
        <w:rPr>
          <w:rFonts w:ascii="Calibri" w:hAnsi="Calibri" w:cs="Calibri"/>
          <w:b/>
          <w:bCs/>
          <w:i/>
          <w:iCs/>
          <w:color w:val="000000"/>
          <w:sz w:val="20"/>
          <w:szCs w:val="20"/>
          <w:lang w:val="en-CA"/>
        </w:rPr>
      </w:pPr>
      <w:r>
        <w:rPr>
          <w:rFonts w:ascii="Calibri" w:hAnsi="Calibri" w:cs="Calibri"/>
          <w:i/>
          <w:iCs/>
          <w:color w:val="000000" w:themeColor="text1"/>
          <w:sz w:val="20"/>
          <w:szCs w:val="20"/>
        </w:rPr>
        <w:t>Outcome 1.2 Climate resilient nature-based solutions for restoration (and prevention of degradation) of MPAs and coastal ecosystems implemented through Special Management Areas/Locally Managed Marine Areas approach. (Namibia only]</w:t>
      </w:r>
    </w:p>
    <w:p w14:paraId="68091A25" w14:textId="77777777" w:rsidR="00CF33D9" w:rsidRDefault="00E3332A">
      <w:pPr>
        <w:pStyle w:val="NormalWeb"/>
        <w:spacing w:before="240" w:after="240"/>
        <w:rPr>
          <w:rFonts w:ascii="Calibri" w:hAnsi="Calibri" w:cs="Calibri"/>
          <w:b/>
          <w:bCs/>
          <w:color w:val="000000"/>
          <w:sz w:val="20"/>
          <w:szCs w:val="20"/>
          <w:lang w:val="en-CA"/>
        </w:rPr>
      </w:pPr>
      <w:r>
        <w:rPr>
          <w:rFonts w:ascii="Calibri" w:hAnsi="Calibri" w:cs="Calibri"/>
          <w:b/>
          <w:bCs/>
          <w:color w:val="000000"/>
          <w:sz w:val="20"/>
          <w:szCs w:val="20"/>
          <w:lang w:val="en-CA"/>
        </w:rPr>
        <w:t>Output: 1.2.1: Sustainable community-based tourism developed in and around selected MPAs and coastal ecosystems (under 1.1) with potential for third-party certifications (</w:t>
      </w:r>
      <w:hyperlink r:id="rId86" w:history="1">
        <w:r>
          <w:rPr>
            <w:rStyle w:val="Hyperlink"/>
            <w:rFonts w:ascii="Calibri" w:hAnsi="Calibri" w:cs="Calibri"/>
            <w:b/>
            <w:bCs/>
            <w:color w:val="1155CC"/>
            <w:sz w:val="20"/>
            <w:szCs w:val="20"/>
            <w:lang w:val="en-CA"/>
          </w:rPr>
          <w:t>www.earthcheck.org</w:t>
        </w:r>
      </w:hyperlink>
      <w:r>
        <w:rPr>
          <w:rFonts w:ascii="Calibri" w:hAnsi="Calibri" w:cs="Calibri"/>
          <w:b/>
          <w:bCs/>
          <w:color w:val="000000"/>
          <w:sz w:val="20"/>
          <w:szCs w:val="20"/>
          <w:lang w:val="en-CA"/>
        </w:rPr>
        <w:t>)   </w:t>
      </w:r>
    </w:p>
    <w:p w14:paraId="68091A26" w14:textId="77777777" w:rsidR="00CF33D9" w:rsidRDefault="00E3332A">
      <w:pPr>
        <w:pStyle w:val="NormalWeb"/>
        <w:spacing w:before="240" w:after="240"/>
        <w:rPr>
          <w:rFonts w:ascii="Calibri" w:hAnsi="Calibri" w:cs="Calibri"/>
          <w:b/>
          <w:bCs/>
          <w:color w:val="000000"/>
          <w:sz w:val="20"/>
          <w:szCs w:val="20"/>
          <w:lang w:val="en-CA"/>
        </w:rPr>
      </w:pPr>
      <w:r>
        <w:rPr>
          <w:rFonts w:ascii="Calibri" w:hAnsi="Calibri" w:cs="Calibri"/>
          <w:b/>
          <w:bCs/>
          <w:color w:val="000000"/>
          <w:sz w:val="20"/>
          <w:szCs w:val="20"/>
          <w:lang w:val="en-CA"/>
        </w:rPr>
        <w:t>Output: 1.2.2: Community-based climate-resilient ecosystem restoration interventions such as enhanced protection, control of alien and invasive species, and assisted regeneration implemented in selected MPAs and coastal ecosystems (under Outcome 1.1).</w:t>
      </w:r>
    </w:p>
    <w:p w14:paraId="68091A27" w14:textId="77777777" w:rsidR="00CF33D9" w:rsidRDefault="00E3332A">
      <w:pPr>
        <w:pStyle w:val="NormalWeb"/>
        <w:spacing w:before="240" w:after="240"/>
        <w:rPr>
          <w:rFonts w:ascii="Calibri" w:hAnsi="Calibri" w:cs="Calibri"/>
          <w:i/>
          <w:iCs/>
          <w:sz w:val="20"/>
          <w:szCs w:val="20"/>
          <w:lang w:val="en-CA"/>
        </w:rPr>
      </w:pPr>
      <w:r>
        <w:rPr>
          <w:rFonts w:ascii="Calibri" w:hAnsi="Calibri" w:cs="Calibri"/>
          <w:i/>
          <w:iCs/>
          <w:color w:val="000000" w:themeColor="text1"/>
          <w:sz w:val="20"/>
          <w:szCs w:val="20"/>
        </w:rPr>
        <w:t>Outcome 1.3: Improved biodiversity monitoring (using eDNA-based methods) to inform actions for improved management of MPAs and coastal ecosystems. (Namibia</w:t>
      </w:r>
      <w:r>
        <w:rPr>
          <w:rFonts w:ascii="Calibri" w:hAnsi="Calibri" w:cs="Calibri"/>
          <w:i/>
          <w:iCs/>
          <w:color w:val="000000" w:themeColor="text1"/>
          <w:sz w:val="20"/>
          <w:szCs w:val="20"/>
          <w:shd w:val="clear" w:color="auto" w:fill="00FFFF"/>
        </w:rPr>
        <w:t xml:space="preserve"> </w:t>
      </w:r>
      <w:r>
        <w:rPr>
          <w:rFonts w:ascii="Calibri" w:hAnsi="Calibri" w:cs="Calibri"/>
          <w:i/>
          <w:iCs/>
          <w:color w:val="000000" w:themeColor="text1"/>
          <w:sz w:val="20"/>
          <w:szCs w:val="20"/>
        </w:rPr>
        <w:t>only]</w:t>
      </w:r>
    </w:p>
    <w:p w14:paraId="68091A28" w14:textId="77777777" w:rsidR="00CF33D9" w:rsidRDefault="00E3332A">
      <w:pPr>
        <w:pStyle w:val="NormalWeb"/>
        <w:spacing w:before="240" w:after="240"/>
        <w:rPr>
          <w:rFonts w:ascii="Calibri" w:hAnsi="Calibri" w:cs="Calibri"/>
          <w:b/>
          <w:bCs/>
          <w:color w:val="000000"/>
          <w:sz w:val="20"/>
          <w:szCs w:val="20"/>
          <w:lang w:val="en-US"/>
        </w:rPr>
      </w:pPr>
      <w:r>
        <w:rPr>
          <w:rFonts w:ascii="Calibri" w:hAnsi="Calibri" w:cs="Calibri"/>
          <w:b/>
          <w:bCs/>
          <w:color w:val="000000"/>
          <w:sz w:val="20"/>
          <w:szCs w:val="20"/>
          <w:lang w:val="en-US"/>
        </w:rPr>
        <w:t>Output: 1.3.1: Community-based biodiversity monitoring within the selected MPAs and coastal ecosystems (under 1.1) developed or enhanced.</w:t>
      </w:r>
    </w:p>
    <w:p w14:paraId="68091A29" w14:textId="77777777" w:rsidR="00CF33D9" w:rsidRDefault="00E3332A">
      <w:pPr>
        <w:pStyle w:val="NormalWeb"/>
        <w:spacing w:before="240" w:after="240"/>
        <w:rPr>
          <w:rFonts w:ascii="Calibri" w:hAnsi="Calibri" w:cs="Calibri"/>
          <w:i/>
          <w:iCs/>
          <w:sz w:val="20"/>
          <w:szCs w:val="20"/>
          <w:lang w:val="en-CA"/>
        </w:rPr>
      </w:pPr>
      <w:r>
        <w:rPr>
          <w:rFonts w:ascii="Calibri" w:hAnsi="Calibri" w:cs="Calibri"/>
          <w:i/>
          <w:iCs/>
          <w:color w:val="000000" w:themeColor="text1"/>
          <w:sz w:val="20"/>
          <w:szCs w:val="20"/>
        </w:rPr>
        <w:t>Outcome 1.4: Minimise impacts of exploration and extraction of non-living marine resources (NLMR) on critical marine and coastal ecosystems through regulation and industry action</w:t>
      </w:r>
    </w:p>
    <w:p w14:paraId="68091A2A" w14:textId="77777777" w:rsidR="00CF33D9" w:rsidRDefault="00E3332A">
      <w:pPr>
        <w:spacing w:after="240"/>
        <w:jc w:val="both"/>
        <w:rPr>
          <w:rFonts w:ascii="Calibri" w:hAnsi="Calibri" w:cs="Calibri"/>
          <w:b/>
          <w:bCs/>
          <w:sz w:val="20"/>
          <w:szCs w:val="20"/>
        </w:rPr>
      </w:pPr>
      <w:r>
        <w:rPr>
          <w:rFonts w:ascii="Calibri" w:hAnsi="Calibri" w:cs="Calibri"/>
          <w:b/>
          <w:bCs/>
          <w:color w:val="000000"/>
          <w:sz w:val="20"/>
          <w:szCs w:val="20"/>
        </w:rPr>
        <w:t>Output 1.4.1: Policy and legislative frameworks strengthened to minimize adverse impacts of extractive activities in the BCLME.</w:t>
      </w:r>
    </w:p>
    <w:p w14:paraId="68091A2B" w14:textId="77777777" w:rsidR="00CF33D9" w:rsidRDefault="00E3332A">
      <w:pPr>
        <w:spacing w:after="240"/>
        <w:jc w:val="both"/>
        <w:rPr>
          <w:rFonts w:ascii="Calibri" w:hAnsi="Calibri" w:cs="Calibri"/>
          <w:sz w:val="20"/>
          <w:szCs w:val="20"/>
        </w:rPr>
      </w:pPr>
      <w:r>
        <w:rPr>
          <w:rFonts w:ascii="Calibri" w:hAnsi="Calibri" w:cs="Calibri"/>
          <w:b/>
          <w:bCs/>
          <w:color w:val="000000"/>
          <w:sz w:val="20"/>
          <w:szCs w:val="20"/>
        </w:rPr>
        <w:t>Output 1.4.2: Capacity of government institutions, private sector actors and financial institutions involved in exploration/exploitation of non-living marine resources strengthened (with a gender-sensitive approach) for adoption of innovative environmentally friendly exploratory and extractive methods and technologies</w:t>
      </w:r>
      <w:r>
        <w:rPr>
          <w:rFonts w:ascii="Calibri" w:hAnsi="Calibri" w:cs="Calibri"/>
          <w:color w:val="000000"/>
          <w:sz w:val="20"/>
          <w:szCs w:val="20"/>
          <w:u w:val="single"/>
        </w:rPr>
        <w:t>.</w:t>
      </w:r>
    </w:p>
    <w:p w14:paraId="68091A2C" w14:textId="77777777" w:rsidR="00CF33D9" w:rsidRDefault="00CF33D9">
      <w:pPr>
        <w:ind w:right="127"/>
        <w:jc w:val="both"/>
        <w:rPr>
          <w:rFonts w:ascii="Calibri" w:hAnsi="Calibri" w:cs="Calibri"/>
          <w:b/>
          <w:bCs/>
          <w:color w:val="000000"/>
          <w:sz w:val="20"/>
          <w:szCs w:val="20"/>
        </w:rPr>
      </w:pPr>
    </w:p>
    <w:p w14:paraId="68091A2D" w14:textId="77777777" w:rsidR="00CF33D9" w:rsidRDefault="00E3332A">
      <w:pPr>
        <w:ind w:right="127"/>
        <w:jc w:val="both"/>
        <w:rPr>
          <w:rFonts w:ascii="Calibri" w:hAnsi="Calibri" w:cs="Calibri"/>
          <w:sz w:val="20"/>
          <w:szCs w:val="20"/>
        </w:rPr>
      </w:pPr>
      <w:r>
        <w:rPr>
          <w:rFonts w:ascii="Calibri" w:hAnsi="Calibri" w:cs="Calibri"/>
          <w:b/>
          <w:bCs/>
          <w:color w:val="000000"/>
          <w:sz w:val="20"/>
          <w:szCs w:val="20"/>
        </w:rPr>
        <w:t>Component 2: Enhance sustainable and climate change-resilient marine living resources and their value chains in the BCLME.</w:t>
      </w:r>
    </w:p>
    <w:p w14:paraId="68091A2E" w14:textId="77777777" w:rsidR="00CF33D9" w:rsidRDefault="00CF33D9">
      <w:pPr>
        <w:jc w:val="both"/>
        <w:rPr>
          <w:rFonts w:ascii="Calibri" w:hAnsi="Calibri" w:cs="Calibri"/>
          <w:color w:val="000000"/>
          <w:sz w:val="20"/>
          <w:szCs w:val="20"/>
        </w:rPr>
      </w:pPr>
    </w:p>
    <w:p w14:paraId="68091A2F" w14:textId="77777777" w:rsidR="00CF33D9" w:rsidRDefault="00E3332A">
      <w:pPr>
        <w:jc w:val="both"/>
        <w:rPr>
          <w:rFonts w:ascii="Calibri" w:hAnsi="Calibri" w:cs="Calibri"/>
          <w:color w:val="000000"/>
          <w:sz w:val="20"/>
          <w:szCs w:val="20"/>
        </w:rPr>
      </w:pPr>
      <w:r>
        <w:rPr>
          <w:rFonts w:ascii="Calibri" w:hAnsi="Calibri" w:cs="Calibri"/>
          <w:color w:val="000000"/>
          <w:sz w:val="20"/>
          <w:szCs w:val="20"/>
        </w:rPr>
        <w:t>Component 2 aims to ensure that coastal and marine resources, and the communities, livelihoods and economic sectors that depend on them, have the capacity to effectively withstand and recover from the impacts of climate change and other environmental and socio-economic changes. This is crucial for the BCLME’s development and long-term sustainability.</w:t>
      </w:r>
    </w:p>
    <w:p w14:paraId="68091A30" w14:textId="77777777" w:rsidR="00CF33D9" w:rsidRDefault="00CF33D9">
      <w:pPr>
        <w:jc w:val="both"/>
        <w:rPr>
          <w:rFonts w:ascii="Calibri" w:hAnsi="Calibri" w:cs="Calibri"/>
          <w:sz w:val="20"/>
          <w:szCs w:val="20"/>
        </w:rPr>
      </w:pPr>
    </w:p>
    <w:p w14:paraId="68091A31" w14:textId="77777777" w:rsidR="00CF33D9" w:rsidRDefault="00E3332A">
      <w:pPr>
        <w:pStyle w:val="NormalWeb"/>
        <w:contextualSpacing/>
        <w:rPr>
          <w:rFonts w:ascii="Calibri" w:hAnsi="Calibri" w:cs="Calibri"/>
          <w:i/>
          <w:iCs/>
          <w:color w:val="000000" w:themeColor="text1"/>
          <w:sz w:val="20"/>
          <w:szCs w:val="20"/>
        </w:rPr>
      </w:pPr>
      <w:r>
        <w:rPr>
          <w:rFonts w:ascii="Calibri" w:hAnsi="Calibri" w:cs="Calibri"/>
          <w:i/>
          <w:iCs/>
          <w:color w:val="000000" w:themeColor="text1"/>
          <w:sz w:val="20"/>
          <w:szCs w:val="20"/>
        </w:rPr>
        <w:t xml:space="preserve">Outcome 2.1: Climate resilient and sustainably managed fisheries and seafood </w:t>
      </w:r>
    </w:p>
    <w:p w14:paraId="68091A32" w14:textId="77777777" w:rsidR="00CF33D9" w:rsidRDefault="00CF33D9">
      <w:pPr>
        <w:ind w:right="118"/>
        <w:jc w:val="both"/>
        <w:rPr>
          <w:rFonts w:ascii="Calibri" w:hAnsi="Calibri" w:cs="Calibri"/>
          <w:b/>
          <w:bCs/>
          <w:color w:val="000000"/>
          <w:sz w:val="20"/>
          <w:szCs w:val="20"/>
        </w:rPr>
      </w:pPr>
    </w:p>
    <w:p w14:paraId="68091A33" w14:textId="77777777" w:rsidR="00CF33D9" w:rsidRDefault="00E3332A">
      <w:pPr>
        <w:spacing w:after="240"/>
        <w:jc w:val="both"/>
        <w:rPr>
          <w:rFonts w:ascii="Calibri" w:hAnsi="Calibri" w:cs="Calibri"/>
          <w:b/>
          <w:bCs/>
          <w:color w:val="000000"/>
          <w:sz w:val="20"/>
          <w:szCs w:val="20"/>
        </w:rPr>
      </w:pPr>
      <w:r>
        <w:rPr>
          <w:rFonts w:ascii="Calibri" w:hAnsi="Calibri" w:cs="Calibri"/>
          <w:b/>
          <w:bCs/>
          <w:color w:val="000000"/>
          <w:sz w:val="20"/>
          <w:szCs w:val="20"/>
        </w:rPr>
        <w:t>Output 2.1.1: Bilateral agreements for joint sustainable and climate resilient management of transboundary fish stocks (Cape horse mackerel, Cape hakes developed and implemented to curb IUU fishing</w:t>
      </w:r>
    </w:p>
    <w:p w14:paraId="68091A34" w14:textId="77777777" w:rsidR="00CF33D9" w:rsidRDefault="00E3332A">
      <w:pPr>
        <w:spacing w:after="240"/>
        <w:jc w:val="both"/>
        <w:rPr>
          <w:rFonts w:ascii="Calibri" w:hAnsi="Calibri" w:cs="Calibri"/>
          <w:b/>
          <w:bCs/>
          <w:color w:val="000000"/>
          <w:sz w:val="20"/>
          <w:szCs w:val="20"/>
        </w:rPr>
      </w:pPr>
      <w:r>
        <w:rPr>
          <w:rFonts w:ascii="Calibri" w:hAnsi="Calibri" w:cs="Calibri"/>
          <w:b/>
          <w:bCs/>
          <w:color w:val="000000"/>
          <w:sz w:val="20"/>
          <w:szCs w:val="20"/>
        </w:rPr>
        <w:t>Output 2.1.2: Sustainable and climate resilient mariculture opportunities and exploitation of other living marine resources at national levels identifies and plans for development and scaling up developed.</w:t>
      </w:r>
    </w:p>
    <w:p w14:paraId="68091A35" w14:textId="77777777" w:rsidR="00CF33D9" w:rsidRDefault="00E3332A">
      <w:pPr>
        <w:spacing w:after="240"/>
        <w:jc w:val="both"/>
        <w:rPr>
          <w:rFonts w:ascii="Calibri" w:hAnsi="Calibri" w:cs="Calibri"/>
          <w:b/>
          <w:bCs/>
          <w:color w:val="000000"/>
          <w:sz w:val="20"/>
          <w:szCs w:val="20"/>
        </w:rPr>
      </w:pPr>
      <w:r>
        <w:rPr>
          <w:rFonts w:ascii="Calibri" w:hAnsi="Calibri" w:cs="Calibri"/>
          <w:b/>
          <w:bCs/>
          <w:color w:val="000000"/>
          <w:sz w:val="20"/>
          <w:szCs w:val="20"/>
        </w:rPr>
        <w:t>Output 2.1.3: Third-party sustainability and climate resilience certifications for fish and seafood products undertaken.</w:t>
      </w:r>
    </w:p>
    <w:p w14:paraId="68091A36" w14:textId="77777777" w:rsidR="00CF33D9" w:rsidRDefault="00E3332A">
      <w:pPr>
        <w:spacing w:after="240"/>
        <w:jc w:val="both"/>
        <w:rPr>
          <w:rFonts w:ascii="Calibri" w:hAnsi="Calibri" w:cs="Calibri"/>
          <w:b/>
          <w:bCs/>
          <w:i/>
          <w:iCs/>
          <w:color w:val="000000"/>
          <w:sz w:val="20"/>
          <w:szCs w:val="20"/>
        </w:rPr>
      </w:pPr>
      <w:r>
        <w:rPr>
          <w:rFonts w:ascii="Calibri" w:hAnsi="Calibri" w:cs="Calibri"/>
          <w:i/>
          <w:iCs/>
          <w:color w:val="000000" w:themeColor="text1"/>
          <w:sz w:val="20"/>
          <w:szCs w:val="20"/>
        </w:rPr>
        <w:t>Outcome 2.2: Market growth and diversification for BCLME sustainable and climate resilient marine commodities in domestic and international markets and improved socio-economic conditions of fishing communities</w:t>
      </w:r>
    </w:p>
    <w:p w14:paraId="68091A37" w14:textId="77777777" w:rsidR="00CF33D9" w:rsidRDefault="00E3332A">
      <w:pPr>
        <w:spacing w:after="240"/>
        <w:jc w:val="both"/>
        <w:rPr>
          <w:rFonts w:ascii="Calibri" w:hAnsi="Calibri" w:cs="Calibri"/>
          <w:b/>
          <w:bCs/>
          <w:color w:val="000000"/>
          <w:sz w:val="20"/>
          <w:szCs w:val="20"/>
        </w:rPr>
      </w:pPr>
      <w:r>
        <w:rPr>
          <w:rFonts w:ascii="Calibri" w:hAnsi="Calibri" w:cs="Calibri"/>
          <w:b/>
          <w:bCs/>
          <w:color w:val="000000"/>
          <w:sz w:val="20"/>
          <w:szCs w:val="20"/>
        </w:rPr>
        <w:t>Output 2.2.1: Fish, seafood and mariculture market research and analysis that takes into consideration climate change impacts developed at national and regional levels.</w:t>
      </w:r>
    </w:p>
    <w:p w14:paraId="68091A38" w14:textId="77777777" w:rsidR="00CF33D9" w:rsidRDefault="00E3332A">
      <w:pPr>
        <w:spacing w:after="240"/>
        <w:jc w:val="both"/>
        <w:rPr>
          <w:rFonts w:ascii="Calibri" w:hAnsi="Calibri" w:cs="Calibri"/>
          <w:b/>
          <w:bCs/>
          <w:color w:val="000000"/>
          <w:sz w:val="20"/>
          <w:szCs w:val="20"/>
        </w:rPr>
      </w:pPr>
      <w:r>
        <w:rPr>
          <w:rFonts w:ascii="Calibri" w:hAnsi="Calibri" w:cs="Calibri"/>
          <w:b/>
          <w:bCs/>
          <w:color w:val="000000"/>
          <w:sz w:val="20"/>
          <w:szCs w:val="20"/>
        </w:rPr>
        <w:t>Output 2.2.2: Capacities for sustainable and climate resilient value chains developed (with a gender sensitive approach) for new and diversified fish and seafood products, including mariculture.</w:t>
      </w:r>
    </w:p>
    <w:p w14:paraId="68091A39" w14:textId="77777777" w:rsidR="00CF33D9" w:rsidRDefault="00E3332A">
      <w:pPr>
        <w:spacing w:after="240"/>
        <w:jc w:val="both"/>
        <w:rPr>
          <w:rFonts w:ascii="Calibri" w:hAnsi="Calibri" w:cs="Calibri"/>
          <w:b/>
          <w:bCs/>
          <w:color w:val="000000"/>
          <w:sz w:val="20"/>
          <w:szCs w:val="20"/>
        </w:rPr>
      </w:pPr>
      <w:r>
        <w:rPr>
          <w:rFonts w:ascii="Calibri" w:hAnsi="Calibri" w:cs="Calibri"/>
          <w:b/>
          <w:bCs/>
          <w:color w:val="000000"/>
          <w:sz w:val="20"/>
          <w:szCs w:val="20"/>
        </w:rPr>
        <w:t>Output 2.2.3: New climate resilient markets identified, explored and viable ones engaged.</w:t>
      </w:r>
    </w:p>
    <w:p w14:paraId="68091A3A" w14:textId="77777777" w:rsidR="00CF33D9" w:rsidRDefault="00CF33D9">
      <w:pPr>
        <w:pStyle w:val="Default"/>
        <w:jc w:val="both"/>
        <w:rPr>
          <w:rFonts w:ascii="Calibri" w:hAnsi="Calibri" w:cs="Calibri"/>
          <w:b/>
          <w:bCs/>
          <w:sz w:val="20"/>
          <w:szCs w:val="20"/>
        </w:rPr>
      </w:pPr>
    </w:p>
    <w:p w14:paraId="68091A3B" w14:textId="77777777" w:rsidR="00CF33D9" w:rsidRDefault="00E3332A">
      <w:pPr>
        <w:pStyle w:val="Default"/>
        <w:spacing w:after="240"/>
        <w:jc w:val="both"/>
        <w:rPr>
          <w:rFonts w:ascii="Calibri" w:hAnsi="Calibri" w:cs="Calibri"/>
          <w:b/>
          <w:bCs/>
          <w:sz w:val="20"/>
          <w:szCs w:val="20"/>
        </w:rPr>
      </w:pPr>
      <w:r>
        <w:rPr>
          <w:rFonts w:ascii="Calibri" w:hAnsi="Calibri" w:cs="Calibri"/>
          <w:b/>
          <w:bCs/>
          <w:sz w:val="20"/>
          <w:szCs w:val="20"/>
        </w:rPr>
        <w:t>Component 3: Improve coastal and marine pollution management in the BCLME.</w:t>
      </w:r>
    </w:p>
    <w:p w14:paraId="68091A3C" w14:textId="77777777" w:rsidR="00CF33D9" w:rsidRDefault="00E3332A">
      <w:pPr>
        <w:spacing w:after="240"/>
        <w:jc w:val="both"/>
        <w:rPr>
          <w:rFonts w:ascii="Calibri" w:hAnsi="Calibri" w:cs="Calibri"/>
          <w:b/>
          <w:bCs/>
          <w:color w:val="000000"/>
          <w:sz w:val="20"/>
          <w:szCs w:val="20"/>
        </w:rPr>
      </w:pPr>
      <w:r>
        <w:rPr>
          <w:rFonts w:ascii="Calibri" w:hAnsi="Calibri" w:cs="Calibri"/>
          <w:sz w:val="20"/>
          <w:szCs w:val="20"/>
        </w:rPr>
        <w:t>A sustainable blue economy can only develop when ecological boundaries are respected, and economic activity is in balance with the long-term capacity of ocean ecosystems to support this activity. In this regard, pollution is considered a major threat to ocean health and therefore to the development of the blue economy across the BCLME. Addressing marine pollution across the BCLME will provide multiple benefits, including climate benefits, biodiversity conservation, and food security, while protecting livelihoods and human health, and reducing economic loss. Investing in pollution management is therefore key for governments to reach the potential of the sustainable blue economy.</w:t>
      </w:r>
    </w:p>
    <w:p w14:paraId="68091A3D" w14:textId="77777777" w:rsidR="00CF33D9" w:rsidRDefault="00E3332A">
      <w:pPr>
        <w:spacing w:after="240"/>
        <w:jc w:val="both"/>
        <w:rPr>
          <w:rFonts w:ascii="Calibri" w:hAnsi="Calibri" w:cs="Calibri"/>
          <w:i/>
          <w:iCs/>
          <w:color w:val="000000"/>
          <w:sz w:val="20"/>
          <w:szCs w:val="20"/>
        </w:rPr>
      </w:pPr>
      <w:r>
        <w:rPr>
          <w:rFonts w:ascii="Calibri" w:hAnsi="Calibri" w:cs="Calibri"/>
          <w:i/>
          <w:iCs/>
          <w:color w:val="000000"/>
          <w:sz w:val="20"/>
          <w:szCs w:val="20"/>
        </w:rPr>
        <w:t xml:space="preserve">Outcome 3.1 Reduced discharge of pollutants from ocean-based activities </w:t>
      </w:r>
    </w:p>
    <w:p w14:paraId="68091A3E" w14:textId="77777777" w:rsidR="00CF33D9" w:rsidRDefault="00E3332A">
      <w:pPr>
        <w:spacing w:after="240"/>
        <w:jc w:val="both"/>
        <w:rPr>
          <w:rFonts w:ascii="Calibri" w:hAnsi="Calibri" w:cs="Calibri"/>
          <w:b/>
          <w:bCs/>
          <w:color w:val="000000"/>
          <w:sz w:val="20"/>
          <w:szCs w:val="20"/>
        </w:rPr>
      </w:pPr>
      <w:r>
        <w:rPr>
          <w:rFonts w:ascii="Calibri" w:hAnsi="Calibri" w:cs="Calibri"/>
          <w:b/>
          <w:bCs/>
          <w:color w:val="000000"/>
          <w:sz w:val="20"/>
          <w:szCs w:val="20"/>
        </w:rPr>
        <w:t>Output 3.1.1: Policy and legislative frameworks developed, updated or strengthened to address pollution prevention and control and response from shipping and extractive industries in the BCLME.</w:t>
      </w:r>
    </w:p>
    <w:p w14:paraId="68091A3F" w14:textId="77777777" w:rsidR="00CF33D9" w:rsidRDefault="00E3332A">
      <w:pPr>
        <w:spacing w:after="240"/>
        <w:jc w:val="both"/>
        <w:rPr>
          <w:rFonts w:ascii="Calibri" w:hAnsi="Calibri" w:cs="Calibri"/>
          <w:b/>
          <w:bCs/>
          <w:i/>
          <w:iCs/>
          <w:color w:val="000000"/>
          <w:sz w:val="20"/>
          <w:szCs w:val="20"/>
        </w:rPr>
      </w:pPr>
      <w:r>
        <w:rPr>
          <w:rFonts w:ascii="Calibri" w:hAnsi="Calibri" w:cs="Calibri"/>
          <w:i/>
          <w:iCs/>
          <w:color w:val="000000" w:themeColor="text1"/>
          <w:sz w:val="20"/>
          <w:szCs w:val="20"/>
        </w:rPr>
        <w:t xml:space="preserve">Outcome 3.2: </w:t>
      </w:r>
      <w:r>
        <w:rPr>
          <w:rFonts w:ascii="Calibri" w:hAnsi="Calibri" w:cs="Calibri"/>
          <w:i/>
          <w:iCs/>
          <w:sz w:val="20"/>
          <w:szCs w:val="20"/>
        </w:rPr>
        <w:t>Reduced discharge of pollutants from land-based activities in priority coastal areas [and river basins] through Community-Level Stakeholder Engagement.</w:t>
      </w:r>
    </w:p>
    <w:p w14:paraId="68091A40" w14:textId="77777777" w:rsidR="00CF33D9" w:rsidRDefault="00E3332A">
      <w:pPr>
        <w:spacing w:after="240"/>
        <w:jc w:val="both"/>
        <w:rPr>
          <w:rFonts w:ascii="Calibri" w:hAnsi="Calibri" w:cs="Calibri"/>
          <w:b/>
          <w:bCs/>
          <w:color w:val="000000"/>
          <w:sz w:val="20"/>
          <w:szCs w:val="20"/>
        </w:rPr>
      </w:pPr>
      <w:r>
        <w:rPr>
          <w:rFonts w:ascii="Calibri" w:hAnsi="Calibri" w:cs="Calibri"/>
          <w:b/>
          <w:bCs/>
          <w:color w:val="000000"/>
          <w:sz w:val="20"/>
          <w:szCs w:val="20"/>
        </w:rPr>
        <w:t>Output 3.2.1: Pilot level community-based ecosystem-based management (EBM) and integrated coastal zone management (ICZM) approaches to pollution reduction demonstrated and addressed through demonstrations at [2-3] pilot sites by mid-project and ready for replication.</w:t>
      </w:r>
    </w:p>
    <w:p w14:paraId="68091A41" w14:textId="77777777" w:rsidR="00CF33D9" w:rsidRDefault="00E3332A">
      <w:pPr>
        <w:spacing w:after="240"/>
        <w:jc w:val="both"/>
        <w:rPr>
          <w:rFonts w:ascii="Calibri" w:hAnsi="Calibri" w:cs="Calibri"/>
          <w:b/>
          <w:bCs/>
          <w:color w:val="000000"/>
          <w:sz w:val="20"/>
          <w:szCs w:val="20"/>
        </w:rPr>
      </w:pPr>
      <w:r>
        <w:rPr>
          <w:rFonts w:ascii="Calibri" w:hAnsi="Calibri" w:cs="Calibri"/>
          <w:b/>
          <w:bCs/>
          <w:color w:val="000000"/>
          <w:sz w:val="20"/>
          <w:szCs w:val="20"/>
        </w:rPr>
        <w:t>Output 3.2.2: Community awareness, training and capacity building and implementation plans and best practices for pollution management undertaken (with a gender-sensitive approach) in selected communities along the BCLME coast.</w:t>
      </w:r>
    </w:p>
    <w:p w14:paraId="68091A42" w14:textId="77777777" w:rsidR="00CF33D9" w:rsidRDefault="00E3332A">
      <w:pPr>
        <w:spacing w:after="240"/>
        <w:jc w:val="both"/>
        <w:rPr>
          <w:rFonts w:ascii="Calibri" w:hAnsi="Calibri" w:cs="Calibri"/>
          <w:b/>
          <w:bCs/>
          <w:i/>
          <w:iCs/>
          <w:color w:val="000000"/>
          <w:sz w:val="20"/>
          <w:szCs w:val="20"/>
        </w:rPr>
      </w:pPr>
      <w:r>
        <w:rPr>
          <w:rFonts w:ascii="Calibri" w:hAnsi="Calibri" w:cs="Calibri"/>
          <w:i/>
          <w:iCs/>
          <w:sz w:val="20"/>
          <w:szCs w:val="20"/>
        </w:rPr>
        <w:t>Outcome 3.3: Strengthened regional cooperation and coordination and increased institutional and technical capacity to undertake broad-scale monitoring and surveillance of marine pollution in priority transboundary and coastal hotspots of the BCLME.</w:t>
      </w:r>
    </w:p>
    <w:p w14:paraId="68091A43" w14:textId="77777777" w:rsidR="00CF33D9" w:rsidRDefault="00E3332A">
      <w:pPr>
        <w:jc w:val="both"/>
        <w:rPr>
          <w:rFonts w:ascii="Calibri" w:hAnsi="Calibri" w:cs="Calibri"/>
          <w:b/>
          <w:bCs/>
          <w:sz w:val="20"/>
          <w:szCs w:val="20"/>
        </w:rPr>
      </w:pPr>
      <w:r>
        <w:rPr>
          <w:rFonts w:ascii="Calibri" w:hAnsi="Calibri" w:cs="Calibri"/>
          <w:b/>
          <w:bCs/>
          <w:sz w:val="20"/>
          <w:szCs w:val="20"/>
        </w:rPr>
        <w:lastRenderedPageBreak/>
        <w:t>Output 3.3.1: Cooperative agreements and long-term programs for ecosystem health monitoring and compliance between countries formalized.</w:t>
      </w:r>
    </w:p>
    <w:p w14:paraId="68091A44" w14:textId="77777777" w:rsidR="00CF33D9" w:rsidRDefault="00CF33D9">
      <w:pPr>
        <w:jc w:val="both"/>
        <w:rPr>
          <w:rFonts w:ascii="Calibri" w:hAnsi="Calibri" w:cs="Calibri"/>
          <w:sz w:val="20"/>
          <w:szCs w:val="20"/>
          <w:u w:val="single"/>
        </w:rPr>
      </w:pPr>
    </w:p>
    <w:p w14:paraId="68091A45" w14:textId="77777777" w:rsidR="00CF33D9" w:rsidRDefault="00E3332A">
      <w:pPr>
        <w:jc w:val="both"/>
        <w:rPr>
          <w:rFonts w:ascii="Calibri" w:hAnsi="Calibri" w:cs="Calibri"/>
          <w:b/>
          <w:bCs/>
          <w:color w:val="000000" w:themeColor="text1"/>
          <w:sz w:val="20"/>
          <w:szCs w:val="20"/>
        </w:rPr>
      </w:pPr>
      <w:r>
        <w:rPr>
          <w:rFonts w:ascii="Calibri" w:hAnsi="Calibri" w:cs="Calibri"/>
          <w:b/>
          <w:color w:val="000000" w:themeColor="text1"/>
          <w:sz w:val="20"/>
          <w:szCs w:val="20"/>
        </w:rPr>
        <w:t xml:space="preserve">Component 4: </w:t>
      </w:r>
      <w:r>
        <w:rPr>
          <w:rFonts w:ascii="Calibri" w:hAnsi="Calibri" w:cs="Calibri"/>
          <w:b/>
          <w:bCs/>
          <w:color w:val="000000" w:themeColor="text1"/>
          <w:sz w:val="20"/>
          <w:szCs w:val="20"/>
        </w:rPr>
        <w:t>Promote regional and national frameworks for innovative sustainable blue/ocean economy finance to foster positive ecosystem, social and economic impacts.</w:t>
      </w:r>
    </w:p>
    <w:p w14:paraId="68091A46" w14:textId="77777777" w:rsidR="00CF33D9" w:rsidRDefault="00CF33D9">
      <w:pPr>
        <w:jc w:val="both"/>
        <w:rPr>
          <w:rFonts w:ascii="Calibri" w:hAnsi="Calibri" w:cs="Calibri"/>
          <w:b/>
          <w:bCs/>
          <w:color w:val="000000" w:themeColor="text1"/>
          <w:sz w:val="20"/>
          <w:szCs w:val="20"/>
        </w:rPr>
      </w:pPr>
    </w:p>
    <w:p w14:paraId="68091A47" w14:textId="77777777" w:rsidR="00CF33D9" w:rsidRDefault="00E3332A">
      <w:pPr>
        <w:jc w:val="both"/>
        <w:rPr>
          <w:rFonts w:ascii="Calibri" w:hAnsi="Calibri" w:cs="Calibri"/>
          <w:color w:val="000000" w:themeColor="text1"/>
          <w:sz w:val="20"/>
          <w:szCs w:val="20"/>
        </w:rPr>
      </w:pPr>
      <w:r>
        <w:rPr>
          <w:rFonts w:ascii="Calibri" w:hAnsi="Calibri" w:cs="Calibri"/>
          <w:color w:val="000000" w:themeColor="text1"/>
          <w:sz w:val="20"/>
          <w:szCs w:val="20"/>
        </w:rPr>
        <w:t>Component 4 faces the following challenges in its implementation: i) unsustainable infrastructure development, such as inadequate facilities for marine activities, transportation and resource management hinder the effective utilisation of marine and coastal resources; ii) inadequate management of natural habitats and resources, such as overfishing, pollution and habitat degradation threaten the productivity of marine and coastal ecosystems; iii) climate change mitigation and adaptation impacts such as rising sea levels, ocean acidification, and extreme weather events affect coastal communities and marine ecosystems; iv) Increasing demand for maritime space for various uses requires an integrated approach to ocean management, thus coordinating multiple activities while ensuring environmental sustainability is a complex task; v) striking a balance between economic growth and ocean ecosystem health is also very challenging.</w:t>
      </w:r>
    </w:p>
    <w:p w14:paraId="68091A48" w14:textId="77777777" w:rsidR="00CF33D9" w:rsidRDefault="00CF33D9">
      <w:pPr>
        <w:jc w:val="both"/>
        <w:rPr>
          <w:rFonts w:ascii="Calibri" w:hAnsi="Calibri" w:cs="Calibri"/>
          <w:sz w:val="20"/>
          <w:szCs w:val="20"/>
          <w:u w:val="single"/>
        </w:rPr>
      </w:pPr>
    </w:p>
    <w:p w14:paraId="68091A49" w14:textId="77777777" w:rsidR="00CF33D9" w:rsidRDefault="00E3332A">
      <w:pPr>
        <w:pStyle w:val="NormalWeb"/>
        <w:contextualSpacing/>
        <w:rPr>
          <w:rFonts w:ascii="Calibri" w:hAnsi="Calibri" w:cs="Calibri"/>
          <w:i/>
          <w:iCs/>
          <w:color w:val="000000" w:themeColor="text1"/>
          <w:sz w:val="20"/>
          <w:szCs w:val="20"/>
        </w:rPr>
      </w:pPr>
      <w:r>
        <w:rPr>
          <w:rFonts w:ascii="Calibri" w:hAnsi="Calibri" w:cs="Calibri"/>
          <w:i/>
          <w:iCs/>
          <w:color w:val="000000" w:themeColor="text1"/>
          <w:sz w:val="20"/>
          <w:szCs w:val="20"/>
        </w:rPr>
        <w:t>Outcome 4.1: Policy, regulatory and institutional capacity for boosting sustainable innovative blue/ocean economy finance strengthened (within the framework of a Circular Economy).</w:t>
      </w:r>
    </w:p>
    <w:p w14:paraId="68091A4A" w14:textId="77777777" w:rsidR="00CF33D9" w:rsidRDefault="00CF33D9">
      <w:pPr>
        <w:rPr>
          <w:rFonts w:ascii="Calibri" w:hAnsi="Calibri" w:cs="Calibri"/>
          <w:b/>
          <w:bCs/>
          <w:color w:val="000000" w:themeColor="text1"/>
          <w:sz w:val="20"/>
          <w:szCs w:val="20"/>
        </w:rPr>
      </w:pPr>
    </w:p>
    <w:p w14:paraId="68091A4B" w14:textId="77777777" w:rsidR="00CF33D9" w:rsidRDefault="00E3332A">
      <w:pPr>
        <w:spacing w:after="240"/>
        <w:jc w:val="both"/>
        <w:rPr>
          <w:rFonts w:ascii="Calibri" w:hAnsi="Calibri" w:cs="Calibri"/>
          <w:b/>
          <w:bCs/>
          <w:color w:val="000000"/>
          <w:sz w:val="20"/>
          <w:szCs w:val="20"/>
        </w:rPr>
      </w:pPr>
      <w:r>
        <w:rPr>
          <w:rFonts w:ascii="Calibri" w:hAnsi="Calibri" w:cs="Calibri"/>
          <w:b/>
          <w:bCs/>
          <w:color w:val="000000"/>
          <w:sz w:val="20"/>
          <w:szCs w:val="20"/>
        </w:rPr>
        <w:t>Output 4.1.1 Policies and strategies for Sustainable Blue/ Ocean Economy finance developed and/or strengthened.</w:t>
      </w:r>
    </w:p>
    <w:p w14:paraId="68091A4C" w14:textId="77777777" w:rsidR="00CF33D9" w:rsidRDefault="00E3332A">
      <w:pPr>
        <w:spacing w:after="240"/>
        <w:jc w:val="both"/>
        <w:rPr>
          <w:rFonts w:ascii="Calibri" w:hAnsi="Calibri" w:cs="Calibri"/>
          <w:b/>
          <w:bCs/>
          <w:color w:val="000000"/>
          <w:sz w:val="20"/>
          <w:szCs w:val="20"/>
        </w:rPr>
      </w:pPr>
      <w:r>
        <w:rPr>
          <w:rFonts w:ascii="Calibri" w:hAnsi="Calibri" w:cs="Calibri"/>
          <w:b/>
          <w:bCs/>
          <w:color w:val="000000"/>
          <w:sz w:val="20"/>
          <w:szCs w:val="20"/>
        </w:rPr>
        <w:t>Output 4.1.2: Reinforced public sector (national and regional) and private sector capacities in the design and implementation of bankable Sustainable Blue/ocean economy projects, innovative financing, principles, standards and green investments, among others.</w:t>
      </w:r>
    </w:p>
    <w:p w14:paraId="68091A4D" w14:textId="77777777" w:rsidR="00CF33D9" w:rsidRDefault="00E3332A">
      <w:pPr>
        <w:spacing w:after="240"/>
        <w:jc w:val="both"/>
        <w:rPr>
          <w:rFonts w:ascii="Calibri" w:hAnsi="Calibri" w:cs="Calibri"/>
          <w:b/>
          <w:bCs/>
          <w:color w:val="000000"/>
          <w:sz w:val="20"/>
          <w:szCs w:val="20"/>
        </w:rPr>
      </w:pPr>
      <w:r>
        <w:rPr>
          <w:rFonts w:ascii="Calibri" w:hAnsi="Calibri" w:cs="Calibri"/>
          <w:b/>
          <w:bCs/>
          <w:color w:val="000000"/>
          <w:sz w:val="20"/>
          <w:szCs w:val="20"/>
        </w:rPr>
        <w:t>Output: 4.2.1: Viable sustainable blue/ocean finance mechanisms and tools developed and piloted (including incentives to stimulate regional, national, local and private sector SBE investments, pollution reduction, circular economy etc.)</w:t>
      </w:r>
    </w:p>
    <w:p w14:paraId="68091A4E" w14:textId="77777777" w:rsidR="00CF33D9" w:rsidRDefault="00E3332A">
      <w:pPr>
        <w:spacing w:after="240"/>
        <w:jc w:val="both"/>
        <w:rPr>
          <w:rFonts w:ascii="Calibri" w:hAnsi="Calibri" w:cs="Calibri"/>
          <w:i/>
          <w:iCs/>
          <w:color w:val="000000"/>
          <w:sz w:val="20"/>
          <w:szCs w:val="20"/>
        </w:rPr>
      </w:pPr>
      <w:r>
        <w:rPr>
          <w:rFonts w:ascii="Calibri" w:hAnsi="Calibri" w:cs="Calibri"/>
          <w:i/>
          <w:iCs/>
          <w:color w:val="000000"/>
          <w:sz w:val="20"/>
          <w:szCs w:val="20"/>
        </w:rPr>
        <w:t>Outcome 4.2: Innovative sustainable blue/ocean finance at national and/or regional levels accelerated.</w:t>
      </w:r>
    </w:p>
    <w:p w14:paraId="68091A4F" w14:textId="77777777" w:rsidR="00CF33D9" w:rsidRDefault="00E3332A">
      <w:pPr>
        <w:spacing w:after="240"/>
        <w:jc w:val="both"/>
        <w:rPr>
          <w:rFonts w:ascii="Calibri" w:hAnsi="Calibri" w:cs="Calibri"/>
          <w:b/>
          <w:bCs/>
          <w:color w:val="000000"/>
          <w:sz w:val="20"/>
          <w:szCs w:val="20"/>
        </w:rPr>
      </w:pPr>
      <w:r>
        <w:rPr>
          <w:rFonts w:ascii="Calibri" w:hAnsi="Calibri" w:cs="Calibri"/>
          <w:b/>
          <w:bCs/>
          <w:color w:val="000000"/>
          <w:sz w:val="20"/>
          <w:szCs w:val="20"/>
        </w:rPr>
        <w:t>Output 4.2.2 - Feasibility for blue carbon finance assessed and viable options developed (the project will work with NGI to expand kelp harvesting.</w:t>
      </w:r>
    </w:p>
    <w:p w14:paraId="68091A50" w14:textId="77777777" w:rsidR="00CF33D9" w:rsidRDefault="00E3332A">
      <w:pPr>
        <w:rPr>
          <w:rFonts w:ascii="Calibri" w:hAnsi="Calibri" w:cs="Calibri"/>
          <w:b/>
          <w:bCs/>
          <w:color w:val="000000" w:themeColor="text1"/>
          <w:sz w:val="20"/>
          <w:szCs w:val="20"/>
        </w:rPr>
      </w:pPr>
      <w:r>
        <w:rPr>
          <w:rFonts w:ascii="Calibri" w:hAnsi="Calibri" w:cs="Calibri"/>
          <w:b/>
          <w:bCs/>
          <w:color w:val="000000" w:themeColor="text1"/>
          <w:sz w:val="20"/>
          <w:szCs w:val="20"/>
        </w:rPr>
        <w:t>Output 4.2.3: Blue carbon finance mechanism developed and implemented.</w:t>
      </w:r>
    </w:p>
    <w:p w14:paraId="68091A51" w14:textId="77777777" w:rsidR="00CF33D9" w:rsidRDefault="00CF33D9">
      <w:pPr>
        <w:jc w:val="both"/>
        <w:rPr>
          <w:rFonts w:ascii="Calibri" w:hAnsi="Calibri" w:cs="Calibri"/>
          <w:sz w:val="20"/>
          <w:szCs w:val="20"/>
        </w:rPr>
      </w:pPr>
    </w:p>
    <w:p w14:paraId="68091A52" w14:textId="77777777" w:rsidR="00CF33D9" w:rsidRDefault="00E3332A">
      <w:pPr>
        <w:pStyle w:val="NormalWeb"/>
        <w:contextualSpacing/>
        <w:rPr>
          <w:rFonts w:ascii="Calibri" w:hAnsi="Calibri" w:cs="Calibri"/>
          <w:b/>
          <w:bCs/>
          <w:color w:val="000000" w:themeColor="text1"/>
          <w:sz w:val="20"/>
          <w:szCs w:val="20"/>
        </w:rPr>
      </w:pPr>
      <w:r>
        <w:rPr>
          <w:rFonts w:ascii="Calibri" w:hAnsi="Calibri" w:cs="Calibri"/>
          <w:b/>
          <w:bCs/>
          <w:color w:val="000000" w:themeColor="text1"/>
          <w:sz w:val="20"/>
          <w:szCs w:val="20"/>
        </w:rPr>
        <w:t xml:space="preserve">Component 5: Knowledge management, awareness raising and upscaling for Sustainable Blue/Ocean Economy </w:t>
      </w:r>
    </w:p>
    <w:p w14:paraId="68091A53" w14:textId="77777777" w:rsidR="00CF33D9" w:rsidRDefault="00CF33D9">
      <w:pPr>
        <w:jc w:val="both"/>
        <w:rPr>
          <w:rFonts w:ascii="Calibri" w:hAnsi="Calibri" w:cs="Calibri"/>
          <w:sz w:val="20"/>
          <w:szCs w:val="20"/>
          <w:u w:val="single"/>
        </w:rPr>
      </w:pPr>
    </w:p>
    <w:p w14:paraId="68091A54" w14:textId="77777777" w:rsidR="00CF33D9" w:rsidRDefault="00E3332A">
      <w:pPr>
        <w:jc w:val="both"/>
        <w:rPr>
          <w:rFonts w:ascii="Calibri" w:eastAsiaTheme="minorHAnsi" w:hAnsi="Calibri" w:cs="Calibri"/>
          <w:color w:val="000000"/>
          <w:sz w:val="20"/>
          <w:szCs w:val="20"/>
        </w:rPr>
      </w:pPr>
      <w:r>
        <w:rPr>
          <w:rFonts w:ascii="Calibri" w:eastAsiaTheme="minorHAnsi" w:hAnsi="Calibri" w:cs="Calibri"/>
          <w:color w:val="000000"/>
          <w:sz w:val="20"/>
          <w:szCs w:val="20"/>
        </w:rPr>
        <w:t>This component will support the preparation and dissemination of SBE knowledge products, tools and support services that are based on the outcomes, impacts, benefits, and experiences of the SBE project interventions under all components, for use in awareness raising campaigns and upscaling SBE development and growth within and among BCLME countries. Innovative SBE practices, value-added partnerships, successful financing and operating templates, and other relevant knowledge products and technologies from the SBE pilot interventions will be prepared, shared, and upscaled.</w:t>
      </w:r>
    </w:p>
    <w:p w14:paraId="68091A55" w14:textId="77777777" w:rsidR="00CF33D9" w:rsidRDefault="00CF33D9">
      <w:pPr>
        <w:jc w:val="both"/>
        <w:rPr>
          <w:rFonts w:ascii="Calibri" w:eastAsiaTheme="minorHAnsi" w:hAnsi="Calibri" w:cs="Calibri"/>
          <w:color w:val="000000"/>
          <w:sz w:val="20"/>
          <w:szCs w:val="20"/>
        </w:rPr>
      </w:pPr>
    </w:p>
    <w:p w14:paraId="68091A56" w14:textId="77777777" w:rsidR="00CF33D9" w:rsidRDefault="00E3332A">
      <w:pPr>
        <w:spacing w:after="240"/>
        <w:jc w:val="both"/>
        <w:rPr>
          <w:rFonts w:ascii="Calibri" w:hAnsi="Calibri" w:cs="Calibri"/>
          <w:i/>
          <w:iCs/>
          <w:color w:val="000000"/>
          <w:sz w:val="20"/>
          <w:szCs w:val="20"/>
        </w:rPr>
      </w:pPr>
      <w:r>
        <w:rPr>
          <w:rFonts w:ascii="Calibri" w:hAnsi="Calibri" w:cs="Calibri"/>
          <w:i/>
          <w:iCs/>
          <w:color w:val="000000"/>
          <w:sz w:val="20"/>
          <w:szCs w:val="20"/>
        </w:rPr>
        <w:t>Outcome 5.1: Knowledge management, awareness raising and communication on Sustainable Blue/Ocean Economy and Social and Environmental Safeguards in the BCLME region strengthened.</w:t>
      </w:r>
    </w:p>
    <w:p w14:paraId="68091A57" w14:textId="77777777" w:rsidR="00CF33D9" w:rsidRDefault="00E3332A">
      <w:pPr>
        <w:spacing w:after="240"/>
        <w:jc w:val="both"/>
        <w:rPr>
          <w:rFonts w:ascii="Calibri" w:hAnsi="Calibri" w:cs="Calibri"/>
          <w:b/>
          <w:bCs/>
          <w:color w:val="000000"/>
          <w:sz w:val="20"/>
          <w:szCs w:val="20"/>
        </w:rPr>
      </w:pPr>
      <w:r>
        <w:rPr>
          <w:rFonts w:ascii="Calibri" w:hAnsi="Calibri" w:cs="Calibri"/>
          <w:b/>
          <w:bCs/>
          <w:color w:val="000000"/>
          <w:sz w:val="20"/>
          <w:szCs w:val="20"/>
        </w:rPr>
        <w:lastRenderedPageBreak/>
        <w:t xml:space="preserve">Output 5.1.1: </w:t>
      </w:r>
      <w:r>
        <w:rPr>
          <w:rFonts w:ascii="Calibri" w:hAnsi="Calibri" w:cs="Calibri"/>
          <w:b/>
          <w:bCs/>
          <w:color w:val="000000" w:themeColor="text1"/>
          <w:sz w:val="20"/>
          <w:szCs w:val="20"/>
        </w:rPr>
        <w:t>Strengthened capacities knowledge management in relation to SBE, ICZM, MSP and MPA, and monitoring Knowledge Management performance.</w:t>
      </w:r>
    </w:p>
    <w:p w14:paraId="68091A58" w14:textId="77777777" w:rsidR="00CF33D9" w:rsidRDefault="00E3332A">
      <w:pPr>
        <w:rPr>
          <w:rFonts w:ascii="Calibri" w:hAnsi="Calibri" w:cs="Calibri"/>
          <w:b/>
          <w:bCs/>
          <w:color w:val="000000" w:themeColor="text1"/>
          <w:sz w:val="20"/>
          <w:szCs w:val="20"/>
        </w:rPr>
      </w:pPr>
      <w:r>
        <w:rPr>
          <w:rFonts w:ascii="Calibri" w:hAnsi="Calibri" w:cs="Calibri"/>
          <w:b/>
          <w:bCs/>
          <w:color w:val="000000" w:themeColor="text1"/>
          <w:sz w:val="20"/>
          <w:szCs w:val="20"/>
        </w:rPr>
        <w:t>Output 5.1.2 Communication and Outreach Programme for awareness raising on Sustainable Blue/Ocean economy and implementation of SEP and GAP</w:t>
      </w:r>
    </w:p>
    <w:p w14:paraId="68091A59" w14:textId="77777777" w:rsidR="00CF33D9" w:rsidRDefault="00CF33D9">
      <w:pPr>
        <w:rPr>
          <w:rFonts w:ascii="Calibri" w:hAnsi="Calibri" w:cs="Calibri"/>
          <w:b/>
          <w:bCs/>
          <w:sz w:val="20"/>
          <w:szCs w:val="20"/>
        </w:rPr>
      </w:pPr>
    </w:p>
    <w:p w14:paraId="68091A5A" w14:textId="77777777" w:rsidR="00CF33D9" w:rsidRDefault="00E3332A">
      <w:pPr>
        <w:spacing w:after="240"/>
        <w:jc w:val="both"/>
        <w:rPr>
          <w:rFonts w:ascii="Calibri" w:hAnsi="Calibri" w:cs="Calibri"/>
          <w:b/>
          <w:bCs/>
          <w:color w:val="000000"/>
          <w:sz w:val="20"/>
          <w:szCs w:val="20"/>
        </w:rPr>
      </w:pPr>
      <w:r>
        <w:rPr>
          <w:rFonts w:ascii="Calibri" w:hAnsi="Calibri" w:cs="Calibri"/>
          <w:b/>
          <w:bCs/>
          <w:color w:val="000000"/>
          <w:sz w:val="20"/>
          <w:szCs w:val="20"/>
        </w:rPr>
        <w:t xml:space="preserve">Output 5.1.3: Environmental and Social Safeguards Management is developed and operationalized. </w:t>
      </w:r>
    </w:p>
    <w:p w14:paraId="68091A5B" w14:textId="77777777" w:rsidR="00CF33D9" w:rsidRDefault="00E3332A">
      <w:pPr>
        <w:jc w:val="both"/>
        <w:rPr>
          <w:rFonts w:ascii="Calibri" w:eastAsiaTheme="minorHAnsi" w:hAnsi="Calibri" w:cs="Calibri"/>
          <w:i/>
          <w:iCs/>
          <w:color w:val="000000"/>
          <w:sz w:val="20"/>
          <w:szCs w:val="20"/>
        </w:rPr>
      </w:pPr>
      <w:r>
        <w:rPr>
          <w:rFonts w:ascii="Calibri" w:eastAsiaTheme="minorHAnsi" w:hAnsi="Calibri" w:cs="Calibri"/>
          <w:i/>
          <w:iCs/>
          <w:color w:val="000000"/>
          <w:sz w:val="20"/>
          <w:szCs w:val="20"/>
        </w:rPr>
        <w:t>Outcome 5.2: The upscaling of sustainable and viable blue/ocean economy interventions is promoted.</w:t>
      </w:r>
    </w:p>
    <w:p w14:paraId="68091A5C" w14:textId="77777777" w:rsidR="00CF33D9" w:rsidRDefault="00CF33D9">
      <w:pPr>
        <w:jc w:val="both"/>
        <w:rPr>
          <w:rFonts w:ascii="Calibri" w:hAnsi="Calibri" w:cs="Calibri"/>
          <w:b/>
          <w:bCs/>
          <w:color w:val="000000" w:themeColor="text1"/>
          <w:sz w:val="20"/>
          <w:szCs w:val="20"/>
        </w:rPr>
      </w:pPr>
    </w:p>
    <w:p w14:paraId="68091A5D" w14:textId="77777777" w:rsidR="00CF33D9" w:rsidRDefault="00E3332A">
      <w:pPr>
        <w:jc w:val="both"/>
        <w:rPr>
          <w:rFonts w:ascii="Calibri" w:hAnsi="Calibri" w:cs="Calibri"/>
          <w:b/>
          <w:bCs/>
          <w:color w:val="000000" w:themeColor="text1"/>
          <w:sz w:val="20"/>
          <w:szCs w:val="20"/>
        </w:rPr>
      </w:pPr>
      <w:r>
        <w:rPr>
          <w:rFonts w:ascii="Calibri" w:hAnsi="Calibri" w:cs="Calibri"/>
          <w:b/>
          <w:bCs/>
          <w:color w:val="000000" w:themeColor="text1"/>
          <w:sz w:val="20"/>
          <w:szCs w:val="20"/>
        </w:rPr>
        <w:t>Output 5.2.1: Communications and knowledge products (information packages, tools and approaches) for upscaling developed and shared with beneficiaries via knowledge-sharing platform.</w:t>
      </w:r>
    </w:p>
    <w:p w14:paraId="68091A5E" w14:textId="77777777" w:rsidR="00CF33D9" w:rsidRDefault="00CF33D9">
      <w:pPr>
        <w:jc w:val="both"/>
        <w:rPr>
          <w:rFonts w:ascii="Calibri" w:eastAsia="SimSun" w:hAnsi="Calibri" w:cs="Calibri"/>
          <w:b/>
          <w:bCs/>
          <w:sz w:val="20"/>
          <w:szCs w:val="20"/>
          <w:u w:val="single"/>
        </w:rPr>
      </w:pPr>
    </w:p>
    <w:p w14:paraId="68091A5F" w14:textId="77777777" w:rsidR="00CF33D9" w:rsidRDefault="00E3332A">
      <w:pPr>
        <w:jc w:val="both"/>
        <w:rPr>
          <w:rFonts w:ascii="Calibri" w:eastAsia="SimSun" w:hAnsi="Calibri" w:cs="Calibri"/>
          <w:b/>
          <w:bCs/>
          <w:sz w:val="20"/>
          <w:szCs w:val="20"/>
          <w:u w:val="single"/>
        </w:rPr>
      </w:pPr>
      <w:r>
        <w:rPr>
          <w:rFonts w:ascii="Calibri" w:hAnsi="Calibri" w:cs="Calibri"/>
          <w:b/>
          <w:bCs/>
          <w:color w:val="000000" w:themeColor="text1"/>
          <w:sz w:val="20"/>
          <w:szCs w:val="20"/>
        </w:rPr>
        <w:t>Output 5.2.2: Sustainable blue/ocean economy practice, knowledge and lessons shared across African LMEs in partnership with IW:LEARN.</w:t>
      </w:r>
    </w:p>
    <w:p w14:paraId="68091A60" w14:textId="77777777" w:rsidR="00CF33D9" w:rsidRDefault="00CF33D9">
      <w:pPr>
        <w:jc w:val="both"/>
        <w:rPr>
          <w:rFonts w:ascii="Calibri" w:hAnsi="Calibri" w:cs="Calibri"/>
          <w:sz w:val="20"/>
          <w:szCs w:val="20"/>
        </w:rPr>
      </w:pPr>
    </w:p>
    <w:p w14:paraId="68091A61" w14:textId="77777777" w:rsidR="00CF33D9" w:rsidRDefault="00E3332A">
      <w:pPr>
        <w:jc w:val="both"/>
        <w:rPr>
          <w:rFonts w:ascii="Calibri" w:hAnsi="Calibri" w:cs="Calibri"/>
          <w:sz w:val="20"/>
          <w:szCs w:val="20"/>
        </w:rPr>
      </w:pPr>
      <w:r>
        <w:rPr>
          <w:rFonts w:ascii="Calibri" w:hAnsi="Calibri" w:cs="Calibri"/>
          <w:sz w:val="20"/>
          <w:szCs w:val="20"/>
        </w:rPr>
        <w:t xml:space="preserve">All proposed interventions have positive transboundary impacts that cannot be optimally realized at a national level without transboundary cooperation of the three participating countries through this GEF funded programme. Further, almost all proposed interventions have multi-sectoral implications that cannot be addressed effectively with the business-as-usual-sectoral approach. Through the proposed interventions, the project will support its member states to realize the sustainable utilization and management of the BCLME marine resources at the transboundary scale. Also, it will contribute to building the resilience of the people living in the coastal region through improved planning and resources management. </w:t>
      </w:r>
    </w:p>
    <w:p w14:paraId="68091A62" w14:textId="77777777" w:rsidR="00CF33D9" w:rsidRDefault="00CF33D9">
      <w:pPr>
        <w:rPr>
          <w:rFonts w:ascii="Calibri" w:hAnsi="Calibri" w:cs="Calibri"/>
          <w:sz w:val="20"/>
          <w:szCs w:val="20"/>
        </w:rPr>
      </w:pPr>
    </w:p>
    <w:p w14:paraId="68091A63" w14:textId="77777777" w:rsidR="00CF33D9" w:rsidRDefault="00CF33D9">
      <w:pPr>
        <w:rPr>
          <w:rFonts w:ascii="Calibri" w:hAnsi="Calibri" w:cs="Calibri"/>
          <w:sz w:val="20"/>
          <w:szCs w:val="20"/>
        </w:rPr>
      </w:pPr>
    </w:p>
    <w:p w14:paraId="68091A64" w14:textId="77777777" w:rsidR="00CF33D9" w:rsidRDefault="00CF33D9">
      <w:pPr>
        <w:rPr>
          <w:rFonts w:ascii="Calibri" w:hAnsi="Calibri" w:cs="Calibri"/>
          <w:sz w:val="20"/>
          <w:szCs w:val="20"/>
        </w:rPr>
      </w:pPr>
    </w:p>
    <w:p w14:paraId="68091A65" w14:textId="77777777" w:rsidR="00CF33D9" w:rsidRDefault="00CF33D9">
      <w:pPr>
        <w:rPr>
          <w:rFonts w:ascii="Calibri" w:hAnsi="Calibri" w:cs="Calibri"/>
          <w:sz w:val="20"/>
          <w:szCs w:val="20"/>
        </w:rPr>
        <w:sectPr w:rsidR="00CF33D9">
          <w:headerReference w:type="even" r:id="rId87"/>
          <w:pgSz w:w="12240" w:h="15840"/>
          <w:pgMar w:top="1440" w:right="1440" w:bottom="1440" w:left="1440" w:header="708" w:footer="708" w:gutter="0"/>
          <w:cols w:space="708"/>
          <w:docGrid w:linePitch="360"/>
        </w:sectPr>
      </w:pPr>
    </w:p>
    <w:p w14:paraId="68091A66" w14:textId="77777777" w:rsidR="00CF33D9" w:rsidRDefault="00E3332A">
      <w:pPr>
        <w:rPr>
          <w:rFonts w:ascii="Calibri" w:hAnsi="Calibri" w:cs="Calibri"/>
          <w:sz w:val="20"/>
          <w:szCs w:val="20"/>
        </w:rPr>
      </w:pPr>
      <w:r>
        <w:rPr>
          <w:rFonts w:ascii="Calibri" w:hAnsi="Calibri" w:cs="Calibri"/>
          <w:b/>
          <w:bCs/>
          <w:sz w:val="20"/>
          <w:szCs w:val="20"/>
        </w:rPr>
        <w:lastRenderedPageBreak/>
        <w:t>Table 1</w:t>
      </w:r>
      <w:r>
        <w:rPr>
          <w:rFonts w:ascii="Calibri" w:hAnsi="Calibri" w:cs="Calibri"/>
          <w:sz w:val="20"/>
          <w:szCs w:val="20"/>
        </w:rPr>
        <w:t>. Summary of project’s components, outcomes, outputs, and activities</w:t>
      </w:r>
    </w:p>
    <w:tbl>
      <w:tblPr>
        <w:tblW w:w="0" w:type="auto"/>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115" w:type="dxa"/>
          <w:right w:w="115" w:type="dxa"/>
        </w:tblCellMar>
        <w:tblLook w:val="04A0" w:firstRow="1" w:lastRow="0" w:firstColumn="1" w:lastColumn="0" w:noHBand="0" w:noVBand="1"/>
      </w:tblPr>
      <w:tblGrid>
        <w:gridCol w:w="2783"/>
        <w:gridCol w:w="2689"/>
        <w:gridCol w:w="4474"/>
        <w:gridCol w:w="4285"/>
      </w:tblGrid>
      <w:tr w:rsidR="00CF33D9" w14:paraId="68091A6C" w14:textId="77777777">
        <w:trPr>
          <w:trHeight w:val="525"/>
          <w:tblHeader/>
        </w:trPr>
        <w:tc>
          <w:tcPr>
            <w:tcW w:w="0" w:type="auto"/>
            <w:shd w:val="clear" w:color="auto" w:fill="BDD6EE" w:themeFill="accent1" w:themeFillTint="66"/>
            <w:vAlign w:val="center"/>
          </w:tcPr>
          <w:p w14:paraId="68091A67" w14:textId="77777777" w:rsidR="00CF33D9" w:rsidRDefault="00E3332A">
            <w:pPr>
              <w:spacing w:line="200" w:lineRule="exact"/>
              <w:jc w:val="center"/>
              <w:rPr>
                <w:rFonts w:ascii="Calibri" w:hAnsi="Calibri" w:cs="Calibri"/>
                <w:b/>
                <w:bCs/>
                <w:sz w:val="20"/>
                <w:szCs w:val="20"/>
              </w:rPr>
            </w:pPr>
            <w:r>
              <w:rPr>
                <w:rFonts w:ascii="Calibri" w:hAnsi="Calibri" w:cs="Calibri"/>
                <w:b/>
                <w:bCs/>
                <w:sz w:val="20"/>
                <w:szCs w:val="20"/>
              </w:rPr>
              <w:t>Project Components</w:t>
            </w:r>
          </w:p>
        </w:tc>
        <w:tc>
          <w:tcPr>
            <w:tcW w:w="0" w:type="auto"/>
            <w:shd w:val="clear" w:color="auto" w:fill="BDD6EE" w:themeFill="accent1" w:themeFillTint="66"/>
            <w:vAlign w:val="center"/>
          </w:tcPr>
          <w:p w14:paraId="68091A68" w14:textId="77777777" w:rsidR="00CF33D9" w:rsidRDefault="00E3332A">
            <w:pPr>
              <w:spacing w:line="200" w:lineRule="exact"/>
              <w:jc w:val="center"/>
              <w:rPr>
                <w:rFonts w:ascii="Calibri" w:hAnsi="Calibri" w:cs="Calibri"/>
                <w:b/>
                <w:bCs/>
                <w:sz w:val="20"/>
                <w:szCs w:val="20"/>
              </w:rPr>
            </w:pPr>
            <w:r>
              <w:rPr>
                <w:rFonts w:ascii="Calibri" w:hAnsi="Calibri" w:cs="Calibri"/>
                <w:b/>
                <w:bCs/>
                <w:sz w:val="20"/>
                <w:szCs w:val="20"/>
              </w:rPr>
              <w:t>Project Outcomes</w:t>
            </w:r>
          </w:p>
        </w:tc>
        <w:tc>
          <w:tcPr>
            <w:tcW w:w="0" w:type="auto"/>
            <w:shd w:val="clear" w:color="auto" w:fill="BDD6EE" w:themeFill="accent1" w:themeFillTint="66"/>
            <w:vAlign w:val="center"/>
          </w:tcPr>
          <w:p w14:paraId="68091A69" w14:textId="77777777" w:rsidR="00CF33D9" w:rsidRDefault="00E3332A">
            <w:pPr>
              <w:spacing w:line="200" w:lineRule="exact"/>
              <w:jc w:val="center"/>
              <w:rPr>
                <w:rFonts w:ascii="Calibri" w:hAnsi="Calibri" w:cs="Calibri"/>
                <w:b/>
                <w:bCs/>
                <w:sz w:val="20"/>
                <w:szCs w:val="20"/>
              </w:rPr>
            </w:pPr>
            <w:r>
              <w:rPr>
                <w:rFonts w:ascii="Calibri" w:hAnsi="Calibri" w:cs="Calibri"/>
                <w:b/>
                <w:bCs/>
                <w:sz w:val="20"/>
                <w:szCs w:val="20"/>
              </w:rPr>
              <w:t>Project Outputs</w:t>
            </w:r>
          </w:p>
        </w:tc>
        <w:tc>
          <w:tcPr>
            <w:tcW w:w="0" w:type="auto"/>
            <w:shd w:val="clear" w:color="auto" w:fill="BDD6EE" w:themeFill="accent1" w:themeFillTint="66"/>
          </w:tcPr>
          <w:p w14:paraId="68091A6A" w14:textId="77777777" w:rsidR="00CF33D9" w:rsidRDefault="00CF33D9">
            <w:pPr>
              <w:spacing w:line="200" w:lineRule="exact"/>
              <w:jc w:val="center"/>
              <w:rPr>
                <w:rFonts w:ascii="Calibri" w:hAnsi="Calibri" w:cs="Calibri"/>
                <w:b/>
                <w:bCs/>
                <w:sz w:val="20"/>
                <w:szCs w:val="20"/>
              </w:rPr>
            </w:pPr>
          </w:p>
          <w:p w14:paraId="68091A6B" w14:textId="77777777" w:rsidR="00CF33D9" w:rsidRDefault="00E3332A">
            <w:pPr>
              <w:spacing w:line="200" w:lineRule="exact"/>
              <w:jc w:val="center"/>
              <w:rPr>
                <w:rFonts w:ascii="Calibri" w:hAnsi="Calibri" w:cs="Calibri"/>
                <w:b/>
                <w:bCs/>
                <w:sz w:val="20"/>
                <w:szCs w:val="20"/>
              </w:rPr>
            </w:pPr>
            <w:r>
              <w:rPr>
                <w:rFonts w:ascii="Calibri" w:hAnsi="Calibri" w:cs="Calibri"/>
                <w:b/>
                <w:bCs/>
                <w:sz w:val="20"/>
                <w:szCs w:val="20"/>
              </w:rPr>
              <w:t>Activities</w:t>
            </w:r>
          </w:p>
        </w:tc>
      </w:tr>
      <w:tr w:rsidR="00CF33D9" w14:paraId="68091A72" w14:textId="77777777">
        <w:trPr>
          <w:trHeight w:val="340"/>
        </w:trPr>
        <w:tc>
          <w:tcPr>
            <w:tcW w:w="0" w:type="auto"/>
            <w:vMerge w:val="restart"/>
            <w:shd w:val="clear" w:color="auto" w:fill="FFFFFF"/>
          </w:tcPr>
          <w:p w14:paraId="68091A6D" w14:textId="77777777" w:rsidR="00CF33D9" w:rsidRDefault="00E3332A">
            <w:pPr>
              <w:pStyle w:val="NormalWeb"/>
              <w:spacing w:line="200" w:lineRule="exact"/>
              <w:contextualSpacing/>
              <w:rPr>
                <w:rFonts w:ascii="Calibri" w:hAnsi="Calibri" w:cs="Calibri"/>
                <w:color w:val="000000" w:themeColor="text1"/>
                <w:sz w:val="20"/>
                <w:szCs w:val="20"/>
              </w:rPr>
            </w:pPr>
            <w:bookmarkStart w:id="57" w:name="_Hlk146447734"/>
            <w:r>
              <w:rPr>
                <w:rFonts w:ascii="Calibri" w:hAnsi="Calibri" w:cs="Calibri"/>
                <w:b/>
                <w:bCs/>
                <w:color w:val="000000" w:themeColor="text1"/>
                <w:sz w:val="20"/>
                <w:szCs w:val="20"/>
              </w:rPr>
              <w:t>Component 1</w:t>
            </w:r>
            <w:r>
              <w:rPr>
                <w:rFonts w:ascii="Calibri" w:hAnsi="Calibri" w:cs="Calibri"/>
                <w:color w:val="000000" w:themeColor="text1"/>
                <w:sz w:val="20"/>
                <w:szCs w:val="20"/>
              </w:rPr>
              <w:t xml:space="preserve">: Improve marine and coastal management efforts in the BCLME through effective spatial management tools and the establishment and expansion of MPAs and SMAs taking into consideration climate change and ensuring climate-resilient socio-economic development </w:t>
            </w:r>
          </w:p>
        </w:tc>
        <w:tc>
          <w:tcPr>
            <w:tcW w:w="0" w:type="auto"/>
            <w:vMerge w:val="restart"/>
            <w:shd w:val="clear" w:color="auto" w:fill="FFFFFF"/>
          </w:tcPr>
          <w:p w14:paraId="68091A6E" w14:textId="77777777" w:rsidR="00CF33D9" w:rsidRDefault="00E3332A">
            <w:pPr>
              <w:pStyle w:val="NormalWeb"/>
              <w:spacing w:line="200" w:lineRule="exact"/>
              <w:contextualSpacing/>
              <w:rPr>
                <w:rFonts w:ascii="Calibri" w:hAnsi="Calibri" w:cs="Calibri"/>
                <w:color w:val="000000" w:themeColor="text1"/>
                <w:sz w:val="20"/>
                <w:szCs w:val="20"/>
              </w:rPr>
            </w:pPr>
            <w:r>
              <w:rPr>
                <w:rFonts w:ascii="Calibri" w:hAnsi="Calibri" w:cs="Calibri"/>
                <w:color w:val="000000" w:themeColor="text1"/>
                <w:sz w:val="20"/>
                <w:szCs w:val="20"/>
              </w:rPr>
              <w:t xml:space="preserve">1.1: Policy, regulatory and institutional framework for the sustainable management of the BCLME strengthened </w:t>
            </w:r>
          </w:p>
          <w:p w14:paraId="68091A6F" w14:textId="77777777" w:rsidR="00CF33D9" w:rsidRDefault="00CF33D9">
            <w:pPr>
              <w:shd w:val="clear" w:color="auto" w:fill="FFFFFF"/>
              <w:spacing w:line="200" w:lineRule="exact"/>
              <w:contextualSpacing/>
              <w:rPr>
                <w:rFonts w:ascii="Calibri" w:hAnsi="Calibri" w:cs="Calibri"/>
                <w:color w:val="000000" w:themeColor="text1"/>
                <w:sz w:val="20"/>
                <w:szCs w:val="20"/>
              </w:rPr>
            </w:pPr>
          </w:p>
        </w:tc>
        <w:tc>
          <w:tcPr>
            <w:tcW w:w="0" w:type="auto"/>
            <w:vMerge w:val="restart"/>
            <w:shd w:val="clear" w:color="auto" w:fill="FFFFFF"/>
          </w:tcPr>
          <w:p w14:paraId="68091A70" w14:textId="77777777" w:rsidR="00CF33D9" w:rsidRDefault="00E3332A">
            <w:pPr>
              <w:pStyle w:val="NormalWeb"/>
              <w:spacing w:line="200" w:lineRule="exact"/>
              <w:contextualSpacing/>
              <w:rPr>
                <w:rFonts w:ascii="Calibri" w:hAnsi="Calibri" w:cs="Calibri"/>
                <w:color w:val="000000" w:themeColor="text1"/>
                <w:sz w:val="20"/>
                <w:szCs w:val="20"/>
              </w:rPr>
            </w:pPr>
            <w:r>
              <w:rPr>
                <w:rFonts w:ascii="Calibri" w:hAnsi="Calibri" w:cs="Calibri"/>
                <w:color w:val="000000" w:themeColor="text1"/>
                <w:sz w:val="20"/>
                <w:szCs w:val="20"/>
              </w:rPr>
              <w:t xml:space="preserve">1.1.1: Legal frameworks of selected MPAs and coastal ecosystems of global importance improved to enhance their protection and conservation in a context of coexistence with other marine economic sectors </w:t>
            </w:r>
          </w:p>
        </w:tc>
        <w:tc>
          <w:tcPr>
            <w:tcW w:w="0" w:type="auto"/>
            <w:shd w:val="clear" w:color="auto" w:fill="FFFFFF"/>
          </w:tcPr>
          <w:p w14:paraId="68091A71" w14:textId="77777777" w:rsidR="00CF33D9" w:rsidRDefault="00E3332A">
            <w:pPr>
              <w:pStyle w:val="UNDPbulletpoint"/>
              <w:numPr>
                <w:ilvl w:val="0"/>
                <w:numId w:val="84"/>
              </w:numPr>
              <w:spacing w:line="200" w:lineRule="exact"/>
              <w:ind w:left="169" w:hanging="169"/>
              <w:rPr>
                <w:sz w:val="20"/>
                <w:szCs w:val="20"/>
              </w:rPr>
            </w:pPr>
            <w:r>
              <w:rPr>
                <w:sz w:val="20"/>
                <w:szCs w:val="20"/>
              </w:rPr>
              <w:t>Activity 1.1.1.1: Analysis of legal frameworks of selected MPAs and coastal ecosystems to identify their strengths and weaknesses, using an agreed set of selection criteria for selecting the MPAs for analysis.</w:t>
            </w:r>
          </w:p>
        </w:tc>
      </w:tr>
      <w:tr w:rsidR="00CF33D9" w14:paraId="68091A77" w14:textId="77777777">
        <w:trPr>
          <w:trHeight w:val="339"/>
        </w:trPr>
        <w:tc>
          <w:tcPr>
            <w:tcW w:w="0" w:type="auto"/>
            <w:vMerge/>
            <w:shd w:val="clear" w:color="auto" w:fill="FFFFFF"/>
          </w:tcPr>
          <w:p w14:paraId="68091A73" w14:textId="77777777" w:rsidR="00CF33D9" w:rsidRDefault="00CF33D9">
            <w:pPr>
              <w:pStyle w:val="NormalWeb"/>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A74"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vMerge/>
            <w:shd w:val="clear" w:color="auto" w:fill="FFFFFF"/>
          </w:tcPr>
          <w:p w14:paraId="68091A75"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shd w:val="clear" w:color="auto" w:fill="FFFFFF"/>
          </w:tcPr>
          <w:p w14:paraId="68091A76" w14:textId="77777777" w:rsidR="00CF33D9" w:rsidRDefault="00E3332A">
            <w:pPr>
              <w:pStyle w:val="UNDPbulletpoint"/>
              <w:numPr>
                <w:ilvl w:val="0"/>
                <w:numId w:val="84"/>
              </w:numPr>
              <w:spacing w:line="200" w:lineRule="exact"/>
              <w:ind w:left="169" w:hanging="169"/>
              <w:rPr>
                <w:sz w:val="20"/>
                <w:szCs w:val="20"/>
              </w:rPr>
            </w:pPr>
            <w:r>
              <w:rPr>
                <w:sz w:val="20"/>
                <w:szCs w:val="20"/>
              </w:rPr>
              <w:t>Activity 1.1.1.2: Development of draft suggestions for improvement, in particular the protection and conservation taking into consideration the other marine economic sectors, and establishment/support of cross-sectoral coordination of MPA policies and legal frameworks</w:t>
            </w:r>
          </w:p>
        </w:tc>
      </w:tr>
      <w:bookmarkEnd w:id="57"/>
      <w:tr w:rsidR="00CF33D9" w14:paraId="68091A7C" w14:textId="77777777">
        <w:trPr>
          <w:trHeight w:val="483"/>
        </w:trPr>
        <w:tc>
          <w:tcPr>
            <w:tcW w:w="0" w:type="auto"/>
            <w:vMerge/>
            <w:shd w:val="clear" w:color="auto" w:fill="FFFFFF"/>
          </w:tcPr>
          <w:p w14:paraId="68091A78"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A79"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val="restart"/>
            <w:shd w:val="clear" w:color="auto" w:fill="FFFFFF"/>
          </w:tcPr>
          <w:p w14:paraId="68091A7A" w14:textId="77777777" w:rsidR="00CF33D9" w:rsidRDefault="00E3332A">
            <w:pPr>
              <w:pStyle w:val="NormalWeb"/>
              <w:spacing w:line="200" w:lineRule="exact"/>
              <w:contextualSpacing/>
              <w:rPr>
                <w:rFonts w:ascii="Calibri" w:hAnsi="Calibri" w:cs="Calibri"/>
                <w:color w:val="000000" w:themeColor="text1"/>
                <w:sz w:val="20"/>
                <w:szCs w:val="20"/>
              </w:rPr>
            </w:pPr>
            <w:r>
              <w:rPr>
                <w:rFonts w:ascii="Calibri" w:hAnsi="Calibri" w:cs="Calibri"/>
                <w:color w:val="000000" w:themeColor="text1"/>
                <w:sz w:val="20"/>
                <w:szCs w:val="20"/>
              </w:rPr>
              <w:t xml:space="preserve">1.1.2 Enhanced management plans of selected MPAs recognizing the ecological, socioeconomic, and institutional linkages and strategies to address threats that disrupt connectivity and marine ecosystem functionalities prepared with a participatory, climate and gender sensitive approach </w:t>
            </w:r>
          </w:p>
        </w:tc>
        <w:tc>
          <w:tcPr>
            <w:tcW w:w="0" w:type="auto"/>
            <w:shd w:val="clear" w:color="auto" w:fill="FFFFFF"/>
          </w:tcPr>
          <w:p w14:paraId="68091A7B" w14:textId="77777777" w:rsidR="00CF33D9" w:rsidRDefault="00E3332A">
            <w:pPr>
              <w:pStyle w:val="ListParagraph"/>
              <w:numPr>
                <w:ilvl w:val="0"/>
                <w:numId w:val="85"/>
              </w:numPr>
              <w:spacing w:line="200" w:lineRule="exact"/>
              <w:ind w:left="168" w:hanging="168"/>
              <w:contextualSpacing/>
              <w:rPr>
                <w:rFonts w:ascii="Calibri" w:hAnsi="Calibri" w:cs="Calibri"/>
                <w:sz w:val="20"/>
                <w:szCs w:val="20"/>
                <w:lang w:val="en-IE"/>
              </w:rPr>
            </w:pPr>
            <w:r>
              <w:rPr>
                <w:rFonts w:ascii="Calibri" w:hAnsi="Calibri" w:cs="Calibri"/>
                <w:sz w:val="20"/>
                <w:szCs w:val="20"/>
                <w:lang w:val="en-IE"/>
              </w:rPr>
              <w:t>Activity 1.1.2.1: Identification of community-based climate-resilient management efforts for local economic development and benefits generation.</w:t>
            </w:r>
          </w:p>
        </w:tc>
      </w:tr>
      <w:tr w:rsidR="00CF33D9" w14:paraId="68091A81" w14:textId="77777777">
        <w:trPr>
          <w:trHeight w:val="344"/>
        </w:trPr>
        <w:tc>
          <w:tcPr>
            <w:tcW w:w="0" w:type="auto"/>
            <w:vMerge/>
            <w:shd w:val="clear" w:color="auto" w:fill="FFFFFF"/>
          </w:tcPr>
          <w:p w14:paraId="68091A7D"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A7E"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A7F"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shd w:val="clear" w:color="auto" w:fill="FFFFFF"/>
          </w:tcPr>
          <w:p w14:paraId="68091A80" w14:textId="77777777" w:rsidR="00CF33D9" w:rsidRDefault="00E3332A">
            <w:pPr>
              <w:pStyle w:val="ListParagraph"/>
              <w:numPr>
                <w:ilvl w:val="0"/>
                <w:numId w:val="85"/>
              </w:numPr>
              <w:spacing w:line="200" w:lineRule="exact"/>
              <w:ind w:left="168" w:hanging="168"/>
              <w:contextualSpacing/>
              <w:rPr>
                <w:rFonts w:ascii="Calibri" w:hAnsi="Calibri" w:cs="Calibri"/>
                <w:sz w:val="20"/>
                <w:szCs w:val="20"/>
                <w:lang w:val="en-IE"/>
              </w:rPr>
            </w:pPr>
            <w:r>
              <w:rPr>
                <w:rFonts w:ascii="Calibri" w:hAnsi="Calibri" w:cs="Calibri"/>
                <w:sz w:val="20"/>
                <w:szCs w:val="20"/>
                <w:lang w:val="en-IE"/>
              </w:rPr>
              <w:t>Activity 1.1.2.2: Analysis of integrated management needs of each selected MPAs and coastal ecosystems, and identified community-based as well as existing participatory levels, climate and gender inclusion.</w:t>
            </w:r>
          </w:p>
        </w:tc>
      </w:tr>
      <w:tr w:rsidR="00CF33D9" w14:paraId="68091A86" w14:textId="77777777">
        <w:trPr>
          <w:trHeight w:val="344"/>
        </w:trPr>
        <w:tc>
          <w:tcPr>
            <w:tcW w:w="0" w:type="auto"/>
            <w:vMerge/>
            <w:shd w:val="clear" w:color="auto" w:fill="FFFFFF"/>
          </w:tcPr>
          <w:p w14:paraId="68091A82"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A83"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A84"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shd w:val="clear" w:color="auto" w:fill="FFFFFF"/>
          </w:tcPr>
          <w:p w14:paraId="68091A85" w14:textId="77777777" w:rsidR="00CF33D9" w:rsidRDefault="00E3332A">
            <w:pPr>
              <w:pStyle w:val="ListParagraph"/>
              <w:numPr>
                <w:ilvl w:val="0"/>
                <w:numId w:val="85"/>
              </w:numPr>
              <w:spacing w:line="200" w:lineRule="exact"/>
              <w:ind w:left="168" w:hanging="168"/>
              <w:contextualSpacing/>
              <w:rPr>
                <w:rFonts w:ascii="Calibri" w:hAnsi="Calibri" w:cs="Calibri"/>
                <w:sz w:val="20"/>
                <w:szCs w:val="20"/>
                <w:lang w:val="en-IE"/>
              </w:rPr>
            </w:pPr>
            <w:r>
              <w:rPr>
                <w:rFonts w:ascii="Calibri" w:hAnsi="Calibri" w:cs="Calibri"/>
                <w:sz w:val="20"/>
                <w:szCs w:val="20"/>
                <w:lang w:val="en-IE"/>
              </w:rPr>
              <w:t>Activity 1.1.2.3: Stakeholder consultation on management needs and plans of  respective MPAs and coastal ecosystems and analysis and identification of the best suitable option of management plans that include participatory, climate and gender approaches</w:t>
            </w:r>
          </w:p>
        </w:tc>
      </w:tr>
      <w:tr w:rsidR="00CF33D9" w14:paraId="68091A8B" w14:textId="77777777">
        <w:trPr>
          <w:trHeight w:val="344"/>
        </w:trPr>
        <w:tc>
          <w:tcPr>
            <w:tcW w:w="0" w:type="auto"/>
            <w:vMerge/>
            <w:shd w:val="clear" w:color="auto" w:fill="FFFFFF"/>
          </w:tcPr>
          <w:p w14:paraId="68091A87"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A88"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A89"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shd w:val="clear" w:color="auto" w:fill="FFFFFF"/>
          </w:tcPr>
          <w:p w14:paraId="68091A8A" w14:textId="77777777" w:rsidR="00CF33D9" w:rsidRDefault="00E3332A">
            <w:pPr>
              <w:pStyle w:val="ListParagraph"/>
              <w:numPr>
                <w:ilvl w:val="0"/>
                <w:numId w:val="85"/>
              </w:numPr>
              <w:spacing w:line="200" w:lineRule="exact"/>
              <w:ind w:left="168" w:hanging="168"/>
              <w:contextualSpacing/>
              <w:rPr>
                <w:rFonts w:ascii="Calibri" w:hAnsi="Calibri" w:cs="Calibri"/>
                <w:sz w:val="20"/>
                <w:szCs w:val="20"/>
                <w:lang w:val="en-IE"/>
              </w:rPr>
            </w:pPr>
            <w:r>
              <w:rPr>
                <w:rFonts w:ascii="Calibri" w:hAnsi="Calibri" w:cs="Calibri"/>
                <w:sz w:val="20"/>
                <w:szCs w:val="20"/>
                <w:lang w:val="en-IE"/>
              </w:rPr>
              <w:t>Activity 1.1.2.4: Design, development and implementation of i) an adaptable training and capacity building programme for ocean and coastal ecosystem management with a gender sensitive approach; and ii) awareness raising and campaigns for selected communities along the BCLME coast.</w:t>
            </w:r>
          </w:p>
        </w:tc>
      </w:tr>
      <w:tr w:rsidR="00CF33D9" w14:paraId="68091A90" w14:textId="77777777">
        <w:trPr>
          <w:trHeight w:val="344"/>
        </w:trPr>
        <w:tc>
          <w:tcPr>
            <w:tcW w:w="0" w:type="auto"/>
            <w:vMerge/>
            <w:shd w:val="clear" w:color="auto" w:fill="FFFFFF"/>
          </w:tcPr>
          <w:p w14:paraId="68091A8C"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A8D"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tcBorders>
              <w:bottom w:val="single" w:sz="4" w:space="0" w:color="auto"/>
            </w:tcBorders>
            <w:shd w:val="clear" w:color="auto" w:fill="FFFFFF"/>
          </w:tcPr>
          <w:p w14:paraId="68091A8E"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tcBorders>
              <w:bottom w:val="single" w:sz="4" w:space="0" w:color="auto"/>
            </w:tcBorders>
            <w:shd w:val="clear" w:color="auto" w:fill="FFFFFF"/>
          </w:tcPr>
          <w:p w14:paraId="68091A8F" w14:textId="77777777" w:rsidR="00CF33D9" w:rsidRDefault="00E3332A">
            <w:pPr>
              <w:pStyle w:val="ListParagraph"/>
              <w:numPr>
                <w:ilvl w:val="0"/>
                <w:numId w:val="85"/>
              </w:numPr>
              <w:spacing w:line="200" w:lineRule="exact"/>
              <w:ind w:left="168" w:hanging="168"/>
              <w:contextualSpacing/>
              <w:rPr>
                <w:rFonts w:ascii="Calibri" w:hAnsi="Calibri" w:cs="Calibri"/>
                <w:sz w:val="20"/>
                <w:szCs w:val="20"/>
                <w:lang w:val="en-IE"/>
              </w:rPr>
            </w:pPr>
            <w:r>
              <w:rPr>
                <w:rFonts w:ascii="Calibri" w:hAnsi="Calibri" w:cs="Calibri"/>
                <w:sz w:val="20"/>
                <w:szCs w:val="20"/>
                <w:lang w:val="en-IE"/>
              </w:rPr>
              <w:t>Activity 1.1.2.5: implementation and adoption of integrated management plans by the relevant organisations managing the different selected MPAs and coastal ecosystems and the selected communities along the BCLME</w:t>
            </w:r>
          </w:p>
        </w:tc>
      </w:tr>
      <w:tr w:rsidR="00CF33D9" w14:paraId="68091A95" w14:textId="77777777">
        <w:trPr>
          <w:trHeight w:val="367"/>
        </w:trPr>
        <w:tc>
          <w:tcPr>
            <w:tcW w:w="0" w:type="auto"/>
            <w:vMerge/>
            <w:shd w:val="clear" w:color="auto" w:fill="FFFFFF"/>
          </w:tcPr>
          <w:p w14:paraId="68091A91"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A92"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vMerge w:val="restart"/>
            <w:shd w:val="clear" w:color="auto" w:fill="FFFFFF"/>
          </w:tcPr>
          <w:p w14:paraId="68091A93" w14:textId="77777777" w:rsidR="00CF33D9" w:rsidRDefault="00E3332A">
            <w:pPr>
              <w:pStyle w:val="NormalWeb"/>
              <w:spacing w:line="200" w:lineRule="exact"/>
              <w:contextualSpacing/>
              <w:rPr>
                <w:rFonts w:ascii="Calibri" w:hAnsi="Calibri" w:cs="Calibri"/>
                <w:color w:val="000000" w:themeColor="text1"/>
                <w:sz w:val="20"/>
                <w:szCs w:val="20"/>
              </w:rPr>
            </w:pPr>
            <w:r>
              <w:rPr>
                <w:rFonts w:ascii="Calibri" w:hAnsi="Calibri" w:cs="Calibri"/>
                <w:color w:val="000000" w:themeColor="text1"/>
                <w:sz w:val="20"/>
                <w:szCs w:val="20"/>
              </w:rPr>
              <w:t xml:space="preserve">1.1.3: </w:t>
            </w:r>
            <w:r>
              <w:rPr>
                <w:rFonts w:ascii="Calibri" w:hAnsi="Calibri" w:cs="Calibri"/>
                <w:sz w:val="20"/>
                <w:szCs w:val="20"/>
              </w:rPr>
              <w:t>Strengthened legal and institutional capacity for the implementation of ecosystem-based marine spatial planning</w:t>
            </w:r>
          </w:p>
        </w:tc>
        <w:tc>
          <w:tcPr>
            <w:tcW w:w="0" w:type="auto"/>
            <w:shd w:val="clear" w:color="auto" w:fill="FFFFFF"/>
          </w:tcPr>
          <w:p w14:paraId="68091A94" w14:textId="77777777" w:rsidR="00CF33D9" w:rsidRDefault="00E3332A">
            <w:pPr>
              <w:pStyle w:val="ListParagraph"/>
              <w:numPr>
                <w:ilvl w:val="0"/>
                <w:numId w:val="86"/>
              </w:numPr>
              <w:spacing w:after="120" w:line="200" w:lineRule="exact"/>
              <w:ind w:left="164" w:hanging="164"/>
              <w:rPr>
                <w:rFonts w:ascii="Calibri" w:hAnsi="Calibri" w:cs="Calibri"/>
                <w:sz w:val="20"/>
                <w:szCs w:val="20"/>
              </w:rPr>
            </w:pPr>
            <w:r>
              <w:rPr>
                <w:rFonts w:ascii="Calibri" w:hAnsi="Calibri" w:cs="Calibri"/>
                <w:sz w:val="20"/>
                <w:szCs w:val="20"/>
              </w:rPr>
              <w:t xml:space="preserve">Activity 1.1.3.1: Prepare frameworks for the integration of MSP into national planning and development frameworks to support the </w:t>
            </w:r>
            <w:r>
              <w:rPr>
                <w:rFonts w:ascii="Calibri" w:hAnsi="Calibri" w:cs="Calibri"/>
                <w:sz w:val="20"/>
                <w:szCs w:val="20"/>
              </w:rPr>
              <w:lastRenderedPageBreak/>
              <w:t>sustainable management and governance of marine biodiversity and resources.</w:t>
            </w:r>
          </w:p>
        </w:tc>
      </w:tr>
      <w:tr w:rsidR="00CF33D9" w14:paraId="68091A9A" w14:textId="77777777">
        <w:trPr>
          <w:trHeight w:val="367"/>
        </w:trPr>
        <w:tc>
          <w:tcPr>
            <w:tcW w:w="0" w:type="auto"/>
            <w:vMerge/>
            <w:shd w:val="clear" w:color="auto" w:fill="FFFFFF"/>
          </w:tcPr>
          <w:p w14:paraId="68091A96"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A97"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vMerge/>
            <w:shd w:val="clear" w:color="auto" w:fill="FFFFFF"/>
          </w:tcPr>
          <w:p w14:paraId="68091A98"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shd w:val="clear" w:color="auto" w:fill="FFFFFF"/>
          </w:tcPr>
          <w:p w14:paraId="68091A99" w14:textId="77777777" w:rsidR="00CF33D9" w:rsidRDefault="00E3332A">
            <w:pPr>
              <w:pStyle w:val="ListParagraph"/>
              <w:numPr>
                <w:ilvl w:val="0"/>
                <w:numId w:val="86"/>
              </w:numPr>
              <w:spacing w:after="120" w:line="200" w:lineRule="exact"/>
              <w:ind w:left="164" w:hanging="164"/>
              <w:rPr>
                <w:rFonts w:ascii="Calibri" w:hAnsi="Calibri" w:cs="Calibri"/>
                <w:sz w:val="20"/>
                <w:szCs w:val="20"/>
              </w:rPr>
            </w:pPr>
            <w:r>
              <w:rPr>
                <w:rFonts w:ascii="Calibri" w:hAnsi="Calibri" w:cs="Calibri"/>
                <w:sz w:val="20"/>
                <w:szCs w:val="20"/>
              </w:rPr>
              <w:t>Activity 1.1.3.2: Institutionalise and implement ecosystem-based marine spatial planning as a permanent planning process, comprising defined responsibilities, set structures and planning.</w:t>
            </w:r>
          </w:p>
        </w:tc>
      </w:tr>
      <w:tr w:rsidR="00CF33D9" w14:paraId="68091A9F" w14:textId="77777777">
        <w:trPr>
          <w:trHeight w:val="367"/>
        </w:trPr>
        <w:tc>
          <w:tcPr>
            <w:tcW w:w="0" w:type="auto"/>
            <w:vMerge/>
            <w:shd w:val="clear" w:color="auto" w:fill="FFFFFF"/>
          </w:tcPr>
          <w:p w14:paraId="68091A9B"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A9C"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vMerge/>
            <w:tcBorders>
              <w:bottom w:val="single" w:sz="4" w:space="0" w:color="auto"/>
            </w:tcBorders>
            <w:shd w:val="clear" w:color="auto" w:fill="FFFFFF"/>
          </w:tcPr>
          <w:p w14:paraId="68091A9D"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tcBorders>
              <w:bottom w:val="single" w:sz="4" w:space="0" w:color="auto"/>
            </w:tcBorders>
            <w:shd w:val="clear" w:color="auto" w:fill="FFFFFF"/>
          </w:tcPr>
          <w:p w14:paraId="68091A9E" w14:textId="77777777" w:rsidR="00CF33D9" w:rsidRDefault="00E3332A">
            <w:pPr>
              <w:pStyle w:val="ListParagraph"/>
              <w:numPr>
                <w:ilvl w:val="0"/>
                <w:numId w:val="86"/>
              </w:numPr>
              <w:spacing w:after="120" w:line="200" w:lineRule="exact"/>
              <w:ind w:left="164" w:hanging="164"/>
              <w:rPr>
                <w:rFonts w:ascii="Calibri" w:hAnsi="Calibri" w:cs="Calibri"/>
                <w:sz w:val="20"/>
                <w:szCs w:val="20"/>
              </w:rPr>
            </w:pPr>
            <w:r>
              <w:rPr>
                <w:rFonts w:ascii="Calibri" w:hAnsi="Calibri" w:cs="Calibri"/>
                <w:sz w:val="20"/>
                <w:szCs w:val="20"/>
              </w:rPr>
              <w:t>Activity 1.1.3.3: Prepare national legal frameworks (as required) for marine spatial planning</w:t>
            </w:r>
          </w:p>
        </w:tc>
      </w:tr>
      <w:tr w:rsidR="00CF33D9" w14:paraId="68091AA4" w14:textId="77777777">
        <w:trPr>
          <w:trHeight w:val="367"/>
        </w:trPr>
        <w:tc>
          <w:tcPr>
            <w:tcW w:w="0" w:type="auto"/>
            <w:vMerge/>
            <w:shd w:val="clear" w:color="auto" w:fill="FFFFFF"/>
          </w:tcPr>
          <w:p w14:paraId="68091AA0"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AA1"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vMerge w:val="restart"/>
            <w:shd w:val="clear" w:color="auto" w:fill="FFFFFF"/>
          </w:tcPr>
          <w:p w14:paraId="68091AA2" w14:textId="77777777" w:rsidR="00CF33D9" w:rsidRDefault="00E3332A">
            <w:pPr>
              <w:pStyle w:val="NormalWeb"/>
              <w:spacing w:line="200" w:lineRule="exact"/>
              <w:contextualSpacing/>
              <w:rPr>
                <w:rFonts w:ascii="Calibri" w:hAnsi="Calibri" w:cs="Calibri"/>
                <w:color w:val="000000" w:themeColor="text1"/>
                <w:sz w:val="20"/>
                <w:szCs w:val="20"/>
              </w:rPr>
            </w:pPr>
            <w:r>
              <w:rPr>
                <w:rFonts w:ascii="Calibri" w:hAnsi="Calibri" w:cs="Calibri"/>
                <w:color w:val="000000" w:themeColor="text1"/>
                <w:sz w:val="20"/>
                <w:szCs w:val="20"/>
              </w:rPr>
              <w:t xml:space="preserve">1.1.4: </w:t>
            </w:r>
            <w:r>
              <w:rPr>
                <w:rFonts w:ascii="Calibri" w:hAnsi="Calibri" w:cs="Calibri"/>
                <w:sz w:val="20"/>
                <w:szCs w:val="20"/>
              </w:rPr>
              <w:t>Participatory ecosystem-based marine spatial plans prepared for areas not yet covered by MSP</w:t>
            </w:r>
          </w:p>
        </w:tc>
        <w:tc>
          <w:tcPr>
            <w:tcW w:w="0" w:type="auto"/>
            <w:shd w:val="clear" w:color="auto" w:fill="FFFFFF"/>
          </w:tcPr>
          <w:p w14:paraId="68091AA3" w14:textId="77777777" w:rsidR="00CF33D9" w:rsidRDefault="00E3332A">
            <w:pPr>
              <w:pStyle w:val="ListParagraph"/>
              <w:numPr>
                <w:ilvl w:val="0"/>
                <w:numId w:val="86"/>
              </w:numPr>
              <w:spacing w:after="120" w:line="200" w:lineRule="exact"/>
              <w:ind w:left="164" w:hanging="164"/>
              <w:rPr>
                <w:rFonts w:ascii="Calibri" w:hAnsi="Calibri" w:cs="Calibri"/>
                <w:sz w:val="20"/>
                <w:szCs w:val="20"/>
              </w:rPr>
            </w:pPr>
            <w:r>
              <w:rPr>
                <w:rFonts w:ascii="Calibri" w:hAnsi="Calibri" w:cs="Calibri"/>
                <w:sz w:val="20"/>
                <w:szCs w:val="20"/>
              </w:rPr>
              <w:t>Activity 1.1.4.1: Prepare MSP implementation guidelines, to ensure that appropriate spatial management regulations are implemented for all planning areas in Angola.</w:t>
            </w:r>
          </w:p>
        </w:tc>
      </w:tr>
      <w:tr w:rsidR="00CF33D9" w14:paraId="68091AA9" w14:textId="77777777">
        <w:trPr>
          <w:trHeight w:val="367"/>
        </w:trPr>
        <w:tc>
          <w:tcPr>
            <w:tcW w:w="0" w:type="auto"/>
            <w:vMerge/>
            <w:shd w:val="clear" w:color="auto" w:fill="FFFFFF"/>
          </w:tcPr>
          <w:p w14:paraId="68091AA5"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AA6"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vMerge/>
            <w:tcBorders>
              <w:bottom w:val="single" w:sz="4" w:space="0" w:color="auto"/>
            </w:tcBorders>
            <w:shd w:val="clear" w:color="auto" w:fill="FFFFFF"/>
          </w:tcPr>
          <w:p w14:paraId="68091AA7"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tcBorders>
              <w:bottom w:val="single" w:sz="4" w:space="0" w:color="auto"/>
            </w:tcBorders>
            <w:shd w:val="clear" w:color="auto" w:fill="FFFFFF"/>
          </w:tcPr>
          <w:p w14:paraId="68091AA8" w14:textId="77777777" w:rsidR="00CF33D9" w:rsidRDefault="00E3332A">
            <w:pPr>
              <w:pStyle w:val="ListParagraph"/>
              <w:numPr>
                <w:ilvl w:val="0"/>
                <w:numId w:val="86"/>
              </w:numPr>
              <w:spacing w:after="120" w:line="200" w:lineRule="exact"/>
              <w:ind w:left="164" w:hanging="164"/>
              <w:rPr>
                <w:rFonts w:ascii="Calibri" w:hAnsi="Calibri" w:cs="Calibri"/>
                <w:sz w:val="20"/>
                <w:szCs w:val="20"/>
              </w:rPr>
            </w:pPr>
            <w:r>
              <w:rPr>
                <w:rFonts w:ascii="Calibri" w:hAnsi="Calibri" w:cs="Calibri"/>
                <w:sz w:val="20"/>
                <w:szCs w:val="20"/>
              </w:rPr>
              <w:t>Activity 1.1.4.2:  Undertake transboundary multi-use spatial planning for the Namibe and Orange Cone EBSA areas, taking into consideration existing marine uses and the development of planned offshore exploration and production areas</w:t>
            </w:r>
          </w:p>
        </w:tc>
      </w:tr>
      <w:tr w:rsidR="00CF33D9" w14:paraId="68091AAE" w14:textId="77777777">
        <w:trPr>
          <w:trHeight w:val="367"/>
        </w:trPr>
        <w:tc>
          <w:tcPr>
            <w:tcW w:w="0" w:type="auto"/>
            <w:vMerge/>
            <w:shd w:val="clear" w:color="auto" w:fill="FFFFFF"/>
          </w:tcPr>
          <w:p w14:paraId="68091AAA"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val="restart"/>
            <w:shd w:val="clear" w:color="auto" w:fill="FFFFFF"/>
          </w:tcPr>
          <w:p w14:paraId="68091AAB" w14:textId="77777777" w:rsidR="00CF33D9" w:rsidRDefault="00E3332A">
            <w:pPr>
              <w:pStyle w:val="NormalWeb"/>
              <w:spacing w:line="200" w:lineRule="exact"/>
              <w:contextualSpacing/>
              <w:rPr>
                <w:rFonts w:ascii="Calibri" w:hAnsi="Calibri" w:cs="Calibri"/>
                <w:color w:val="000000" w:themeColor="text1"/>
                <w:sz w:val="20"/>
                <w:szCs w:val="20"/>
              </w:rPr>
            </w:pPr>
            <w:r>
              <w:rPr>
                <w:rFonts w:ascii="Calibri" w:hAnsi="Calibri" w:cs="Calibri"/>
                <w:color w:val="000000" w:themeColor="text1"/>
                <w:sz w:val="20"/>
                <w:szCs w:val="20"/>
              </w:rPr>
              <w:t xml:space="preserve">1.2 Climate resilient nature-based solutions for restoration (and prevention of degradation) of MPAs and coastal ecosystems implemented through Special Management Areas/Locally Managed Marine Areas approach. (Namibia only] </w:t>
            </w:r>
          </w:p>
        </w:tc>
        <w:tc>
          <w:tcPr>
            <w:tcW w:w="0" w:type="auto"/>
            <w:vMerge w:val="restart"/>
            <w:shd w:val="clear" w:color="auto" w:fill="FFFFFF"/>
          </w:tcPr>
          <w:p w14:paraId="68091AAC" w14:textId="77777777" w:rsidR="00CF33D9" w:rsidRDefault="00E3332A">
            <w:pPr>
              <w:pStyle w:val="NormalWeb"/>
              <w:spacing w:line="200" w:lineRule="exact"/>
              <w:contextualSpacing/>
              <w:rPr>
                <w:rFonts w:ascii="Calibri" w:hAnsi="Calibri" w:cs="Calibri"/>
                <w:color w:val="000000" w:themeColor="text1"/>
                <w:sz w:val="20"/>
                <w:szCs w:val="20"/>
              </w:rPr>
            </w:pPr>
            <w:r>
              <w:rPr>
                <w:rFonts w:ascii="Calibri" w:hAnsi="Calibri" w:cs="Calibri"/>
                <w:color w:val="000000" w:themeColor="text1"/>
                <w:sz w:val="20"/>
                <w:szCs w:val="20"/>
              </w:rPr>
              <w:t>1.2.1: Sustainable community-based tourism developed in and around selected MPAs and coastal ecosystems (under 1.1) with potential for third-party certifications (www.earthcheck.org)</w:t>
            </w:r>
          </w:p>
        </w:tc>
        <w:tc>
          <w:tcPr>
            <w:tcW w:w="0" w:type="auto"/>
            <w:shd w:val="clear" w:color="auto" w:fill="FFFFFF"/>
          </w:tcPr>
          <w:p w14:paraId="68091AAD" w14:textId="77777777" w:rsidR="00CF33D9" w:rsidRDefault="00E3332A">
            <w:pPr>
              <w:pStyle w:val="ListParagraph"/>
              <w:numPr>
                <w:ilvl w:val="0"/>
                <w:numId w:val="86"/>
              </w:numPr>
              <w:spacing w:line="200" w:lineRule="exact"/>
              <w:ind w:left="164" w:hanging="164"/>
              <w:contextualSpacing/>
              <w:rPr>
                <w:rFonts w:ascii="Calibri" w:hAnsi="Calibri" w:cs="Calibri"/>
                <w:sz w:val="20"/>
                <w:szCs w:val="20"/>
                <w:lang w:val="en-IE"/>
              </w:rPr>
            </w:pPr>
            <w:r>
              <w:rPr>
                <w:rFonts w:ascii="Calibri" w:hAnsi="Calibri" w:cs="Calibri"/>
                <w:sz w:val="20"/>
                <w:szCs w:val="20"/>
                <w:lang w:val="en-IE"/>
              </w:rPr>
              <w:t xml:space="preserve">Activity 1.2.1.1: Awareness raising and information dissemination on the commitment required in implementing sustainable community-based tourism for the communities and local government. </w:t>
            </w:r>
          </w:p>
        </w:tc>
      </w:tr>
      <w:tr w:rsidR="00CF33D9" w14:paraId="68091AB3" w14:textId="77777777">
        <w:trPr>
          <w:trHeight w:val="365"/>
        </w:trPr>
        <w:tc>
          <w:tcPr>
            <w:tcW w:w="0" w:type="auto"/>
            <w:vMerge/>
            <w:shd w:val="clear" w:color="auto" w:fill="FFFFFF"/>
          </w:tcPr>
          <w:p w14:paraId="68091AAF"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AB0"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vMerge/>
            <w:shd w:val="clear" w:color="auto" w:fill="FFFFFF"/>
          </w:tcPr>
          <w:p w14:paraId="68091AB1"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shd w:val="clear" w:color="auto" w:fill="FFFFFF"/>
          </w:tcPr>
          <w:p w14:paraId="68091AB2" w14:textId="77777777" w:rsidR="00CF33D9" w:rsidRDefault="00E3332A">
            <w:pPr>
              <w:pStyle w:val="ListParagraph"/>
              <w:numPr>
                <w:ilvl w:val="0"/>
                <w:numId w:val="86"/>
              </w:numPr>
              <w:spacing w:line="200" w:lineRule="exact"/>
              <w:ind w:left="164" w:hanging="164"/>
              <w:contextualSpacing/>
              <w:rPr>
                <w:rFonts w:ascii="Calibri" w:hAnsi="Calibri" w:cs="Calibri"/>
                <w:sz w:val="20"/>
                <w:szCs w:val="20"/>
                <w:lang w:val="en-IE"/>
              </w:rPr>
            </w:pPr>
            <w:r>
              <w:rPr>
                <w:rFonts w:ascii="Calibri" w:hAnsi="Calibri" w:cs="Calibri"/>
                <w:sz w:val="20"/>
                <w:szCs w:val="20"/>
                <w:lang w:val="en-IE"/>
              </w:rPr>
              <w:t>Activity 1.2.1.2: Analysis of the tourism status and development plans/solutions, as well as environmental feasibility of the implementation of the community-based tourism plans and financing/investment needs, and identification of community-based climate-resilient management efforts for local economic development and beneficiation.</w:t>
            </w:r>
          </w:p>
        </w:tc>
      </w:tr>
      <w:tr w:rsidR="00CF33D9" w14:paraId="68091AB8" w14:textId="77777777">
        <w:trPr>
          <w:trHeight w:val="365"/>
        </w:trPr>
        <w:tc>
          <w:tcPr>
            <w:tcW w:w="0" w:type="auto"/>
            <w:vMerge/>
            <w:shd w:val="clear" w:color="auto" w:fill="FFFFFF"/>
          </w:tcPr>
          <w:p w14:paraId="68091AB4"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AB5"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vMerge/>
            <w:shd w:val="clear" w:color="auto" w:fill="FFFFFF"/>
          </w:tcPr>
          <w:p w14:paraId="68091AB6"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shd w:val="clear" w:color="auto" w:fill="FFFFFF"/>
          </w:tcPr>
          <w:p w14:paraId="68091AB7" w14:textId="77777777" w:rsidR="00CF33D9" w:rsidRDefault="00E3332A">
            <w:pPr>
              <w:pStyle w:val="ListParagraph"/>
              <w:numPr>
                <w:ilvl w:val="0"/>
                <w:numId w:val="86"/>
              </w:numPr>
              <w:spacing w:line="200" w:lineRule="exact"/>
              <w:ind w:left="164" w:hanging="164"/>
              <w:contextualSpacing/>
              <w:rPr>
                <w:rFonts w:ascii="Calibri" w:hAnsi="Calibri" w:cs="Calibri"/>
                <w:sz w:val="20"/>
                <w:szCs w:val="20"/>
                <w:lang w:val="en-IE"/>
              </w:rPr>
            </w:pPr>
            <w:r>
              <w:rPr>
                <w:rFonts w:ascii="Calibri" w:hAnsi="Calibri" w:cs="Calibri"/>
                <w:sz w:val="20"/>
                <w:szCs w:val="20"/>
                <w:lang w:val="en-IE"/>
              </w:rPr>
              <w:t>Activity 1.2.1.3: Population consultation of the tailored community-based tourism plan for their MPAs and coastal ecosystems.</w:t>
            </w:r>
          </w:p>
        </w:tc>
      </w:tr>
      <w:tr w:rsidR="00CF33D9" w14:paraId="68091ABD" w14:textId="77777777">
        <w:trPr>
          <w:trHeight w:val="365"/>
        </w:trPr>
        <w:tc>
          <w:tcPr>
            <w:tcW w:w="0" w:type="auto"/>
            <w:vMerge/>
            <w:shd w:val="clear" w:color="auto" w:fill="FFFFFF"/>
          </w:tcPr>
          <w:p w14:paraId="68091AB9"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ABA"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vMerge/>
            <w:shd w:val="clear" w:color="auto" w:fill="FFFFFF"/>
          </w:tcPr>
          <w:p w14:paraId="68091ABB"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shd w:val="clear" w:color="auto" w:fill="FFFFFF"/>
          </w:tcPr>
          <w:p w14:paraId="68091ABC" w14:textId="77777777" w:rsidR="00CF33D9" w:rsidRDefault="00E3332A">
            <w:pPr>
              <w:pStyle w:val="ListParagraph"/>
              <w:numPr>
                <w:ilvl w:val="0"/>
                <w:numId w:val="86"/>
              </w:numPr>
              <w:spacing w:line="200" w:lineRule="exact"/>
              <w:ind w:left="164" w:hanging="164"/>
              <w:contextualSpacing/>
              <w:rPr>
                <w:rFonts w:ascii="Calibri" w:hAnsi="Calibri" w:cs="Calibri"/>
                <w:sz w:val="20"/>
                <w:szCs w:val="20"/>
                <w:lang w:val="en-IE"/>
              </w:rPr>
            </w:pPr>
            <w:r>
              <w:rPr>
                <w:rFonts w:ascii="Calibri" w:hAnsi="Calibri" w:cs="Calibri"/>
                <w:sz w:val="20"/>
                <w:szCs w:val="20"/>
                <w:lang w:val="en-IE"/>
              </w:rPr>
              <w:t>Activity 1.2.1.4:  Support services for identifying and accessing available financing sources to help cover the costs of community-based tourism plans implementation</w:t>
            </w:r>
          </w:p>
        </w:tc>
      </w:tr>
      <w:tr w:rsidR="00CF33D9" w14:paraId="68091AC2" w14:textId="77777777">
        <w:trPr>
          <w:trHeight w:val="365"/>
        </w:trPr>
        <w:tc>
          <w:tcPr>
            <w:tcW w:w="0" w:type="auto"/>
            <w:vMerge/>
            <w:shd w:val="clear" w:color="auto" w:fill="FFFFFF"/>
          </w:tcPr>
          <w:p w14:paraId="68091ABE"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ABF"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vMerge/>
            <w:shd w:val="clear" w:color="auto" w:fill="FFFFFF"/>
          </w:tcPr>
          <w:p w14:paraId="68091AC0"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shd w:val="clear" w:color="auto" w:fill="FFFFFF"/>
          </w:tcPr>
          <w:p w14:paraId="68091AC1" w14:textId="77777777" w:rsidR="00CF33D9" w:rsidRDefault="00E3332A">
            <w:pPr>
              <w:pStyle w:val="ListParagraph"/>
              <w:numPr>
                <w:ilvl w:val="0"/>
                <w:numId w:val="86"/>
              </w:numPr>
              <w:spacing w:line="200" w:lineRule="exact"/>
              <w:ind w:left="164" w:hanging="164"/>
              <w:contextualSpacing/>
              <w:rPr>
                <w:rFonts w:ascii="Calibri" w:hAnsi="Calibri" w:cs="Calibri"/>
                <w:sz w:val="20"/>
                <w:szCs w:val="20"/>
                <w:lang w:val="en-IE"/>
              </w:rPr>
            </w:pPr>
            <w:r>
              <w:rPr>
                <w:rFonts w:ascii="Calibri" w:hAnsi="Calibri" w:cs="Calibri"/>
                <w:sz w:val="20"/>
                <w:szCs w:val="20"/>
                <w:lang w:val="en-IE"/>
              </w:rPr>
              <w:t>Activity 1.2.1.5: Implementation of accepted community-based tourism plans, and monitoring and assessment of results (NB sustainability prospects)</w:t>
            </w:r>
          </w:p>
        </w:tc>
      </w:tr>
      <w:tr w:rsidR="00CF33D9" w14:paraId="68091AC7" w14:textId="77777777">
        <w:trPr>
          <w:trHeight w:val="373"/>
        </w:trPr>
        <w:tc>
          <w:tcPr>
            <w:tcW w:w="0" w:type="auto"/>
            <w:vMerge/>
            <w:shd w:val="clear" w:color="auto" w:fill="FFFFFF"/>
          </w:tcPr>
          <w:p w14:paraId="68091AC3"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AC4"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val="restart"/>
            <w:shd w:val="clear" w:color="auto" w:fill="FFFFFF"/>
          </w:tcPr>
          <w:p w14:paraId="68091AC5" w14:textId="77777777" w:rsidR="00CF33D9" w:rsidRDefault="00E3332A">
            <w:pPr>
              <w:pStyle w:val="NormalWeb"/>
              <w:spacing w:line="200" w:lineRule="exact"/>
              <w:contextualSpacing/>
              <w:rPr>
                <w:rFonts w:ascii="Calibri" w:hAnsi="Calibri" w:cs="Calibri"/>
                <w:color w:val="000000" w:themeColor="text1"/>
                <w:sz w:val="20"/>
                <w:szCs w:val="20"/>
              </w:rPr>
            </w:pPr>
            <w:r>
              <w:rPr>
                <w:rFonts w:ascii="Calibri" w:hAnsi="Calibri" w:cs="Calibri"/>
                <w:color w:val="000000" w:themeColor="text1"/>
                <w:sz w:val="20"/>
                <w:szCs w:val="20"/>
              </w:rPr>
              <w:t xml:space="preserve">1.2.2: Community-based climate-resilient ecosystem restoration interventions such as enhanced protection, control of alien and invasive species, assisted regeneration implemented in selected MPAs and coastal ecosystems (under 1.1) </w:t>
            </w:r>
          </w:p>
        </w:tc>
        <w:tc>
          <w:tcPr>
            <w:tcW w:w="0" w:type="auto"/>
            <w:shd w:val="clear" w:color="auto" w:fill="FFFFFF"/>
          </w:tcPr>
          <w:p w14:paraId="68091AC6" w14:textId="77777777" w:rsidR="00CF33D9" w:rsidRDefault="00E3332A">
            <w:pPr>
              <w:pStyle w:val="ListParagraph"/>
              <w:numPr>
                <w:ilvl w:val="0"/>
                <w:numId w:val="86"/>
              </w:numPr>
              <w:spacing w:line="200" w:lineRule="exact"/>
              <w:ind w:left="164" w:hanging="142"/>
              <w:contextualSpacing/>
              <w:rPr>
                <w:rFonts w:ascii="Calibri" w:hAnsi="Calibri" w:cs="Calibri"/>
                <w:sz w:val="20"/>
                <w:szCs w:val="20"/>
                <w:lang w:val="en-IE"/>
              </w:rPr>
            </w:pPr>
            <w:r>
              <w:rPr>
                <w:rFonts w:ascii="Calibri" w:hAnsi="Calibri" w:cs="Calibri"/>
                <w:sz w:val="20"/>
                <w:szCs w:val="20"/>
                <w:lang w:val="en-IE"/>
              </w:rPr>
              <w:t>Activity 1.2.2.1: Awareness raising and information dissemination on the community-based climate resilient ecosystem intervention to motivate the community population to participate</w:t>
            </w:r>
          </w:p>
        </w:tc>
      </w:tr>
      <w:tr w:rsidR="00CF33D9" w14:paraId="68091ACC" w14:textId="77777777">
        <w:trPr>
          <w:trHeight w:val="367"/>
        </w:trPr>
        <w:tc>
          <w:tcPr>
            <w:tcW w:w="0" w:type="auto"/>
            <w:vMerge/>
            <w:shd w:val="clear" w:color="auto" w:fill="FFFFFF"/>
          </w:tcPr>
          <w:p w14:paraId="68091AC8"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AC9"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ACA"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shd w:val="clear" w:color="auto" w:fill="FFFFFF"/>
          </w:tcPr>
          <w:p w14:paraId="68091ACB" w14:textId="77777777" w:rsidR="00CF33D9" w:rsidRDefault="00E3332A">
            <w:pPr>
              <w:pStyle w:val="ListParagraph"/>
              <w:numPr>
                <w:ilvl w:val="0"/>
                <w:numId w:val="86"/>
              </w:numPr>
              <w:spacing w:line="200" w:lineRule="exact"/>
              <w:ind w:left="164" w:hanging="142"/>
              <w:contextualSpacing/>
              <w:rPr>
                <w:rFonts w:ascii="Calibri" w:hAnsi="Calibri" w:cs="Calibri"/>
                <w:sz w:val="20"/>
                <w:szCs w:val="20"/>
                <w:lang w:val="en-IE"/>
              </w:rPr>
            </w:pPr>
            <w:r>
              <w:rPr>
                <w:rFonts w:ascii="Calibri" w:hAnsi="Calibri" w:cs="Calibri"/>
                <w:sz w:val="20"/>
                <w:szCs w:val="20"/>
                <w:lang w:val="en-IE"/>
              </w:rPr>
              <w:t>Activity 1.2.2.2: Analysis of the climate-resilient ecosystem status and develop solutions for a community-based climate-resilient ecosystem restoration, identification of community-based climate-resilient management efforts for local economic development and beneficiation.</w:t>
            </w:r>
          </w:p>
        </w:tc>
      </w:tr>
      <w:tr w:rsidR="00CF33D9" w14:paraId="68091AD1" w14:textId="77777777">
        <w:trPr>
          <w:trHeight w:val="367"/>
        </w:trPr>
        <w:tc>
          <w:tcPr>
            <w:tcW w:w="0" w:type="auto"/>
            <w:vMerge/>
            <w:shd w:val="clear" w:color="auto" w:fill="FFFFFF"/>
          </w:tcPr>
          <w:p w14:paraId="68091ACD"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ACE"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ACF"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shd w:val="clear" w:color="auto" w:fill="FFFFFF"/>
          </w:tcPr>
          <w:p w14:paraId="68091AD0" w14:textId="77777777" w:rsidR="00CF33D9" w:rsidRDefault="00E3332A">
            <w:pPr>
              <w:pStyle w:val="ListParagraph"/>
              <w:numPr>
                <w:ilvl w:val="0"/>
                <w:numId w:val="86"/>
              </w:numPr>
              <w:spacing w:line="200" w:lineRule="exact"/>
              <w:ind w:left="164" w:hanging="142"/>
              <w:contextualSpacing/>
              <w:rPr>
                <w:rFonts w:ascii="Calibri" w:hAnsi="Calibri" w:cs="Calibri"/>
                <w:sz w:val="20"/>
                <w:szCs w:val="20"/>
                <w:lang w:val="en-IE"/>
              </w:rPr>
            </w:pPr>
            <w:r>
              <w:rPr>
                <w:rFonts w:ascii="Calibri" w:hAnsi="Calibri" w:cs="Calibri"/>
                <w:sz w:val="20"/>
                <w:szCs w:val="20"/>
                <w:lang w:val="en-IE"/>
              </w:rPr>
              <w:t>Activity 1.2.2.3: Development of tailored community-based climate-resilient ecosystem restoration plans for the selected MPAs and coastal ecosystems (based on the analysis under activity 1.2.2.2.), and update/finalise following stakeholder consultation</w:t>
            </w:r>
          </w:p>
        </w:tc>
      </w:tr>
      <w:tr w:rsidR="00CF33D9" w14:paraId="68091AD6" w14:textId="77777777">
        <w:trPr>
          <w:trHeight w:val="367"/>
        </w:trPr>
        <w:tc>
          <w:tcPr>
            <w:tcW w:w="0" w:type="auto"/>
            <w:vMerge/>
            <w:shd w:val="clear" w:color="auto" w:fill="FFFFFF"/>
          </w:tcPr>
          <w:p w14:paraId="68091AD2"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AD3"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AD4"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shd w:val="clear" w:color="auto" w:fill="FFFFFF"/>
          </w:tcPr>
          <w:p w14:paraId="68091AD5" w14:textId="77777777" w:rsidR="00CF33D9" w:rsidRDefault="00E3332A">
            <w:pPr>
              <w:pStyle w:val="ListParagraph"/>
              <w:numPr>
                <w:ilvl w:val="0"/>
                <w:numId w:val="86"/>
              </w:numPr>
              <w:spacing w:line="200" w:lineRule="exact"/>
              <w:ind w:left="164" w:hanging="142"/>
              <w:contextualSpacing/>
              <w:rPr>
                <w:rFonts w:ascii="Calibri" w:hAnsi="Calibri" w:cs="Calibri"/>
                <w:sz w:val="20"/>
                <w:szCs w:val="20"/>
                <w:lang w:val="en-IE"/>
              </w:rPr>
            </w:pPr>
            <w:r>
              <w:rPr>
                <w:rFonts w:ascii="Calibri" w:hAnsi="Calibri" w:cs="Calibri"/>
                <w:sz w:val="20"/>
                <w:szCs w:val="20"/>
                <w:lang w:val="en-IE"/>
              </w:rPr>
              <w:t xml:space="preserve">Activity 1.2.2.4: Identification and access of available financial sources to cover the costs of community-based climate-resilient ecosystem restoration implementations.  </w:t>
            </w:r>
          </w:p>
        </w:tc>
      </w:tr>
      <w:tr w:rsidR="00CF33D9" w14:paraId="68091ADB" w14:textId="77777777">
        <w:trPr>
          <w:trHeight w:val="367"/>
        </w:trPr>
        <w:tc>
          <w:tcPr>
            <w:tcW w:w="0" w:type="auto"/>
            <w:vMerge/>
            <w:shd w:val="clear" w:color="auto" w:fill="FFFFFF"/>
          </w:tcPr>
          <w:p w14:paraId="68091AD7"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AD8"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AD9"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shd w:val="clear" w:color="auto" w:fill="FFFFFF"/>
          </w:tcPr>
          <w:p w14:paraId="68091ADA" w14:textId="77777777" w:rsidR="00CF33D9" w:rsidRDefault="00E3332A">
            <w:pPr>
              <w:pStyle w:val="ListParagraph"/>
              <w:numPr>
                <w:ilvl w:val="0"/>
                <w:numId w:val="86"/>
              </w:numPr>
              <w:spacing w:line="200" w:lineRule="exact"/>
              <w:ind w:left="164" w:hanging="142"/>
              <w:contextualSpacing/>
              <w:rPr>
                <w:rFonts w:ascii="Calibri" w:hAnsi="Calibri" w:cs="Calibri"/>
                <w:sz w:val="20"/>
                <w:szCs w:val="20"/>
                <w:lang w:val="en-IE"/>
              </w:rPr>
            </w:pPr>
            <w:r>
              <w:rPr>
                <w:rFonts w:ascii="Calibri" w:hAnsi="Calibri" w:cs="Calibri"/>
                <w:sz w:val="20"/>
                <w:szCs w:val="20"/>
                <w:lang w:val="en-IE"/>
              </w:rPr>
              <w:t>Activity 1.2.1.5: Implementation of accepted community-based climate-resilient ecosystem restoration implementations (pending securing of funding), and carry out monitoring of same</w:t>
            </w:r>
          </w:p>
        </w:tc>
      </w:tr>
      <w:tr w:rsidR="00CF33D9" w14:paraId="68091AE0" w14:textId="77777777">
        <w:trPr>
          <w:trHeight w:val="863"/>
        </w:trPr>
        <w:tc>
          <w:tcPr>
            <w:tcW w:w="0" w:type="auto"/>
            <w:vMerge/>
            <w:shd w:val="clear" w:color="auto" w:fill="FFFFFF"/>
          </w:tcPr>
          <w:p w14:paraId="68091ADC"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val="restart"/>
            <w:shd w:val="clear" w:color="auto" w:fill="FFFFFF"/>
          </w:tcPr>
          <w:p w14:paraId="68091ADD" w14:textId="77777777" w:rsidR="00CF33D9" w:rsidRDefault="00E3332A">
            <w:pPr>
              <w:pStyle w:val="NormalWeb"/>
              <w:spacing w:line="200" w:lineRule="exact"/>
              <w:contextualSpacing/>
              <w:rPr>
                <w:rFonts w:ascii="Calibri" w:hAnsi="Calibri" w:cs="Calibri"/>
                <w:color w:val="000000" w:themeColor="text1"/>
                <w:sz w:val="20"/>
                <w:szCs w:val="20"/>
              </w:rPr>
            </w:pPr>
            <w:r>
              <w:rPr>
                <w:rFonts w:ascii="Calibri" w:hAnsi="Calibri" w:cs="Calibri"/>
                <w:color w:val="000000" w:themeColor="text1"/>
                <w:sz w:val="20"/>
                <w:szCs w:val="20"/>
              </w:rPr>
              <w:t>1.3: Improved biodiversity monitoring (using eDNA-based methods) to inform actions for improved management of MPAs and coastal ecosystems. (Namibia</w:t>
            </w:r>
            <w:r>
              <w:rPr>
                <w:rFonts w:ascii="Calibri" w:hAnsi="Calibri" w:cs="Calibri"/>
                <w:color w:val="000000" w:themeColor="text1"/>
                <w:sz w:val="20"/>
                <w:szCs w:val="20"/>
                <w:shd w:val="clear" w:color="auto" w:fill="00FFFF"/>
              </w:rPr>
              <w:t xml:space="preserve"> </w:t>
            </w:r>
            <w:r>
              <w:rPr>
                <w:rFonts w:ascii="Calibri" w:hAnsi="Calibri" w:cs="Calibri"/>
                <w:color w:val="000000" w:themeColor="text1"/>
                <w:sz w:val="20"/>
                <w:szCs w:val="20"/>
              </w:rPr>
              <w:t xml:space="preserve">only] </w:t>
            </w:r>
          </w:p>
        </w:tc>
        <w:tc>
          <w:tcPr>
            <w:tcW w:w="0" w:type="auto"/>
            <w:vMerge w:val="restart"/>
            <w:shd w:val="clear" w:color="auto" w:fill="FFFFFF"/>
          </w:tcPr>
          <w:p w14:paraId="68091ADE" w14:textId="77777777" w:rsidR="00CF33D9" w:rsidRDefault="00E3332A">
            <w:pPr>
              <w:pStyle w:val="NormalWeb"/>
              <w:spacing w:line="200" w:lineRule="exact"/>
              <w:contextualSpacing/>
              <w:rPr>
                <w:rFonts w:ascii="Calibri" w:hAnsi="Calibri" w:cs="Calibri"/>
                <w:color w:val="000000" w:themeColor="text1"/>
                <w:sz w:val="20"/>
                <w:szCs w:val="20"/>
              </w:rPr>
            </w:pPr>
            <w:r>
              <w:rPr>
                <w:rFonts w:ascii="Calibri" w:hAnsi="Calibri" w:cs="Calibri"/>
                <w:color w:val="000000" w:themeColor="text1"/>
                <w:sz w:val="20"/>
                <w:szCs w:val="20"/>
              </w:rPr>
              <w:t xml:space="preserve">1.3.1: Community-based biodiversity monitoring within the selected MPAs and coastal ecosystems (under 1.1) developed or enhanced </w:t>
            </w:r>
          </w:p>
        </w:tc>
        <w:tc>
          <w:tcPr>
            <w:tcW w:w="0" w:type="auto"/>
            <w:shd w:val="clear" w:color="auto" w:fill="FFFFFF"/>
          </w:tcPr>
          <w:p w14:paraId="68091ADF" w14:textId="77777777" w:rsidR="00CF33D9" w:rsidRDefault="00E3332A">
            <w:pPr>
              <w:pStyle w:val="ListParagraph"/>
              <w:numPr>
                <w:ilvl w:val="0"/>
                <w:numId w:val="87"/>
              </w:numPr>
              <w:spacing w:line="200" w:lineRule="exact"/>
              <w:ind w:left="164" w:hanging="164"/>
              <w:contextualSpacing/>
              <w:rPr>
                <w:rFonts w:ascii="Calibri" w:hAnsi="Calibri" w:cs="Calibri"/>
                <w:sz w:val="20"/>
                <w:szCs w:val="20"/>
                <w:lang w:val="en-IE"/>
              </w:rPr>
            </w:pPr>
            <w:r>
              <w:rPr>
                <w:rFonts w:ascii="Calibri" w:hAnsi="Calibri" w:cs="Calibri"/>
                <w:sz w:val="20"/>
                <w:szCs w:val="20"/>
                <w:lang w:val="en-IE"/>
              </w:rPr>
              <w:t>Activity 1.3.1.1: Analysis of the biodiversity monitoring status (using eDNA-based methods) in Namibia</w:t>
            </w:r>
          </w:p>
        </w:tc>
      </w:tr>
      <w:tr w:rsidR="00CF33D9" w14:paraId="68091AE5" w14:textId="77777777">
        <w:trPr>
          <w:trHeight w:val="734"/>
        </w:trPr>
        <w:tc>
          <w:tcPr>
            <w:tcW w:w="0" w:type="auto"/>
            <w:vMerge/>
            <w:shd w:val="clear" w:color="auto" w:fill="FFFFFF"/>
          </w:tcPr>
          <w:p w14:paraId="68091AE1"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AE2"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vMerge/>
            <w:shd w:val="clear" w:color="auto" w:fill="FFFFFF"/>
          </w:tcPr>
          <w:p w14:paraId="68091AE3"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shd w:val="clear" w:color="auto" w:fill="FFFFFF"/>
          </w:tcPr>
          <w:p w14:paraId="68091AE4" w14:textId="77777777" w:rsidR="00CF33D9" w:rsidRDefault="00E3332A">
            <w:pPr>
              <w:pStyle w:val="ListParagraph"/>
              <w:numPr>
                <w:ilvl w:val="0"/>
                <w:numId w:val="87"/>
              </w:numPr>
              <w:spacing w:line="200" w:lineRule="exact"/>
              <w:ind w:left="164" w:hanging="164"/>
              <w:contextualSpacing/>
              <w:rPr>
                <w:rFonts w:ascii="Calibri" w:hAnsi="Calibri" w:cs="Calibri"/>
                <w:sz w:val="20"/>
                <w:szCs w:val="20"/>
                <w:lang w:val="en-IE"/>
              </w:rPr>
            </w:pPr>
            <w:r>
              <w:rPr>
                <w:rFonts w:ascii="Calibri" w:hAnsi="Calibri" w:cs="Calibri"/>
                <w:sz w:val="20"/>
                <w:szCs w:val="20"/>
                <w:lang w:val="en-IE"/>
              </w:rPr>
              <w:t>Activity 1.3.1.2: Design and implementation of improved biodiversity monitoring mechanisms to measure the impacts for improved management of MPAs and costal ecosystems.</w:t>
            </w:r>
          </w:p>
        </w:tc>
      </w:tr>
      <w:tr w:rsidR="00CF33D9" w14:paraId="68091AEA" w14:textId="77777777">
        <w:trPr>
          <w:trHeight w:val="322"/>
        </w:trPr>
        <w:tc>
          <w:tcPr>
            <w:tcW w:w="0" w:type="auto"/>
            <w:vMerge/>
            <w:shd w:val="clear" w:color="auto" w:fill="FFFFFF"/>
          </w:tcPr>
          <w:p w14:paraId="68091AE6"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val="restart"/>
            <w:shd w:val="clear" w:color="auto" w:fill="FFFFFF"/>
          </w:tcPr>
          <w:p w14:paraId="68091AE7" w14:textId="77777777" w:rsidR="00CF33D9" w:rsidRDefault="00E3332A">
            <w:pPr>
              <w:pStyle w:val="NormalWeb"/>
              <w:spacing w:line="200" w:lineRule="exact"/>
              <w:contextualSpacing/>
              <w:rPr>
                <w:rFonts w:ascii="Calibri" w:hAnsi="Calibri" w:cs="Calibri"/>
                <w:color w:val="000000" w:themeColor="text1"/>
                <w:sz w:val="20"/>
                <w:szCs w:val="20"/>
              </w:rPr>
            </w:pPr>
            <w:r>
              <w:rPr>
                <w:rFonts w:ascii="Calibri" w:hAnsi="Calibri" w:cs="Calibri"/>
                <w:color w:val="000000" w:themeColor="text1"/>
                <w:sz w:val="20"/>
                <w:szCs w:val="20"/>
              </w:rPr>
              <w:t xml:space="preserve">1.4: Minimise impacts of exploration and extraction of non-living marine resources (NLMR) on critical marine and </w:t>
            </w:r>
            <w:r>
              <w:rPr>
                <w:rFonts w:ascii="Calibri" w:hAnsi="Calibri" w:cs="Calibri"/>
                <w:color w:val="000000" w:themeColor="text1"/>
                <w:sz w:val="20"/>
                <w:szCs w:val="20"/>
              </w:rPr>
              <w:lastRenderedPageBreak/>
              <w:t>coastal ecosystems through regulation and industry action</w:t>
            </w:r>
          </w:p>
        </w:tc>
        <w:tc>
          <w:tcPr>
            <w:tcW w:w="0" w:type="auto"/>
            <w:vMerge w:val="restart"/>
            <w:shd w:val="clear" w:color="auto" w:fill="FFFFFF"/>
          </w:tcPr>
          <w:p w14:paraId="68091AE8" w14:textId="77777777" w:rsidR="00CF33D9" w:rsidRDefault="00E3332A">
            <w:pPr>
              <w:pStyle w:val="NormalWeb"/>
              <w:spacing w:line="200" w:lineRule="exact"/>
              <w:contextualSpacing/>
              <w:rPr>
                <w:rFonts w:ascii="Calibri" w:hAnsi="Calibri" w:cs="Calibri"/>
                <w:color w:val="000000" w:themeColor="text1"/>
                <w:sz w:val="20"/>
                <w:szCs w:val="20"/>
              </w:rPr>
            </w:pPr>
            <w:r>
              <w:rPr>
                <w:rFonts w:ascii="Calibri" w:hAnsi="Calibri" w:cs="Calibri"/>
                <w:color w:val="000000" w:themeColor="text1"/>
                <w:sz w:val="20"/>
                <w:szCs w:val="20"/>
              </w:rPr>
              <w:lastRenderedPageBreak/>
              <w:t>1.4.1: Policy and legislative frameworks strengthened to minimize adverse impacts of extractive activities in the BCLME</w:t>
            </w:r>
          </w:p>
        </w:tc>
        <w:tc>
          <w:tcPr>
            <w:tcW w:w="0" w:type="auto"/>
            <w:shd w:val="clear" w:color="auto" w:fill="FFFFFF"/>
          </w:tcPr>
          <w:p w14:paraId="68091AE9" w14:textId="77777777" w:rsidR="00CF33D9" w:rsidRDefault="00E3332A">
            <w:pPr>
              <w:pStyle w:val="NormalWeb"/>
              <w:numPr>
                <w:ilvl w:val="0"/>
                <w:numId w:val="88"/>
              </w:numPr>
              <w:spacing w:before="0" w:beforeAutospacing="0" w:after="0" w:afterAutospacing="0" w:line="200" w:lineRule="exact"/>
              <w:ind w:left="164" w:hanging="221"/>
              <w:contextualSpacing/>
              <w:jc w:val="left"/>
              <w:rPr>
                <w:rFonts w:ascii="Calibri" w:hAnsi="Calibri" w:cs="Calibri"/>
                <w:color w:val="000000" w:themeColor="text1"/>
                <w:sz w:val="20"/>
                <w:szCs w:val="20"/>
              </w:rPr>
            </w:pPr>
            <w:r>
              <w:rPr>
                <w:rFonts w:ascii="Calibri" w:hAnsi="Calibri" w:cs="Calibri"/>
                <w:color w:val="000000" w:themeColor="text1"/>
                <w:sz w:val="20"/>
                <w:szCs w:val="20"/>
              </w:rPr>
              <w:t xml:space="preserve">Activity 1.4.1.1: Development of harmonized policy, legislative and institutional arrangement models supporting the management of extractive industries, in line with the good practice environmental guidelines prepared by </w:t>
            </w:r>
            <w:r>
              <w:rPr>
                <w:rFonts w:ascii="Calibri" w:hAnsi="Calibri" w:cs="Calibri"/>
                <w:color w:val="000000" w:themeColor="text1"/>
                <w:sz w:val="20"/>
                <w:szCs w:val="20"/>
              </w:rPr>
              <w:lastRenderedPageBreak/>
              <w:t xml:space="preserve">the BCC for oil and gas and marine mineral exploitation </w:t>
            </w:r>
          </w:p>
        </w:tc>
      </w:tr>
      <w:tr w:rsidR="00CF33D9" w14:paraId="68091AEF" w14:textId="77777777">
        <w:trPr>
          <w:trHeight w:val="322"/>
        </w:trPr>
        <w:tc>
          <w:tcPr>
            <w:tcW w:w="0" w:type="auto"/>
            <w:vMerge/>
            <w:shd w:val="clear" w:color="auto" w:fill="FFFFFF"/>
          </w:tcPr>
          <w:p w14:paraId="68091AEB"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AEC"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vMerge/>
            <w:tcBorders>
              <w:bottom w:val="single" w:sz="4" w:space="0" w:color="auto"/>
            </w:tcBorders>
            <w:shd w:val="clear" w:color="auto" w:fill="FFFFFF"/>
          </w:tcPr>
          <w:p w14:paraId="68091AED"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tcBorders>
              <w:bottom w:val="single" w:sz="4" w:space="0" w:color="auto"/>
            </w:tcBorders>
            <w:shd w:val="clear" w:color="auto" w:fill="FFFFFF"/>
          </w:tcPr>
          <w:p w14:paraId="68091AEE" w14:textId="77777777" w:rsidR="00CF33D9" w:rsidRDefault="00E3332A">
            <w:pPr>
              <w:pStyle w:val="NormalWeb"/>
              <w:numPr>
                <w:ilvl w:val="0"/>
                <w:numId w:val="88"/>
              </w:numPr>
              <w:spacing w:before="0" w:beforeAutospacing="0" w:after="0" w:afterAutospacing="0" w:line="200" w:lineRule="exact"/>
              <w:ind w:left="164" w:hanging="221"/>
              <w:contextualSpacing/>
              <w:jc w:val="left"/>
              <w:rPr>
                <w:rFonts w:ascii="Calibri" w:hAnsi="Calibri" w:cs="Calibri"/>
                <w:color w:val="000000" w:themeColor="text1"/>
                <w:sz w:val="20"/>
                <w:szCs w:val="20"/>
              </w:rPr>
            </w:pPr>
            <w:r>
              <w:rPr>
                <w:rFonts w:ascii="Calibri" w:hAnsi="Calibri" w:cs="Calibri"/>
                <w:color w:val="000000" w:themeColor="text1"/>
                <w:sz w:val="20"/>
                <w:szCs w:val="20"/>
              </w:rPr>
              <w:t>Activity 1.4.1.2: Development of new or amend existing sector-specific environmental management legislation as needed.</w:t>
            </w:r>
          </w:p>
        </w:tc>
      </w:tr>
      <w:tr w:rsidR="00CF33D9" w14:paraId="68091AF4" w14:textId="77777777">
        <w:trPr>
          <w:trHeight w:val="846"/>
        </w:trPr>
        <w:tc>
          <w:tcPr>
            <w:tcW w:w="0" w:type="auto"/>
            <w:vMerge/>
            <w:shd w:val="clear" w:color="auto" w:fill="FFFFFF"/>
          </w:tcPr>
          <w:p w14:paraId="68091AF0"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AF1"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vMerge w:val="restart"/>
            <w:shd w:val="clear" w:color="auto" w:fill="FFFFFF"/>
          </w:tcPr>
          <w:p w14:paraId="68091AF2" w14:textId="77777777" w:rsidR="00CF33D9" w:rsidRDefault="00E3332A">
            <w:pPr>
              <w:pStyle w:val="NormalWeb"/>
              <w:spacing w:line="200" w:lineRule="exact"/>
              <w:contextualSpacing/>
              <w:rPr>
                <w:rFonts w:ascii="Calibri" w:hAnsi="Calibri" w:cs="Calibri"/>
                <w:color w:val="000000" w:themeColor="text1"/>
                <w:sz w:val="20"/>
                <w:szCs w:val="20"/>
              </w:rPr>
            </w:pPr>
            <w:r>
              <w:rPr>
                <w:rFonts w:ascii="Calibri" w:hAnsi="Calibri" w:cs="Calibri"/>
                <w:color w:val="000000" w:themeColor="text1"/>
                <w:sz w:val="20"/>
                <w:szCs w:val="20"/>
              </w:rPr>
              <w:t>1.4.2: Capacity of government institutions, private sector actors and financial institutions involved in exploration/exploitation of non-living marine resources strengthened (with a gender-sensitive approach) for adoption of innovative environmentally friendly exploratory and extractive methods and technologies.</w:t>
            </w:r>
          </w:p>
        </w:tc>
        <w:tc>
          <w:tcPr>
            <w:tcW w:w="0" w:type="auto"/>
            <w:shd w:val="clear" w:color="auto" w:fill="FFFFFF"/>
          </w:tcPr>
          <w:p w14:paraId="68091AF3" w14:textId="77777777" w:rsidR="00CF33D9" w:rsidRDefault="00E3332A">
            <w:pPr>
              <w:pStyle w:val="NormalWeb"/>
              <w:numPr>
                <w:ilvl w:val="0"/>
                <w:numId w:val="88"/>
              </w:numPr>
              <w:spacing w:before="0" w:beforeAutospacing="0" w:after="0" w:afterAutospacing="0" w:line="200" w:lineRule="exact"/>
              <w:ind w:left="164" w:hanging="221"/>
              <w:contextualSpacing/>
              <w:jc w:val="left"/>
              <w:rPr>
                <w:rFonts w:ascii="Calibri" w:hAnsi="Calibri" w:cs="Calibri"/>
                <w:color w:val="000000" w:themeColor="text1"/>
                <w:sz w:val="20"/>
                <w:szCs w:val="20"/>
              </w:rPr>
            </w:pPr>
            <w:r>
              <w:rPr>
                <w:rFonts w:ascii="Calibri" w:hAnsi="Calibri" w:cs="Calibri"/>
                <w:color w:val="000000" w:themeColor="text1"/>
                <w:sz w:val="20"/>
                <w:szCs w:val="20"/>
              </w:rPr>
              <w:t xml:space="preserve">Activity 1.4.2.1: </w:t>
            </w:r>
            <w:r>
              <w:rPr>
                <w:rFonts w:ascii="Calibri" w:hAnsi="Calibri" w:cs="Calibri"/>
                <w:color w:val="000000"/>
                <w:sz w:val="20"/>
                <w:szCs w:val="20"/>
              </w:rPr>
              <w:t>Establish formal multi-stakeholder partnerships [forums] between BCC, participating governments and key industry stakeholders (industry associations and individual companies) as a forum for the engagement of the private sector in SAP implementation</w:t>
            </w:r>
          </w:p>
        </w:tc>
      </w:tr>
      <w:tr w:rsidR="00CF33D9" w14:paraId="68091AF9" w14:textId="77777777">
        <w:trPr>
          <w:trHeight w:val="608"/>
        </w:trPr>
        <w:tc>
          <w:tcPr>
            <w:tcW w:w="0" w:type="auto"/>
            <w:vMerge/>
            <w:shd w:val="clear" w:color="auto" w:fill="FFFFFF"/>
          </w:tcPr>
          <w:p w14:paraId="68091AF5"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AF6"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vMerge/>
            <w:shd w:val="clear" w:color="auto" w:fill="FFFFFF"/>
          </w:tcPr>
          <w:p w14:paraId="68091AF7"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shd w:val="clear" w:color="auto" w:fill="FFFFFF"/>
          </w:tcPr>
          <w:p w14:paraId="68091AF8" w14:textId="77777777" w:rsidR="00CF33D9" w:rsidRDefault="00E3332A">
            <w:pPr>
              <w:pStyle w:val="NormalWeb"/>
              <w:numPr>
                <w:ilvl w:val="0"/>
                <w:numId w:val="88"/>
              </w:numPr>
              <w:spacing w:before="0" w:beforeAutospacing="0" w:after="0" w:afterAutospacing="0" w:line="200" w:lineRule="exact"/>
              <w:ind w:left="164" w:hanging="221"/>
              <w:contextualSpacing/>
              <w:jc w:val="left"/>
              <w:rPr>
                <w:rFonts w:ascii="Calibri" w:hAnsi="Calibri" w:cs="Calibri"/>
                <w:color w:val="000000" w:themeColor="text1"/>
                <w:sz w:val="20"/>
                <w:szCs w:val="20"/>
              </w:rPr>
            </w:pPr>
            <w:r>
              <w:rPr>
                <w:rFonts w:ascii="Calibri" w:hAnsi="Calibri" w:cs="Calibri"/>
                <w:color w:val="000000" w:themeColor="text1"/>
                <w:sz w:val="20"/>
                <w:szCs w:val="20"/>
              </w:rPr>
              <w:t xml:space="preserve">Activity 1.4.2.2: </w:t>
            </w:r>
            <w:r>
              <w:rPr>
                <w:rFonts w:ascii="Calibri" w:hAnsi="Calibri" w:cs="Calibri"/>
                <w:color w:val="000000"/>
                <w:sz w:val="20"/>
                <w:szCs w:val="20"/>
              </w:rPr>
              <w:t>Undertake an assessment of the critical capacity needs and constraints affecting the sustainable exploitation of NLMR exploitation in the BCLME</w:t>
            </w:r>
            <w:r>
              <w:rPr>
                <w:rFonts w:ascii="Calibri" w:hAnsi="Calibri" w:cs="Calibri"/>
                <w:color w:val="000000" w:themeColor="text1"/>
                <w:sz w:val="20"/>
                <w:szCs w:val="20"/>
              </w:rPr>
              <w:t>.</w:t>
            </w:r>
          </w:p>
        </w:tc>
      </w:tr>
      <w:tr w:rsidR="00CF33D9" w14:paraId="68091AFE" w14:textId="77777777">
        <w:trPr>
          <w:trHeight w:val="699"/>
        </w:trPr>
        <w:tc>
          <w:tcPr>
            <w:tcW w:w="0" w:type="auto"/>
            <w:vMerge/>
            <w:shd w:val="clear" w:color="auto" w:fill="FFFFFF"/>
          </w:tcPr>
          <w:p w14:paraId="68091AFA"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AFB"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vMerge/>
            <w:shd w:val="clear" w:color="auto" w:fill="FFFFFF"/>
          </w:tcPr>
          <w:p w14:paraId="68091AFC"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tcBorders>
              <w:bottom w:val="single" w:sz="4" w:space="0" w:color="auto"/>
            </w:tcBorders>
            <w:shd w:val="clear" w:color="auto" w:fill="FFFFFF"/>
          </w:tcPr>
          <w:p w14:paraId="68091AFD" w14:textId="77777777" w:rsidR="00CF33D9" w:rsidRDefault="00E3332A">
            <w:pPr>
              <w:pStyle w:val="NormalWeb"/>
              <w:numPr>
                <w:ilvl w:val="0"/>
                <w:numId w:val="89"/>
              </w:numPr>
              <w:spacing w:before="0" w:beforeAutospacing="0" w:after="0" w:afterAutospacing="0" w:line="200" w:lineRule="exact"/>
              <w:ind w:left="170" w:hanging="170"/>
              <w:contextualSpacing/>
              <w:jc w:val="left"/>
              <w:rPr>
                <w:rFonts w:ascii="Calibri" w:hAnsi="Calibri" w:cs="Calibri"/>
                <w:color w:val="000000" w:themeColor="text1"/>
                <w:sz w:val="20"/>
                <w:szCs w:val="20"/>
              </w:rPr>
            </w:pPr>
            <w:r>
              <w:rPr>
                <w:rFonts w:ascii="Calibri" w:hAnsi="Calibri" w:cs="Calibri"/>
                <w:color w:val="000000" w:themeColor="text1"/>
                <w:sz w:val="20"/>
                <w:szCs w:val="20"/>
              </w:rPr>
              <w:t>Activity 1.4.2.3: Design and progressive implementation of key capacity-building activities, to be based on available BCLME Project budget and additionally leveraged resources.</w:t>
            </w:r>
          </w:p>
        </w:tc>
      </w:tr>
      <w:tr w:rsidR="00CF33D9" w14:paraId="68091B03" w14:textId="77777777">
        <w:trPr>
          <w:trHeight w:val="698"/>
        </w:trPr>
        <w:tc>
          <w:tcPr>
            <w:tcW w:w="0" w:type="auto"/>
            <w:vMerge/>
            <w:shd w:val="clear" w:color="auto" w:fill="FFFFFF"/>
          </w:tcPr>
          <w:p w14:paraId="68091AFF"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B00"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vMerge/>
            <w:tcBorders>
              <w:bottom w:val="single" w:sz="4" w:space="0" w:color="auto"/>
            </w:tcBorders>
            <w:shd w:val="clear" w:color="auto" w:fill="FFFFFF"/>
          </w:tcPr>
          <w:p w14:paraId="68091B01"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tcBorders>
              <w:bottom w:val="single" w:sz="4" w:space="0" w:color="auto"/>
            </w:tcBorders>
            <w:shd w:val="clear" w:color="auto" w:fill="FFFFFF"/>
          </w:tcPr>
          <w:p w14:paraId="68091B02" w14:textId="77777777" w:rsidR="00CF33D9" w:rsidRDefault="00E3332A">
            <w:pPr>
              <w:pStyle w:val="NormalWeb"/>
              <w:numPr>
                <w:ilvl w:val="0"/>
                <w:numId w:val="89"/>
              </w:numPr>
              <w:spacing w:before="0" w:beforeAutospacing="0" w:after="0" w:afterAutospacing="0" w:line="200" w:lineRule="exact"/>
              <w:ind w:left="170" w:hanging="170"/>
              <w:contextualSpacing/>
              <w:jc w:val="left"/>
              <w:rPr>
                <w:rFonts w:ascii="Calibri" w:hAnsi="Calibri" w:cs="Calibri"/>
                <w:color w:val="000000" w:themeColor="text1"/>
                <w:sz w:val="20"/>
                <w:szCs w:val="20"/>
              </w:rPr>
            </w:pPr>
            <w:r>
              <w:rPr>
                <w:rFonts w:ascii="Calibri" w:hAnsi="Calibri" w:cs="Calibri"/>
                <w:color w:val="000000"/>
                <w:sz w:val="20"/>
                <w:szCs w:val="20"/>
              </w:rPr>
              <w:t>Activity 1.4.2.4: Development and adoption, at pilot scale and in partnership with selected industry partners, an industry self-regulation, monitoring and reporting process across relevant extractive industries to achieve stress reduction within selected pilot sites.</w:t>
            </w:r>
          </w:p>
        </w:tc>
      </w:tr>
      <w:tr w:rsidR="00CF33D9" w14:paraId="68091B0B" w14:textId="77777777">
        <w:trPr>
          <w:trHeight w:val="521"/>
        </w:trPr>
        <w:tc>
          <w:tcPr>
            <w:tcW w:w="0" w:type="auto"/>
            <w:vMerge w:val="restart"/>
            <w:shd w:val="clear" w:color="auto" w:fill="FFFFFF"/>
          </w:tcPr>
          <w:p w14:paraId="68091B04" w14:textId="77777777" w:rsidR="00CF33D9" w:rsidRDefault="00E3332A">
            <w:pPr>
              <w:pStyle w:val="NormalWeb"/>
              <w:spacing w:line="200" w:lineRule="exact"/>
              <w:contextualSpacing/>
              <w:rPr>
                <w:rFonts w:ascii="Calibri" w:hAnsi="Calibri" w:cs="Calibri"/>
                <w:color w:val="000000" w:themeColor="text1"/>
                <w:sz w:val="20"/>
                <w:szCs w:val="20"/>
              </w:rPr>
            </w:pPr>
            <w:r>
              <w:rPr>
                <w:rFonts w:ascii="Calibri" w:hAnsi="Calibri" w:cs="Calibri"/>
                <w:b/>
                <w:bCs/>
                <w:color w:val="000000" w:themeColor="text1"/>
                <w:sz w:val="20"/>
                <w:szCs w:val="20"/>
              </w:rPr>
              <w:t>Component 2</w:t>
            </w:r>
            <w:r>
              <w:rPr>
                <w:rFonts w:ascii="Calibri" w:hAnsi="Calibri" w:cs="Calibri"/>
                <w:color w:val="000000" w:themeColor="text1"/>
                <w:sz w:val="20"/>
                <w:szCs w:val="20"/>
              </w:rPr>
              <w:t xml:space="preserve">: Enhance sustainable and climate resilient marine living resources and their value chains in the BCLME </w:t>
            </w:r>
          </w:p>
          <w:p w14:paraId="68091B05"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val="restart"/>
            <w:shd w:val="clear" w:color="auto" w:fill="FFFFFF"/>
          </w:tcPr>
          <w:p w14:paraId="68091B06" w14:textId="77777777" w:rsidR="00CF33D9" w:rsidRDefault="00E3332A">
            <w:pPr>
              <w:pStyle w:val="NormalWeb"/>
              <w:spacing w:line="200" w:lineRule="exact"/>
              <w:contextualSpacing/>
              <w:rPr>
                <w:rFonts w:ascii="Calibri" w:hAnsi="Calibri" w:cs="Calibri"/>
                <w:color w:val="000000" w:themeColor="text1"/>
                <w:sz w:val="20"/>
                <w:szCs w:val="20"/>
              </w:rPr>
            </w:pPr>
            <w:r>
              <w:rPr>
                <w:rFonts w:ascii="Calibri" w:hAnsi="Calibri" w:cs="Calibri"/>
                <w:color w:val="000000" w:themeColor="text1"/>
                <w:sz w:val="20"/>
                <w:szCs w:val="20"/>
              </w:rPr>
              <w:t xml:space="preserve">2.1: Climate resilient and sustainably managed fisheries and seafood </w:t>
            </w:r>
          </w:p>
          <w:p w14:paraId="68091B07"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vMerge w:val="restart"/>
            <w:shd w:val="clear" w:color="auto" w:fill="FFFFFF"/>
          </w:tcPr>
          <w:p w14:paraId="68091B08" w14:textId="77777777" w:rsidR="00CF33D9" w:rsidRDefault="00E3332A">
            <w:pPr>
              <w:pStyle w:val="NormalWeb"/>
              <w:spacing w:line="200" w:lineRule="exact"/>
              <w:contextualSpacing/>
              <w:rPr>
                <w:rFonts w:ascii="Calibri" w:hAnsi="Calibri" w:cs="Calibri"/>
                <w:color w:val="000000" w:themeColor="text1"/>
                <w:sz w:val="20"/>
                <w:szCs w:val="20"/>
              </w:rPr>
            </w:pPr>
            <w:r>
              <w:rPr>
                <w:rFonts w:ascii="Calibri" w:hAnsi="Calibri" w:cs="Calibri"/>
                <w:color w:val="000000" w:themeColor="text1"/>
                <w:sz w:val="20"/>
                <w:szCs w:val="20"/>
              </w:rPr>
              <w:t>2.1.1: Bilateral agreements for joint sustainable and climate resilient management of transboundary fish stocks (Cape horse mackerel, Cape hakes) developed and implemented to curb IUU fishing</w:t>
            </w:r>
          </w:p>
          <w:p w14:paraId="68091B09"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shd w:val="clear" w:color="auto" w:fill="FFFFFF"/>
          </w:tcPr>
          <w:p w14:paraId="68091B0A" w14:textId="77777777" w:rsidR="00CF33D9" w:rsidRDefault="00E3332A">
            <w:pPr>
              <w:pStyle w:val="UNDPbulletpoint"/>
              <w:numPr>
                <w:ilvl w:val="0"/>
                <w:numId w:val="84"/>
              </w:numPr>
              <w:spacing w:line="200" w:lineRule="exact"/>
              <w:ind w:left="169" w:hanging="169"/>
              <w:rPr>
                <w:sz w:val="20"/>
                <w:szCs w:val="20"/>
              </w:rPr>
            </w:pPr>
            <w:r>
              <w:rPr>
                <w:sz w:val="20"/>
                <w:szCs w:val="20"/>
              </w:rPr>
              <w:t>Activity 2.1.1.1: Identification and needs analysis for joint sustainable climate resilient management of transboundary fish stock (Cape horse mackerel, Cape hakes) and (based on findings) drafting of possible bilateral agreements</w:t>
            </w:r>
          </w:p>
        </w:tc>
      </w:tr>
      <w:tr w:rsidR="00CF33D9" w14:paraId="68091B10" w14:textId="77777777">
        <w:trPr>
          <w:trHeight w:val="513"/>
        </w:trPr>
        <w:tc>
          <w:tcPr>
            <w:tcW w:w="0" w:type="auto"/>
            <w:vMerge/>
            <w:shd w:val="clear" w:color="auto" w:fill="FFFFFF"/>
          </w:tcPr>
          <w:p w14:paraId="68091B0C" w14:textId="77777777" w:rsidR="00CF33D9" w:rsidRDefault="00CF33D9">
            <w:pPr>
              <w:pStyle w:val="NormalWeb"/>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B0D"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vMerge/>
            <w:shd w:val="clear" w:color="auto" w:fill="FFFFFF"/>
          </w:tcPr>
          <w:p w14:paraId="68091B0E"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shd w:val="clear" w:color="auto" w:fill="FFFFFF"/>
          </w:tcPr>
          <w:p w14:paraId="68091B0F" w14:textId="77777777" w:rsidR="00CF33D9" w:rsidRDefault="00E3332A">
            <w:pPr>
              <w:pStyle w:val="UNDPbulletpoint"/>
              <w:numPr>
                <w:ilvl w:val="0"/>
                <w:numId w:val="84"/>
              </w:numPr>
              <w:spacing w:line="200" w:lineRule="exact"/>
              <w:ind w:left="169" w:hanging="169"/>
              <w:rPr>
                <w:sz w:val="20"/>
                <w:szCs w:val="20"/>
              </w:rPr>
            </w:pPr>
            <w:r>
              <w:rPr>
                <w:sz w:val="20"/>
                <w:szCs w:val="20"/>
              </w:rPr>
              <w:t>Activity 2.1.1.2: Design and establishment of multinational committee including key members of each government and stakeholders in the fishery sector, and in the transboundary sustainable climate resilient management. Define roll and responsibilities of the committee members and frequency of meetings.</w:t>
            </w:r>
          </w:p>
        </w:tc>
      </w:tr>
      <w:tr w:rsidR="00CF33D9" w14:paraId="68091B15" w14:textId="77777777">
        <w:trPr>
          <w:trHeight w:val="513"/>
        </w:trPr>
        <w:tc>
          <w:tcPr>
            <w:tcW w:w="0" w:type="auto"/>
            <w:vMerge/>
            <w:shd w:val="clear" w:color="auto" w:fill="FFFFFF"/>
          </w:tcPr>
          <w:p w14:paraId="68091B11" w14:textId="77777777" w:rsidR="00CF33D9" w:rsidRDefault="00CF33D9">
            <w:pPr>
              <w:pStyle w:val="NormalWeb"/>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B12"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vMerge/>
            <w:shd w:val="clear" w:color="auto" w:fill="FFFFFF"/>
          </w:tcPr>
          <w:p w14:paraId="68091B13"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shd w:val="clear" w:color="auto" w:fill="FFFFFF"/>
          </w:tcPr>
          <w:p w14:paraId="68091B14" w14:textId="77777777" w:rsidR="00CF33D9" w:rsidRDefault="00E3332A">
            <w:pPr>
              <w:pStyle w:val="UNDPbulletpoint"/>
              <w:numPr>
                <w:ilvl w:val="0"/>
                <w:numId w:val="84"/>
              </w:numPr>
              <w:spacing w:line="200" w:lineRule="exact"/>
              <w:ind w:left="169" w:hanging="169"/>
              <w:rPr>
                <w:sz w:val="20"/>
                <w:szCs w:val="20"/>
              </w:rPr>
            </w:pPr>
            <w:r>
              <w:rPr>
                <w:sz w:val="20"/>
                <w:szCs w:val="20"/>
              </w:rPr>
              <w:t xml:space="preserve">Activity 2.1.1.3: Consultation on draft bilateral agreements and updating of same for </w:t>
            </w:r>
            <w:r>
              <w:rPr>
                <w:sz w:val="20"/>
                <w:szCs w:val="20"/>
              </w:rPr>
              <w:lastRenderedPageBreak/>
              <w:t>discussion and adoption in the National assembly or parliament. Two-pronged consultations, comprising i) consultation with the multinational committee on the draft bilateral agreements, and ii) stakeholder consultation on the draft bilateral agreements with relevant ministries, and agencies, together with key actors in the private sector, MPAs and coastal ecosystem communities.</w:t>
            </w:r>
          </w:p>
        </w:tc>
      </w:tr>
      <w:tr w:rsidR="00CF33D9" w14:paraId="68091B1A" w14:textId="77777777">
        <w:trPr>
          <w:trHeight w:val="513"/>
        </w:trPr>
        <w:tc>
          <w:tcPr>
            <w:tcW w:w="0" w:type="auto"/>
            <w:vMerge/>
            <w:shd w:val="clear" w:color="auto" w:fill="FFFFFF"/>
          </w:tcPr>
          <w:p w14:paraId="68091B16" w14:textId="77777777" w:rsidR="00CF33D9" w:rsidRDefault="00CF33D9">
            <w:pPr>
              <w:pStyle w:val="NormalWeb"/>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B17"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vMerge/>
            <w:shd w:val="clear" w:color="auto" w:fill="FFFFFF"/>
          </w:tcPr>
          <w:p w14:paraId="68091B18"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shd w:val="clear" w:color="auto" w:fill="FFFFFF"/>
          </w:tcPr>
          <w:p w14:paraId="68091B19" w14:textId="77777777" w:rsidR="00CF33D9" w:rsidRDefault="00E3332A">
            <w:pPr>
              <w:pStyle w:val="UNDPbulletpoint"/>
              <w:numPr>
                <w:ilvl w:val="0"/>
                <w:numId w:val="84"/>
              </w:numPr>
              <w:spacing w:line="200" w:lineRule="exact"/>
              <w:ind w:left="169" w:hanging="169"/>
              <w:rPr>
                <w:sz w:val="20"/>
                <w:szCs w:val="20"/>
              </w:rPr>
            </w:pPr>
            <w:r>
              <w:rPr>
                <w:sz w:val="20"/>
                <w:szCs w:val="20"/>
              </w:rPr>
              <w:t>Activity 2.1.1.4: Implementation and incorporation of the bilateral agreements for joint sustainable and climate resilient management of transboundary fish stock.</w:t>
            </w:r>
          </w:p>
        </w:tc>
      </w:tr>
      <w:tr w:rsidR="00CF33D9" w14:paraId="68091B1F" w14:textId="77777777">
        <w:trPr>
          <w:trHeight w:val="513"/>
        </w:trPr>
        <w:tc>
          <w:tcPr>
            <w:tcW w:w="0" w:type="auto"/>
            <w:vMerge/>
            <w:shd w:val="clear" w:color="auto" w:fill="FFFFFF"/>
          </w:tcPr>
          <w:p w14:paraId="68091B1B" w14:textId="77777777" w:rsidR="00CF33D9" w:rsidRDefault="00CF33D9">
            <w:pPr>
              <w:pStyle w:val="NormalWeb"/>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B1C"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vMerge/>
            <w:shd w:val="clear" w:color="auto" w:fill="FFFFFF"/>
          </w:tcPr>
          <w:p w14:paraId="68091B1D"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shd w:val="clear" w:color="auto" w:fill="FFFFFF"/>
          </w:tcPr>
          <w:p w14:paraId="68091B1E" w14:textId="77777777" w:rsidR="00CF33D9" w:rsidRDefault="00E3332A">
            <w:pPr>
              <w:pStyle w:val="UNDPbulletpoint"/>
              <w:numPr>
                <w:ilvl w:val="0"/>
                <w:numId w:val="84"/>
              </w:numPr>
              <w:spacing w:line="200" w:lineRule="exact"/>
              <w:ind w:left="169" w:hanging="169"/>
              <w:rPr>
                <w:sz w:val="20"/>
                <w:szCs w:val="20"/>
              </w:rPr>
            </w:pPr>
            <w:r>
              <w:rPr>
                <w:sz w:val="20"/>
                <w:szCs w:val="20"/>
              </w:rPr>
              <w:t>Activity 2.1.1.5: Horizontal Support Services for implementation of the bilateral agreements, including:  i) awareness raising and communication campaign to relevant sectors of the general population; ii) knowledge transfer and capacity-building for key stakeholders implementing the joint sustainable and climate-resilient management of transboundary fish stock; iii) creation of a task force to enhance and facilitate the implementation at local level; and iv)  Monitoring and assessment of bilateral agreements implementation level and results</w:t>
            </w:r>
          </w:p>
        </w:tc>
      </w:tr>
      <w:tr w:rsidR="00CF33D9" w14:paraId="68091B24" w14:textId="77777777">
        <w:trPr>
          <w:trHeight w:val="442"/>
        </w:trPr>
        <w:tc>
          <w:tcPr>
            <w:tcW w:w="0" w:type="auto"/>
            <w:vMerge/>
            <w:shd w:val="clear" w:color="auto" w:fill="FFFFFF"/>
          </w:tcPr>
          <w:p w14:paraId="68091B20" w14:textId="77777777" w:rsidR="00CF33D9" w:rsidRDefault="00CF33D9">
            <w:pPr>
              <w:pStyle w:val="NormalWeb"/>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B21"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vMerge w:val="restart"/>
            <w:shd w:val="clear" w:color="auto" w:fill="FFFFFF"/>
          </w:tcPr>
          <w:p w14:paraId="68091B22" w14:textId="77777777" w:rsidR="00CF33D9" w:rsidRDefault="00E3332A">
            <w:pPr>
              <w:pStyle w:val="NormalWeb"/>
              <w:spacing w:line="200" w:lineRule="exact"/>
              <w:contextualSpacing/>
              <w:rPr>
                <w:rFonts w:ascii="Calibri" w:hAnsi="Calibri" w:cs="Calibri"/>
                <w:color w:val="000000" w:themeColor="text1"/>
                <w:sz w:val="20"/>
                <w:szCs w:val="20"/>
              </w:rPr>
            </w:pPr>
            <w:r>
              <w:rPr>
                <w:rFonts w:ascii="Calibri" w:hAnsi="Calibri" w:cs="Calibri"/>
                <w:color w:val="000000" w:themeColor="text1"/>
                <w:sz w:val="20"/>
                <w:szCs w:val="20"/>
              </w:rPr>
              <w:t>2.1.2: Sustainable and climate resilient mariculture opportunities and exploitation of other living marine resources at national levels identifies and plans for development and scaling up developed</w:t>
            </w:r>
          </w:p>
        </w:tc>
        <w:tc>
          <w:tcPr>
            <w:tcW w:w="0" w:type="auto"/>
            <w:shd w:val="clear" w:color="auto" w:fill="FFFFFF"/>
          </w:tcPr>
          <w:p w14:paraId="68091B23" w14:textId="77777777" w:rsidR="00CF33D9" w:rsidRDefault="00E3332A">
            <w:pPr>
              <w:pStyle w:val="UNDPbulletpoint"/>
              <w:numPr>
                <w:ilvl w:val="0"/>
                <w:numId w:val="84"/>
              </w:numPr>
              <w:spacing w:line="200" w:lineRule="exact"/>
              <w:ind w:left="169" w:hanging="169"/>
              <w:rPr>
                <w:sz w:val="20"/>
                <w:szCs w:val="20"/>
              </w:rPr>
            </w:pPr>
            <w:r>
              <w:rPr>
                <w:sz w:val="20"/>
                <w:szCs w:val="20"/>
              </w:rPr>
              <w:t>Activity 2.1.2.1: Identification and needs analysis of selected MPAs and coastal ecosystems for sustainable and climate resilient mariculture opportunities and other living marine resources.</w:t>
            </w:r>
          </w:p>
        </w:tc>
      </w:tr>
      <w:tr w:rsidR="00CF33D9" w14:paraId="68091B29" w14:textId="77777777">
        <w:trPr>
          <w:trHeight w:val="441"/>
        </w:trPr>
        <w:tc>
          <w:tcPr>
            <w:tcW w:w="0" w:type="auto"/>
            <w:vMerge/>
            <w:shd w:val="clear" w:color="auto" w:fill="FFFFFF"/>
          </w:tcPr>
          <w:p w14:paraId="68091B25" w14:textId="77777777" w:rsidR="00CF33D9" w:rsidRDefault="00CF33D9">
            <w:pPr>
              <w:pStyle w:val="NormalWeb"/>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B26"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vMerge/>
            <w:shd w:val="clear" w:color="auto" w:fill="FFFFFF"/>
          </w:tcPr>
          <w:p w14:paraId="68091B27"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shd w:val="clear" w:color="auto" w:fill="FFFFFF"/>
          </w:tcPr>
          <w:p w14:paraId="68091B28" w14:textId="77777777" w:rsidR="00CF33D9" w:rsidRDefault="00E3332A">
            <w:pPr>
              <w:pStyle w:val="UNDPbulletpoint"/>
              <w:numPr>
                <w:ilvl w:val="0"/>
                <w:numId w:val="84"/>
              </w:numPr>
              <w:spacing w:line="200" w:lineRule="exact"/>
              <w:ind w:left="169" w:hanging="169"/>
              <w:rPr>
                <w:sz w:val="20"/>
                <w:szCs w:val="20"/>
              </w:rPr>
            </w:pPr>
            <w:r>
              <w:rPr>
                <w:sz w:val="20"/>
                <w:szCs w:val="20"/>
              </w:rPr>
              <w:t>Activity 2.1.2.2: Development of draft plan for sustainable and climate resilient mariculture opportunities and exploitation of other living marine resources, and scaling up and updating of plan (following stakeholder consultations) for presentation for discussion and adoption in the National Assembly or Parliament.</w:t>
            </w:r>
          </w:p>
        </w:tc>
      </w:tr>
      <w:tr w:rsidR="00CF33D9" w14:paraId="68091B2E" w14:textId="77777777">
        <w:trPr>
          <w:trHeight w:val="441"/>
        </w:trPr>
        <w:tc>
          <w:tcPr>
            <w:tcW w:w="0" w:type="auto"/>
            <w:vMerge/>
            <w:shd w:val="clear" w:color="auto" w:fill="FFFFFF"/>
          </w:tcPr>
          <w:p w14:paraId="68091B2A" w14:textId="77777777" w:rsidR="00CF33D9" w:rsidRDefault="00CF33D9">
            <w:pPr>
              <w:pStyle w:val="NormalWeb"/>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B2B"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vMerge/>
            <w:shd w:val="clear" w:color="auto" w:fill="FFFFFF"/>
          </w:tcPr>
          <w:p w14:paraId="68091B2C"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shd w:val="clear" w:color="auto" w:fill="FFFFFF"/>
          </w:tcPr>
          <w:p w14:paraId="68091B2D" w14:textId="77777777" w:rsidR="00CF33D9" w:rsidRDefault="00E3332A">
            <w:pPr>
              <w:pStyle w:val="UNDPbulletpoint"/>
              <w:numPr>
                <w:ilvl w:val="0"/>
                <w:numId w:val="84"/>
              </w:numPr>
              <w:spacing w:line="200" w:lineRule="exact"/>
              <w:ind w:left="169" w:hanging="169"/>
              <w:rPr>
                <w:sz w:val="20"/>
                <w:szCs w:val="20"/>
              </w:rPr>
            </w:pPr>
            <w:r>
              <w:rPr>
                <w:sz w:val="20"/>
                <w:szCs w:val="20"/>
              </w:rPr>
              <w:t xml:space="preserve">Activity 2.1.2.3: Implementation and incorporation of the sustainable and climate resilient mariculture opportunities and exploitation of other living marine resources plans and scaling up plans tailored according to </w:t>
            </w:r>
            <w:r>
              <w:rPr>
                <w:sz w:val="20"/>
                <w:szCs w:val="20"/>
              </w:rPr>
              <w:lastRenderedPageBreak/>
              <w:t>the selected MPAs and coastal ecosystems (including initial awareness-raising and communication campaign to populations of these MPAs) .</w:t>
            </w:r>
          </w:p>
        </w:tc>
      </w:tr>
      <w:tr w:rsidR="00CF33D9" w14:paraId="68091B33" w14:textId="77777777">
        <w:trPr>
          <w:trHeight w:val="374"/>
        </w:trPr>
        <w:tc>
          <w:tcPr>
            <w:tcW w:w="0" w:type="auto"/>
            <w:vMerge/>
            <w:shd w:val="clear" w:color="auto" w:fill="FFFFFF"/>
          </w:tcPr>
          <w:p w14:paraId="68091B2F" w14:textId="77777777" w:rsidR="00CF33D9" w:rsidRDefault="00CF33D9">
            <w:pPr>
              <w:pStyle w:val="NormalWeb"/>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B30"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vMerge w:val="restart"/>
            <w:shd w:val="clear" w:color="auto" w:fill="FFFFFF"/>
          </w:tcPr>
          <w:p w14:paraId="68091B31" w14:textId="77777777" w:rsidR="00CF33D9" w:rsidRDefault="00E3332A">
            <w:pPr>
              <w:pStyle w:val="NormalWeb"/>
              <w:spacing w:line="200" w:lineRule="exact"/>
              <w:contextualSpacing/>
              <w:rPr>
                <w:rFonts w:ascii="Calibri" w:hAnsi="Calibri" w:cs="Calibri"/>
                <w:color w:val="000000" w:themeColor="text1"/>
                <w:sz w:val="20"/>
                <w:szCs w:val="20"/>
              </w:rPr>
            </w:pPr>
            <w:r>
              <w:rPr>
                <w:rFonts w:ascii="Calibri" w:hAnsi="Calibri" w:cs="Calibri"/>
                <w:color w:val="000000" w:themeColor="text1"/>
                <w:sz w:val="20"/>
                <w:szCs w:val="20"/>
              </w:rPr>
              <w:t>2.1.3: Third-party sustainability and climate resilience certifications for fish and seafood products undertaken</w:t>
            </w:r>
          </w:p>
        </w:tc>
        <w:tc>
          <w:tcPr>
            <w:tcW w:w="0" w:type="auto"/>
            <w:shd w:val="clear" w:color="auto" w:fill="FFFFFF"/>
          </w:tcPr>
          <w:p w14:paraId="68091B32" w14:textId="77777777" w:rsidR="00CF33D9" w:rsidRDefault="00E3332A">
            <w:pPr>
              <w:pStyle w:val="UNDPbulletpoint"/>
              <w:numPr>
                <w:ilvl w:val="0"/>
                <w:numId w:val="84"/>
              </w:numPr>
              <w:spacing w:line="200" w:lineRule="exact"/>
              <w:ind w:left="169" w:hanging="169"/>
              <w:rPr>
                <w:sz w:val="20"/>
                <w:szCs w:val="20"/>
              </w:rPr>
            </w:pPr>
            <w:r>
              <w:rPr>
                <w:sz w:val="20"/>
                <w:szCs w:val="20"/>
              </w:rPr>
              <w:t>Activity 2.1.3.1: Needs analysis and identification of existing third-party certifications on sustainability and climate resilience for fish and seafood products in each participating country and selection of the specific third-party sustainability and climate resilience certifications for fish and seafood products based on the needs analysis findings</w:t>
            </w:r>
          </w:p>
        </w:tc>
      </w:tr>
      <w:tr w:rsidR="00CF33D9" w14:paraId="68091B38" w14:textId="77777777">
        <w:trPr>
          <w:trHeight w:val="371"/>
        </w:trPr>
        <w:tc>
          <w:tcPr>
            <w:tcW w:w="0" w:type="auto"/>
            <w:vMerge/>
            <w:shd w:val="clear" w:color="auto" w:fill="FFFFFF"/>
          </w:tcPr>
          <w:p w14:paraId="68091B34" w14:textId="77777777" w:rsidR="00CF33D9" w:rsidRDefault="00CF33D9">
            <w:pPr>
              <w:pStyle w:val="NormalWeb"/>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B35"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vMerge/>
            <w:shd w:val="clear" w:color="auto" w:fill="FFFFFF"/>
          </w:tcPr>
          <w:p w14:paraId="68091B36"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shd w:val="clear" w:color="auto" w:fill="FFFFFF"/>
          </w:tcPr>
          <w:p w14:paraId="68091B37" w14:textId="77777777" w:rsidR="00CF33D9" w:rsidRDefault="00E3332A">
            <w:pPr>
              <w:pStyle w:val="UNDPbulletpoint"/>
              <w:numPr>
                <w:ilvl w:val="0"/>
                <w:numId w:val="84"/>
              </w:numPr>
              <w:spacing w:line="200" w:lineRule="exact"/>
              <w:ind w:left="169" w:hanging="169"/>
              <w:rPr>
                <w:sz w:val="20"/>
                <w:szCs w:val="20"/>
              </w:rPr>
            </w:pPr>
            <w:r>
              <w:rPr>
                <w:sz w:val="20"/>
                <w:szCs w:val="20"/>
              </w:rPr>
              <w:t>Activity 2.1.3.2: Development of partnerships with third-party certification providers, Memoranda of Collaboration (MoCs) and agreement between the government and third-party(ies) to collaborate beyond the project implementation period, and awareness raising and dissemination of third-party certification benefits and advantages to the population (with gender-inclusive targets and messaging).</w:t>
            </w:r>
          </w:p>
        </w:tc>
      </w:tr>
      <w:tr w:rsidR="00CF33D9" w14:paraId="68091B3D" w14:textId="77777777">
        <w:trPr>
          <w:trHeight w:val="371"/>
        </w:trPr>
        <w:tc>
          <w:tcPr>
            <w:tcW w:w="0" w:type="auto"/>
            <w:vMerge/>
            <w:shd w:val="clear" w:color="auto" w:fill="FFFFFF"/>
          </w:tcPr>
          <w:p w14:paraId="68091B39" w14:textId="77777777" w:rsidR="00CF33D9" w:rsidRDefault="00CF33D9">
            <w:pPr>
              <w:pStyle w:val="NormalWeb"/>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B3A"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vMerge/>
            <w:shd w:val="clear" w:color="auto" w:fill="FFFFFF"/>
          </w:tcPr>
          <w:p w14:paraId="68091B3B"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shd w:val="clear" w:color="auto" w:fill="FFFFFF"/>
          </w:tcPr>
          <w:p w14:paraId="68091B3C" w14:textId="77777777" w:rsidR="00CF33D9" w:rsidRDefault="00E3332A">
            <w:pPr>
              <w:pStyle w:val="UNDPbulletpoint"/>
              <w:numPr>
                <w:ilvl w:val="0"/>
                <w:numId w:val="84"/>
              </w:numPr>
              <w:spacing w:line="200" w:lineRule="exact"/>
              <w:ind w:left="169" w:hanging="169"/>
              <w:rPr>
                <w:sz w:val="20"/>
                <w:szCs w:val="20"/>
              </w:rPr>
            </w:pPr>
            <w:r>
              <w:rPr>
                <w:sz w:val="20"/>
                <w:szCs w:val="20"/>
              </w:rPr>
              <w:t>Activity 2.1.3.3: Selected fish and seafood products of the MPAs and coastal ecosystem undergo certification, supported by the project, and  monitoring and assessment of the benefits of being a certified fish and seafood product (with gender-inclusive dimension on results and impact monitoring)</w:t>
            </w:r>
          </w:p>
        </w:tc>
      </w:tr>
      <w:tr w:rsidR="00CF33D9" w14:paraId="68091B42" w14:textId="77777777">
        <w:trPr>
          <w:trHeight w:val="412"/>
        </w:trPr>
        <w:tc>
          <w:tcPr>
            <w:tcW w:w="0" w:type="auto"/>
            <w:vMerge/>
            <w:shd w:val="clear" w:color="auto" w:fill="FFFFFF"/>
          </w:tcPr>
          <w:p w14:paraId="68091B3E" w14:textId="77777777" w:rsidR="00CF33D9" w:rsidRDefault="00CF33D9">
            <w:pPr>
              <w:pStyle w:val="NormalWeb"/>
              <w:spacing w:line="200" w:lineRule="exact"/>
              <w:contextualSpacing/>
              <w:rPr>
                <w:rFonts w:ascii="Calibri" w:hAnsi="Calibri" w:cs="Calibri"/>
                <w:b/>
                <w:bCs/>
                <w:color w:val="000000" w:themeColor="text1"/>
                <w:sz w:val="20"/>
                <w:szCs w:val="20"/>
              </w:rPr>
            </w:pPr>
          </w:p>
        </w:tc>
        <w:tc>
          <w:tcPr>
            <w:tcW w:w="0" w:type="auto"/>
            <w:vMerge w:val="restart"/>
            <w:shd w:val="clear" w:color="auto" w:fill="FFFFFF"/>
          </w:tcPr>
          <w:p w14:paraId="68091B3F" w14:textId="77777777" w:rsidR="00CF33D9" w:rsidRDefault="00E3332A">
            <w:pPr>
              <w:pStyle w:val="NormalWeb"/>
              <w:spacing w:line="200" w:lineRule="exact"/>
              <w:contextualSpacing/>
              <w:rPr>
                <w:rFonts w:ascii="Calibri" w:hAnsi="Calibri" w:cs="Calibri"/>
                <w:color w:val="000000" w:themeColor="text1"/>
                <w:sz w:val="20"/>
                <w:szCs w:val="20"/>
              </w:rPr>
            </w:pPr>
            <w:r>
              <w:rPr>
                <w:rFonts w:ascii="Calibri" w:hAnsi="Calibri" w:cs="Calibri"/>
                <w:color w:val="000000" w:themeColor="text1"/>
                <w:sz w:val="20"/>
                <w:szCs w:val="20"/>
              </w:rPr>
              <w:t>2.2: Market growth and diversification for BCLME sustainable and climate resilient marine commodities in domestic and international markets and improved socio-economic conditions of fishing communities</w:t>
            </w:r>
          </w:p>
        </w:tc>
        <w:tc>
          <w:tcPr>
            <w:tcW w:w="0" w:type="auto"/>
            <w:vMerge w:val="restart"/>
            <w:shd w:val="clear" w:color="auto" w:fill="FFFFFF"/>
          </w:tcPr>
          <w:p w14:paraId="68091B40" w14:textId="77777777" w:rsidR="00CF33D9" w:rsidRDefault="00E3332A">
            <w:pPr>
              <w:pStyle w:val="NormalWeb"/>
              <w:spacing w:line="200" w:lineRule="exact"/>
              <w:contextualSpacing/>
              <w:rPr>
                <w:rFonts w:ascii="Calibri" w:hAnsi="Calibri" w:cs="Calibri"/>
                <w:color w:val="000000" w:themeColor="text1"/>
                <w:sz w:val="20"/>
                <w:szCs w:val="20"/>
              </w:rPr>
            </w:pPr>
            <w:r>
              <w:rPr>
                <w:rFonts w:ascii="Calibri" w:hAnsi="Calibri" w:cs="Calibri"/>
                <w:color w:val="000000" w:themeColor="text1"/>
                <w:sz w:val="20"/>
                <w:szCs w:val="20"/>
              </w:rPr>
              <w:t>2.2.1: Fish, seafood and mariculture market research and analysis that takes into consideration climate change impacts developed at national and regional levels</w:t>
            </w:r>
          </w:p>
        </w:tc>
        <w:tc>
          <w:tcPr>
            <w:tcW w:w="0" w:type="auto"/>
            <w:shd w:val="clear" w:color="auto" w:fill="FFFFFF"/>
          </w:tcPr>
          <w:p w14:paraId="68091B41" w14:textId="77777777" w:rsidR="00CF33D9" w:rsidRDefault="00E3332A">
            <w:pPr>
              <w:pStyle w:val="ListParagraph"/>
              <w:numPr>
                <w:ilvl w:val="0"/>
                <w:numId w:val="90"/>
              </w:numPr>
              <w:spacing w:line="200" w:lineRule="exact"/>
              <w:ind w:left="164" w:hanging="164"/>
              <w:contextualSpacing/>
              <w:rPr>
                <w:rFonts w:ascii="Calibri" w:hAnsi="Calibri" w:cs="Calibri"/>
                <w:color w:val="000000" w:themeColor="text1"/>
                <w:sz w:val="20"/>
                <w:szCs w:val="20"/>
                <w:lang w:val="en-IE"/>
              </w:rPr>
            </w:pPr>
            <w:r>
              <w:rPr>
                <w:rFonts w:ascii="Calibri" w:hAnsi="Calibri" w:cs="Calibri"/>
                <w:sz w:val="20"/>
                <w:szCs w:val="20"/>
                <w:lang w:val="en-IE"/>
              </w:rPr>
              <w:t>Activity 2.2.1.1: Undertaking market research for fish, seafood and mariculture products, including on the climate change impact at national and regional levels and develop a report on the findings</w:t>
            </w:r>
          </w:p>
        </w:tc>
      </w:tr>
      <w:tr w:rsidR="00CF33D9" w14:paraId="68091B47" w14:textId="77777777">
        <w:trPr>
          <w:trHeight w:val="408"/>
        </w:trPr>
        <w:tc>
          <w:tcPr>
            <w:tcW w:w="0" w:type="auto"/>
            <w:vMerge/>
            <w:shd w:val="clear" w:color="auto" w:fill="FFFFFF"/>
          </w:tcPr>
          <w:p w14:paraId="68091B43" w14:textId="77777777" w:rsidR="00CF33D9" w:rsidRDefault="00CF33D9">
            <w:pPr>
              <w:pStyle w:val="NormalWeb"/>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B44"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vMerge/>
            <w:shd w:val="clear" w:color="auto" w:fill="FFFFFF"/>
          </w:tcPr>
          <w:p w14:paraId="68091B45"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shd w:val="clear" w:color="auto" w:fill="FFFFFF"/>
          </w:tcPr>
          <w:p w14:paraId="68091B46" w14:textId="77777777" w:rsidR="00CF33D9" w:rsidRDefault="00E3332A">
            <w:pPr>
              <w:pStyle w:val="ListParagraph"/>
              <w:numPr>
                <w:ilvl w:val="0"/>
                <w:numId w:val="90"/>
              </w:numPr>
              <w:spacing w:line="200" w:lineRule="exact"/>
              <w:ind w:left="164" w:hanging="164"/>
              <w:contextualSpacing/>
              <w:rPr>
                <w:rFonts w:ascii="Calibri" w:hAnsi="Calibri" w:cs="Calibri"/>
                <w:sz w:val="20"/>
                <w:szCs w:val="20"/>
                <w:lang w:val="en-IE"/>
              </w:rPr>
            </w:pPr>
            <w:r>
              <w:rPr>
                <w:rFonts w:ascii="Calibri" w:hAnsi="Calibri" w:cs="Calibri"/>
                <w:sz w:val="20"/>
                <w:szCs w:val="20"/>
                <w:lang w:val="en-IE"/>
              </w:rPr>
              <w:t>Activity 2.2.1.2: Development of market growth strategy and action plan (based on findings from 2.2.1.1) and identification of existing sustainable and climate resilient value chains.</w:t>
            </w:r>
          </w:p>
        </w:tc>
      </w:tr>
      <w:tr w:rsidR="00CF33D9" w14:paraId="68091B4C" w14:textId="77777777">
        <w:trPr>
          <w:trHeight w:val="408"/>
        </w:trPr>
        <w:tc>
          <w:tcPr>
            <w:tcW w:w="0" w:type="auto"/>
            <w:vMerge/>
            <w:shd w:val="clear" w:color="auto" w:fill="FFFFFF"/>
          </w:tcPr>
          <w:p w14:paraId="68091B48" w14:textId="77777777" w:rsidR="00CF33D9" w:rsidRDefault="00CF33D9">
            <w:pPr>
              <w:pStyle w:val="NormalWeb"/>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B49"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vMerge/>
            <w:shd w:val="clear" w:color="auto" w:fill="FFFFFF"/>
          </w:tcPr>
          <w:p w14:paraId="68091B4A"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shd w:val="clear" w:color="auto" w:fill="FFFFFF"/>
          </w:tcPr>
          <w:p w14:paraId="68091B4B" w14:textId="77777777" w:rsidR="00CF33D9" w:rsidRDefault="00E3332A">
            <w:pPr>
              <w:pStyle w:val="ListParagraph"/>
              <w:numPr>
                <w:ilvl w:val="0"/>
                <w:numId w:val="90"/>
              </w:numPr>
              <w:spacing w:line="200" w:lineRule="exact"/>
              <w:ind w:left="164" w:hanging="164"/>
              <w:contextualSpacing/>
              <w:rPr>
                <w:rFonts w:ascii="Calibri" w:hAnsi="Calibri" w:cs="Calibri"/>
                <w:color w:val="000000" w:themeColor="text1"/>
                <w:sz w:val="20"/>
                <w:szCs w:val="20"/>
                <w:lang w:val="en-IE"/>
              </w:rPr>
            </w:pPr>
            <w:r>
              <w:rPr>
                <w:rFonts w:ascii="Calibri" w:hAnsi="Calibri" w:cs="Calibri"/>
                <w:sz w:val="20"/>
                <w:szCs w:val="20"/>
                <w:lang w:val="en-IE"/>
              </w:rPr>
              <w:t xml:space="preserve">Activity 2.2.1.3: Organisation of stakeholder consultation programme on the market growth strategy and plan (including the determination of the current fish and seafood products at national and regional level as well as the potential for diversification and value addition </w:t>
            </w:r>
            <w:r>
              <w:rPr>
                <w:rFonts w:ascii="Calibri" w:hAnsi="Calibri" w:cs="Calibri"/>
                <w:sz w:val="20"/>
                <w:szCs w:val="20"/>
                <w:lang w:val="en-IE"/>
              </w:rPr>
              <w:lastRenderedPageBreak/>
              <w:t>and selection of sustainable and climate resilient value chains) and update the market growth strategy and plan following stakeholder feedback.</w:t>
            </w:r>
          </w:p>
        </w:tc>
      </w:tr>
      <w:tr w:rsidR="00CF33D9" w14:paraId="68091B51" w14:textId="77777777">
        <w:trPr>
          <w:trHeight w:val="408"/>
        </w:trPr>
        <w:tc>
          <w:tcPr>
            <w:tcW w:w="0" w:type="auto"/>
            <w:vMerge/>
            <w:shd w:val="clear" w:color="auto" w:fill="FFFFFF"/>
          </w:tcPr>
          <w:p w14:paraId="68091B4D" w14:textId="77777777" w:rsidR="00CF33D9" w:rsidRDefault="00CF33D9">
            <w:pPr>
              <w:pStyle w:val="NormalWeb"/>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B4E"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vMerge/>
            <w:shd w:val="clear" w:color="auto" w:fill="FFFFFF"/>
          </w:tcPr>
          <w:p w14:paraId="68091B4F"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shd w:val="clear" w:color="auto" w:fill="FFFFFF"/>
          </w:tcPr>
          <w:p w14:paraId="68091B50" w14:textId="77777777" w:rsidR="00CF33D9" w:rsidRDefault="00E3332A">
            <w:pPr>
              <w:pStyle w:val="ListParagraph"/>
              <w:numPr>
                <w:ilvl w:val="0"/>
                <w:numId w:val="90"/>
              </w:numPr>
              <w:spacing w:line="200" w:lineRule="exact"/>
              <w:ind w:left="164" w:hanging="164"/>
              <w:contextualSpacing/>
              <w:rPr>
                <w:rFonts w:ascii="Calibri" w:hAnsi="Calibri" w:cs="Calibri"/>
                <w:sz w:val="20"/>
                <w:szCs w:val="20"/>
                <w:lang w:val="en-IE"/>
              </w:rPr>
            </w:pPr>
            <w:r>
              <w:rPr>
                <w:rFonts w:ascii="Calibri" w:hAnsi="Calibri" w:cs="Calibri"/>
                <w:sz w:val="20"/>
                <w:szCs w:val="20"/>
                <w:lang w:val="en-IE"/>
              </w:rPr>
              <w:t>Activity 2.2.1.4: Presentation and dissemination to government and local stakeholders of the tailored market growth and diversification strategy and action plan</w:t>
            </w:r>
          </w:p>
        </w:tc>
      </w:tr>
      <w:tr w:rsidR="00CF33D9" w14:paraId="68091B56" w14:textId="77777777">
        <w:trPr>
          <w:trHeight w:val="408"/>
        </w:trPr>
        <w:tc>
          <w:tcPr>
            <w:tcW w:w="0" w:type="auto"/>
            <w:vMerge/>
            <w:shd w:val="clear" w:color="auto" w:fill="FFFFFF"/>
          </w:tcPr>
          <w:p w14:paraId="68091B52" w14:textId="77777777" w:rsidR="00CF33D9" w:rsidRDefault="00CF33D9">
            <w:pPr>
              <w:pStyle w:val="NormalWeb"/>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B53"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vMerge/>
            <w:tcBorders>
              <w:bottom w:val="single" w:sz="4" w:space="0" w:color="auto"/>
            </w:tcBorders>
            <w:shd w:val="clear" w:color="auto" w:fill="FFFFFF"/>
          </w:tcPr>
          <w:p w14:paraId="68091B54"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tcBorders>
              <w:bottom w:val="single" w:sz="4" w:space="0" w:color="auto"/>
            </w:tcBorders>
            <w:shd w:val="clear" w:color="auto" w:fill="FFFFFF"/>
          </w:tcPr>
          <w:p w14:paraId="68091B55" w14:textId="77777777" w:rsidR="00CF33D9" w:rsidRDefault="00E3332A">
            <w:pPr>
              <w:pStyle w:val="ListParagraph"/>
              <w:numPr>
                <w:ilvl w:val="0"/>
                <w:numId w:val="90"/>
              </w:numPr>
              <w:spacing w:line="200" w:lineRule="exact"/>
              <w:ind w:left="164" w:hanging="164"/>
              <w:contextualSpacing/>
              <w:rPr>
                <w:rFonts w:ascii="Calibri" w:hAnsi="Calibri" w:cs="Calibri"/>
                <w:sz w:val="20"/>
                <w:szCs w:val="20"/>
                <w:lang w:val="en-IE"/>
              </w:rPr>
            </w:pPr>
            <w:r>
              <w:rPr>
                <w:rFonts w:ascii="Calibri" w:hAnsi="Calibri" w:cs="Calibri"/>
                <w:sz w:val="20"/>
                <w:szCs w:val="20"/>
                <w:lang w:val="en-IE"/>
              </w:rPr>
              <w:t>Activity 2.2.1.8: Implementation and adoption of the tailored market growth and diversification strategy and action plan in each country.</w:t>
            </w:r>
          </w:p>
        </w:tc>
      </w:tr>
      <w:tr w:rsidR="00CF33D9" w14:paraId="68091B5B" w14:textId="77777777">
        <w:trPr>
          <w:trHeight w:val="379"/>
        </w:trPr>
        <w:tc>
          <w:tcPr>
            <w:tcW w:w="0" w:type="auto"/>
            <w:vMerge/>
            <w:shd w:val="clear" w:color="auto" w:fill="FFFFFF"/>
          </w:tcPr>
          <w:p w14:paraId="68091B57" w14:textId="77777777" w:rsidR="00CF33D9" w:rsidRDefault="00CF33D9">
            <w:pPr>
              <w:pStyle w:val="NormalWeb"/>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B58"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vMerge w:val="restart"/>
            <w:shd w:val="clear" w:color="auto" w:fill="FFFFFF"/>
          </w:tcPr>
          <w:p w14:paraId="68091B59" w14:textId="77777777" w:rsidR="00CF33D9" w:rsidRDefault="00E3332A">
            <w:pPr>
              <w:pStyle w:val="NormalWeb"/>
              <w:spacing w:line="200" w:lineRule="exact"/>
              <w:contextualSpacing/>
              <w:rPr>
                <w:rFonts w:ascii="Calibri" w:hAnsi="Calibri" w:cs="Calibri"/>
                <w:color w:val="000000" w:themeColor="text1"/>
                <w:sz w:val="20"/>
                <w:szCs w:val="20"/>
              </w:rPr>
            </w:pPr>
            <w:r>
              <w:rPr>
                <w:rFonts w:ascii="Calibri" w:hAnsi="Calibri" w:cs="Calibri"/>
                <w:color w:val="000000" w:themeColor="text1"/>
                <w:sz w:val="20"/>
                <w:szCs w:val="20"/>
              </w:rPr>
              <w:t>2.2.2: Capacities for sustainable and climate resilient value chains developed (with a gender sensitive approach) for new and diversified fish and seafood products, including mariculture</w:t>
            </w:r>
          </w:p>
        </w:tc>
        <w:tc>
          <w:tcPr>
            <w:tcW w:w="0" w:type="auto"/>
            <w:shd w:val="clear" w:color="auto" w:fill="FFFFFF"/>
          </w:tcPr>
          <w:p w14:paraId="68091B5A" w14:textId="77777777" w:rsidR="00CF33D9" w:rsidRDefault="00E3332A">
            <w:pPr>
              <w:pStyle w:val="ListParagraph"/>
              <w:numPr>
                <w:ilvl w:val="0"/>
                <w:numId w:val="91"/>
              </w:numPr>
              <w:spacing w:line="200" w:lineRule="exact"/>
              <w:ind w:left="164" w:hanging="142"/>
              <w:contextualSpacing/>
              <w:rPr>
                <w:rFonts w:ascii="Calibri" w:hAnsi="Calibri" w:cs="Calibri"/>
                <w:sz w:val="20"/>
                <w:szCs w:val="20"/>
                <w:lang w:val="en-IE"/>
              </w:rPr>
            </w:pPr>
            <w:r>
              <w:rPr>
                <w:rFonts w:ascii="Calibri" w:hAnsi="Calibri" w:cs="Calibri"/>
                <w:sz w:val="20"/>
                <w:szCs w:val="20"/>
                <w:lang w:val="en-IE"/>
              </w:rPr>
              <w:t>Activity 2.2.2.1: Identification and needs analysis of stakeholder that are/will be key actors in building sustainable and climate resilient value chains and development of capacity building and training programme to address the identified key actors’ needs (including gender-responsive criteria for selecting key actors)</w:t>
            </w:r>
          </w:p>
        </w:tc>
      </w:tr>
      <w:tr w:rsidR="00CF33D9" w14:paraId="68091B60" w14:textId="77777777">
        <w:trPr>
          <w:trHeight w:val="376"/>
        </w:trPr>
        <w:tc>
          <w:tcPr>
            <w:tcW w:w="0" w:type="auto"/>
            <w:vMerge/>
            <w:shd w:val="clear" w:color="auto" w:fill="FFFFFF"/>
          </w:tcPr>
          <w:p w14:paraId="68091B5C" w14:textId="77777777" w:rsidR="00CF33D9" w:rsidRDefault="00CF33D9">
            <w:pPr>
              <w:pStyle w:val="NormalWeb"/>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B5D"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vMerge/>
            <w:shd w:val="clear" w:color="auto" w:fill="FFFFFF"/>
          </w:tcPr>
          <w:p w14:paraId="68091B5E"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shd w:val="clear" w:color="auto" w:fill="FFFFFF"/>
          </w:tcPr>
          <w:p w14:paraId="68091B5F" w14:textId="77777777" w:rsidR="00CF33D9" w:rsidRDefault="00E3332A">
            <w:pPr>
              <w:pStyle w:val="ListParagraph"/>
              <w:numPr>
                <w:ilvl w:val="0"/>
                <w:numId w:val="91"/>
              </w:numPr>
              <w:spacing w:line="200" w:lineRule="exact"/>
              <w:ind w:left="164" w:hanging="142"/>
              <w:contextualSpacing/>
              <w:rPr>
                <w:rFonts w:ascii="Calibri" w:hAnsi="Calibri" w:cs="Calibri"/>
                <w:sz w:val="20"/>
                <w:szCs w:val="20"/>
                <w:lang w:val="en-IE"/>
              </w:rPr>
            </w:pPr>
            <w:r>
              <w:rPr>
                <w:rFonts w:ascii="Calibri" w:hAnsi="Calibri" w:cs="Calibri"/>
                <w:sz w:val="20"/>
                <w:szCs w:val="20"/>
                <w:lang w:val="en-IE"/>
              </w:rPr>
              <w:t>Activity 2.2.2.2: Implementation of sustainable and climate resilient value chains capacity building and training programme (40% or more of participants must be females) and monitoring and assessment of the results</w:t>
            </w:r>
          </w:p>
        </w:tc>
      </w:tr>
      <w:tr w:rsidR="00CF33D9" w14:paraId="68091B65" w14:textId="77777777">
        <w:trPr>
          <w:trHeight w:val="210"/>
        </w:trPr>
        <w:tc>
          <w:tcPr>
            <w:tcW w:w="0" w:type="auto"/>
            <w:vMerge/>
            <w:shd w:val="clear" w:color="auto" w:fill="FFFFFF"/>
          </w:tcPr>
          <w:p w14:paraId="68091B61" w14:textId="77777777" w:rsidR="00CF33D9" w:rsidRDefault="00CF33D9">
            <w:pPr>
              <w:pStyle w:val="NormalWeb"/>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B62"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vMerge w:val="restart"/>
            <w:shd w:val="clear" w:color="auto" w:fill="FFFFFF"/>
          </w:tcPr>
          <w:p w14:paraId="68091B63" w14:textId="77777777" w:rsidR="00CF33D9" w:rsidRDefault="00E3332A">
            <w:pPr>
              <w:pStyle w:val="NormalWeb"/>
              <w:spacing w:line="200" w:lineRule="exact"/>
              <w:contextualSpacing/>
              <w:rPr>
                <w:rFonts w:ascii="Calibri" w:hAnsi="Calibri" w:cs="Calibri"/>
                <w:color w:val="000000" w:themeColor="text1"/>
                <w:sz w:val="20"/>
                <w:szCs w:val="20"/>
              </w:rPr>
            </w:pPr>
            <w:r>
              <w:rPr>
                <w:rFonts w:ascii="Calibri" w:hAnsi="Calibri" w:cs="Calibri"/>
                <w:color w:val="000000" w:themeColor="text1"/>
                <w:sz w:val="20"/>
                <w:szCs w:val="20"/>
              </w:rPr>
              <w:t>2.2.3: New climate resilient markets identified, explored and viable ones engaged</w:t>
            </w:r>
          </w:p>
        </w:tc>
        <w:tc>
          <w:tcPr>
            <w:tcW w:w="0" w:type="auto"/>
            <w:shd w:val="clear" w:color="auto" w:fill="FFFFFF"/>
          </w:tcPr>
          <w:p w14:paraId="68091B64" w14:textId="77777777" w:rsidR="00CF33D9" w:rsidRDefault="00E3332A">
            <w:pPr>
              <w:pStyle w:val="ListParagraph"/>
              <w:numPr>
                <w:ilvl w:val="0"/>
                <w:numId w:val="91"/>
              </w:numPr>
              <w:spacing w:line="200" w:lineRule="exact"/>
              <w:ind w:left="164" w:hanging="164"/>
              <w:contextualSpacing/>
              <w:rPr>
                <w:rFonts w:ascii="Calibri" w:hAnsi="Calibri" w:cs="Calibri"/>
                <w:sz w:val="20"/>
                <w:szCs w:val="20"/>
                <w:lang w:val="en-IE"/>
              </w:rPr>
            </w:pPr>
            <w:r>
              <w:rPr>
                <w:rFonts w:ascii="Calibri" w:hAnsi="Calibri" w:cs="Calibri"/>
                <w:sz w:val="20"/>
                <w:szCs w:val="20"/>
                <w:lang w:val="en-IE"/>
              </w:rPr>
              <w:t>Activity 2.2.3.1: Implementation of sustainable and climate resilient value chains capacity building and training and monitoring and assessment of the results</w:t>
            </w:r>
          </w:p>
        </w:tc>
      </w:tr>
      <w:tr w:rsidR="00CF33D9" w14:paraId="68091B6A" w14:textId="77777777">
        <w:trPr>
          <w:trHeight w:val="207"/>
        </w:trPr>
        <w:tc>
          <w:tcPr>
            <w:tcW w:w="0" w:type="auto"/>
            <w:vMerge/>
            <w:shd w:val="clear" w:color="auto" w:fill="FFFFFF"/>
          </w:tcPr>
          <w:p w14:paraId="68091B66" w14:textId="77777777" w:rsidR="00CF33D9" w:rsidRDefault="00CF33D9">
            <w:pPr>
              <w:pStyle w:val="NormalWeb"/>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B67"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vMerge/>
            <w:shd w:val="clear" w:color="auto" w:fill="FFFFFF"/>
          </w:tcPr>
          <w:p w14:paraId="68091B68"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shd w:val="clear" w:color="auto" w:fill="FFFFFF"/>
          </w:tcPr>
          <w:p w14:paraId="68091B69" w14:textId="77777777" w:rsidR="00CF33D9" w:rsidRDefault="00E3332A">
            <w:pPr>
              <w:pStyle w:val="ListParagraph"/>
              <w:numPr>
                <w:ilvl w:val="0"/>
                <w:numId w:val="91"/>
              </w:numPr>
              <w:spacing w:line="200" w:lineRule="exact"/>
              <w:ind w:left="164" w:hanging="164"/>
              <w:contextualSpacing/>
              <w:rPr>
                <w:rFonts w:ascii="Calibri" w:hAnsi="Calibri" w:cs="Calibri"/>
                <w:sz w:val="20"/>
                <w:szCs w:val="20"/>
                <w:lang w:val="en-IE"/>
              </w:rPr>
            </w:pPr>
            <w:r>
              <w:rPr>
                <w:rFonts w:ascii="Calibri" w:hAnsi="Calibri" w:cs="Calibri"/>
                <w:sz w:val="20"/>
                <w:szCs w:val="20"/>
                <w:lang w:val="en-IE"/>
              </w:rPr>
              <w:t>Activity 2.2.3.2: Exploration on and engagement of viable climate-resilient markets and report on the results achieved</w:t>
            </w:r>
          </w:p>
        </w:tc>
      </w:tr>
      <w:tr w:rsidR="00CF33D9" w14:paraId="68091B70" w14:textId="77777777">
        <w:trPr>
          <w:trHeight w:val="734"/>
        </w:trPr>
        <w:tc>
          <w:tcPr>
            <w:tcW w:w="0" w:type="auto"/>
            <w:vMerge w:val="restart"/>
            <w:shd w:val="clear" w:color="auto" w:fill="FFFFFF"/>
          </w:tcPr>
          <w:p w14:paraId="68091B6B" w14:textId="77777777" w:rsidR="00CF33D9" w:rsidRDefault="00E3332A">
            <w:pPr>
              <w:pStyle w:val="NormalWeb"/>
              <w:spacing w:line="200" w:lineRule="exact"/>
              <w:contextualSpacing/>
              <w:rPr>
                <w:rFonts w:ascii="Calibri" w:hAnsi="Calibri" w:cs="Calibri"/>
                <w:color w:val="000000" w:themeColor="text1"/>
                <w:sz w:val="20"/>
                <w:szCs w:val="20"/>
              </w:rPr>
            </w:pPr>
            <w:r>
              <w:rPr>
                <w:rFonts w:ascii="Calibri" w:hAnsi="Calibri" w:cs="Calibri"/>
                <w:b/>
                <w:bCs/>
                <w:color w:val="000000" w:themeColor="text1"/>
                <w:sz w:val="20"/>
                <w:szCs w:val="20"/>
              </w:rPr>
              <w:t>Component 3</w:t>
            </w:r>
            <w:r>
              <w:rPr>
                <w:rFonts w:ascii="Calibri" w:hAnsi="Calibri" w:cs="Calibri"/>
                <w:color w:val="000000" w:themeColor="text1"/>
                <w:sz w:val="20"/>
                <w:szCs w:val="20"/>
              </w:rPr>
              <w:t xml:space="preserve">: Improve coastal and marine pollution management in the BCLME </w:t>
            </w:r>
          </w:p>
        </w:tc>
        <w:tc>
          <w:tcPr>
            <w:tcW w:w="0" w:type="auto"/>
            <w:vMerge w:val="restart"/>
            <w:shd w:val="clear" w:color="auto" w:fill="FFFFFF"/>
          </w:tcPr>
          <w:p w14:paraId="68091B6C" w14:textId="77777777" w:rsidR="00CF33D9" w:rsidRDefault="00E333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00" w:lineRule="exact"/>
              <w:contextualSpacing/>
              <w:rPr>
                <w:rFonts w:ascii="Calibri" w:hAnsi="Calibri" w:cs="Calibri"/>
                <w:color w:val="000000" w:themeColor="text1"/>
                <w:sz w:val="20"/>
                <w:szCs w:val="20"/>
              </w:rPr>
            </w:pPr>
            <w:r>
              <w:rPr>
                <w:rFonts w:ascii="Calibri" w:hAnsi="Calibri" w:cs="Calibri"/>
                <w:color w:val="000000" w:themeColor="text1"/>
                <w:sz w:val="20"/>
                <w:szCs w:val="20"/>
              </w:rPr>
              <w:t xml:space="preserve">3.1 </w:t>
            </w:r>
            <w:r>
              <w:rPr>
                <w:rFonts w:ascii="Calibri" w:hAnsi="Calibri" w:cs="Calibri"/>
                <w:sz w:val="20"/>
                <w:szCs w:val="20"/>
              </w:rPr>
              <w:t>Reduced discharge of pollutants from ocean-based activities</w:t>
            </w:r>
            <w:r>
              <w:rPr>
                <w:rFonts w:ascii="Calibri" w:hAnsi="Calibri" w:cs="Calibri"/>
                <w:color w:val="000000" w:themeColor="text1"/>
                <w:sz w:val="20"/>
                <w:szCs w:val="20"/>
              </w:rPr>
              <w:t xml:space="preserve"> </w:t>
            </w:r>
          </w:p>
          <w:p w14:paraId="68091B6D"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val="restart"/>
            <w:shd w:val="clear" w:color="auto" w:fill="FFFFFF"/>
          </w:tcPr>
          <w:p w14:paraId="68091B6E" w14:textId="77777777" w:rsidR="00CF33D9" w:rsidRDefault="00E3332A">
            <w:pPr>
              <w:pStyle w:val="NormalWeb"/>
              <w:spacing w:line="200" w:lineRule="exact"/>
              <w:contextualSpacing/>
              <w:rPr>
                <w:rFonts w:ascii="Calibri" w:hAnsi="Calibri" w:cs="Calibri"/>
                <w:color w:val="000000" w:themeColor="text1"/>
                <w:sz w:val="20"/>
                <w:szCs w:val="20"/>
              </w:rPr>
            </w:pPr>
            <w:r>
              <w:rPr>
                <w:rFonts w:ascii="Calibri" w:hAnsi="Calibri" w:cs="Calibri"/>
                <w:color w:val="000000" w:themeColor="text1"/>
                <w:sz w:val="20"/>
                <w:szCs w:val="20"/>
              </w:rPr>
              <w:t>3.1.1 Policy and legislative frameworks developed/updated/strengthened</w:t>
            </w:r>
            <w:r>
              <w:rPr>
                <w:rFonts w:ascii="Calibri" w:hAnsi="Calibri" w:cs="Calibri"/>
                <w:color w:val="000000" w:themeColor="text1"/>
                <w:sz w:val="20"/>
                <w:szCs w:val="20"/>
              </w:rPr>
              <w:br/>
              <w:t>and related strategies in place to address pollution prevention and control and response from shipping and extractive industries in the BCLME</w:t>
            </w:r>
          </w:p>
        </w:tc>
        <w:tc>
          <w:tcPr>
            <w:tcW w:w="0" w:type="auto"/>
            <w:shd w:val="clear" w:color="auto" w:fill="FFFFFF"/>
          </w:tcPr>
          <w:p w14:paraId="68091B6F" w14:textId="77777777" w:rsidR="00CF33D9" w:rsidRDefault="00E3332A">
            <w:pPr>
              <w:pStyle w:val="NormalWeb"/>
              <w:numPr>
                <w:ilvl w:val="0"/>
                <w:numId w:val="92"/>
              </w:numPr>
              <w:spacing w:before="0" w:beforeAutospacing="0" w:after="120" w:afterAutospacing="0" w:line="200" w:lineRule="exact"/>
              <w:ind w:left="170" w:hanging="170"/>
              <w:textAlignment w:val="baseline"/>
              <w:rPr>
                <w:rFonts w:ascii="Calibri" w:hAnsi="Calibri" w:cs="Calibri"/>
                <w:color w:val="000000"/>
                <w:sz w:val="20"/>
                <w:szCs w:val="20"/>
              </w:rPr>
            </w:pPr>
            <w:r>
              <w:rPr>
                <w:rFonts w:ascii="Calibri" w:hAnsi="Calibri" w:cs="Calibri"/>
                <w:color w:val="000000" w:themeColor="text1"/>
                <w:sz w:val="20"/>
                <w:szCs w:val="20"/>
              </w:rPr>
              <w:t xml:space="preserve">Activity 3.1.1.1: </w:t>
            </w:r>
            <w:r>
              <w:rPr>
                <w:rFonts w:ascii="Calibri" w:hAnsi="Calibri" w:cs="Calibri"/>
                <w:color w:val="000000"/>
                <w:sz w:val="20"/>
                <w:szCs w:val="20"/>
              </w:rPr>
              <w:t>Conducting a baseline study for pollution emanating from the fishing vessels to inform policy development</w:t>
            </w:r>
          </w:p>
        </w:tc>
      </w:tr>
      <w:tr w:rsidR="00CF33D9" w14:paraId="68091B75" w14:textId="77777777">
        <w:trPr>
          <w:trHeight w:val="525"/>
        </w:trPr>
        <w:tc>
          <w:tcPr>
            <w:tcW w:w="0" w:type="auto"/>
            <w:vMerge/>
            <w:shd w:val="clear" w:color="auto" w:fill="FFFFFF"/>
          </w:tcPr>
          <w:p w14:paraId="68091B71" w14:textId="77777777" w:rsidR="00CF33D9" w:rsidRDefault="00CF33D9">
            <w:pPr>
              <w:pStyle w:val="NormalWeb"/>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B72" w14:textId="77777777" w:rsidR="00CF33D9" w:rsidRDefault="00CF33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00" w:lineRule="exact"/>
              <w:contextualSpacing/>
              <w:rPr>
                <w:rFonts w:ascii="Calibri" w:hAnsi="Calibri" w:cs="Calibri"/>
                <w:color w:val="000000" w:themeColor="text1"/>
                <w:sz w:val="20"/>
                <w:szCs w:val="20"/>
              </w:rPr>
            </w:pPr>
          </w:p>
        </w:tc>
        <w:tc>
          <w:tcPr>
            <w:tcW w:w="0" w:type="auto"/>
            <w:vMerge/>
            <w:shd w:val="clear" w:color="auto" w:fill="FFFFFF"/>
          </w:tcPr>
          <w:p w14:paraId="68091B73"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shd w:val="clear" w:color="auto" w:fill="FFFFFF"/>
          </w:tcPr>
          <w:p w14:paraId="68091B74" w14:textId="77777777" w:rsidR="00CF33D9" w:rsidRDefault="00E3332A">
            <w:pPr>
              <w:pStyle w:val="NormalWeb"/>
              <w:numPr>
                <w:ilvl w:val="0"/>
                <w:numId w:val="88"/>
              </w:numPr>
              <w:spacing w:before="0" w:beforeAutospacing="0" w:after="0" w:afterAutospacing="0" w:line="200" w:lineRule="exact"/>
              <w:ind w:left="164" w:hanging="221"/>
              <w:contextualSpacing/>
              <w:jc w:val="left"/>
              <w:rPr>
                <w:rFonts w:ascii="Calibri" w:hAnsi="Calibri" w:cs="Calibri"/>
                <w:color w:val="000000" w:themeColor="text1"/>
                <w:sz w:val="20"/>
                <w:szCs w:val="20"/>
              </w:rPr>
            </w:pPr>
            <w:r>
              <w:rPr>
                <w:rFonts w:ascii="Calibri" w:hAnsi="Calibri" w:cs="Calibri"/>
                <w:color w:val="000000" w:themeColor="text1"/>
                <w:sz w:val="20"/>
                <w:szCs w:val="20"/>
              </w:rPr>
              <w:t>Activity 3.1.1.2: Development of harmonized policy, legislation and institutional arrangement models supporting marine pollution prevention and control leading to more harmonized pollution control arrangements (to be in line with guidance from the IMO and relevant sector organisations such as the ISA).</w:t>
            </w:r>
          </w:p>
        </w:tc>
      </w:tr>
      <w:tr w:rsidR="00CF33D9" w14:paraId="68091B7A" w14:textId="77777777">
        <w:trPr>
          <w:trHeight w:val="734"/>
        </w:trPr>
        <w:tc>
          <w:tcPr>
            <w:tcW w:w="0" w:type="auto"/>
            <w:vMerge/>
            <w:shd w:val="clear" w:color="auto" w:fill="FFFFFF"/>
          </w:tcPr>
          <w:p w14:paraId="68091B76" w14:textId="77777777" w:rsidR="00CF33D9" w:rsidRDefault="00CF33D9">
            <w:pPr>
              <w:pStyle w:val="NormalWeb"/>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B77" w14:textId="77777777" w:rsidR="00CF33D9" w:rsidRDefault="00CF33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00" w:lineRule="exact"/>
              <w:contextualSpacing/>
              <w:rPr>
                <w:rFonts w:ascii="Calibri" w:hAnsi="Calibri" w:cs="Calibri"/>
                <w:color w:val="000000" w:themeColor="text1"/>
                <w:sz w:val="20"/>
                <w:szCs w:val="20"/>
              </w:rPr>
            </w:pPr>
          </w:p>
        </w:tc>
        <w:tc>
          <w:tcPr>
            <w:tcW w:w="0" w:type="auto"/>
            <w:vMerge/>
            <w:tcBorders>
              <w:bottom w:val="single" w:sz="4" w:space="0" w:color="auto"/>
            </w:tcBorders>
            <w:shd w:val="clear" w:color="auto" w:fill="FFFFFF"/>
          </w:tcPr>
          <w:p w14:paraId="68091B78"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tcBorders>
              <w:bottom w:val="single" w:sz="4" w:space="0" w:color="auto"/>
            </w:tcBorders>
            <w:shd w:val="clear" w:color="auto" w:fill="FFFFFF"/>
          </w:tcPr>
          <w:p w14:paraId="68091B79" w14:textId="77777777" w:rsidR="00CF33D9" w:rsidRDefault="00E3332A">
            <w:pPr>
              <w:pStyle w:val="NormalWeb"/>
              <w:numPr>
                <w:ilvl w:val="0"/>
                <w:numId w:val="88"/>
              </w:numPr>
              <w:spacing w:before="0" w:beforeAutospacing="0" w:after="0" w:afterAutospacing="0" w:line="200" w:lineRule="exact"/>
              <w:ind w:left="164" w:hanging="221"/>
              <w:contextualSpacing/>
              <w:jc w:val="left"/>
              <w:rPr>
                <w:rFonts w:ascii="Calibri" w:hAnsi="Calibri" w:cs="Calibri"/>
                <w:color w:val="000000" w:themeColor="text1"/>
                <w:sz w:val="20"/>
                <w:szCs w:val="20"/>
              </w:rPr>
            </w:pPr>
            <w:r>
              <w:rPr>
                <w:rFonts w:ascii="Calibri" w:hAnsi="Calibri" w:cs="Calibri"/>
                <w:color w:val="000000" w:themeColor="text1"/>
                <w:sz w:val="20"/>
                <w:szCs w:val="20"/>
              </w:rPr>
              <w:t>Activity 3.1.1.3: Development of new or update of existing policy and legal frameworks elating to marine pollution control and management as needed.</w:t>
            </w:r>
          </w:p>
        </w:tc>
      </w:tr>
      <w:tr w:rsidR="00CF33D9" w14:paraId="68091B7F" w14:textId="77777777">
        <w:trPr>
          <w:trHeight w:val="507"/>
        </w:trPr>
        <w:tc>
          <w:tcPr>
            <w:tcW w:w="0" w:type="auto"/>
            <w:vMerge/>
            <w:shd w:val="clear" w:color="auto" w:fill="FFFFFF"/>
          </w:tcPr>
          <w:p w14:paraId="68091B7B"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val="restart"/>
            <w:shd w:val="clear" w:color="auto" w:fill="FFFFFF"/>
          </w:tcPr>
          <w:p w14:paraId="68091B7C" w14:textId="77777777" w:rsidR="00CF33D9" w:rsidRDefault="00E3332A">
            <w:pPr>
              <w:pStyle w:val="NormalWeb"/>
              <w:spacing w:line="200" w:lineRule="exact"/>
              <w:contextualSpacing/>
              <w:rPr>
                <w:rFonts w:ascii="Calibri" w:hAnsi="Calibri" w:cs="Calibri"/>
                <w:b/>
                <w:bCs/>
                <w:color w:val="000000" w:themeColor="text1"/>
                <w:sz w:val="20"/>
                <w:szCs w:val="20"/>
              </w:rPr>
            </w:pPr>
            <w:r>
              <w:rPr>
                <w:rFonts w:ascii="Calibri" w:hAnsi="Calibri" w:cs="Calibri"/>
                <w:color w:val="000000" w:themeColor="text1"/>
                <w:sz w:val="20"/>
                <w:szCs w:val="20"/>
              </w:rPr>
              <w:t xml:space="preserve">3.2: </w:t>
            </w:r>
            <w:r>
              <w:rPr>
                <w:rFonts w:ascii="Calibri" w:hAnsi="Calibri" w:cs="Calibri"/>
                <w:sz w:val="20"/>
                <w:szCs w:val="20"/>
              </w:rPr>
              <w:t>Reduced discharge of pollutants from land-based activities in priority coastal areas [and river basins] through Community-Level Stakeholder Engagement</w:t>
            </w:r>
          </w:p>
        </w:tc>
        <w:tc>
          <w:tcPr>
            <w:tcW w:w="0" w:type="auto"/>
            <w:vMerge w:val="restart"/>
            <w:shd w:val="clear" w:color="auto" w:fill="FFFFFF"/>
          </w:tcPr>
          <w:p w14:paraId="68091B7D" w14:textId="77777777" w:rsidR="00CF33D9" w:rsidRDefault="00E3332A">
            <w:pPr>
              <w:pStyle w:val="NormalWeb"/>
              <w:spacing w:line="200" w:lineRule="exact"/>
              <w:contextualSpacing/>
              <w:rPr>
                <w:rFonts w:ascii="Calibri" w:hAnsi="Calibri" w:cs="Calibri"/>
                <w:b/>
                <w:bCs/>
                <w:color w:val="000000" w:themeColor="text1"/>
                <w:sz w:val="20"/>
                <w:szCs w:val="20"/>
              </w:rPr>
            </w:pPr>
            <w:r>
              <w:rPr>
                <w:rFonts w:ascii="Calibri" w:hAnsi="Calibri" w:cs="Calibri"/>
                <w:sz w:val="20"/>
                <w:szCs w:val="20"/>
              </w:rPr>
              <w:t xml:space="preserve">3.2.1: Pilot level community-based </w:t>
            </w:r>
            <w:r>
              <w:rPr>
                <w:rFonts w:ascii="Calibri" w:hAnsi="Calibri" w:cs="Calibri"/>
                <w:color w:val="000000" w:themeColor="text1"/>
                <w:sz w:val="20"/>
                <w:szCs w:val="20"/>
              </w:rPr>
              <w:t xml:space="preserve">EBM and integrated watershed and coastal area management (IWCAM) </w:t>
            </w:r>
            <w:r>
              <w:rPr>
                <w:rFonts w:ascii="Calibri" w:hAnsi="Calibri" w:cs="Calibri"/>
                <w:sz w:val="20"/>
                <w:szCs w:val="20"/>
              </w:rPr>
              <w:t xml:space="preserve">approaches to pollution reduction demonstrated and addressed through demonstrations at [2-3] pilot sites by mid-project and ready for replication </w:t>
            </w:r>
          </w:p>
        </w:tc>
        <w:tc>
          <w:tcPr>
            <w:tcW w:w="0" w:type="auto"/>
            <w:shd w:val="clear" w:color="auto" w:fill="FFFFFF"/>
          </w:tcPr>
          <w:p w14:paraId="68091B7E" w14:textId="77777777" w:rsidR="00CF33D9" w:rsidRDefault="00E3332A">
            <w:pPr>
              <w:pStyle w:val="NormalWeb"/>
              <w:numPr>
                <w:ilvl w:val="0"/>
                <w:numId w:val="88"/>
              </w:numPr>
              <w:spacing w:before="0" w:beforeAutospacing="0" w:after="0" w:afterAutospacing="0" w:line="200" w:lineRule="exact"/>
              <w:ind w:left="164" w:hanging="221"/>
              <w:contextualSpacing/>
              <w:jc w:val="left"/>
              <w:rPr>
                <w:rFonts w:ascii="Calibri" w:hAnsi="Calibri" w:cs="Calibri"/>
                <w:color w:val="000000" w:themeColor="text1"/>
                <w:sz w:val="20"/>
                <w:szCs w:val="20"/>
              </w:rPr>
            </w:pPr>
            <w:r>
              <w:rPr>
                <w:rFonts w:ascii="Calibri" w:hAnsi="Calibri" w:cs="Calibri"/>
                <w:color w:val="000000" w:themeColor="text1"/>
                <w:sz w:val="20"/>
                <w:szCs w:val="20"/>
              </w:rPr>
              <w:t>Activity 3.2.1.1: Confirm [three] coastal pilot projects based on the identified BCLME pollution hotspots.</w:t>
            </w:r>
          </w:p>
        </w:tc>
      </w:tr>
      <w:tr w:rsidR="00CF33D9" w14:paraId="68091B84" w14:textId="77777777">
        <w:trPr>
          <w:trHeight w:val="505"/>
        </w:trPr>
        <w:tc>
          <w:tcPr>
            <w:tcW w:w="0" w:type="auto"/>
            <w:vMerge/>
            <w:shd w:val="clear" w:color="auto" w:fill="FFFFFF"/>
          </w:tcPr>
          <w:p w14:paraId="68091B80"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B81"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vMerge/>
            <w:shd w:val="clear" w:color="auto" w:fill="FFFFFF"/>
          </w:tcPr>
          <w:p w14:paraId="68091B82" w14:textId="77777777" w:rsidR="00CF33D9" w:rsidRDefault="00CF33D9">
            <w:pPr>
              <w:pStyle w:val="NormalWeb"/>
              <w:spacing w:line="200" w:lineRule="exact"/>
              <w:contextualSpacing/>
              <w:rPr>
                <w:rFonts w:ascii="Calibri" w:hAnsi="Calibri" w:cs="Calibri"/>
                <w:sz w:val="20"/>
                <w:szCs w:val="20"/>
              </w:rPr>
            </w:pPr>
          </w:p>
        </w:tc>
        <w:tc>
          <w:tcPr>
            <w:tcW w:w="0" w:type="auto"/>
            <w:shd w:val="clear" w:color="auto" w:fill="FFFFFF"/>
          </w:tcPr>
          <w:p w14:paraId="68091B83" w14:textId="77777777" w:rsidR="00CF33D9" w:rsidRDefault="00E3332A">
            <w:pPr>
              <w:pStyle w:val="NormalWeb"/>
              <w:numPr>
                <w:ilvl w:val="0"/>
                <w:numId w:val="93"/>
              </w:numPr>
              <w:spacing w:before="0" w:beforeAutospacing="0" w:after="120" w:afterAutospacing="0" w:line="200" w:lineRule="exact"/>
              <w:ind w:left="170" w:hanging="170"/>
              <w:textAlignment w:val="baseline"/>
              <w:rPr>
                <w:rFonts w:ascii="Calibri" w:hAnsi="Calibri" w:cs="Calibri"/>
                <w:color w:val="000000"/>
                <w:sz w:val="20"/>
                <w:szCs w:val="20"/>
              </w:rPr>
            </w:pPr>
            <w:r>
              <w:rPr>
                <w:rFonts w:ascii="Calibri" w:hAnsi="Calibri" w:cs="Calibri"/>
                <w:color w:val="000000" w:themeColor="text1"/>
                <w:sz w:val="20"/>
                <w:szCs w:val="20"/>
              </w:rPr>
              <w:t xml:space="preserve">Activity 3.2.1.2: </w:t>
            </w:r>
            <w:r>
              <w:rPr>
                <w:rFonts w:ascii="Calibri" w:hAnsi="Calibri" w:cs="Calibri"/>
                <w:color w:val="000000"/>
                <w:sz w:val="20"/>
                <w:szCs w:val="20"/>
              </w:rPr>
              <w:t>Complete feasibility studies for the development and financing of new technologies for pollution control at the community level, with participation of local businesses developed and piloted within at least two of the pilot sites (suggested improvements include domestic and industrial wastewater treatment; plastic collection, recycling and re-use; and, agricultural runoff).</w:t>
            </w:r>
          </w:p>
        </w:tc>
      </w:tr>
      <w:tr w:rsidR="00CF33D9" w14:paraId="68091B89" w14:textId="77777777">
        <w:trPr>
          <w:trHeight w:val="505"/>
        </w:trPr>
        <w:tc>
          <w:tcPr>
            <w:tcW w:w="0" w:type="auto"/>
            <w:vMerge/>
            <w:shd w:val="clear" w:color="auto" w:fill="FFFFFF"/>
          </w:tcPr>
          <w:p w14:paraId="68091B85"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B86"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vMerge/>
            <w:tcBorders>
              <w:bottom w:val="single" w:sz="4" w:space="0" w:color="auto"/>
            </w:tcBorders>
            <w:shd w:val="clear" w:color="auto" w:fill="FFFFFF"/>
          </w:tcPr>
          <w:p w14:paraId="68091B87" w14:textId="77777777" w:rsidR="00CF33D9" w:rsidRDefault="00CF33D9">
            <w:pPr>
              <w:pStyle w:val="NormalWeb"/>
              <w:spacing w:line="200" w:lineRule="exact"/>
              <w:contextualSpacing/>
              <w:rPr>
                <w:rFonts w:ascii="Calibri" w:hAnsi="Calibri" w:cs="Calibri"/>
                <w:sz w:val="20"/>
                <w:szCs w:val="20"/>
              </w:rPr>
            </w:pPr>
          </w:p>
        </w:tc>
        <w:tc>
          <w:tcPr>
            <w:tcW w:w="0" w:type="auto"/>
            <w:tcBorders>
              <w:bottom w:val="single" w:sz="4" w:space="0" w:color="auto"/>
            </w:tcBorders>
            <w:shd w:val="clear" w:color="auto" w:fill="FFFFFF"/>
          </w:tcPr>
          <w:p w14:paraId="68091B88" w14:textId="77777777" w:rsidR="00CF33D9" w:rsidRDefault="00E3332A">
            <w:pPr>
              <w:pStyle w:val="NormalWeb"/>
              <w:numPr>
                <w:ilvl w:val="0"/>
                <w:numId w:val="88"/>
              </w:numPr>
              <w:spacing w:before="0" w:beforeAutospacing="0" w:after="0" w:afterAutospacing="0" w:line="200" w:lineRule="exact"/>
              <w:ind w:left="164" w:hanging="221"/>
              <w:contextualSpacing/>
              <w:jc w:val="left"/>
              <w:rPr>
                <w:rFonts w:ascii="Calibri" w:hAnsi="Calibri" w:cs="Calibri"/>
                <w:color w:val="000000" w:themeColor="text1"/>
                <w:sz w:val="20"/>
                <w:szCs w:val="20"/>
              </w:rPr>
            </w:pPr>
            <w:r>
              <w:rPr>
                <w:rFonts w:ascii="Calibri" w:hAnsi="Calibri" w:cs="Calibri"/>
                <w:color w:val="000000" w:themeColor="text1"/>
                <w:sz w:val="20"/>
                <w:szCs w:val="20"/>
              </w:rPr>
              <w:t>Activity 3.2.1.3: Opportunities for alternative livelihoods linked to pollution management activities identified  and piloted at selected pilot sites.</w:t>
            </w:r>
          </w:p>
        </w:tc>
      </w:tr>
      <w:tr w:rsidR="00CF33D9" w14:paraId="68091B8E" w14:textId="77777777">
        <w:trPr>
          <w:trHeight w:val="440"/>
        </w:trPr>
        <w:tc>
          <w:tcPr>
            <w:tcW w:w="0" w:type="auto"/>
            <w:vMerge/>
            <w:shd w:val="clear" w:color="auto" w:fill="FFFFFF"/>
          </w:tcPr>
          <w:p w14:paraId="68091B8A"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B8B"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val="restart"/>
            <w:shd w:val="clear" w:color="auto" w:fill="FFFFFF"/>
          </w:tcPr>
          <w:p w14:paraId="68091B8C" w14:textId="77777777" w:rsidR="00CF33D9" w:rsidRDefault="00E3332A">
            <w:pPr>
              <w:pStyle w:val="NormalWeb"/>
              <w:spacing w:line="200" w:lineRule="exact"/>
              <w:contextualSpacing/>
              <w:rPr>
                <w:rFonts w:ascii="Calibri" w:hAnsi="Calibri" w:cs="Calibri"/>
                <w:b/>
                <w:bCs/>
                <w:color w:val="000000" w:themeColor="text1"/>
                <w:sz w:val="20"/>
                <w:szCs w:val="20"/>
              </w:rPr>
            </w:pPr>
            <w:r>
              <w:rPr>
                <w:rFonts w:ascii="Calibri" w:hAnsi="Calibri" w:cs="Calibri"/>
                <w:color w:val="000000" w:themeColor="text1"/>
                <w:sz w:val="20"/>
                <w:szCs w:val="20"/>
              </w:rPr>
              <w:t xml:space="preserve">3.2.2 Community awareness, training and capacity building and implementation plans and best practices for pollution management undertaken (with a gender-sensitive approach) in selected pilot sites along the BCLME coast 3.2.3 </w:t>
            </w:r>
          </w:p>
        </w:tc>
        <w:tc>
          <w:tcPr>
            <w:tcW w:w="0" w:type="auto"/>
            <w:shd w:val="clear" w:color="auto" w:fill="FFFFFF"/>
          </w:tcPr>
          <w:p w14:paraId="68091B8D" w14:textId="77777777" w:rsidR="00CF33D9" w:rsidRDefault="00E3332A">
            <w:pPr>
              <w:pStyle w:val="NormalWeb"/>
              <w:numPr>
                <w:ilvl w:val="0"/>
                <w:numId w:val="88"/>
              </w:numPr>
              <w:spacing w:before="0" w:beforeAutospacing="0" w:after="0" w:afterAutospacing="0" w:line="200" w:lineRule="exact"/>
              <w:ind w:left="164" w:hanging="221"/>
              <w:contextualSpacing/>
              <w:jc w:val="left"/>
              <w:rPr>
                <w:rFonts w:ascii="Calibri" w:hAnsi="Calibri" w:cs="Calibri"/>
                <w:color w:val="000000" w:themeColor="text1"/>
                <w:sz w:val="20"/>
                <w:szCs w:val="20"/>
              </w:rPr>
            </w:pPr>
            <w:r>
              <w:rPr>
                <w:rFonts w:ascii="Calibri" w:hAnsi="Calibri" w:cs="Calibri"/>
                <w:color w:val="000000" w:themeColor="text1"/>
                <w:sz w:val="20"/>
                <w:szCs w:val="20"/>
              </w:rPr>
              <w:t>Activity 3.2.2.1: Undertaking a training/capacity needs assessment for each selected pilot site, in coordination with other relevant activities (e.g. community-based solutions for restoration under Output 3.2.1 above)</w:t>
            </w:r>
          </w:p>
        </w:tc>
      </w:tr>
      <w:tr w:rsidR="00CF33D9" w14:paraId="68091B93" w14:textId="77777777">
        <w:trPr>
          <w:trHeight w:val="1080"/>
        </w:trPr>
        <w:tc>
          <w:tcPr>
            <w:tcW w:w="0" w:type="auto"/>
            <w:vMerge/>
            <w:shd w:val="clear" w:color="auto" w:fill="FFFFFF"/>
          </w:tcPr>
          <w:p w14:paraId="68091B8F"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B90"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tcBorders>
              <w:bottom w:val="single" w:sz="4" w:space="0" w:color="auto"/>
            </w:tcBorders>
            <w:shd w:val="clear" w:color="auto" w:fill="FFFFFF"/>
          </w:tcPr>
          <w:p w14:paraId="68091B91"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tcBorders>
              <w:bottom w:val="single" w:sz="4" w:space="0" w:color="auto"/>
            </w:tcBorders>
            <w:shd w:val="clear" w:color="auto" w:fill="FFFFFF"/>
          </w:tcPr>
          <w:p w14:paraId="68091B92" w14:textId="77777777" w:rsidR="00CF33D9" w:rsidRDefault="00E3332A">
            <w:pPr>
              <w:pStyle w:val="NormalWeb"/>
              <w:numPr>
                <w:ilvl w:val="0"/>
                <w:numId w:val="88"/>
              </w:numPr>
              <w:spacing w:before="0" w:beforeAutospacing="0" w:after="0" w:afterAutospacing="0" w:line="200" w:lineRule="exact"/>
              <w:ind w:left="164" w:hanging="221"/>
              <w:contextualSpacing/>
              <w:jc w:val="left"/>
              <w:rPr>
                <w:rFonts w:ascii="Calibri" w:hAnsi="Calibri" w:cs="Calibri"/>
                <w:color w:val="000000" w:themeColor="text1"/>
                <w:sz w:val="20"/>
                <w:szCs w:val="20"/>
              </w:rPr>
            </w:pPr>
            <w:r>
              <w:rPr>
                <w:rFonts w:ascii="Calibri" w:hAnsi="Calibri" w:cs="Calibri"/>
                <w:color w:val="000000" w:themeColor="text1"/>
                <w:sz w:val="20"/>
                <w:szCs w:val="20"/>
              </w:rPr>
              <w:t xml:space="preserve">Activity 3.2.2.2: </w:t>
            </w:r>
            <w:r>
              <w:rPr>
                <w:rFonts w:ascii="Calibri" w:hAnsi="Calibri" w:cs="Calibri"/>
                <w:color w:val="000000"/>
                <w:sz w:val="20"/>
                <w:szCs w:val="20"/>
              </w:rPr>
              <w:t>Development and progressive delivery of an awareness raising and capacity-building plan (to be based on available BCLME Project budget and additionally leveraged resources).</w:t>
            </w:r>
          </w:p>
        </w:tc>
      </w:tr>
      <w:tr w:rsidR="00CF33D9" w14:paraId="68091B98" w14:textId="77777777">
        <w:trPr>
          <w:trHeight w:val="589"/>
        </w:trPr>
        <w:tc>
          <w:tcPr>
            <w:tcW w:w="0" w:type="auto"/>
            <w:vMerge/>
            <w:shd w:val="clear" w:color="auto" w:fill="FFFFFF"/>
          </w:tcPr>
          <w:p w14:paraId="68091B94" w14:textId="77777777" w:rsidR="00CF33D9" w:rsidRDefault="00CF33D9">
            <w:pPr>
              <w:pStyle w:val="NormalWeb"/>
              <w:spacing w:line="200" w:lineRule="exact"/>
              <w:contextualSpacing/>
              <w:rPr>
                <w:rFonts w:ascii="Calibri" w:hAnsi="Calibri" w:cs="Calibri"/>
                <w:b/>
                <w:bCs/>
                <w:color w:val="000000" w:themeColor="text1"/>
                <w:sz w:val="20"/>
                <w:szCs w:val="20"/>
              </w:rPr>
            </w:pPr>
          </w:p>
        </w:tc>
        <w:tc>
          <w:tcPr>
            <w:tcW w:w="0" w:type="auto"/>
            <w:vMerge w:val="restart"/>
            <w:shd w:val="clear" w:color="auto" w:fill="FFFFFF"/>
          </w:tcPr>
          <w:p w14:paraId="68091B95" w14:textId="77777777" w:rsidR="00CF33D9" w:rsidRDefault="00E3332A">
            <w:pPr>
              <w:pStyle w:val="NormalWeb"/>
              <w:spacing w:line="200" w:lineRule="exact"/>
              <w:contextualSpacing/>
              <w:rPr>
                <w:rFonts w:ascii="Calibri" w:hAnsi="Calibri" w:cs="Calibri"/>
                <w:color w:val="000000" w:themeColor="text1"/>
                <w:sz w:val="20"/>
                <w:szCs w:val="20"/>
              </w:rPr>
            </w:pPr>
            <w:r>
              <w:rPr>
                <w:rFonts w:ascii="Calibri" w:hAnsi="Calibri" w:cs="Calibri"/>
                <w:sz w:val="20"/>
                <w:szCs w:val="20"/>
              </w:rPr>
              <w:t>3.3: Strengthened regional cooperation and coordination, and increased institutional and technical capacity to undertake broad-scale monitoring and surveillance of marine pollution in priority transboundary and coastal hotspots of the BCLME</w:t>
            </w:r>
          </w:p>
        </w:tc>
        <w:tc>
          <w:tcPr>
            <w:tcW w:w="0" w:type="auto"/>
            <w:vMerge w:val="restart"/>
            <w:shd w:val="clear" w:color="auto" w:fill="FFFFFF"/>
          </w:tcPr>
          <w:p w14:paraId="68091B96" w14:textId="77777777" w:rsidR="00CF33D9" w:rsidRDefault="00E3332A">
            <w:pPr>
              <w:pStyle w:val="NormalWeb"/>
              <w:spacing w:line="200" w:lineRule="exact"/>
              <w:contextualSpacing/>
              <w:rPr>
                <w:rFonts w:ascii="Calibri" w:hAnsi="Calibri" w:cs="Calibri"/>
                <w:color w:val="000000" w:themeColor="text1"/>
                <w:sz w:val="20"/>
                <w:szCs w:val="20"/>
              </w:rPr>
            </w:pPr>
            <w:r>
              <w:rPr>
                <w:rFonts w:ascii="Calibri" w:hAnsi="Calibri" w:cs="Calibri"/>
                <w:sz w:val="20"/>
                <w:szCs w:val="20"/>
              </w:rPr>
              <w:t>3.3.1: Cooperative agreements and long-term programs for ecosystem health monitoring and compliance between countries formalized</w:t>
            </w:r>
          </w:p>
        </w:tc>
        <w:tc>
          <w:tcPr>
            <w:tcW w:w="0" w:type="auto"/>
            <w:shd w:val="clear" w:color="auto" w:fill="FFFFFF"/>
          </w:tcPr>
          <w:p w14:paraId="68091B97" w14:textId="77777777" w:rsidR="00CF33D9" w:rsidRDefault="00E3332A">
            <w:pPr>
              <w:pStyle w:val="NormalWeb"/>
              <w:numPr>
                <w:ilvl w:val="0"/>
                <w:numId w:val="94"/>
              </w:numPr>
              <w:spacing w:before="0" w:beforeAutospacing="0" w:after="120" w:afterAutospacing="0" w:line="200" w:lineRule="exact"/>
              <w:ind w:left="170" w:hanging="141"/>
              <w:textAlignment w:val="baseline"/>
              <w:rPr>
                <w:rFonts w:ascii="Calibri" w:hAnsi="Calibri" w:cs="Calibri"/>
                <w:color w:val="000000"/>
                <w:sz w:val="20"/>
                <w:szCs w:val="20"/>
              </w:rPr>
            </w:pPr>
            <w:r>
              <w:rPr>
                <w:rFonts w:ascii="Calibri" w:hAnsi="Calibri" w:cs="Calibri"/>
                <w:color w:val="000000" w:themeColor="text1"/>
                <w:sz w:val="20"/>
                <w:szCs w:val="20"/>
              </w:rPr>
              <w:t xml:space="preserve">Activity 3.3.1.1: </w:t>
            </w:r>
            <w:r>
              <w:rPr>
                <w:rFonts w:ascii="Calibri" w:hAnsi="Calibri" w:cs="Calibri"/>
                <w:color w:val="000000"/>
                <w:sz w:val="20"/>
                <w:szCs w:val="20"/>
              </w:rPr>
              <w:t>Confirmation of a standardised set of regional Phase 1 monitoring indicators (nutrients, sediments, pathogens and chemicals) for coastal hotspot monitoring.</w:t>
            </w:r>
          </w:p>
        </w:tc>
      </w:tr>
      <w:tr w:rsidR="00CF33D9" w14:paraId="68091B9D" w14:textId="77777777">
        <w:trPr>
          <w:trHeight w:val="588"/>
        </w:trPr>
        <w:tc>
          <w:tcPr>
            <w:tcW w:w="0" w:type="auto"/>
            <w:vMerge/>
            <w:shd w:val="clear" w:color="auto" w:fill="FFFFFF"/>
          </w:tcPr>
          <w:p w14:paraId="68091B99" w14:textId="77777777" w:rsidR="00CF33D9" w:rsidRDefault="00CF33D9">
            <w:pPr>
              <w:pStyle w:val="NormalWeb"/>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B9A" w14:textId="77777777" w:rsidR="00CF33D9" w:rsidRDefault="00CF33D9">
            <w:pPr>
              <w:pStyle w:val="NormalWeb"/>
              <w:spacing w:line="200" w:lineRule="exact"/>
              <w:contextualSpacing/>
              <w:rPr>
                <w:rFonts w:ascii="Calibri" w:hAnsi="Calibri" w:cs="Calibri"/>
                <w:sz w:val="20"/>
                <w:szCs w:val="20"/>
              </w:rPr>
            </w:pPr>
          </w:p>
        </w:tc>
        <w:tc>
          <w:tcPr>
            <w:tcW w:w="0" w:type="auto"/>
            <w:vMerge/>
            <w:shd w:val="clear" w:color="auto" w:fill="FFFFFF"/>
          </w:tcPr>
          <w:p w14:paraId="68091B9B" w14:textId="77777777" w:rsidR="00CF33D9" w:rsidRDefault="00CF33D9">
            <w:pPr>
              <w:pStyle w:val="NormalWeb"/>
              <w:spacing w:line="200" w:lineRule="exact"/>
              <w:contextualSpacing/>
              <w:rPr>
                <w:rFonts w:ascii="Calibri" w:hAnsi="Calibri" w:cs="Calibri"/>
                <w:sz w:val="20"/>
                <w:szCs w:val="20"/>
              </w:rPr>
            </w:pPr>
          </w:p>
        </w:tc>
        <w:tc>
          <w:tcPr>
            <w:tcW w:w="0" w:type="auto"/>
            <w:tcBorders>
              <w:bottom w:val="single" w:sz="4" w:space="0" w:color="auto"/>
            </w:tcBorders>
            <w:shd w:val="clear" w:color="auto" w:fill="FFFFFF"/>
          </w:tcPr>
          <w:p w14:paraId="68091B9C" w14:textId="77777777" w:rsidR="00CF33D9" w:rsidRDefault="00E3332A">
            <w:pPr>
              <w:pStyle w:val="NormalWeb"/>
              <w:numPr>
                <w:ilvl w:val="0"/>
                <w:numId w:val="95"/>
              </w:numPr>
              <w:spacing w:before="0" w:beforeAutospacing="0" w:after="120" w:afterAutospacing="0" w:line="200" w:lineRule="exact"/>
              <w:ind w:left="170" w:hanging="141"/>
              <w:textAlignment w:val="baseline"/>
              <w:rPr>
                <w:rFonts w:ascii="Calibri" w:hAnsi="Calibri" w:cs="Calibri"/>
                <w:color w:val="000000"/>
                <w:sz w:val="20"/>
                <w:szCs w:val="20"/>
              </w:rPr>
            </w:pPr>
            <w:r>
              <w:rPr>
                <w:rFonts w:ascii="Calibri" w:hAnsi="Calibri" w:cs="Calibri"/>
                <w:color w:val="000000" w:themeColor="text1"/>
                <w:sz w:val="20"/>
                <w:szCs w:val="20"/>
              </w:rPr>
              <w:t xml:space="preserve">Activity 3.3.1.2: </w:t>
            </w:r>
            <w:r>
              <w:rPr>
                <w:rFonts w:ascii="Calibri" w:hAnsi="Calibri" w:cs="Calibri"/>
                <w:color w:val="000000"/>
                <w:sz w:val="20"/>
                <w:szCs w:val="20"/>
              </w:rPr>
              <w:t>Development and implementation of regional programme for Phase 1 monitoring, to identify pollutants of major concern in the BCLME, (including baselines, monitoring locations, parameters, protocols, etc.).</w:t>
            </w:r>
          </w:p>
        </w:tc>
      </w:tr>
      <w:tr w:rsidR="00CF33D9" w14:paraId="68091BA2" w14:textId="77777777">
        <w:trPr>
          <w:trHeight w:val="588"/>
        </w:trPr>
        <w:tc>
          <w:tcPr>
            <w:tcW w:w="0" w:type="auto"/>
            <w:vMerge/>
            <w:shd w:val="clear" w:color="auto" w:fill="FFFFFF"/>
          </w:tcPr>
          <w:p w14:paraId="68091B9E" w14:textId="77777777" w:rsidR="00CF33D9" w:rsidRDefault="00CF33D9">
            <w:pPr>
              <w:pStyle w:val="NormalWeb"/>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B9F" w14:textId="77777777" w:rsidR="00CF33D9" w:rsidRDefault="00CF33D9">
            <w:pPr>
              <w:pStyle w:val="NormalWeb"/>
              <w:spacing w:line="200" w:lineRule="exact"/>
              <w:contextualSpacing/>
              <w:rPr>
                <w:rFonts w:ascii="Calibri" w:hAnsi="Calibri" w:cs="Calibri"/>
                <w:sz w:val="20"/>
                <w:szCs w:val="20"/>
              </w:rPr>
            </w:pPr>
          </w:p>
        </w:tc>
        <w:tc>
          <w:tcPr>
            <w:tcW w:w="0" w:type="auto"/>
            <w:vMerge/>
            <w:tcBorders>
              <w:bottom w:val="single" w:sz="4" w:space="0" w:color="auto"/>
            </w:tcBorders>
            <w:shd w:val="clear" w:color="auto" w:fill="FFFFFF"/>
          </w:tcPr>
          <w:p w14:paraId="68091BA0" w14:textId="77777777" w:rsidR="00CF33D9" w:rsidRDefault="00CF33D9">
            <w:pPr>
              <w:pStyle w:val="NormalWeb"/>
              <w:spacing w:line="200" w:lineRule="exact"/>
              <w:contextualSpacing/>
              <w:rPr>
                <w:rFonts w:ascii="Calibri" w:hAnsi="Calibri" w:cs="Calibri"/>
                <w:sz w:val="20"/>
                <w:szCs w:val="20"/>
              </w:rPr>
            </w:pPr>
          </w:p>
        </w:tc>
        <w:tc>
          <w:tcPr>
            <w:tcW w:w="0" w:type="auto"/>
            <w:tcBorders>
              <w:bottom w:val="single" w:sz="4" w:space="0" w:color="auto"/>
            </w:tcBorders>
            <w:shd w:val="clear" w:color="auto" w:fill="FFFFFF"/>
          </w:tcPr>
          <w:p w14:paraId="68091BA1" w14:textId="77777777" w:rsidR="00CF33D9" w:rsidRDefault="00E3332A">
            <w:pPr>
              <w:pStyle w:val="NormalWeb"/>
              <w:numPr>
                <w:ilvl w:val="0"/>
                <w:numId w:val="95"/>
              </w:numPr>
              <w:spacing w:before="0" w:beforeAutospacing="0" w:after="120" w:afterAutospacing="0" w:line="200" w:lineRule="exact"/>
              <w:ind w:left="170" w:hanging="141"/>
              <w:textAlignment w:val="baseline"/>
              <w:rPr>
                <w:rFonts w:ascii="Calibri" w:hAnsi="Calibri" w:cs="Calibri"/>
                <w:color w:val="000000"/>
                <w:sz w:val="20"/>
                <w:szCs w:val="20"/>
              </w:rPr>
            </w:pPr>
            <w:r>
              <w:rPr>
                <w:rFonts w:ascii="Calibri" w:hAnsi="Calibri" w:cs="Calibri"/>
                <w:color w:val="000000"/>
                <w:sz w:val="20"/>
                <w:szCs w:val="20"/>
              </w:rPr>
              <w:t>Activity 3.3.1.3: Strengthening existing monitoring and surveillance capacity and expand the monitoring of coastal water quality, sediments and marine organisms in pollution hotspots (Phase 2 monitoring) to assess sources of key pollutants, high risk areas, and environmental and socio-economic impacts, and in order to develop initiatives, policies and legislation to abate chemical pollution, and implement the polluter pays principle.</w:t>
            </w:r>
          </w:p>
        </w:tc>
      </w:tr>
      <w:tr w:rsidR="00CF33D9" w14:paraId="68091BA8" w14:textId="77777777">
        <w:trPr>
          <w:trHeight w:val="412"/>
        </w:trPr>
        <w:tc>
          <w:tcPr>
            <w:tcW w:w="0" w:type="auto"/>
            <w:vMerge w:val="restart"/>
            <w:shd w:val="clear" w:color="auto" w:fill="FFFFFF"/>
          </w:tcPr>
          <w:p w14:paraId="68091BA3" w14:textId="77777777" w:rsidR="00CF33D9" w:rsidRDefault="00E3332A">
            <w:pPr>
              <w:pStyle w:val="NormalWeb"/>
              <w:spacing w:line="200" w:lineRule="exact"/>
              <w:contextualSpacing/>
              <w:rPr>
                <w:rFonts w:ascii="Calibri" w:hAnsi="Calibri" w:cs="Calibri"/>
                <w:color w:val="000000" w:themeColor="text1"/>
                <w:sz w:val="20"/>
                <w:szCs w:val="20"/>
              </w:rPr>
            </w:pPr>
            <w:r>
              <w:rPr>
                <w:rFonts w:ascii="Calibri" w:hAnsi="Calibri" w:cs="Calibri"/>
                <w:b/>
                <w:bCs/>
                <w:color w:val="000000" w:themeColor="text1"/>
                <w:sz w:val="20"/>
                <w:szCs w:val="20"/>
              </w:rPr>
              <w:t>Component 4</w:t>
            </w:r>
            <w:r>
              <w:rPr>
                <w:rFonts w:ascii="Calibri" w:hAnsi="Calibri" w:cs="Calibri"/>
                <w:color w:val="000000" w:themeColor="text1"/>
                <w:sz w:val="20"/>
                <w:szCs w:val="20"/>
              </w:rPr>
              <w:t xml:space="preserve">: Promote regional and national frameworks for innovative sustainable blue/ocean economy finance to foster positive ecosystem, social and economic impacts </w:t>
            </w:r>
          </w:p>
        </w:tc>
        <w:tc>
          <w:tcPr>
            <w:tcW w:w="0" w:type="auto"/>
            <w:vMerge w:val="restart"/>
            <w:shd w:val="clear" w:color="auto" w:fill="FFFFFF"/>
          </w:tcPr>
          <w:p w14:paraId="68091BA4" w14:textId="77777777" w:rsidR="00CF33D9" w:rsidRDefault="00E3332A">
            <w:pPr>
              <w:pStyle w:val="NormalWeb"/>
              <w:spacing w:line="200" w:lineRule="exact"/>
              <w:contextualSpacing/>
              <w:rPr>
                <w:rFonts w:ascii="Calibri" w:hAnsi="Calibri" w:cs="Calibri"/>
                <w:color w:val="000000" w:themeColor="text1"/>
                <w:sz w:val="20"/>
                <w:szCs w:val="20"/>
              </w:rPr>
            </w:pPr>
            <w:r>
              <w:rPr>
                <w:rFonts w:ascii="Calibri" w:hAnsi="Calibri" w:cs="Calibri"/>
                <w:color w:val="000000" w:themeColor="text1"/>
                <w:sz w:val="20"/>
                <w:szCs w:val="20"/>
              </w:rPr>
              <w:t>4.1: Policy, regulatory and institutional capacity for boosting sustainable innovative blue/ocean economy finance strengthened (within the framework of a Circular Economy)</w:t>
            </w:r>
          </w:p>
          <w:p w14:paraId="68091BA5"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val="restart"/>
            <w:shd w:val="clear" w:color="auto" w:fill="FFFFFF"/>
          </w:tcPr>
          <w:p w14:paraId="68091BA6" w14:textId="77777777" w:rsidR="00CF33D9" w:rsidRDefault="00E3332A">
            <w:pPr>
              <w:pStyle w:val="NormalWeb"/>
              <w:spacing w:line="200" w:lineRule="exact"/>
              <w:contextualSpacing/>
              <w:rPr>
                <w:rFonts w:ascii="Calibri" w:hAnsi="Calibri" w:cs="Calibri"/>
                <w:b/>
                <w:bCs/>
                <w:color w:val="000000" w:themeColor="text1"/>
                <w:sz w:val="20"/>
                <w:szCs w:val="20"/>
              </w:rPr>
            </w:pPr>
            <w:r>
              <w:rPr>
                <w:rFonts w:ascii="Calibri" w:hAnsi="Calibri" w:cs="Calibri"/>
                <w:color w:val="000000" w:themeColor="text1"/>
                <w:sz w:val="20"/>
                <w:szCs w:val="20"/>
              </w:rPr>
              <w:t>4.1.1 Policies and strategies for Sustainable Blue/ Ocean Economy finance developed and/or strengthened</w:t>
            </w:r>
          </w:p>
        </w:tc>
        <w:tc>
          <w:tcPr>
            <w:tcW w:w="0" w:type="auto"/>
            <w:shd w:val="clear" w:color="auto" w:fill="FFFFFF"/>
          </w:tcPr>
          <w:p w14:paraId="68091BA7" w14:textId="77777777" w:rsidR="00CF33D9" w:rsidRDefault="00E3332A">
            <w:pPr>
              <w:pStyle w:val="ListParagraph"/>
              <w:numPr>
                <w:ilvl w:val="0"/>
                <w:numId w:val="96"/>
              </w:numPr>
              <w:spacing w:line="200" w:lineRule="exact"/>
              <w:ind w:left="164" w:hanging="142"/>
              <w:contextualSpacing/>
              <w:rPr>
                <w:rFonts w:ascii="Calibri" w:hAnsi="Calibri" w:cs="Calibri"/>
                <w:sz w:val="20"/>
                <w:szCs w:val="20"/>
                <w:lang w:val="en-IE"/>
              </w:rPr>
            </w:pPr>
            <w:r>
              <w:rPr>
                <w:rFonts w:ascii="Calibri" w:hAnsi="Calibri" w:cs="Calibri"/>
                <w:sz w:val="20"/>
                <w:szCs w:val="20"/>
                <w:lang w:val="en-IE"/>
              </w:rPr>
              <w:t xml:space="preserve">Activity 4.1.1.1: Identification and analysis of existing policies (coverage, strengths, weaknesses, gaps) and strategies on sustainable blue/ocean economy finances in the targeted countries, including rapid and consultation with key financing actors </w:t>
            </w:r>
            <w:r>
              <w:rPr>
                <w:rStyle w:val="FootnoteReference"/>
                <w:rFonts w:ascii="Calibri" w:eastAsia="Calibri" w:hAnsi="Calibri" w:cs="Calibri"/>
                <w:sz w:val="20"/>
                <w:szCs w:val="20"/>
                <w:lang w:val="en-IE"/>
              </w:rPr>
              <w:footnoteReference w:id="11"/>
            </w:r>
            <w:r>
              <w:rPr>
                <w:rFonts w:ascii="Calibri" w:hAnsi="Calibri" w:cs="Calibri"/>
                <w:sz w:val="20"/>
                <w:szCs w:val="20"/>
                <w:lang w:val="en-IE"/>
              </w:rPr>
              <w:t>.</w:t>
            </w:r>
          </w:p>
        </w:tc>
      </w:tr>
      <w:tr w:rsidR="00CF33D9" w14:paraId="68091BAD" w14:textId="77777777">
        <w:trPr>
          <w:trHeight w:val="408"/>
        </w:trPr>
        <w:tc>
          <w:tcPr>
            <w:tcW w:w="0" w:type="auto"/>
            <w:vMerge/>
            <w:shd w:val="clear" w:color="auto" w:fill="FFFFFF"/>
          </w:tcPr>
          <w:p w14:paraId="68091BA9" w14:textId="77777777" w:rsidR="00CF33D9" w:rsidRDefault="00CF33D9">
            <w:pPr>
              <w:pStyle w:val="NormalWeb"/>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BAA"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vMerge/>
            <w:shd w:val="clear" w:color="auto" w:fill="FFFFFF"/>
          </w:tcPr>
          <w:p w14:paraId="68091BAB"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shd w:val="clear" w:color="auto" w:fill="FFFFFF"/>
          </w:tcPr>
          <w:p w14:paraId="68091BAC" w14:textId="77777777" w:rsidR="00CF33D9" w:rsidRDefault="00E3332A">
            <w:pPr>
              <w:pStyle w:val="ListParagraph"/>
              <w:numPr>
                <w:ilvl w:val="0"/>
                <w:numId w:val="96"/>
              </w:numPr>
              <w:spacing w:line="200" w:lineRule="exact"/>
              <w:ind w:left="164" w:hanging="142"/>
              <w:contextualSpacing/>
              <w:rPr>
                <w:rFonts w:ascii="Calibri" w:hAnsi="Calibri" w:cs="Calibri"/>
                <w:sz w:val="20"/>
                <w:szCs w:val="20"/>
                <w:lang w:val="en-IE"/>
              </w:rPr>
            </w:pPr>
            <w:r>
              <w:rPr>
                <w:rFonts w:ascii="Calibri" w:hAnsi="Calibri" w:cs="Calibri"/>
                <w:sz w:val="20"/>
                <w:szCs w:val="20"/>
                <w:lang w:val="en-IE"/>
              </w:rPr>
              <w:t>Activity 4.1.1.2: Drafting and finalisation of proposals (including stakeholder) feedback and validation) for development / strengthening of existing policies and strategies and actions and financing products/solutions on sustainable blue/ocean economy financing, for presentation to government for discussion and adoption (including 40% or more of female participation during consultation/validation).</w:t>
            </w:r>
          </w:p>
        </w:tc>
      </w:tr>
      <w:tr w:rsidR="00CF33D9" w14:paraId="68091BB2" w14:textId="77777777">
        <w:trPr>
          <w:trHeight w:val="592"/>
        </w:trPr>
        <w:tc>
          <w:tcPr>
            <w:tcW w:w="0" w:type="auto"/>
            <w:vMerge/>
            <w:shd w:val="clear" w:color="auto" w:fill="FFFFFF"/>
          </w:tcPr>
          <w:p w14:paraId="68091BAE"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BAF"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val="restart"/>
            <w:shd w:val="clear" w:color="auto" w:fill="FFFFFF"/>
          </w:tcPr>
          <w:p w14:paraId="68091BB0" w14:textId="77777777" w:rsidR="00CF33D9" w:rsidRDefault="00E3332A">
            <w:pPr>
              <w:pStyle w:val="NormalWeb"/>
              <w:spacing w:line="200" w:lineRule="exact"/>
              <w:contextualSpacing/>
              <w:rPr>
                <w:rFonts w:ascii="Calibri" w:hAnsi="Calibri" w:cs="Calibri"/>
                <w:b/>
                <w:bCs/>
                <w:color w:val="000000" w:themeColor="text1"/>
                <w:sz w:val="20"/>
                <w:szCs w:val="20"/>
              </w:rPr>
            </w:pPr>
            <w:r>
              <w:rPr>
                <w:rFonts w:ascii="Calibri" w:hAnsi="Calibri" w:cs="Calibri"/>
                <w:color w:val="000000" w:themeColor="text1"/>
                <w:sz w:val="20"/>
                <w:szCs w:val="20"/>
              </w:rPr>
              <w:t xml:space="preserve">4.1.2: Reinforced public sector (national and regional) and private sector capacities in the design and implementation of bankable Sustainable Blue/ocean economy projects, innovative financing, principles, standards and green investments, among others,  </w:t>
            </w:r>
          </w:p>
        </w:tc>
        <w:tc>
          <w:tcPr>
            <w:tcW w:w="0" w:type="auto"/>
            <w:shd w:val="clear" w:color="auto" w:fill="FFFFFF"/>
          </w:tcPr>
          <w:p w14:paraId="68091BB1" w14:textId="77777777" w:rsidR="00CF33D9" w:rsidRDefault="00E3332A">
            <w:pPr>
              <w:pStyle w:val="ListParagraph"/>
              <w:numPr>
                <w:ilvl w:val="0"/>
                <w:numId w:val="97"/>
              </w:numPr>
              <w:spacing w:line="200" w:lineRule="exact"/>
              <w:ind w:left="164" w:hanging="164"/>
              <w:contextualSpacing/>
              <w:rPr>
                <w:rFonts w:ascii="Calibri" w:hAnsi="Calibri" w:cs="Calibri"/>
                <w:sz w:val="20"/>
                <w:szCs w:val="20"/>
                <w:lang w:val="en-IE"/>
              </w:rPr>
            </w:pPr>
            <w:r>
              <w:rPr>
                <w:rFonts w:ascii="Calibri" w:hAnsi="Calibri" w:cs="Calibri"/>
                <w:sz w:val="20"/>
                <w:szCs w:val="20"/>
                <w:lang w:val="en-IE"/>
              </w:rPr>
              <w:t>Activity 4.1.2.1: Needs analysis of public sector (national and regional) and private sector capacities in the design and implementation of bankable sustainable blue/ocean economy projects, innovative financing, principles, standards and green investments.</w:t>
            </w:r>
          </w:p>
        </w:tc>
      </w:tr>
      <w:tr w:rsidR="00CF33D9" w14:paraId="68091BB7" w14:textId="77777777">
        <w:trPr>
          <w:trHeight w:val="592"/>
        </w:trPr>
        <w:tc>
          <w:tcPr>
            <w:tcW w:w="0" w:type="auto"/>
            <w:vMerge/>
            <w:shd w:val="clear" w:color="auto" w:fill="FFFFFF"/>
          </w:tcPr>
          <w:p w14:paraId="68091BB3"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BB4"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BB5"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shd w:val="clear" w:color="auto" w:fill="FFFFFF"/>
          </w:tcPr>
          <w:p w14:paraId="68091BB6" w14:textId="77777777" w:rsidR="00CF33D9" w:rsidRDefault="00E3332A">
            <w:pPr>
              <w:pStyle w:val="ListParagraph"/>
              <w:numPr>
                <w:ilvl w:val="0"/>
                <w:numId w:val="97"/>
              </w:numPr>
              <w:spacing w:line="200" w:lineRule="exact"/>
              <w:ind w:left="164" w:hanging="164"/>
              <w:contextualSpacing/>
              <w:rPr>
                <w:rFonts w:ascii="Calibri" w:hAnsi="Calibri" w:cs="Calibri"/>
                <w:sz w:val="20"/>
                <w:szCs w:val="20"/>
                <w:lang w:val="en-IE"/>
              </w:rPr>
            </w:pPr>
            <w:r>
              <w:rPr>
                <w:rFonts w:ascii="Calibri" w:hAnsi="Calibri" w:cs="Calibri"/>
                <w:sz w:val="20"/>
                <w:szCs w:val="20"/>
                <w:lang w:val="en-IE"/>
              </w:rPr>
              <w:t>Activity 4.1.2.2: Design and delivery of capacity building programme addressing the capacity development need-of national and regional public sector actors.</w:t>
            </w:r>
          </w:p>
        </w:tc>
      </w:tr>
      <w:tr w:rsidR="00CF33D9" w14:paraId="68091BBC" w14:textId="77777777">
        <w:trPr>
          <w:trHeight w:val="592"/>
        </w:trPr>
        <w:tc>
          <w:tcPr>
            <w:tcW w:w="0" w:type="auto"/>
            <w:vMerge/>
            <w:shd w:val="clear" w:color="auto" w:fill="FFFFFF"/>
          </w:tcPr>
          <w:p w14:paraId="68091BB8"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BB9"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BBA"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shd w:val="clear" w:color="auto" w:fill="FFFFFF"/>
          </w:tcPr>
          <w:p w14:paraId="68091BBB" w14:textId="77777777" w:rsidR="00CF33D9" w:rsidRDefault="00E3332A">
            <w:pPr>
              <w:pStyle w:val="ListParagraph"/>
              <w:numPr>
                <w:ilvl w:val="0"/>
                <w:numId w:val="97"/>
              </w:numPr>
              <w:spacing w:line="200" w:lineRule="exact"/>
              <w:ind w:left="164" w:hanging="164"/>
              <w:contextualSpacing/>
              <w:rPr>
                <w:rFonts w:ascii="Calibri" w:hAnsi="Calibri" w:cs="Calibri"/>
                <w:sz w:val="20"/>
                <w:szCs w:val="20"/>
                <w:lang w:val="en-IE"/>
              </w:rPr>
            </w:pPr>
            <w:r>
              <w:rPr>
                <w:rFonts w:ascii="Calibri" w:hAnsi="Calibri" w:cs="Calibri"/>
                <w:sz w:val="20"/>
                <w:szCs w:val="20"/>
                <w:lang w:val="en-IE"/>
              </w:rPr>
              <w:t xml:space="preserve">Activity 4.1.2.3: Implementation of the </w:t>
            </w:r>
            <w:r>
              <w:rPr>
                <w:rFonts w:ascii="Calibri" w:hAnsi="Calibri" w:cs="Calibri"/>
                <w:color w:val="000000" w:themeColor="text1"/>
                <w:sz w:val="20"/>
                <w:szCs w:val="20"/>
                <w:lang w:val="en-IE"/>
              </w:rPr>
              <w:t>bankable Sustainable Blue/ocean economy projects, innovative financing, principles, standards and green investments</w:t>
            </w:r>
            <w:r>
              <w:rPr>
                <w:rFonts w:ascii="Calibri" w:hAnsi="Calibri" w:cs="Calibri"/>
                <w:sz w:val="20"/>
                <w:szCs w:val="20"/>
                <w:lang w:val="en-IE"/>
              </w:rPr>
              <w:t xml:space="preserve"> capacity </w:t>
            </w:r>
            <w:r>
              <w:rPr>
                <w:rFonts w:ascii="Calibri" w:hAnsi="Calibri" w:cs="Calibri"/>
                <w:sz w:val="20"/>
                <w:szCs w:val="20"/>
                <w:lang w:val="en-IE"/>
              </w:rPr>
              <w:lastRenderedPageBreak/>
              <w:t>building programme. (Including 40% or more of female participation).</w:t>
            </w:r>
          </w:p>
        </w:tc>
      </w:tr>
      <w:tr w:rsidR="00CF33D9" w14:paraId="68091BC1" w14:textId="77777777">
        <w:trPr>
          <w:trHeight w:val="592"/>
        </w:trPr>
        <w:tc>
          <w:tcPr>
            <w:tcW w:w="0" w:type="auto"/>
            <w:vMerge/>
            <w:shd w:val="clear" w:color="auto" w:fill="FFFFFF"/>
          </w:tcPr>
          <w:p w14:paraId="68091BBD"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BBE"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BBF"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tcBorders>
              <w:bottom w:val="single" w:sz="4" w:space="0" w:color="auto"/>
            </w:tcBorders>
            <w:shd w:val="clear" w:color="auto" w:fill="FFFFFF"/>
          </w:tcPr>
          <w:p w14:paraId="68091BC0" w14:textId="77777777" w:rsidR="00CF33D9" w:rsidRDefault="00E3332A">
            <w:pPr>
              <w:pStyle w:val="ListParagraph"/>
              <w:numPr>
                <w:ilvl w:val="0"/>
                <w:numId w:val="97"/>
              </w:numPr>
              <w:spacing w:line="200" w:lineRule="exact"/>
              <w:ind w:left="164" w:hanging="164"/>
              <w:contextualSpacing/>
              <w:rPr>
                <w:rFonts w:ascii="Calibri" w:hAnsi="Calibri" w:cs="Calibri"/>
                <w:sz w:val="20"/>
                <w:szCs w:val="20"/>
                <w:lang w:val="en-IE"/>
              </w:rPr>
            </w:pPr>
            <w:r>
              <w:rPr>
                <w:rFonts w:ascii="Calibri" w:hAnsi="Calibri" w:cs="Calibri"/>
                <w:sz w:val="20"/>
                <w:szCs w:val="20"/>
                <w:lang w:val="en-IE"/>
              </w:rPr>
              <w:t>Activity 4.1.2.4: Technical assistance in the development of specific financing-ready and investment-ready innovative viable/bankable projects to participants to the investment-ready innovative bankable projects programme.</w:t>
            </w:r>
          </w:p>
        </w:tc>
      </w:tr>
      <w:tr w:rsidR="00CF33D9" w14:paraId="68091BC6" w14:textId="77777777">
        <w:trPr>
          <w:trHeight w:val="592"/>
        </w:trPr>
        <w:tc>
          <w:tcPr>
            <w:tcW w:w="0" w:type="auto"/>
            <w:vMerge/>
            <w:shd w:val="clear" w:color="auto" w:fill="FFFFFF"/>
          </w:tcPr>
          <w:p w14:paraId="68091BC2"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BC3"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tcBorders>
              <w:bottom w:val="single" w:sz="4" w:space="0" w:color="auto"/>
            </w:tcBorders>
            <w:shd w:val="clear" w:color="auto" w:fill="FFFFFF"/>
          </w:tcPr>
          <w:p w14:paraId="68091BC4"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tcBorders>
              <w:bottom w:val="single" w:sz="4" w:space="0" w:color="auto"/>
            </w:tcBorders>
            <w:shd w:val="clear" w:color="auto" w:fill="FFFFFF"/>
          </w:tcPr>
          <w:p w14:paraId="68091BC5" w14:textId="77777777" w:rsidR="00CF33D9" w:rsidRDefault="00E3332A">
            <w:pPr>
              <w:pStyle w:val="ListParagraph"/>
              <w:numPr>
                <w:ilvl w:val="0"/>
                <w:numId w:val="97"/>
              </w:numPr>
              <w:spacing w:line="200" w:lineRule="exact"/>
              <w:ind w:left="164" w:hanging="164"/>
              <w:contextualSpacing/>
              <w:rPr>
                <w:rFonts w:ascii="Calibri" w:hAnsi="Calibri" w:cs="Calibri"/>
                <w:sz w:val="20"/>
                <w:szCs w:val="20"/>
                <w:lang w:val="en-IE"/>
              </w:rPr>
            </w:pPr>
            <w:r>
              <w:rPr>
                <w:rFonts w:ascii="Calibri" w:hAnsi="Calibri" w:cs="Calibri"/>
                <w:sz w:val="20"/>
                <w:szCs w:val="20"/>
                <w:lang w:val="en-IE"/>
              </w:rPr>
              <w:t>Activity 4.1.2.5: Presentation and application to sustainable blue/ocean economy fund</w:t>
            </w:r>
          </w:p>
        </w:tc>
      </w:tr>
      <w:tr w:rsidR="00CF33D9" w14:paraId="68091BCC" w14:textId="77777777">
        <w:trPr>
          <w:trHeight w:val="518"/>
        </w:trPr>
        <w:tc>
          <w:tcPr>
            <w:tcW w:w="0" w:type="auto"/>
            <w:vMerge/>
            <w:shd w:val="clear" w:color="auto" w:fill="FFFFFF"/>
          </w:tcPr>
          <w:p w14:paraId="68091BC7"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val="restart"/>
            <w:shd w:val="clear" w:color="auto" w:fill="FFFFFF"/>
          </w:tcPr>
          <w:p w14:paraId="68091BC8" w14:textId="77777777" w:rsidR="00CF33D9" w:rsidRDefault="00E3332A">
            <w:pPr>
              <w:pStyle w:val="NormalWeb"/>
              <w:spacing w:line="200" w:lineRule="exact"/>
              <w:contextualSpacing/>
              <w:rPr>
                <w:rFonts w:ascii="Calibri" w:hAnsi="Calibri" w:cs="Calibri"/>
                <w:color w:val="000000" w:themeColor="text1"/>
                <w:sz w:val="20"/>
                <w:szCs w:val="20"/>
              </w:rPr>
            </w:pPr>
            <w:r>
              <w:rPr>
                <w:rFonts w:ascii="Calibri" w:hAnsi="Calibri" w:cs="Calibri"/>
                <w:color w:val="000000" w:themeColor="text1"/>
                <w:sz w:val="20"/>
                <w:szCs w:val="20"/>
              </w:rPr>
              <w:t>4.2: Innovative sustainable blue/ocean finance at national and/or regional levels accelerated</w:t>
            </w:r>
            <w:r>
              <w:rPr>
                <w:rFonts w:ascii="Calibri" w:hAnsi="Calibri" w:cs="Calibri"/>
                <w:color w:val="000000" w:themeColor="text1"/>
                <w:sz w:val="20"/>
                <w:szCs w:val="20"/>
                <w:shd w:val="clear" w:color="auto" w:fill="FFFF00"/>
              </w:rPr>
              <w:t xml:space="preserve"> </w:t>
            </w:r>
          </w:p>
          <w:p w14:paraId="68091BC9"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val="restart"/>
            <w:shd w:val="clear" w:color="auto" w:fill="FFFFFF"/>
          </w:tcPr>
          <w:p w14:paraId="68091BCA" w14:textId="77777777" w:rsidR="00CF33D9" w:rsidRDefault="00E3332A">
            <w:pPr>
              <w:pStyle w:val="NormalWeb"/>
              <w:spacing w:line="200" w:lineRule="exact"/>
              <w:contextualSpacing/>
              <w:rPr>
                <w:rFonts w:ascii="Calibri" w:hAnsi="Calibri" w:cs="Calibri"/>
                <w:b/>
                <w:bCs/>
                <w:color w:val="000000" w:themeColor="text1"/>
                <w:sz w:val="20"/>
                <w:szCs w:val="20"/>
              </w:rPr>
            </w:pPr>
            <w:r>
              <w:rPr>
                <w:rFonts w:ascii="Calibri" w:hAnsi="Calibri" w:cs="Calibri"/>
                <w:color w:val="000000" w:themeColor="text1"/>
                <w:sz w:val="20"/>
                <w:szCs w:val="20"/>
              </w:rPr>
              <w:t xml:space="preserve">4.2.1: Viable sustainable blue/ocean finance mechanisms and tools developed and piloted (including incentives to stimulate regional, national, local and private sector SBE investments, pollution reduction, circular economy etc.) </w:t>
            </w:r>
          </w:p>
        </w:tc>
        <w:tc>
          <w:tcPr>
            <w:tcW w:w="0" w:type="auto"/>
            <w:shd w:val="clear" w:color="auto" w:fill="FFFFFF"/>
          </w:tcPr>
          <w:p w14:paraId="68091BCB" w14:textId="77777777" w:rsidR="00CF33D9" w:rsidRDefault="00E3332A">
            <w:pPr>
              <w:pStyle w:val="ListParagraph"/>
              <w:numPr>
                <w:ilvl w:val="0"/>
                <w:numId w:val="97"/>
              </w:numPr>
              <w:spacing w:line="200" w:lineRule="exact"/>
              <w:ind w:left="164" w:hanging="164"/>
              <w:contextualSpacing/>
              <w:rPr>
                <w:rFonts w:ascii="Calibri" w:hAnsi="Calibri" w:cs="Calibri"/>
                <w:sz w:val="20"/>
                <w:szCs w:val="20"/>
              </w:rPr>
            </w:pPr>
            <w:r>
              <w:rPr>
                <w:rFonts w:ascii="Calibri" w:hAnsi="Calibri" w:cs="Calibri"/>
                <w:sz w:val="20"/>
                <w:szCs w:val="20"/>
              </w:rPr>
              <w:t>Activity 4.2.1.1:  identification of innovative sustainable blue/ocean finance mechanisms and tools in the target countries and internationally in the region.</w:t>
            </w:r>
          </w:p>
        </w:tc>
      </w:tr>
      <w:tr w:rsidR="00CF33D9" w14:paraId="68091BD1" w14:textId="77777777">
        <w:trPr>
          <w:trHeight w:val="514"/>
        </w:trPr>
        <w:tc>
          <w:tcPr>
            <w:tcW w:w="0" w:type="auto"/>
            <w:vMerge/>
            <w:shd w:val="clear" w:color="auto" w:fill="FFFFFF"/>
          </w:tcPr>
          <w:p w14:paraId="68091BCD"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BCE"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vMerge/>
            <w:shd w:val="clear" w:color="auto" w:fill="FFFFFF"/>
          </w:tcPr>
          <w:p w14:paraId="68091BCF"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shd w:val="clear" w:color="auto" w:fill="FFFFFF"/>
          </w:tcPr>
          <w:p w14:paraId="68091BD0" w14:textId="77777777" w:rsidR="00CF33D9" w:rsidRDefault="00E3332A">
            <w:pPr>
              <w:pStyle w:val="ListParagraph"/>
              <w:numPr>
                <w:ilvl w:val="0"/>
                <w:numId w:val="97"/>
              </w:numPr>
              <w:spacing w:line="200" w:lineRule="exact"/>
              <w:ind w:left="164" w:hanging="164"/>
              <w:contextualSpacing/>
              <w:rPr>
                <w:rFonts w:ascii="Calibri" w:hAnsi="Calibri" w:cs="Calibri"/>
                <w:sz w:val="20"/>
                <w:szCs w:val="20"/>
              </w:rPr>
            </w:pPr>
            <w:r>
              <w:rPr>
                <w:rFonts w:ascii="Calibri" w:hAnsi="Calibri" w:cs="Calibri"/>
                <w:sz w:val="20"/>
                <w:szCs w:val="20"/>
              </w:rPr>
              <w:t>Activity 4.2.1.2: Facilitate countries specific needs assessment and design tailored innovative sustainable blue/ocean finance mechanisms and tools</w:t>
            </w:r>
          </w:p>
        </w:tc>
      </w:tr>
      <w:tr w:rsidR="00CF33D9" w14:paraId="68091BD6" w14:textId="77777777">
        <w:trPr>
          <w:trHeight w:val="514"/>
        </w:trPr>
        <w:tc>
          <w:tcPr>
            <w:tcW w:w="0" w:type="auto"/>
            <w:vMerge/>
            <w:shd w:val="clear" w:color="auto" w:fill="FFFFFF"/>
          </w:tcPr>
          <w:p w14:paraId="68091BD2"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BD3"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vMerge/>
            <w:shd w:val="clear" w:color="auto" w:fill="FFFFFF"/>
          </w:tcPr>
          <w:p w14:paraId="68091BD4"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shd w:val="clear" w:color="auto" w:fill="FFFFFF"/>
          </w:tcPr>
          <w:p w14:paraId="68091BD5" w14:textId="77777777" w:rsidR="00CF33D9" w:rsidRDefault="00E3332A">
            <w:pPr>
              <w:pStyle w:val="ListParagraph"/>
              <w:numPr>
                <w:ilvl w:val="0"/>
                <w:numId w:val="97"/>
              </w:numPr>
              <w:spacing w:line="200" w:lineRule="exact"/>
              <w:ind w:left="164" w:hanging="164"/>
              <w:contextualSpacing/>
              <w:rPr>
                <w:rFonts w:ascii="Calibri" w:hAnsi="Calibri" w:cs="Calibri"/>
                <w:sz w:val="20"/>
                <w:szCs w:val="20"/>
              </w:rPr>
            </w:pPr>
            <w:r>
              <w:rPr>
                <w:rFonts w:ascii="Calibri" w:hAnsi="Calibri" w:cs="Calibri"/>
                <w:sz w:val="20"/>
                <w:szCs w:val="20"/>
              </w:rPr>
              <w:t>Activity 4.2.1.3: Presentation and dissemination of the tailored innovative sustainable blue /ocean finance mechanisms and tools to each government and stakeholders to government and stakeholders in each target country.</w:t>
            </w:r>
          </w:p>
        </w:tc>
      </w:tr>
      <w:tr w:rsidR="00CF33D9" w14:paraId="68091BDB" w14:textId="77777777">
        <w:trPr>
          <w:trHeight w:val="514"/>
        </w:trPr>
        <w:tc>
          <w:tcPr>
            <w:tcW w:w="0" w:type="auto"/>
            <w:vMerge/>
            <w:shd w:val="clear" w:color="auto" w:fill="FFFFFF"/>
          </w:tcPr>
          <w:p w14:paraId="68091BD7"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BD8"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vMerge/>
            <w:shd w:val="clear" w:color="auto" w:fill="FFFFFF"/>
          </w:tcPr>
          <w:p w14:paraId="68091BD9"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shd w:val="clear" w:color="auto" w:fill="FFFFFF"/>
          </w:tcPr>
          <w:p w14:paraId="68091BDA" w14:textId="77777777" w:rsidR="00CF33D9" w:rsidRDefault="00E3332A">
            <w:pPr>
              <w:pStyle w:val="ListParagraph"/>
              <w:numPr>
                <w:ilvl w:val="0"/>
                <w:numId w:val="97"/>
              </w:numPr>
              <w:spacing w:line="200" w:lineRule="exact"/>
              <w:ind w:left="164" w:hanging="164"/>
              <w:contextualSpacing/>
              <w:rPr>
                <w:rFonts w:ascii="Calibri" w:hAnsi="Calibri" w:cs="Calibri"/>
                <w:sz w:val="20"/>
                <w:szCs w:val="20"/>
              </w:rPr>
            </w:pPr>
            <w:r>
              <w:rPr>
                <w:rFonts w:ascii="Calibri" w:hAnsi="Calibri" w:cs="Calibri"/>
                <w:sz w:val="20"/>
                <w:szCs w:val="20"/>
              </w:rPr>
              <w:t>Activity 4.2.1.4: Implementation and adoption of the tailored innovative sustainable blue /ocean finance mechanisms and tools, through pilot projects that includes incentives to stimulate regional, national, local and private sector SBE investments, as well as circular economy and pollution reduction.</w:t>
            </w:r>
          </w:p>
        </w:tc>
      </w:tr>
      <w:tr w:rsidR="00CF33D9" w14:paraId="68091BE0" w14:textId="77777777">
        <w:trPr>
          <w:trHeight w:val="514"/>
        </w:trPr>
        <w:tc>
          <w:tcPr>
            <w:tcW w:w="0" w:type="auto"/>
            <w:vMerge/>
            <w:shd w:val="clear" w:color="auto" w:fill="FFFFFF"/>
          </w:tcPr>
          <w:p w14:paraId="68091BDC"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BDD"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vMerge/>
            <w:tcBorders>
              <w:bottom w:val="single" w:sz="4" w:space="0" w:color="auto"/>
            </w:tcBorders>
            <w:shd w:val="clear" w:color="auto" w:fill="FFFFFF"/>
          </w:tcPr>
          <w:p w14:paraId="68091BDE"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tcBorders>
              <w:bottom w:val="single" w:sz="4" w:space="0" w:color="auto"/>
            </w:tcBorders>
            <w:shd w:val="clear" w:color="auto" w:fill="FFFFFF"/>
          </w:tcPr>
          <w:p w14:paraId="68091BDF" w14:textId="77777777" w:rsidR="00CF33D9" w:rsidRDefault="00E3332A">
            <w:pPr>
              <w:pStyle w:val="ListParagraph"/>
              <w:numPr>
                <w:ilvl w:val="0"/>
                <w:numId w:val="97"/>
              </w:numPr>
              <w:spacing w:line="200" w:lineRule="exact"/>
              <w:ind w:left="164" w:hanging="164"/>
              <w:contextualSpacing/>
              <w:rPr>
                <w:rFonts w:ascii="Calibri" w:hAnsi="Calibri" w:cs="Calibri"/>
                <w:sz w:val="20"/>
                <w:szCs w:val="20"/>
              </w:rPr>
            </w:pPr>
            <w:r>
              <w:rPr>
                <w:rFonts w:ascii="Calibri" w:hAnsi="Calibri" w:cs="Calibri"/>
                <w:sz w:val="20"/>
                <w:szCs w:val="20"/>
              </w:rPr>
              <w:t>Activity 4.2.1.5: Monitoring and evaluation of the impact attained with the innovative sustainable blue/ocean finance mechanisms and tools.</w:t>
            </w:r>
          </w:p>
        </w:tc>
      </w:tr>
      <w:tr w:rsidR="00CF33D9" w14:paraId="68091BE5" w14:textId="77777777">
        <w:trPr>
          <w:trHeight w:val="509"/>
        </w:trPr>
        <w:tc>
          <w:tcPr>
            <w:tcW w:w="0" w:type="auto"/>
            <w:vMerge/>
            <w:shd w:val="clear" w:color="auto" w:fill="FFFFFF"/>
          </w:tcPr>
          <w:p w14:paraId="68091BE1"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BE2"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val="restart"/>
            <w:shd w:val="clear" w:color="auto" w:fill="FFFFFF"/>
          </w:tcPr>
          <w:p w14:paraId="68091BE3" w14:textId="77777777" w:rsidR="00CF33D9" w:rsidRDefault="00E3332A">
            <w:pPr>
              <w:pStyle w:val="NormalWeb"/>
              <w:spacing w:line="200" w:lineRule="exact"/>
              <w:contextualSpacing/>
              <w:rPr>
                <w:rFonts w:ascii="Calibri" w:hAnsi="Calibri" w:cs="Calibri"/>
                <w:color w:val="000000" w:themeColor="text1"/>
                <w:sz w:val="20"/>
                <w:szCs w:val="20"/>
              </w:rPr>
            </w:pPr>
            <w:r>
              <w:rPr>
                <w:rFonts w:ascii="Calibri" w:hAnsi="Calibri" w:cs="Calibri"/>
                <w:color w:val="000000" w:themeColor="text1"/>
                <w:sz w:val="20"/>
                <w:szCs w:val="20"/>
              </w:rPr>
              <w:t xml:space="preserve">4.2.2: Feasibility for blue carbon finance assessed and viable options developed (the project will work with NGI to expand kelp harvesting (e.g. such efforts as https://kelp.blue/namibia/). </w:t>
            </w:r>
          </w:p>
        </w:tc>
        <w:tc>
          <w:tcPr>
            <w:tcW w:w="0" w:type="auto"/>
            <w:shd w:val="clear" w:color="auto" w:fill="FFFFFF"/>
          </w:tcPr>
          <w:p w14:paraId="68091BE4" w14:textId="77777777" w:rsidR="00CF33D9" w:rsidRDefault="00E3332A">
            <w:pPr>
              <w:pStyle w:val="ListParagraph"/>
              <w:numPr>
                <w:ilvl w:val="0"/>
                <w:numId w:val="98"/>
              </w:numPr>
              <w:spacing w:line="200" w:lineRule="exact"/>
              <w:ind w:left="164" w:hanging="142"/>
              <w:contextualSpacing/>
              <w:rPr>
                <w:rFonts w:ascii="Calibri" w:hAnsi="Calibri" w:cs="Calibri"/>
                <w:b/>
                <w:bCs/>
                <w:sz w:val="20"/>
                <w:szCs w:val="20"/>
              </w:rPr>
            </w:pPr>
            <w:r>
              <w:rPr>
                <w:rFonts w:ascii="Calibri" w:hAnsi="Calibri" w:cs="Calibri"/>
                <w:sz w:val="20"/>
                <w:szCs w:val="20"/>
              </w:rPr>
              <w:t>Activity 4.2.2.1: Analysis of existing projects identified as bankable and having strong opportunities to become a blue carbon finance project.</w:t>
            </w:r>
          </w:p>
        </w:tc>
      </w:tr>
      <w:tr w:rsidR="00CF33D9" w14:paraId="68091BEA" w14:textId="77777777">
        <w:trPr>
          <w:trHeight w:val="507"/>
        </w:trPr>
        <w:tc>
          <w:tcPr>
            <w:tcW w:w="0" w:type="auto"/>
            <w:vMerge/>
            <w:shd w:val="clear" w:color="auto" w:fill="FFFFFF"/>
          </w:tcPr>
          <w:p w14:paraId="68091BE6"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BE7"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BE8"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shd w:val="clear" w:color="auto" w:fill="FFFFFF"/>
          </w:tcPr>
          <w:p w14:paraId="68091BE9" w14:textId="77777777" w:rsidR="00CF33D9" w:rsidRDefault="00E3332A">
            <w:pPr>
              <w:pStyle w:val="ListParagraph"/>
              <w:numPr>
                <w:ilvl w:val="0"/>
                <w:numId w:val="98"/>
              </w:numPr>
              <w:spacing w:line="200" w:lineRule="exact"/>
              <w:ind w:left="164" w:hanging="142"/>
              <w:contextualSpacing/>
              <w:rPr>
                <w:rFonts w:ascii="Calibri" w:hAnsi="Calibri" w:cs="Calibri"/>
                <w:sz w:val="20"/>
                <w:szCs w:val="20"/>
              </w:rPr>
            </w:pPr>
            <w:r>
              <w:rPr>
                <w:rFonts w:ascii="Calibri" w:hAnsi="Calibri" w:cs="Calibri"/>
                <w:sz w:val="20"/>
                <w:szCs w:val="20"/>
              </w:rPr>
              <w:t xml:space="preserve">Activity 4.2.2.2: Development of viable options for financing the identified projects through blue carbon finance mechanisms allowing to </w:t>
            </w:r>
            <w:r>
              <w:rPr>
                <w:rFonts w:ascii="Calibri" w:hAnsi="Calibri" w:cs="Calibri"/>
                <w:sz w:val="20"/>
                <w:szCs w:val="20"/>
              </w:rPr>
              <w:lastRenderedPageBreak/>
              <w:t>drive climate mitigation and resilience through the conservation and restoration of nature.</w:t>
            </w:r>
          </w:p>
        </w:tc>
      </w:tr>
      <w:tr w:rsidR="00CF33D9" w14:paraId="68091BEF" w14:textId="77777777">
        <w:trPr>
          <w:trHeight w:val="507"/>
        </w:trPr>
        <w:tc>
          <w:tcPr>
            <w:tcW w:w="0" w:type="auto"/>
            <w:vMerge/>
            <w:shd w:val="clear" w:color="auto" w:fill="FFFFFF"/>
          </w:tcPr>
          <w:p w14:paraId="68091BEB"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BEC"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tcBorders>
              <w:bottom w:val="single" w:sz="4" w:space="0" w:color="auto"/>
            </w:tcBorders>
            <w:shd w:val="clear" w:color="auto" w:fill="FFFFFF"/>
          </w:tcPr>
          <w:p w14:paraId="68091BED"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tcBorders>
              <w:bottom w:val="single" w:sz="4" w:space="0" w:color="auto"/>
            </w:tcBorders>
            <w:shd w:val="clear" w:color="auto" w:fill="FFFFFF"/>
          </w:tcPr>
          <w:p w14:paraId="68091BEE" w14:textId="77777777" w:rsidR="00CF33D9" w:rsidRDefault="00E3332A">
            <w:pPr>
              <w:pStyle w:val="ListParagraph"/>
              <w:numPr>
                <w:ilvl w:val="0"/>
                <w:numId w:val="98"/>
              </w:numPr>
              <w:spacing w:line="200" w:lineRule="exact"/>
              <w:ind w:left="164" w:hanging="142"/>
              <w:contextualSpacing/>
              <w:rPr>
                <w:rFonts w:ascii="Calibri" w:hAnsi="Calibri" w:cs="Calibri"/>
                <w:sz w:val="20"/>
                <w:szCs w:val="20"/>
              </w:rPr>
            </w:pPr>
            <w:r>
              <w:rPr>
                <w:rFonts w:ascii="Calibri" w:hAnsi="Calibri" w:cs="Calibri"/>
                <w:sz w:val="20"/>
                <w:szCs w:val="20"/>
              </w:rPr>
              <w:t>Activity 4.2.2.3: Monitoring and assessment of the results of the pilots financed with blue carbon finance mechanisms</w:t>
            </w:r>
          </w:p>
        </w:tc>
      </w:tr>
      <w:tr w:rsidR="00CF33D9" w14:paraId="68091BF4" w14:textId="77777777">
        <w:trPr>
          <w:trHeight w:val="301"/>
        </w:trPr>
        <w:tc>
          <w:tcPr>
            <w:tcW w:w="0" w:type="auto"/>
            <w:vMerge/>
            <w:shd w:val="clear" w:color="auto" w:fill="FFFFFF"/>
          </w:tcPr>
          <w:p w14:paraId="68091BF0"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BF1"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val="restart"/>
            <w:shd w:val="clear" w:color="auto" w:fill="FFFFFF"/>
          </w:tcPr>
          <w:p w14:paraId="68091BF2" w14:textId="77777777" w:rsidR="00CF33D9" w:rsidRDefault="00E3332A">
            <w:pPr>
              <w:pStyle w:val="NormalWeb"/>
              <w:spacing w:line="200" w:lineRule="exact"/>
              <w:contextualSpacing/>
              <w:rPr>
                <w:rFonts w:ascii="Calibri" w:hAnsi="Calibri" w:cs="Calibri"/>
                <w:color w:val="000000" w:themeColor="text1"/>
                <w:sz w:val="20"/>
                <w:szCs w:val="20"/>
              </w:rPr>
            </w:pPr>
            <w:r>
              <w:rPr>
                <w:rFonts w:ascii="Calibri" w:hAnsi="Calibri" w:cs="Calibri"/>
                <w:color w:val="000000" w:themeColor="text1"/>
                <w:sz w:val="20"/>
                <w:szCs w:val="20"/>
              </w:rPr>
              <w:t xml:space="preserve">4.2.3: Blue carbon finance mechanism developed and implemented </w:t>
            </w:r>
          </w:p>
        </w:tc>
        <w:tc>
          <w:tcPr>
            <w:tcW w:w="0" w:type="auto"/>
            <w:shd w:val="clear" w:color="auto" w:fill="FFFFFF"/>
          </w:tcPr>
          <w:p w14:paraId="68091BF3" w14:textId="77777777" w:rsidR="00CF33D9" w:rsidRDefault="00E3332A">
            <w:pPr>
              <w:pStyle w:val="ListParagraph"/>
              <w:numPr>
                <w:ilvl w:val="0"/>
                <w:numId w:val="98"/>
              </w:numPr>
              <w:spacing w:line="200" w:lineRule="exact"/>
              <w:ind w:left="164" w:hanging="142"/>
              <w:contextualSpacing/>
              <w:rPr>
                <w:rFonts w:ascii="Calibri" w:hAnsi="Calibri" w:cs="Calibri"/>
                <w:sz w:val="20"/>
                <w:szCs w:val="20"/>
              </w:rPr>
            </w:pPr>
            <w:r>
              <w:rPr>
                <w:rFonts w:ascii="Calibri" w:hAnsi="Calibri" w:cs="Calibri"/>
                <w:sz w:val="20"/>
                <w:szCs w:val="20"/>
              </w:rPr>
              <w:t>Activity 4.2.3.1: : Identify and match potential blue carbon finance mechanisms in the target countries and in the international arena</w:t>
            </w:r>
          </w:p>
        </w:tc>
      </w:tr>
      <w:tr w:rsidR="00CF33D9" w14:paraId="68091BF9" w14:textId="77777777">
        <w:trPr>
          <w:trHeight w:val="296"/>
        </w:trPr>
        <w:tc>
          <w:tcPr>
            <w:tcW w:w="0" w:type="auto"/>
            <w:vMerge/>
            <w:shd w:val="clear" w:color="auto" w:fill="FFFFFF"/>
          </w:tcPr>
          <w:p w14:paraId="68091BF5"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BF6"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BF7"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shd w:val="clear" w:color="auto" w:fill="FFFFFF"/>
          </w:tcPr>
          <w:p w14:paraId="68091BF8" w14:textId="77777777" w:rsidR="00CF33D9" w:rsidRDefault="00E3332A">
            <w:pPr>
              <w:pStyle w:val="ListParagraph"/>
              <w:numPr>
                <w:ilvl w:val="0"/>
                <w:numId w:val="98"/>
              </w:numPr>
              <w:spacing w:line="200" w:lineRule="exact"/>
              <w:ind w:left="164" w:hanging="142"/>
              <w:contextualSpacing/>
              <w:rPr>
                <w:rFonts w:ascii="Calibri" w:hAnsi="Calibri" w:cs="Calibri"/>
                <w:sz w:val="20"/>
                <w:szCs w:val="20"/>
              </w:rPr>
            </w:pPr>
            <w:r>
              <w:rPr>
                <w:rFonts w:ascii="Calibri" w:hAnsi="Calibri" w:cs="Calibri"/>
                <w:sz w:val="20"/>
                <w:szCs w:val="20"/>
              </w:rPr>
              <w:t>Activity 4.2.3.2: Develop and implement country-specific blue carbon finance mechanisms for endorsement, taking into account international donors’ availability and priorities.</w:t>
            </w:r>
          </w:p>
        </w:tc>
      </w:tr>
      <w:tr w:rsidR="00CF33D9" w14:paraId="68091C00" w14:textId="77777777">
        <w:trPr>
          <w:trHeight w:val="509"/>
        </w:trPr>
        <w:tc>
          <w:tcPr>
            <w:tcW w:w="0" w:type="auto"/>
            <w:vMerge w:val="restart"/>
            <w:shd w:val="clear" w:color="auto" w:fill="FFFFFF"/>
          </w:tcPr>
          <w:p w14:paraId="68091BFA" w14:textId="77777777" w:rsidR="00CF33D9" w:rsidRDefault="00E3332A">
            <w:pPr>
              <w:pStyle w:val="NormalWeb"/>
              <w:spacing w:line="200" w:lineRule="exact"/>
              <w:contextualSpacing/>
              <w:rPr>
                <w:rFonts w:ascii="Calibri" w:hAnsi="Calibri" w:cs="Calibri"/>
                <w:color w:val="000000" w:themeColor="text1"/>
                <w:sz w:val="20"/>
                <w:szCs w:val="20"/>
              </w:rPr>
            </w:pPr>
            <w:r>
              <w:rPr>
                <w:rFonts w:ascii="Calibri" w:hAnsi="Calibri" w:cs="Calibri"/>
                <w:b/>
                <w:bCs/>
                <w:color w:val="000000" w:themeColor="text1"/>
                <w:sz w:val="20"/>
                <w:szCs w:val="20"/>
              </w:rPr>
              <w:t>Component 5</w:t>
            </w:r>
            <w:r>
              <w:rPr>
                <w:rFonts w:ascii="Calibri" w:hAnsi="Calibri" w:cs="Calibri"/>
                <w:color w:val="000000" w:themeColor="text1"/>
                <w:sz w:val="20"/>
                <w:szCs w:val="20"/>
              </w:rPr>
              <w:t xml:space="preserve">: Knowledge management, awareness raising and upscaling for Sustainable Blue/Ocean Economy </w:t>
            </w:r>
          </w:p>
          <w:p w14:paraId="68091BFB"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val="restart"/>
            <w:shd w:val="clear" w:color="auto" w:fill="FFFFFF"/>
          </w:tcPr>
          <w:p w14:paraId="68091BFC" w14:textId="77777777" w:rsidR="00CF33D9" w:rsidRDefault="00E3332A">
            <w:pPr>
              <w:pStyle w:val="NormalWeb"/>
              <w:spacing w:line="200" w:lineRule="exact"/>
              <w:contextualSpacing/>
              <w:rPr>
                <w:rFonts w:ascii="Calibri" w:hAnsi="Calibri" w:cs="Calibri"/>
                <w:color w:val="000000" w:themeColor="text1"/>
                <w:sz w:val="20"/>
                <w:szCs w:val="20"/>
              </w:rPr>
            </w:pPr>
            <w:r>
              <w:rPr>
                <w:rFonts w:ascii="Calibri" w:hAnsi="Calibri" w:cs="Calibri"/>
                <w:color w:val="000000" w:themeColor="text1"/>
                <w:sz w:val="20"/>
                <w:szCs w:val="20"/>
              </w:rPr>
              <w:t>5.1: Knowledge management, awareness raising and communication on Sustainable Blue/Ocean Economy, and Social and Environmental Safeguards in the BCLME region strengthened</w:t>
            </w:r>
          </w:p>
          <w:p w14:paraId="68091BFD"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val="restart"/>
            <w:shd w:val="clear" w:color="auto" w:fill="FFFFFF"/>
          </w:tcPr>
          <w:p w14:paraId="68091BFE" w14:textId="77777777" w:rsidR="00CF33D9" w:rsidRDefault="00E3332A">
            <w:pPr>
              <w:pStyle w:val="NormalWeb"/>
              <w:spacing w:line="200" w:lineRule="exact"/>
              <w:contextualSpacing/>
              <w:rPr>
                <w:rFonts w:ascii="Calibri" w:hAnsi="Calibri" w:cs="Calibri"/>
                <w:color w:val="000000" w:themeColor="text1"/>
                <w:sz w:val="20"/>
                <w:szCs w:val="20"/>
              </w:rPr>
            </w:pPr>
            <w:r>
              <w:rPr>
                <w:rFonts w:ascii="Calibri" w:hAnsi="Calibri" w:cs="Calibri"/>
                <w:color w:val="000000" w:themeColor="text1"/>
                <w:sz w:val="20"/>
                <w:szCs w:val="20"/>
              </w:rPr>
              <w:t>5.1.1: Strengthened capacities knowledge management in relation to SBE, ICZM, MSP and MPA, and monitoring Knowledge Management performance</w:t>
            </w:r>
          </w:p>
        </w:tc>
        <w:tc>
          <w:tcPr>
            <w:tcW w:w="0" w:type="auto"/>
            <w:shd w:val="clear" w:color="auto" w:fill="FFFFFF"/>
          </w:tcPr>
          <w:p w14:paraId="68091BFF" w14:textId="77777777" w:rsidR="00CF33D9" w:rsidRDefault="00E3332A">
            <w:pPr>
              <w:pStyle w:val="NormalWeb"/>
              <w:numPr>
                <w:ilvl w:val="0"/>
                <w:numId w:val="99"/>
              </w:numPr>
              <w:spacing w:before="0" w:beforeAutospacing="0" w:after="0" w:afterAutospacing="0" w:line="200" w:lineRule="exact"/>
              <w:ind w:left="173" w:hanging="173"/>
              <w:contextualSpacing/>
              <w:jc w:val="left"/>
              <w:rPr>
                <w:rFonts w:ascii="Calibri" w:hAnsi="Calibri" w:cs="Calibri"/>
                <w:color w:val="000000" w:themeColor="text1"/>
                <w:sz w:val="20"/>
                <w:szCs w:val="20"/>
              </w:rPr>
            </w:pPr>
            <w:r>
              <w:rPr>
                <w:rFonts w:ascii="Calibri" w:hAnsi="Calibri" w:cs="Calibri"/>
                <w:color w:val="000000"/>
                <w:sz w:val="20"/>
                <w:szCs w:val="20"/>
              </w:rPr>
              <w:t>Activity 5.1.1.1: Establishment of the BCLME Sustainable Blue Economy Observatory to collect information and monitor progress of transformation to SBE</w:t>
            </w:r>
          </w:p>
        </w:tc>
      </w:tr>
      <w:tr w:rsidR="00CF33D9" w14:paraId="68091C05" w14:textId="77777777">
        <w:trPr>
          <w:trHeight w:val="507"/>
        </w:trPr>
        <w:tc>
          <w:tcPr>
            <w:tcW w:w="0" w:type="auto"/>
            <w:vMerge/>
            <w:shd w:val="clear" w:color="auto" w:fill="FFFFFF"/>
          </w:tcPr>
          <w:p w14:paraId="68091C01" w14:textId="77777777" w:rsidR="00CF33D9" w:rsidRDefault="00CF33D9">
            <w:pPr>
              <w:pStyle w:val="NormalWeb"/>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C02"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vMerge/>
            <w:shd w:val="clear" w:color="auto" w:fill="FFFFFF"/>
          </w:tcPr>
          <w:p w14:paraId="68091C03"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shd w:val="clear" w:color="auto" w:fill="FFFFFF"/>
          </w:tcPr>
          <w:p w14:paraId="68091C04" w14:textId="77777777" w:rsidR="00CF33D9" w:rsidRDefault="00E3332A">
            <w:pPr>
              <w:pStyle w:val="NormalWeb"/>
              <w:numPr>
                <w:ilvl w:val="0"/>
                <w:numId w:val="100"/>
              </w:numPr>
              <w:spacing w:before="0" w:beforeAutospacing="0" w:after="0" w:afterAutospacing="0" w:line="200" w:lineRule="exact"/>
              <w:ind w:left="164" w:hanging="164"/>
              <w:contextualSpacing/>
              <w:jc w:val="left"/>
              <w:textAlignment w:val="baseline"/>
              <w:rPr>
                <w:rFonts w:ascii="Calibri" w:hAnsi="Calibri" w:cs="Calibri"/>
                <w:color w:val="000000"/>
                <w:sz w:val="20"/>
                <w:szCs w:val="20"/>
              </w:rPr>
            </w:pPr>
            <w:r>
              <w:rPr>
                <w:rFonts w:ascii="Calibri" w:hAnsi="Calibri" w:cs="Calibri"/>
                <w:color w:val="000000"/>
                <w:sz w:val="20"/>
                <w:szCs w:val="20"/>
              </w:rPr>
              <w:t>Activity 5.1.1.2: Proposal for the BCLME Sustainable Blue Economy Knowledge Management Platform developed and adopted by BCLME countries</w:t>
            </w:r>
          </w:p>
        </w:tc>
      </w:tr>
      <w:tr w:rsidR="00CF33D9" w14:paraId="68091C0A" w14:textId="77777777">
        <w:trPr>
          <w:trHeight w:val="507"/>
        </w:trPr>
        <w:tc>
          <w:tcPr>
            <w:tcW w:w="0" w:type="auto"/>
            <w:vMerge/>
            <w:shd w:val="clear" w:color="auto" w:fill="FFFFFF"/>
          </w:tcPr>
          <w:p w14:paraId="68091C06" w14:textId="77777777" w:rsidR="00CF33D9" w:rsidRDefault="00CF33D9">
            <w:pPr>
              <w:pStyle w:val="NormalWeb"/>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C07"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vMerge/>
            <w:tcBorders>
              <w:bottom w:val="single" w:sz="4" w:space="0" w:color="auto"/>
            </w:tcBorders>
            <w:shd w:val="clear" w:color="auto" w:fill="FFFFFF"/>
          </w:tcPr>
          <w:p w14:paraId="68091C08"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tcBorders>
              <w:bottom w:val="single" w:sz="4" w:space="0" w:color="auto"/>
            </w:tcBorders>
            <w:shd w:val="clear" w:color="auto" w:fill="FFFFFF"/>
          </w:tcPr>
          <w:p w14:paraId="68091C09" w14:textId="77777777" w:rsidR="00CF33D9" w:rsidRDefault="00E3332A">
            <w:pPr>
              <w:pStyle w:val="NormalWeb"/>
              <w:numPr>
                <w:ilvl w:val="0"/>
                <w:numId w:val="100"/>
              </w:numPr>
              <w:spacing w:before="0" w:beforeAutospacing="0" w:after="0" w:afterAutospacing="0" w:line="200" w:lineRule="exact"/>
              <w:ind w:left="164" w:hanging="164"/>
              <w:contextualSpacing/>
              <w:jc w:val="left"/>
              <w:textAlignment w:val="baseline"/>
              <w:rPr>
                <w:rFonts w:ascii="Calibri" w:hAnsi="Calibri" w:cs="Calibri"/>
                <w:color w:val="000000"/>
                <w:sz w:val="20"/>
                <w:szCs w:val="20"/>
              </w:rPr>
            </w:pPr>
            <w:r>
              <w:rPr>
                <w:rFonts w:ascii="Calibri" w:hAnsi="Calibri" w:cs="Calibri"/>
                <w:color w:val="000000"/>
                <w:sz w:val="20"/>
                <w:szCs w:val="20"/>
              </w:rPr>
              <w:t>Activity 5.1.1.3: BCLME SBE Knowledge Management Platform is fully operational</w:t>
            </w:r>
          </w:p>
        </w:tc>
      </w:tr>
      <w:tr w:rsidR="00CF33D9" w14:paraId="68091C0F" w14:textId="77777777">
        <w:trPr>
          <w:trHeight w:val="453"/>
        </w:trPr>
        <w:tc>
          <w:tcPr>
            <w:tcW w:w="0" w:type="auto"/>
            <w:vMerge/>
            <w:shd w:val="clear" w:color="auto" w:fill="FFFFFF"/>
          </w:tcPr>
          <w:p w14:paraId="68091C0B"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C0C"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val="restart"/>
            <w:shd w:val="clear" w:color="auto" w:fill="FFFFFF"/>
          </w:tcPr>
          <w:p w14:paraId="68091C0D" w14:textId="77777777" w:rsidR="00CF33D9" w:rsidRDefault="00E3332A">
            <w:pPr>
              <w:pStyle w:val="NormalWeb"/>
              <w:spacing w:line="200" w:lineRule="exact"/>
              <w:contextualSpacing/>
              <w:rPr>
                <w:rFonts w:ascii="Calibri" w:hAnsi="Calibri" w:cs="Calibri"/>
                <w:color w:val="000000" w:themeColor="text1"/>
                <w:sz w:val="20"/>
                <w:szCs w:val="20"/>
              </w:rPr>
            </w:pPr>
            <w:r>
              <w:rPr>
                <w:rFonts w:ascii="Calibri" w:hAnsi="Calibri" w:cs="Calibri"/>
                <w:color w:val="000000" w:themeColor="text1"/>
                <w:sz w:val="20"/>
                <w:szCs w:val="20"/>
              </w:rPr>
              <w:t xml:space="preserve">5.1.2 Communication and Outreach Programme for awareness raising on Sustainable Blue/Ocean economy and Implementation of SEP and GAP </w:t>
            </w:r>
          </w:p>
        </w:tc>
        <w:tc>
          <w:tcPr>
            <w:tcW w:w="0" w:type="auto"/>
            <w:shd w:val="clear" w:color="auto" w:fill="FFFFFF"/>
          </w:tcPr>
          <w:p w14:paraId="68091C0E" w14:textId="77777777" w:rsidR="00CF33D9" w:rsidRDefault="00E3332A">
            <w:pPr>
              <w:pStyle w:val="NormalWeb"/>
              <w:numPr>
                <w:ilvl w:val="0"/>
                <w:numId w:val="101"/>
              </w:numPr>
              <w:spacing w:before="0" w:beforeAutospacing="0" w:after="0" w:afterAutospacing="0" w:line="200" w:lineRule="exact"/>
              <w:ind w:left="164" w:hanging="164"/>
              <w:contextualSpacing/>
              <w:jc w:val="left"/>
              <w:textAlignment w:val="baseline"/>
              <w:rPr>
                <w:rFonts w:ascii="Calibri" w:hAnsi="Calibri" w:cs="Calibri"/>
                <w:color w:val="000000"/>
                <w:sz w:val="20"/>
                <w:szCs w:val="20"/>
              </w:rPr>
            </w:pPr>
            <w:r>
              <w:rPr>
                <w:rFonts w:ascii="Calibri" w:hAnsi="Calibri" w:cs="Calibri"/>
                <w:color w:val="000000"/>
                <w:sz w:val="20"/>
                <w:szCs w:val="20"/>
              </w:rPr>
              <w:t>Activity 5.1.2.1: Development of the training strategy, which will also integrate the capacity building activities in components 2 and 3 of the project </w:t>
            </w:r>
          </w:p>
        </w:tc>
      </w:tr>
      <w:tr w:rsidR="00CF33D9" w14:paraId="68091C14" w14:textId="77777777">
        <w:trPr>
          <w:trHeight w:val="452"/>
        </w:trPr>
        <w:tc>
          <w:tcPr>
            <w:tcW w:w="0" w:type="auto"/>
            <w:vMerge/>
            <w:shd w:val="clear" w:color="auto" w:fill="FFFFFF"/>
          </w:tcPr>
          <w:p w14:paraId="68091C10"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C11"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C12"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shd w:val="clear" w:color="auto" w:fill="FFFFFF"/>
          </w:tcPr>
          <w:p w14:paraId="68091C13" w14:textId="77777777" w:rsidR="00CF33D9" w:rsidRDefault="00E3332A">
            <w:pPr>
              <w:pStyle w:val="NormalWeb"/>
              <w:numPr>
                <w:ilvl w:val="0"/>
                <w:numId w:val="101"/>
              </w:numPr>
              <w:spacing w:before="0" w:beforeAutospacing="0" w:after="0" w:afterAutospacing="0" w:line="200" w:lineRule="exact"/>
              <w:ind w:left="164" w:hanging="164"/>
              <w:contextualSpacing/>
              <w:jc w:val="left"/>
              <w:textAlignment w:val="baseline"/>
              <w:rPr>
                <w:rFonts w:ascii="Calibri" w:hAnsi="Calibri" w:cs="Calibri"/>
                <w:color w:val="000000"/>
                <w:sz w:val="20"/>
                <w:szCs w:val="20"/>
              </w:rPr>
            </w:pPr>
            <w:r>
              <w:rPr>
                <w:rFonts w:ascii="Calibri" w:hAnsi="Calibri" w:cs="Calibri"/>
                <w:color w:val="000000"/>
                <w:sz w:val="20"/>
                <w:szCs w:val="20"/>
              </w:rPr>
              <w:t>Activity 5.1.2.2: Appropriate existing training materials and new materials converted into training modules for blended learning</w:t>
            </w:r>
          </w:p>
        </w:tc>
      </w:tr>
      <w:tr w:rsidR="00CF33D9" w14:paraId="68091C19" w14:textId="77777777">
        <w:trPr>
          <w:trHeight w:val="452"/>
        </w:trPr>
        <w:tc>
          <w:tcPr>
            <w:tcW w:w="0" w:type="auto"/>
            <w:vMerge/>
            <w:shd w:val="clear" w:color="auto" w:fill="FFFFFF"/>
          </w:tcPr>
          <w:p w14:paraId="68091C15"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C16"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tcBorders>
              <w:bottom w:val="single" w:sz="4" w:space="0" w:color="auto"/>
            </w:tcBorders>
            <w:shd w:val="clear" w:color="auto" w:fill="FFFFFF"/>
          </w:tcPr>
          <w:p w14:paraId="68091C17"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tcBorders>
              <w:bottom w:val="single" w:sz="4" w:space="0" w:color="auto"/>
            </w:tcBorders>
            <w:shd w:val="clear" w:color="auto" w:fill="FFFFFF"/>
          </w:tcPr>
          <w:p w14:paraId="68091C18" w14:textId="77777777" w:rsidR="00CF33D9" w:rsidRDefault="00E3332A">
            <w:pPr>
              <w:pStyle w:val="NormalWeb"/>
              <w:numPr>
                <w:ilvl w:val="0"/>
                <w:numId w:val="101"/>
              </w:numPr>
              <w:spacing w:before="0" w:beforeAutospacing="0" w:after="0" w:afterAutospacing="0" w:line="200" w:lineRule="exact"/>
              <w:ind w:left="164" w:hanging="164"/>
              <w:contextualSpacing/>
              <w:jc w:val="left"/>
              <w:textAlignment w:val="baseline"/>
              <w:rPr>
                <w:rFonts w:ascii="Calibri" w:hAnsi="Calibri" w:cs="Calibri"/>
                <w:color w:val="000000"/>
                <w:sz w:val="20"/>
                <w:szCs w:val="20"/>
              </w:rPr>
            </w:pPr>
            <w:r>
              <w:rPr>
                <w:rFonts w:ascii="Calibri" w:hAnsi="Calibri" w:cs="Calibri"/>
                <w:color w:val="000000"/>
                <w:sz w:val="20"/>
                <w:szCs w:val="20"/>
              </w:rPr>
              <w:t>Activity 5.1.2.3: Working with partners in the region to organise a series of regional and national trainings</w:t>
            </w:r>
            <w:r>
              <w:rPr>
                <w:rFonts w:ascii="Calibri" w:hAnsi="Calibri" w:cs="Calibri"/>
                <w:sz w:val="20"/>
                <w:szCs w:val="20"/>
              </w:rPr>
              <w:t xml:space="preserve"> </w:t>
            </w:r>
            <w:r>
              <w:rPr>
                <w:rFonts w:ascii="Calibri" w:hAnsi="Calibri" w:cs="Calibri"/>
                <w:color w:val="000000"/>
                <w:sz w:val="20"/>
                <w:szCs w:val="20"/>
              </w:rPr>
              <w:t>for respective committees and/or working groups</w:t>
            </w:r>
          </w:p>
        </w:tc>
      </w:tr>
      <w:tr w:rsidR="00CF33D9" w14:paraId="68091C1E" w14:textId="77777777">
        <w:trPr>
          <w:trHeight w:val="383"/>
        </w:trPr>
        <w:tc>
          <w:tcPr>
            <w:tcW w:w="0" w:type="auto"/>
            <w:vMerge/>
            <w:shd w:val="clear" w:color="auto" w:fill="FFFFFF"/>
          </w:tcPr>
          <w:p w14:paraId="68091C1A"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C1B"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val="restart"/>
            <w:shd w:val="clear" w:color="auto" w:fill="FFFFFF"/>
          </w:tcPr>
          <w:p w14:paraId="68091C1C" w14:textId="77777777" w:rsidR="00CF33D9" w:rsidRDefault="00E3332A">
            <w:pPr>
              <w:pStyle w:val="NormalWeb"/>
              <w:spacing w:line="200" w:lineRule="exact"/>
              <w:contextualSpacing/>
              <w:rPr>
                <w:rFonts w:ascii="Calibri" w:hAnsi="Calibri" w:cs="Calibri"/>
                <w:color w:val="000000" w:themeColor="text1"/>
                <w:sz w:val="20"/>
                <w:szCs w:val="20"/>
              </w:rPr>
            </w:pPr>
            <w:r>
              <w:rPr>
                <w:rFonts w:ascii="Calibri" w:hAnsi="Calibri" w:cs="Calibri"/>
                <w:color w:val="000000" w:themeColor="text1"/>
                <w:sz w:val="20"/>
                <w:szCs w:val="20"/>
              </w:rPr>
              <w:t xml:space="preserve">5.1.3 Environmental and Social Safeguards Management is developed and operationalized. </w:t>
            </w:r>
          </w:p>
        </w:tc>
        <w:tc>
          <w:tcPr>
            <w:tcW w:w="0" w:type="auto"/>
            <w:shd w:val="clear" w:color="auto" w:fill="FFFFFF"/>
          </w:tcPr>
          <w:p w14:paraId="68091C1D" w14:textId="77777777" w:rsidR="00CF33D9" w:rsidRDefault="00E3332A">
            <w:pPr>
              <w:pStyle w:val="NormalWeb"/>
              <w:numPr>
                <w:ilvl w:val="0"/>
                <w:numId w:val="102"/>
              </w:numPr>
              <w:spacing w:before="0" w:beforeAutospacing="0" w:after="0" w:afterAutospacing="0" w:line="200" w:lineRule="exact"/>
              <w:ind w:left="164" w:hanging="164"/>
              <w:contextualSpacing/>
              <w:jc w:val="left"/>
              <w:textAlignment w:val="baseline"/>
              <w:rPr>
                <w:rFonts w:ascii="Calibri" w:hAnsi="Calibri" w:cs="Calibri"/>
                <w:color w:val="000000"/>
                <w:sz w:val="20"/>
                <w:szCs w:val="20"/>
              </w:rPr>
            </w:pPr>
            <w:r>
              <w:rPr>
                <w:rFonts w:ascii="Calibri" w:hAnsi="Calibri" w:cs="Calibri"/>
                <w:color w:val="000000"/>
                <w:sz w:val="20"/>
                <w:szCs w:val="20"/>
              </w:rPr>
              <w:t>Activity 5.1.3.1: Development and implementation of the project Stakeholder Engagement and Communications Strategy</w:t>
            </w:r>
          </w:p>
        </w:tc>
      </w:tr>
      <w:tr w:rsidR="00CF33D9" w14:paraId="68091C23" w14:textId="77777777">
        <w:trPr>
          <w:trHeight w:val="380"/>
        </w:trPr>
        <w:tc>
          <w:tcPr>
            <w:tcW w:w="0" w:type="auto"/>
            <w:vMerge/>
            <w:shd w:val="clear" w:color="auto" w:fill="FFFFFF"/>
          </w:tcPr>
          <w:p w14:paraId="68091C1F"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C20"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C21"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shd w:val="clear" w:color="auto" w:fill="FFFFFF"/>
          </w:tcPr>
          <w:p w14:paraId="68091C22" w14:textId="77777777" w:rsidR="00CF33D9" w:rsidRDefault="00E3332A">
            <w:pPr>
              <w:pStyle w:val="NormalWeb"/>
              <w:numPr>
                <w:ilvl w:val="0"/>
                <w:numId w:val="102"/>
              </w:numPr>
              <w:spacing w:before="0" w:beforeAutospacing="0" w:after="0" w:afterAutospacing="0" w:line="200" w:lineRule="exact"/>
              <w:ind w:left="164" w:hanging="164"/>
              <w:contextualSpacing/>
              <w:jc w:val="left"/>
              <w:textAlignment w:val="baseline"/>
              <w:rPr>
                <w:rFonts w:ascii="Calibri" w:hAnsi="Calibri" w:cs="Calibri"/>
                <w:color w:val="000000"/>
                <w:sz w:val="20"/>
                <w:szCs w:val="20"/>
              </w:rPr>
            </w:pPr>
            <w:r>
              <w:rPr>
                <w:rFonts w:ascii="Calibri" w:hAnsi="Calibri" w:cs="Calibri"/>
                <w:color w:val="000000"/>
                <w:sz w:val="20"/>
                <w:szCs w:val="20"/>
              </w:rPr>
              <w:t>Activity 5.1.3.2: Establishment of a new project website incorporating the information from previous versions of the website</w:t>
            </w:r>
          </w:p>
        </w:tc>
      </w:tr>
      <w:tr w:rsidR="00CF33D9" w14:paraId="68091C28" w14:textId="77777777">
        <w:trPr>
          <w:trHeight w:val="380"/>
        </w:trPr>
        <w:tc>
          <w:tcPr>
            <w:tcW w:w="0" w:type="auto"/>
            <w:vMerge/>
            <w:shd w:val="clear" w:color="auto" w:fill="FFFFFF"/>
          </w:tcPr>
          <w:p w14:paraId="68091C24"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C25"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C26"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shd w:val="clear" w:color="auto" w:fill="FFFFFF"/>
          </w:tcPr>
          <w:p w14:paraId="68091C27" w14:textId="77777777" w:rsidR="00CF33D9" w:rsidRDefault="00E3332A">
            <w:pPr>
              <w:pStyle w:val="NormalWeb"/>
              <w:numPr>
                <w:ilvl w:val="0"/>
                <w:numId w:val="102"/>
              </w:numPr>
              <w:spacing w:before="0" w:beforeAutospacing="0" w:after="0" w:afterAutospacing="0" w:line="200" w:lineRule="exact"/>
              <w:ind w:left="164" w:hanging="164"/>
              <w:contextualSpacing/>
              <w:jc w:val="left"/>
              <w:textAlignment w:val="baseline"/>
              <w:rPr>
                <w:rFonts w:ascii="Calibri" w:hAnsi="Calibri" w:cs="Calibri"/>
                <w:color w:val="000000"/>
                <w:sz w:val="20"/>
                <w:szCs w:val="20"/>
              </w:rPr>
            </w:pPr>
            <w:r>
              <w:rPr>
                <w:rFonts w:ascii="Calibri" w:hAnsi="Calibri" w:cs="Calibri"/>
                <w:color w:val="000000"/>
                <w:sz w:val="20"/>
                <w:szCs w:val="20"/>
              </w:rPr>
              <w:t>Activity 5.1.3.3:  Implementing the Gender Action Plan (GAP) </w:t>
            </w:r>
          </w:p>
        </w:tc>
      </w:tr>
      <w:tr w:rsidR="00CF33D9" w14:paraId="68091C2D" w14:textId="77777777">
        <w:trPr>
          <w:trHeight w:val="380"/>
        </w:trPr>
        <w:tc>
          <w:tcPr>
            <w:tcW w:w="0" w:type="auto"/>
            <w:vMerge/>
            <w:shd w:val="clear" w:color="auto" w:fill="FFFFFF"/>
          </w:tcPr>
          <w:p w14:paraId="68091C29"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C2A"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C2B"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shd w:val="clear" w:color="auto" w:fill="FFFFFF"/>
          </w:tcPr>
          <w:p w14:paraId="68091C2C" w14:textId="77777777" w:rsidR="00CF33D9" w:rsidRDefault="00E3332A">
            <w:pPr>
              <w:pStyle w:val="NormalWeb"/>
              <w:numPr>
                <w:ilvl w:val="0"/>
                <w:numId w:val="102"/>
              </w:numPr>
              <w:spacing w:before="0" w:beforeAutospacing="0" w:after="0" w:afterAutospacing="0" w:line="200" w:lineRule="exact"/>
              <w:ind w:left="164" w:hanging="164"/>
              <w:contextualSpacing/>
              <w:jc w:val="left"/>
              <w:textAlignment w:val="baseline"/>
              <w:rPr>
                <w:rFonts w:ascii="Calibri" w:hAnsi="Calibri" w:cs="Calibri"/>
                <w:color w:val="000000"/>
                <w:sz w:val="20"/>
                <w:szCs w:val="20"/>
              </w:rPr>
            </w:pPr>
            <w:r>
              <w:rPr>
                <w:rFonts w:ascii="Calibri" w:hAnsi="Calibri" w:cs="Calibri"/>
                <w:color w:val="000000"/>
                <w:sz w:val="20"/>
                <w:szCs w:val="20"/>
              </w:rPr>
              <w:t xml:space="preserve">Activity 5.1.3.4 Implementing the ESMF, SESA, ESIA/ESMP scoped ESIAs and other management plans as necessary (Livelihood Action Plan, Indigenous Peoples Planning Framework, CHIA) to ensure project’s compliance with UNDP’s SES requirements. </w:t>
            </w:r>
          </w:p>
        </w:tc>
      </w:tr>
      <w:tr w:rsidR="00CF33D9" w14:paraId="68091C33" w14:textId="77777777">
        <w:trPr>
          <w:trHeight w:val="762"/>
        </w:trPr>
        <w:tc>
          <w:tcPr>
            <w:tcW w:w="0" w:type="auto"/>
            <w:vMerge/>
            <w:shd w:val="clear" w:color="auto" w:fill="FFFFFF"/>
          </w:tcPr>
          <w:p w14:paraId="68091C2E"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val="restart"/>
            <w:shd w:val="clear" w:color="auto" w:fill="FFFFFF"/>
          </w:tcPr>
          <w:p w14:paraId="68091C2F" w14:textId="77777777" w:rsidR="00CF33D9" w:rsidRDefault="00E3332A">
            <w:pPr>
              <w:pStyle w:val="NormalWeb"/>
              <w:spacing w:line="200" w:lineRule="exact"/>
              <w:contextualSpacing/>
              <w:rPr>
                <w:rFonts w:ascii="Calibri" w:hAnsi="Calibri" w:cs="Calibri"/>
                <w:color w:val="000000" w:themeColor="text1"/>
                <w:sz w:val="20"/>
                <w:szCs w:val="20"/>
              </w:rPr>
            </w:pPr>
            <w:r>
              <w:rPr>
                <w:rFonts w:ascii="Calibri" w:hAnsi="Calibri" w:cs="Calibri"/>
                <w:color w:val="000000" w:themeColor="text1"/>
                <w:sz w:val="20"/>
                <w:szCs w:val="20"/>
              </w:rPr>
              <w:t xml:space="preserve">5.2: The upscaling of sustainable and viable blue/ocean economy interventions is promoted </w:t>
            </w:r>
          </w:p>
          <w:p w14:paraId="68091C30" w14:textId="77777777" w:rsidR="00CF33D9" w:rsidRDefault="00CF33D9">
            <w:pPr>
              <w:shd w:val="clear" w:color="auto" w:fill="FFFFFF"/>
              <w:spacing w:line="200" w:lineRule="exact"/>
              <w:contextualSpacing/>
              <w:rPr>
                <w:rFonts w:ascii="Calibri" w:hAnsi="Calibri" w:cs="Calibri"/>
                <w:color w:val="000000" w:themeColor="text1"/>
                <w:sz w:val="20"/>
                <w:szCs w:val="20"/>
              </w:rPr>
            </w:pPr>
          </w:p>
        </w:tc>
        <w:tc>
          <w:tcPr>
            <w:tcW w:w="0" w:type="auto"/>
            <w:vMerge w:val="restart"/>
            <w:shd w:val="clear" w:color="auto" w:fill="FFFFFF"/>
          </w:tcPr>
          <w:p w14:paraId="68091C31" w14:textId="77777777" w:rsidR="00CF33D9" w:rsidRDefault="00E3332A">
            <w:pPr>
              <w:pStyle w:val="NormalWeb"/>
              <w:spacing w:line="200" w:lineRule="exact"/>
              <w:contextualSpacing/>
              <w:rPr>
                <w:rFonts w:ascii="Calibri" w:hAnsi="Calibri" w:cs="Calibri"/>
                <w:color w:val="000000" w:themeColor="text1"/>
                <w:sz w:val="20"/>
                <w:szCs w:val="20"/>
              </w:rPr>
            </w:pPr>
            <w:r>
              <w:rPr>
                <w:rFonts w:ascii="Calibri" w:hAnsi="Calibri" w:cs="Calibri"/>
                <w:color w:val="000000" w:themeColor="text1"/>
                <w:sz w:val="20"/>
                <w:szCs w:val="20"/>
              </w:rPr>
              <w:t>5.2.1: Communications and knowledge products (information packages, tools and approaches) for upscaling developed and shared with beneficiaries via knowledge-sharing platform</w:t>
            </w:r>
          </w:p>
        </w:tc>
        <w:tc>
          <w:tcPr>
            <w:tcW w:w="0" w:type="auto"/>
            <w:shd w:val="clear" w:color="auto" w:fill="FFFFFF"/>
          </w:tcPr>
          <w:p w14:paraId="68091C32" w14:textId="77777777" w:rsidR="00CF33D9" w:rsidRDefault="00E3332A">
            <w:pPr>
              <w:pStyle w:val="NormalWeb"/>
              <w:numPr>
                <w:ilvl w:val="0"/>
                <w:numId w:val="103"/>
              </w:numPr>
              <w:spacing w:before="0" w:beforeAutospacing="0" w:after="0" w:afterAutospacing="0" w:line="200" w:lineRule="exact"/>
              <w:ind w:left="164" w:hanging="164"/>
              <w:contextualSpacing/>
              <w:jc w:val="left"/>
              <w:rPr>
                <w:rFonts w:ascii="Calibri" w:hAnsi="Calibri" w:cs="Calibri"/>
                <w:color w:val="000000" w:themeColor="text1"/>
                <w:sz w:val="20"/>
                <w:szCs w:val="20"/>
              </w:rPr>
            </w:pPr>
            <w:r>
              <w:rPr>
                <w:rFonts w:ascii="Calibri" w:hAnsi="Calibri" w:cs="Calibri"/>
                <w:color w:val="000000"/>
                <w:sz w:val="20"/>
                <w:szCs w:val="20"/>
              </w:rPr>
              <w:t>Activity 5.2.1.1: Compilation and dissemination of project knowledge products via various platforms</w:t>
            </w:r>
          </w:p>
        </w:tc>
      </w:tr>
      <w:tr w:rsidR="00CF33D9" w14:paraId="68091C38" w14:textId="77777777">
        <w:trPr>
          <w:trHeight w:val="761"/>
        </w:trPr>
        <w:tc>
          <w:tcPr>
            <w:tcW w:w="0" w:type="auto"/>
            <w:vMerge/>
            <w:shd w:val="clear" w:color="auto" w:fill="FFFFFF"/>
          </w:tcPr>
          <w:p w14:paraId="68091C34"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C35"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vMerge/>
            <w:tcBorders>
              <w:bottom w:val="single" w:sz="4" w:space="0" w:color="auto"/>
            </w:tcBorders>
            <w:shd w:val="clear" w:color="auto" w:fill="FFFFFF"/>
          </w:tcPr>
          <w:p w14:paraId="68091C36"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tcBorders>
              <w:bottom w:val="single" w:sz="4" w:space="0" w:color="auto"/>
            </w:tcBorders>
            <w:shd w:val="clear" w:color="auto" w:fill="FFFFFF"/>
          </w:tcPr>
          <w:p w14:paraId="68091C37" w14:textId="77777777" w:rsidR="00CF33D9" w:rsidRDefault="00E3332A">
            <w:pPr>
              <w:pStyle w:val="NormalWeb"/>
              <w:numPr>
                <w:ilvl w:val="0"/>
                <w:numId w:val="103"/>
              </w:numPr>
              <w:spacing w:before="0" w:beforeAutospacing="0" w:after="0" w:afterAutospacing="0" w:line="200" w:lineRule="exact"/>
              <w:ind w:left="164" w:hanging="164"/>
              <w:contextualSpacing/>
              <w:jc w:val="left"/>
              <w:rPr>
                <w:rFonts w:ascii="Calibri" w:hAnsi="Calibri" w:cs="Calibri"/>
                <w:color w:val="000000"/>
                <w:sz w:val="20"/>
                <w:szCs w:val="20"/>
              </w:rPr>
            </w:pPr>
            <w:r>
              <w:rPr>
                <w:rFonts w:ascii="Calibri" w:hAnsi="Calibri" w:cs="Calibri"/>
                <w:color w:val="000000"/>
                <w:sz w:val="20"/>
                <w:szCs w:val="20"/>
              </w:rPr>
              <w:t>Activity 5.2.1.2 Facilitate the BCC Annual Science to Governance Forum and participation in scientific symposium</w:t>
            </w:r>
          </w:p>
        </w:tc>
      </w:tr>
      <w:tr w:rsidR="00CF33D9" w14:paraId="68091C3D" w14:textId="77777777">
        <w:trPr>
          <w:trHeight w:val="295"/>
        </w:trPr>
        <w:tc>
          <w:tcPr>
            <w:tcW w:w="0" w:type="auto"/>
            <w:vMerge/>
            <w:shd w:val="clear" w:color="auto" w:fill="FFFFFF"/>
          </w:tcPr>
          <w:p w14:paraId="68091C39"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C3A"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val="restart"/>
            <w:shd w:val="clear" w:color="auto" w:fill="FFFFFF"/>
          </w:tcPr>
          <w:p w14:paraId="68091C3B" w14:textId="77777777" w:rsidR="00CF33D9" w:rsidRDefault="00E3332A">
            <w:pPr>
              <w:pStyle w:val="NormalWeb"/>
              <w:spacing w:line="200" w:lineRule="exact"/>
              <w:contextualSpacing/>
              <w:rPr>
                <w:rFonts w:ascii="Calibri" w:hAnsi="Calibri" w:cs="Calibri"/>
                <w:color w:val="000000" w:themeColor="text1"/>
                <w:sz w:val="20"/>
                <w:szCs w:val="20"/>
              </w:rPr>
            </w:pPr>
            <w:r>
              <w:rPr>
                <w:rFonts w:ascii="Calibri" w:hAnsi="Calibri" w:cs="Calibri"/>
                <w:color w:val="000000" w:themeColor="text1"/>
                <w:sz w:val="20"/>
                <w:szCs w:val="20"/>
              </w:rPr>
              <w:t xml:space="preserve">5.2.2: Sustainable blue/ocean economy practice, knowledge and lessons shared across African LMEs in partnership with IW:LEARN. </w:t>
            </w:r>
          </w:p>
        </w:tc>
        <w:tc>
          <w:tcPr>
            <w:tcW w:w="0" w:type="auto"/>
            <w:shd w:val="clear" w:color="auto" w:fill="FFFFFF"/>
          </w:tcPr>
          <w:p w14:paraId="68091C3C" w14:textId="77777777" w:rsidR="00CF33D9" w:rsidRDefault="00E3332A">
            <w:pPr>
              <w:pStyle w:val="NormalWeb"/>
              <w:numPr>
                <w:ilvl w:val="0"/>
                <w:numId w:val="104"/>
              </w:numPr>
              <w:spacing w:before="0" w:beforeAutospacing="0" w:after="0" w:afterAutospacing="0" w:line="200" w:lineRule="exact"/>
              <w:ind w:left="164" w:hanging="164"/>
              <w:contextualSpacing/>
              <w:jc w:val="left"/>
              <w:textAlignment w:val="baseline"/>
              <w:rPr>
                <w:rFonts w:ascii="Calibri" w:hAnsi="Calibri" w:cs="Calibri"/>
                <w:color w:val="000000"/>
                <w:sz w:val="20"/>
                <w:szCs w:val="20"/>
              </w:rPr>
            </w:pPr>
            <w:r>
              <w:rPr>
                <w:rFonts w:ascii="Calibri" w:hAnsi="Calibri" w:cs="Calibri"/>
                <w:color w:val="000000"/>
                <w:sz w:val="20"/>
                <w:szCs w:val="20"/>
              </w:rPr>
              <w:t xml:space="preserve">Activity 5.2.2.1: </w:t>
            </w:r>
            <w:r>
              <w:rPr>
                <w:rFonts w:ascii="Calibri" w:hAnsi="Calibri" w:cs="Calibri"/>
                <w:color w:val="000000" w:themeColor="text1"/>
                <w:sz w:val="20"/>
                <w:szCs w:val="20"/>
              </w:rPr>
              <w:t>integration of scalable, sustainable and viable blue/ocean economy interventions shared with the Africa LME Caucus and IW:LEARN</w:t>
            </w:r>
          </w:p>
        </w:tc>
      </w:tr>
      <w:tr w:rsidR="00CF33D9" w14:paraId="68091C42" w14:textId="77777777">
        <w:trPr>
          <w:trHeight w:val="294"/>
        </w:trPr>
        <w:tc>
          <w:tcPr>
            <w:tcW w:w="0" w:type="auto"/>
            <w:vMerge/>
            <w:shd w:val="clear" w:color="auto" w:fill="FFFFFF"/>
          </w:tcPr>
          <w:p w14:paraId="68091C3E"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C3F" w14:textId="77777777" w:rsidR="00CF33D9" w:rsidRDefault="00CF33D9">
            <w:pPr>
              <w:shd w:val="clear" w:color="auto" w:fill="FFFFFF"/>
              <w:spacing w:line="200" w:lineRule="exact"/>
              <w:contextualSpacing/>
              <w:rPr>
                <w:rFonts w:ascii="Calibri" w:hAnsi="Calibri" w:cs="Calibri"/>
                <w:b/>
                <w:bCs/>
                <w:color w:val="000000" w:themeColor="text1"/>
                <w:sz w:val="20"/>
                <w:szCs w:val="20"/>
              </w:rPr>
            </w:pPr>
          </w:p>
        </w:tc>
        <w:tc>
          <w:tcPr>
            <w:tcW w:w="0" w:type="auto"/>
            <w:vMerge/>
            <w:shd w:val="clear" w:color="auto" w:fill="FFFFFF"/>
          </w:tcPr>
          <w:p w14:paraId="68091C40" w14:textId="77777777" w:rsidR="00CF33D9" w:rsidRDefault="00CF33D9">
            <w:pPr>
              <w:pStyle w:val="NormalWeb"/>
              <w:spacing w:line="200" w:lineRule="exact"/>
              <w:contextualSpacing/>
              <w:rPr>
                <w:rFonts w:ascii="Calibri" w:hAnsi="Calibri" w:cs="Calibri"/>
                <w:color w:val="000000" w:themeColor="text1"/>
                <w:sz w:val="20"/>
                <w:szCs w:val="20"/>
              </w:rPr>
            </w:pPr>
          </w:p>
        </w:tc>
        <w:tc>
          <w:tcPr>
            <w:tcW w:w="0" w:type="auto"/>
            <w:shd w:val="clear" w:color="auto" w:fill="FFFFFF"/>
          </w:tcPr>
          <w:p w14:paraId="68091C41" w14:textId="77777777" w:rsidR="00CF33D9" w:rsidRDefault="00E3332A">
            <w:pPr>
              <w:pStyle w:val="NormalWeb"/>
              <w:numPr>
                <w:ilvl w:val="0"/>
                <w:numId w:val="104"/>
              </w:numPr>
              <w:spacing w:before="0" w:beforeAutospacing="0" w:after="0" w:afterAutospacing="0" w:line="200" w:lineRule="exact"/>
              <w:ind w:left="164" w:hanging="164"/>
              <w:contextualSpacing/>
              <w:jc w:val="left"/>
              <w:textAlignment w:val="baseline"/>
              <w:rPr>
                <w:rFonts w:ascii="Calibri" w:hAnsi="Calibri" w:cs="Calibri"/>
                <w:color w:val="000000"/>
                <w:sz w:val="20"/>
                <w:szCs w:val="20"/>
              </w:rPr>
            </w:pPr>
            <w:r>
              <w:rPr>
                <w:rFonts w:ascii="Calibri" w:hAnsi="Calibri" w:cs="Calibri"/>
                <w:color w:val="000000" w:themeColor="text1"/>
                <w:sz w:val="20"/>
                <w:szCs w:val="20"/>
              </w:rPr>
              <w:t xml:space="preserve">Activity 5.2.2.2: </w:t>
            </w:r>
            <w:r>
              <w:rPr>
                <w:rFonts w:ascii="Calibri" w:hAnsi="Calibri" w:cs="Calibri"/>
                <w:color w:val="000000"/>
                <w:sz w:val="20"/>
                <w:szCs w:val="20"/>
              </w:rPr>
              <w:t>Participation at GEF International waters/ocean Conference and presentation of project’s results</w:t>
            </w:r>
          </w:p>
        </w:tc>
      </w:tr>
    </w:tbl>
    <w:p w14:paraId="68091C43" w14:textId="77777777" w:rsidR="00CF33D9" w:rsidRDefault="00CF33D9">
      <w:pPr>
        <w:rPr>
          <w:rFonts w:ascii="Calibri" w:hAnsi="Calibri" w:cs="Calibri"/>
          <w:sz w:val="20"/>
          <w:szCs w:val="20"/>
        </w:rPr>
      </w:pPr>
    </w:p>
    <w:p w14:paraId="68091C44" w14:textId="77777777" w:rsidR="00CF33D9" w:rsidRDefault="00CF33D9">
      <w:pPr>
        <w:rPr>
          <w:rFonts w:ascii="Calibri" w:hAnsi="Calibri" w:cs="Calibri"/>
          <w:sz w:val="20"/>
          <w:szCs w:val="20"/>
        </w:rPr>
        <w:sectPr w:rsidR="00CF33D9">
          <w:pgSz w:w="15840" w:h="12240" w:orient="landscape"/>
          <w:pgMar w:top="1440" w:right="1440" w:bottom="1440" w:left="1440" w:header="708" w:footer="708" w:gutter="0"/>
          <w:cols w:space="708"/>
          <w:docGrid w:linePitch="360"/>
        </w:sectPr>
      </w:pPr>
    </w:p>
    <w:p w14:paraId="68091C45" w14:textId="77777777" w:rsidR="00CF33D9" w:rsidRDefault="00E3332A">
      <w:pPr>
        <w:rPr>
          <w:rFonts w:ascii="Calibri" w:hAnsi="Calibri" w:cs="Calibri"/>
          <w:sz w:val="20"/>
          <w:szCs w:val="20"/>
        </w:rPr>
      </w:pPr>
      <w:r>
        <w:rPr>
          <w:rFonts w:ascii="Calibri" w:hAnsi="Calibri" w:cs="Calibri"/>
          <w:sz w:val="20"/>
          <w:szCs w:val="20"/>
        </w:rPr>
        <w:lastRenderedPageBreak/>
        <w:t>1.2</w:t>
      </w:r>
      <w:r>
        <w:rPr>
          <w:rFonts w:ascii="Calibri" w:hAnsi="Calibri" w:cs="Calibri"/>
          <w:sz w:val="20"/>
          <w:szCs w:val="20"/>
        </w:rPr>
        <w:tab/>
        <w:t>Threats to the Benguela Current Large Marine Ecosystem</w:t>
      </w:r>
    </w:p>
    <w:p w14:paraId="68091C46" w14:textId="77777777" w:rsidR="00CF33D9" w:rsidRDefault="00CF33D9">
      <w:pPr>
        <w:rPr>
          <w:rFonts w:ascii="Calibri" w:hAnsi="Calibri" w:cs="Calibri"/>
          <w:sz w:val="20"/>
          <w:szCs w:val="20"/>
        </w:rPr>
      </w:pPr>
    </w:p>
    <w:p w14:paraId="68091C47" w14:textId="77777777" w:rsidR="00CF33D9" w:rsidRDefault="00E3332A">
      <w:pPr>
        <w:spacing w:line="220" w:lineRule="exact"/>
        <w:jc w:val="both"/>
        <w:rPr>
          <w:rFonts w:ascii="Calibri" w:hAnsi="Calibri" w:cs="Calibri"/>
          <w:sz w:val="20"/>
          <w:szCs w:val="20"/>
        </w:rPr>
      </w:pPr>
      <w:r>
        <w:rPr>
          <w:rFonts w:ascii="Calibri" w:hAnsi="Calibri" w:cs="Calibri"/>
          <w:sz w:val="20"/>
          <w:szCs w:val="20"/>
        </w:rPr>
        <w:t>The fisheries sector in the three countries are facing a number of serious challenges to ensuring sustainable use of the productive but vulnerable marine resources that support them. These include:</w:t>
      </w:r>
    </w:p>
    <w:p w14:paraId="68091C48" w14:textId="77777777" w:rsidR="00CF33D9" w:rsidRDefault="00CF33D9">
      <w:pPr>
        <w:spacing w:line="220" w:lineRule="exact"/>
        <w:jc w:val="both"/>
        <w:rPr>
          <w:rFonts w:ascii="Calibri" w:hAnsi="Calibri" w:cs="Calibri"/>
          <w:sz w:val="20"/>
          <w:szCs w:val="20"/>
        </w:rPr>
      </w:pPr>
    </w:p>
    <w:p w14:paraId="68091C49" w14:textId="77777777" w:rsidR="00CF33D9" w:rsidRDefault="00E3332A">
      <w:pPr>
        <w:pStyle w:val="ListParagraph"/>
        <w:numPr>
          <w:ilvl w:val="0"/>
          <w:numId w:val="105"/>
        </w:numPr>
        <w:spacing w:line="220" w:lineRule="exact"/>
        <w:ind w:left="426" w:hanging="426"/>
        <w:contextualSpacing/>
        <w:jc w:val="both"/>
        <w:rPr>
          <w:rFonts w:ascii="Calibri" w:hAnsi="Calibri" w:cs="Calibri"/>
          <w:b/>
          <w:bCs/>
          <w:sz w:val="20"/>
          <w:szCs w:val="20"/>
        </w:rPr>
      </w:pPr>
      <w:r>
        <w:rPr>
          <w:rFonts w:ascii="Calibri" w:hAnsi="Calibri" w:cs="Calibri"/>
          <w:b/>
          <w:bCs/>
          <w:sz w:val="20"/>
          <w:szCs w:val="20"/>
        </w:rPr>
        <w:t xml:space="preserve">Over-exploitation of many of the marine resources by fisheries. </w:t>
      </w:r>
      <w:r>
        <w:rPr>
          <w:rFonts w:ascii="Calibri" w:hAnsi="Calibri" w:cs="Calibri"/>
          <w:sz w:val="20"/>
          <w:szCs w:val="20"/>
        </w:rPr>
        <w:t>This not only reduces the productivity and the resilience of those resources, it also affects the status and resilience of other species directly dependent on those resources and have impacts on the ecological integrity and resilience of the ecosystem. Such loss of integrity has already been observed in the northern Benguela which has experienced a shift to a less productive state. After supporting productive fisheries for sardine and anchovy in the 1960s and 1970s, this ecosystem currently appears to be dominated by horse mackerel, gobies and jelly fish</w:t>
      </w:r>
      <w:r>
        <w:rPr>
          <w:rStyle w:val="FootnoteReference"/>
          <w:rFonts w:ascii="Calibri" w:hAnsi="Calibri" w:cs="Calibri"/>
          <w:sz w:val="20"/>
          <w:szCs w:val="20"/>
        </w:rPr>
        <w:footnoteReference w:id="12"/>
      </w:r>
      <w:r>
        <w:rPr>
          <w:rFonts w:ascii="Calibri" w:hAnsi="Calibri" w:cs="Calibri"/>
          <w:sz w:val="20"/>
          <w:szCs w:val="20"/>
        </w:rPr>
        <w:t xml:space="preserve">, the last two of which are of negligible commercial importance and relatively low value as food sources in the ecosystem. Overfishing was almost certainly a contributory factor in that shift. Decreased productivity of fishery resources impacts on the livelihood and, in some small-scale communities, the food security of those dependent on fisheries and leads to a reduction in the economic returns from commercial fisheries at national and regional scale. </w:t>
      </w:r>
    </w:p>
    <w:p w14:paraId="68091C4A" w14:textId="77777777" w:rsidR="00CF33D9" w:rsidRDefault="00CF33D9">
      <w:pPr>
        <w:pStyle w:val="ListParagraph"/>
        <w:spacing w:line="220" w:lineRule="exact"/>
        <w:jc w:val="both"/>
        <w:rPr>
          <w:rFonts w:ascii="Calibri" w:hAnsi="Calibri" w:cs="Calibri"/>
          <w:b/>
          <w:bCs/>
          <w:sz w:val="20"/>
          <w:szCs w:val="20"/>
        </w:rPr>
      </w:pPr>
    </w:p>
    <w:p w14:paraId="68091C4B" w14:textId="77777777" w:rsidR="00CF33D9" w:rsidRDefault="00E3332A">
      <w:pPr>
        <w:pStyle w:val="ListParagraph"/>
        <w:numPr>
          <w:ilvl w:val="0"/>
          <w:numId w:val="105"/>
        </w:numPr>
        <w:spacing w:line="220" w:lineRule="exact"/>
        <w:ind w:left="426" w:hanging="426"/>
        <w:contextualSpacing/>
        <w:jc w:val="both"/>
        <w:rPr>
          <w:rFonts w:ascii="Calibri" w:hAnsi="Calibri" w:cs="Calibri"/>
          <w:b/>
          <w:bCs/>
          <w:sz w:val="20"/>
          <w:szCs w:val="20"/>
        </w:rPr>
      </w:pPr>
      <w:r>
        <w:rPr>
          <w:rFonts w:ascii="Calibri" w:hAnsi="Calibri" w:cs="Calibri"/>
          <w:b/>
          <w:bCs/>
          <w:sz w:val="20"/>
          <w:szCs w:val="20"/>
        </w:rPr>
        <w:t xml:space="preserve">Habitat loss and pollution. </w:t>
      </w:r>
      <w:r>
        <w:rPr>
          <w:rFonts w:ascii="Calibri" w:hAnsi="Calibri" w:cs="Calibri"/>
          <w:sz w:val="20"/>
          <w:szCs w:val="20"/>
        </w:rPr>
        <w:t>Impacts from other sectors on the Benguela Current ecosystem and on the fisheries social-ecological systems are a further problem that needs to be addressed. Dumping of industrial waste and accidental oil spills have occurred within the region and can be disruptive to the ecosystem, poisoning marine resources and decreasing the resilience of the system to variability and change. Direct impacts on seabirds from oil spills and other polluting events are an important concern in the region. The region is developing economically, with the inevitable trend towards urbanization that this brings. Coastal developments, unless responsibly and sensitively planned and implemented, can damage or destroy key coastal habitats with negative impacts on inshore marine species, seabirds and other taxonomic groups. Coastal and marine seabed mining and extraction of oil and gas are growing sectors in all three countries that impact the ecosystem and that also need to be carefully planned and regulated to avoid undesirable impacts on the ecosystems and on the fishery systems.</w:t>
      </w:r>
    </w:p>
    <w:p w14:paraId="68091C4C" w14:textId="77777777" w:rsidR="00CF33D9" w:rsidRDefault="00CF33D9">
      <w:pPr>
        <w:pStyle w:val="ListParagraph"/>
        <w:spacing w:line="220" w:lineRule="exact"/>
        <w:rPr>
          <w:rFonts w:ascii="Calibri" w:hAnsi="Calibri" w:cs="Calibri"/>
          <w:b/>
          <w:bCs/>
          <w:sz w:val="20"/>
          <w:szCs w:val="20"/>
        </w:rPr>
      </w:pPr>
    </w:p>
    <w:p w14:paraId="68091C4D" w14:textId="77777777" w:rsidR="00CF33D9" w:rsidRDefault="00E3332A">
      <w:pPr>
        <w:pStyle w:val="ListParagraph"/>
        <w:numPr>
          <w:ilvl w:val="0"/>
          <w:numId w:val="105"/>
        </w:numPr>
        <w:spacing w:line="220" w:lineRule="exact"/>
        <w:ind w:left="426" w:hanging="426"/>
        <w:contextualSpacing/>
        <w:jc w:val="both"/>
        <w:rPr>
          <w:rFonts w:ascii="Calibri" w:hAnsi="Calibri" w:cs="Calibri"/>
          <w:b/>
          <w:bCs/>
          <w:sz w:val="20"/>
          <w:szCs w:val="20"/>
        </w:rPr>
      </w:pPr>
      <w:r>
        <w:rPr>
          <w:rFonts w:ascii="Calibri" w:hAnsi="Calibri" w:cs="Calibri"/>
          <w:b/>
          <w:bCs/>
          <w:sz w:val="20"/>
          <w:szCs w:val="20"/>
        </w:rPr>
        <w:t xml:space="preserve">Climate variability and change. </w:t>
      </w:r>
      <w:r>
        <w:rPr>
          <w:rFonts w:ascii="Calibri" w:hAnsi="Calibri" w:cs="Calibri"/>
          <w:sz w:val="20"/>
          <w:szCs w:val="20"/>
        </w:rPr>
        <w:t>A major part of the BCLME is driven mainly by upwelling and is therefore naturally highly variable throughout much of the ecosystem. This variability makes sustainable use of the living marine resources more of a challenge and it also makes it more difficult to discern distinct long-term trends. Nevertheless, there have been important changes, the most marked of which are the extensive warming of sea surface waters at both the northern and southern boundaries of the system in recent decades. There have also been indications during the same period of cooling in the inshore areas along the west and south coasts of South Africa, which may be a result of increases in the winds that generate upwelling. These changes have also been associated with an increased frequency in the incidence of Benguela Niños and other such intrusions of warm, nutrient-poor water from southern Angola, widespread declines in oxygen concentration, and sea level rise</w:t>
      </w:r>
      <w:r>
        <w:rPr>
          <w:rStyle w:val="FootnoteReference"/>
          <w:rFonts w:ascii="Calibri" w:hAnsi="Calibri" w:cs="Calibri"/>
          <w:sz w:val="20"/>
          <w:szCs w:val="20"/>
        </w:rPr>
        <w:footnoteReference w:id="13"/>
      </w:r>
      <w:r>
        <w:rPr>
          <w:rFonts w:ascii="Calibri" w:hAnsi="Calibri" w:cs="Calibri"/>
          <w:sz w:val="20"/>
          <w:szCs w:val="20"/>
        </w:rPr>
        <w:t xml:space="preserve">. A particular concern is the increase in the leakage of Agulhas current water into the south-east Atlantic in the past decade. This is considered to be driven by climate change and could have far-reaching effects on the entire Benguela upwelling region. </w:t>
      </w:r>
    </w:p>
    <w:p w14:paraId="68091C4E" w14:textId="77777777" w:rsidR="00CF33D9" w:rsidRDefault="00CF33D9">
      <w:pPr>
        <w:spacing w:line="220" w:lineRule="exact"/>
        <w:jc w:val="both"/>
        <w:rPr>
          <w:rFonts w:ascii="Calibri" w:hAnsi="Calibri" w:cs="Calibri"/>
          <w:sz w:val="20"/>
          <w:szCs w:val="20"/>
        </w:rPr>
      </w:pPr>
    </w:p>
    <w:p w14:paraId="68091C4F" w14:textId="77777777" w:rsidR="00CF33D9" w:rsidRDefault="00E3332A">
      <w:pPr>
        <w:spacing w:line="220" w:lineRule="exact"/>
        <w:ind w:left="426"/>
        <w:jc w:val="both"/>
        <w:rPr>
          <w:rFonts w:ascii="Calibri" w:hAnsi="Calibri" w:cs="Calibri"/>
          <w:sz w:val="20"/>
          <w:szCs w:val="20"/>
        </w:rPr>
      </w:pPr>
      <w:r>
        <w:rPr>
          <w:rFonts w:ascii="Calibri" w:hAnsi="Calibri" w:cs="Calibri"/>
          <w:sz w:val="20"/>
          <w:szCs w:val="20"/>
        </w:rPr>
        <w:t xml:space="preserve">There is also the possibility that biophysical changes associated with climate change may lead to an increase in upwelling-favorable winds in the southern Benguela. This could increase primary production, with positive consequences for food availability for sardine and anchovy but result in increased offshore loss by advection of eggs and larvae off the Cape Peninsula while being transported from the spawning grounds on the Western Agulhas bank to the nursery grounds on the West Coast. Increased temperatures in the euphotic zone could enhance primary and secondary production rates leading to faster growth rates of pelagic fish but also result in a shift in spawning grounds to less favorable areas and times. Increases in the incidence of low oxygen water on the northern Benguela shelf could have negative effects on recruitment in both species of hake but, by changing the distribution of both species and the degree of overlap between them, also lead to a reduction in the currently high rate of predation of </w:t>
      </w:r>
      <w:r>
        <w:rPr>
          <w:rFonts w:ascii="Calibri" w:hAnsi="Calibri" w:cs="Calibri"/>
          <w:i/>
          <w:iCs/>
          <w:sz w:val="20"/>
          <w:szCs w:val="20"/>
        </w:rPr>
        <w:t xml:space="preserve">M. capensis </w:t>
      </w:r>
      <w:r>
        <w:rPr>
          <w:rFonts w:ascii="Calibri" w:hAnsi="Calibri" w:cs="Calibri"/>
          <w:sz w:val="20"/>
          <w:szCs w:val="20"/>
        </w:rPr>
        <w:t xml:space="preserve">on </w:t>
      </w:r>
      <w:r>
        <w:rPr>
          <w:rFonts w:ascii="Calibri" w:hAnsi="Calibri" w:cs="Calibri"/>
          <w:i/>
          <w:iCs/>
          <w:sz w:val="20"/>
          <w:szCs w:val="20"/>
        </w:rPr>
        <w:t xml:space="preserve">M. paradoxus. </w:t>
      </w:r>
      <w:r>
        <w:rPr>
          <w:rFonts w:ascii="Calibri" w:hAnsi="Calibri" w:cs="Calibri"/>
          <w:sz w:val="20"/>
          <w:szCs w:val="20"/>
        </w:rPr>
        <w:t xml:space="preserve">Species replacements are also likely, if, for example, there are large reductions in the biomass of one or more species of pelagic fish. This has been observed before in the BCLME in the last five or six decades, including replacement of horse mackerel by </w:t>
      </w:r>
      <w:r>
        <w:rPr>
          <w:rFonts w:ascii="Calibri" w:hAnsi="Calibri" w:cs="Calibri"/>
          <w:sz w:val="20"/>
          <w:szCs w:val="20"/>
        </w:rPr>
        <w:lastRenderedPageBreak/>
        <w:t xml:space="preserve">sardine, which was then replaced by anchovy in the southern Benguela in the 1950s and 1960s, and the replacement of sardine by anchovy in the northern Benguela in the 1970s. </w:t>
      </w:r>
    </w:p>
    <w:p w14:paraId="68091C50" w14:textId="77777777" w:rsidR="00CF33D9" w:rsidRDefault="00CF33D9">
      <w:pPr>
        <w:spacing w:line="220" w:lineRule="exact"/>
        <w:ind w:left="720"/>
        <w:jc w:val="both"/>
        <w:rPr>
          <w:rFonts w:ascii="Calibri" w:hAnsi="Calibri" w:cs="Calibri"/>
          <w:sz w:val="20"/>
          <w:szCs w:val="20"/>
        </w:rPr>
      </w:pPr>
    </w:p>
    <w:p w14:paraId="68091C51" w14:textId="77777777" w:rsidR="00CF33D9" w:rsidRDefault="00E3332A">
      <w:pPr>
        <w:spacing w:line="220" w:lineRule="exact"/>
        <w:jc w:val="both"/>
        <w:rPr>
          <w:rFonts w:ascii="Calibri" w:hAnsi="Calibri" w:cs="Calibri"/>
          <w:sz w:val="20"/>
          <w:szCs w:val="20"/>
        </w:rPr>
      </w:pPr>
      <w:r>
        <w:rPr>
          <w:rFonts w:ascii="Calibri" w:hAnsi="Calibri" w:cs="Calibri"/>
          <w:sz w:val="20"/>
          <w:szCs w:val="20"/>
        </w:rPr>
        <w:t>A vulnerability assessment relevant to this project which was undertaken in 2011</w:t>
      </w:r>
      <w:r>
        <w:rPr>
          <w:rStyle w:val="FootnoteReference"/>
          <w:rFonts w:ascii="Calibri" w:hAnsi="Calibri" w:cs="Calibri"/>
          <w:sz w:val="20"/>
          <w:szCs w:val="20"/>
        </w:rPr>
        <w:footnoteReference w:id="14"/>
      </w:r>
      <w:r>
        <w:rPr>
          <w:rFonts w:ascii="Calibri" w:hAnsi="Calibri" w:cs="Calibri"/>
          <w:sz w:val="20"/>
          <w:szCs w:val="20"/>
        </w:rPr>
        <w:t xml:space="preserve"> concluded that the small-scale and artisanal fisheries tend to be the most vulnerable to environmental change and variability. These fisheries engage a large number of people who are heavily dependent on fisheries and marine resources for their livelihoods. Many live in conditions of poverty and most have very little ability to adapt to reduced catches and catch rates. Fisheries falling within this group are mainly the extensive artisanal and semi-industrial pelagic fisheries in Angola and those fishing for West Coast rock lobster and various line fisheries in South Africa, and some in Namibia. Amongst the larger-scale commercial fisheries, the South African small pelagic fishery was found to be particularly vulnerable because of a combination of high economic and social value and sensitivity to climate change and variability, including the threat of possible major perturbations in the Agulhas current. The Namibian small pelagic fishery is also likely to be highly vulnerable but, following major declines in the abundance of sardine and anchovy in the second half of last century, has much lower social and economic value. The valuable demersal trawl fisheries for hake and other demersal species in the Benguela region appear to be less vulnerable to climate change because of likely lower sensitivity to environmental perturbations and the ability to adapt if they should occur</w:t>
      </w:r>
      <w:r>
        <w:rPr>
          <w:rStyle w:val="FootnoteReference"/>
          <w:rFonts w:ascii="Calibri" w:hAnsi="Calibri" w:cs="Calibri"/>
          <w:sz w:val="20"/>
          <w:szCs w:val="20"/>
        </w:rPr>
        <w:footnoteReference w:id="15"/>
      </w:r>
      <w:r>
        <w:rPr>
          <w:rFonts w:ascii="Calibri" w:hAnsi="Calibri" w:cs="Calibri"/>
          <w:sz w:val="20"/>
          <w:szCs w:val="20"/>
        </w:rPr>
        <w:t>.</w:t>
      </w:r>
    </w:p>
    <w:p w14:paraId="68091C52" w14:textId="77777777" w:rsidR="00CF33D9" w:rsidRDefault="00CF33D9">
      <w:pPr>
        <w:rPr>
          <w:rFonts w:ascii="Calibri" w:hAnsi="Calibri" w:cs="Calibri"/>
          <w:sz w:val="20"/>
          <w:szCs w:val="20"/>
        </w:rPr>
      </w:pPr>
    </w:p>
    <w:p w14:paraId="68091C53" w14:textId="77777777" w:rsidR="00CF33D9" w:rsidRDefault="00E3332A">
      <w:pPr>
        <w:rPr>
          <w:rFonts w:ascii="Calibri" w:hAnsi="Calibri" w:cs="Calibri"/>
          <w:sz w:val="20"/>
          <w:szCs w:val="20"/>
        </w:rPr>
      </w:pPr>
      <w:r>
        <w:rPr>
          <w:rFonts w:ascii="Calibri" w:hAnsi="Calibri" w:cs="Calibri"/>
          <w:sz w:val="20"/>
          <w:szCs w:val="20"/>
        </w:rPr>
        <w:t>1.3</w:t>
      </w:r>
      <w:r>
        <w:rPr>
          <w:rFonts w:ascii="Calibri" w:hAnsi="Calibri" w:cs="Calibri"/>
          <w:sz w:val="20"/>
          <w:szCs w:val="20"/>
        </w:rPr>
        <w:tab/>
        <w:t>Purpose and scope of this ESMF</w:t>
      </w:r>
    </w:p>
    <w:p w14:paraId="68091C54" w14:textId="77777777" w:rsidR="00CF33D9" w:rsidRDefault="00CF33D9">
      <w:pPr>
        <w:rPr>
          <w:rFonts w:ascii="Calibri" w:hAnsi="Calibri" w:cs="Calibri"/>
          <w:sz w:val="20"/>
          <w:szCs w:val="20"/>
        </w:rPr>
      </w:pPr>
    </w:p>
    <w:p w14:paraId="68091C55" w14:textId="77777777" w:rsidR="00CF33D9" w:rsidRDefault="00E3332A">
      <w:pPr>
        <w:spacing w:line="220" w:lineRule="exact"/>
        <w:jc w:val="both"/>
        <w:rPr>
          <w:rFonts w:ascii="Calibri" w:hAnsi="Calibri" w:cs="Calibri"/>
          <w:sz w:val="20"/>
          <w:szCs w:val="20"/>
        </w:rPr>
      </w:pPr>
      <w:r>
        <w:rPr>
          <w:rFonts w:ascii="Calibri" w:hAnsi="Calibri" w:cs="Calibri"/>
          <w:sz w:val="20"/>
          <w:szCs w:val="20"/>
        </w:rPr>
        <w:t xml:space="preserve">This Environmental and Social Management Framework (ESMF) has been prepared to assist in managing the potential adverse social and environmental impacts associated with activities of the proposed project activities in line with the requirements of UNDP’s Social and Environmental Standards. The Implementing Partner will monitor the ESMF implementation to ensure the environmental and social risks and impacts are fully assessed and management measures are in place prior to the implementation of the relevant project activities. </w:t>
      </w:r>
    </w:p>
    <w:p w14:paraId="68091C56" w14:textId="77777777" w:rsidR="00CF33D9" w:rsidRDefault="00CF33D9">
      <w:pPr>
        <w:spacing w:line="220" w:lineRule="exact"/>
        <w:jc w:val="both"/>
        <w:rPr>
          <w:rFonts w:ascii="Calibri" w:hAnsi="Calibri" w:cs="Calibri"/>
          <w:sz w:val="20"/>
          <w:szCs w:val="20"/>
        </w:rPr>
      </w:pPr>
    </w:p>
    <w:p w14:paraId="68091C57" w14:textId="77777777" w:rsidR="00CF33D9" w:rsidRDefault="00E3332A">
      <w:pPr>
        <w:spacing w:line="220" w:lineRule="exact"/>
        <w:jc w:val="both"/>
        <w:rPr>
          <w:rFonts w:ascii="Calibri" w:hAnsi="Calibri" w:cs="Calibri"/>
          <w:sz w:val="20"/>
          <w:szCs w:val="20"/>
        </w:rPr>
      </w:pPr>
      <w:r>
        <w:rPr>
          <w:rFonts w:ascii="Calibri" w:hAnsi="Calibri" w:cs="Calibri"/>
          <w:sz w:val="20"/>
          <w:szCs w:val="20"/>
        </w:rPr>
        <w:t xml:space="preserve">The ESMF forms the basis upon which the specific Environmental and Social Management Plan(s) ESMP will be developed, to ensure that significant adverse environmental and social impact mitigation and management measures are implemented and monitored as required. It identifies the steps for detailed assessment of the project’s potential and social and environmental risks, and for preparing and approving the required management plans for avoiding, and where avoidance is not possible, reducing, mitigating, and managing the identified adverse impacts of this project. Its scope covers all project activities described in Section 1.1. ESMF has been prepared when all the project’s risks and impacts cannot be fully assessed, and all the management measures cannot be put in place before the start of project implementation. Further assessment will be required during the inception phase once the pilot sites have been fully identified. </w:t>
      </w:r>
    </w:p>
    <w:p w14:paraId="68091C58" w14:textId="77777777" w:rsidR="00CF33D9" w:rsidRDefault="00E3332A">
      <w:pPr>
        <w:spacing w:line="220" w:lineRule="exact"/>
        <w:jc w:val="both"/>
        <w:rPr>
          <w:rFonts w:ascii="Calibri" w:hAnsi="Calibri" w:cs="Calibri"/>
          <w:sz w:val="20"/>
          <w:szCs w:val="20"/>
        </w:rPr>
      </w:pPr>
      <w:r>
        <w:rPr>
          <w:rFonts w:ascii="Calibri" w:hAnsi="Calibri" w:cs="Calibri"/>
          <w:sz w:val="20"/>
          <w:szCs w:val="20"/>
        </w:rPr>
        <w:t xml:space="preserve">The ESMF will be publicly disclosed in line with UNDP’s Information Disclosure Policy and SES. </w:t>
      </w:r>
    </w:p>
    <w:p w14:paraId="68091C59" w14:textId="77777777" w:rsidR="00CF33D9" w:rsidRDefault="00CF33D9">
      <w:pPr>
        <w:rPr>
          <w:rFonts w:ascii="Calibri" w:hAnsi="Calibri" w:cs="Calibri"/>
          <w:sz w:val="20"/>
          <w:szCs w:val="20"/>
        </w:rPr>
      </w:pPr>
      <w:bookmarkStart w:id="58" w:name="_Toc163750585"/>
    </w:p>
    <w:p w14:paraId="68091C5A" w14:textId="77777777" w:rsidR="00CF33D9" w:rsidRDefault="00E3332A">
      <w:pPr>
        <w:rPr>
          <w:rFonts w:ascii="Calibri" w:hAnsi="Calibri" w:cs="Calibri"/>
          <w:sz w:val="20"/>
          <w:szCs w:val="20"/>
        </w:rPr>
      </w:pPr>
      <w:r>
        <w:rPr>
          <w:rFonts w:ascii="Calibri" w:hAnsi="Calibri" w:cs="Calibri"/>
          <w:sz w:val="20"/>
          <w:szCs w:val="20"/>
        </w:rPr>
        <w:t>2.</w:t>
      </w:r>
      <w:r>
        <w:rPr>
          <w:rFonts w:ascii="Calibri" w:hAnsi="Calibri" w:cs="Calibri"/>
          <w:sz w:val="20"/>
          <w:szCs w:val="20"/>
        </w:rPr>
        <w:tab/>
        <w:t>Potential Social and Environmental Impacts</w:t>
      </w:r>
    </w:p>
    <w:bookmarkEnd w:id="58"/>
    <w:p w14:paraId="68091C5B" w14:textId="77777777" w:rsidR="00CF33D9" w:rsidRDefault="00CF33D9">
      <w:pPr>
        <w:ind w:firstLine="426"/>
        <w:rPr>
          <w:rFonts w:ascii="Calibri" w:hAnsi="Calibri" w:cs="Calibri"/>
          <w:sz w:val="20"/>
          <w:szCs w:val="20"/>
        </w:rPr>
      </w:pPr>
    </w:p>
    <w:p w14:paraId="68091C5C" w14:textId="77777777" w:rsidR="00CF33D9" w:rsidRDefault="00E3332A">
      <w:pPr>
        <w:spacing w:line="220" w:lineRule="exact"/>
        <w:jc w:val="both"/>
        <w:rPr>
          <w:rFonts w:ascii="Calibri" w:hAnsi="Calibri" w:cs="Calibri"/>
          <w:sz w:val="20"/>
          <w:szCs w:val="20"/>
        </w:rPr>
      </w:pPr>
      <w:r>
        <w:rPr>
          <w:rFonts w:ascii="Calibri" w:hAnsi="Calibri" w:cs="Calibri"/>
          <w:sz w:val="20"/>
          <w:szCs w:val="20"/>
        </w:rPr>
        <w:t>This section provides a description of the potential social and environmental risks and impacts, related to typology of likely activities, sub-projects, policies, and/or regulations to be supported during project implementation. This includes a summary of the SESP findings, with discussion of the risks and impacts covered by the ESMF.</w:t>
      </w:r>
    </w:p>
    <w:p w14:paraId="68091C5D" w14:textId="77777777" w:rsidR="00CF33D9" w:rsidRDefault="00CF33D9">
      <w:pPr>
        <w:rPr>
          <w:rFonts w:ascii="Calibri" w:hAnsi="Calibri" w:cs="Calibri"/>
          <w:sz w:val="20"/>
          <w:szCs w:val="20"/>
        </w:rPr>
      </w:pPr>
    </w:p>
    <w:p w14:paraId="68091C5E" w14:textId="77777777" w:rsidR="00CF33D9" w:rsidRDefault="00E3332A">
      <w:pPr>
        <w:rPr>
          <w:rFonts w:ascii="Calibri" w:hAnsi="Calibri" w:cs="Calibri"/>
          <w:sz w:val="20"/>
          <w:szCs w:val="20"/>
        </w:rPr>
      </w:pPr>
      <w:r>
        <w:rPr>
          <w:rFonts w:ascii="Calibri" w:hAnsi="Calibri" w:cs="Calibri"/>
          <w:sz w:val="20"/>
          <w:szCs w:val="20"/>
        </w:rPr>
        <w:t>2.1</w:t>
      </w:r>
      <w:r>
        <w:rPr>
          <w:rFonts w:ascii="Calibri" w:hAnsi="Calibri" w:cs="Calibri"/>
          <w:sz w:val="20"/>
          <w:szCs w:val="20"/>
        </w:rPr>
        <w:tab/>
        <w:t>Methodology used for identification of potential impacts</w:t>
      </w:r>
    </w:p>
    <w:p w14:paraId="68091C5F" w14:textId="77777777" w:rsidR="00CF33D9" w:rsidRDefault="00CF33D9">
      <w:pPr>
        <w:spacing w:line="220" w:lineRule="exact"/>
        <w:jc w:val="both"/>
        <w:rPr>
          <w:rFonts w:ascii="Calibri" w:hAnsi="Calibri" w:cs="Calibri"/>
          <w:sz w:val="20"/>
          <w:szCs w:val="20"/>
        </w:rPr>
      </w:pPr>
    </w:p>
    <w:p w14:paraId="68091C60" w14:textId="77777777" w:rsidR="00CF33D9" w:rsidRDefault="00E3332A">
      <w:pPr>
        <w:spacing w:line="220" w:lineRule="exact"/>
        <w:jc w:val="both"/>
        <w:rPr>
          <w:rFonts w:ascii="Calibri" w:hAnsi="Calibri" w:cs="Calibri"/>
          <w:sz w:val="20"/>
          <w:szCs w:val="20"/>
        </w:rPr>
      </w:pPr>
      <w:r>
        <w:rPr>
          <w:rFonts w:ascii="Calibri" w:hAnsi="Calibri" w:cs="Calibri"/>
          <w:sz w:val="20"/>
          <w:szCs w:val="20"/>
        </w:rPr>
        <w:t xml:space="preserve">The ESMF has been prepared in accordance with applicable UNDP safeguard policies and is based on different techniques embracing mainly literature review on similar projects in the region, consultation with identified stakeholders at the design phase and professional knowledge including the expert consultants involved in the Project Document preparation. </w:t>
      </w:r>
      <w:r>
        <w:rPr>
          <w:rFonts w:ascii="Calibri" w:hAnsi="Calibri" w:cs="Calibri"/>
          <w:sz w:val="20"/>
          <w:szCs w:val="20"/>
          <w:lang w:val="en-CA"/>
        </w:rPr>
        <w:t>A summary of the risk significance under each SES principle and standard, and the project-level safeguard standards triggered by the project is shown in the table below.</w:t>
      </w:r>
    </w:p>
    <w:p w14:paraId="68091C61" w14:textId="77777777" w:rsidR="00CF33D9" w:rsidRDefault="00CF33D9">
      <w:pPr>
        <w:jc w:val="both"/>
        <w:rPr>
          <w:rFonts w:ascii="Calibri" w:hAnsi="Calibri" w:cs="Calibri"/>
          <w:sz w:val="20"/>
          <w:szCs w:val="20"/>
        </w:rPr>
      </w:pPr>
    </w:p>
    <w:p w14:paraId="68091C62" w14:textId="77777777" w:rsidR="00CF33D9" w:rsidRDefault="00E3332A">
      <w:pPr>
        <w:pStyle w:val="ListParagraph"/>
        <w:ind w:left="0"/>
        <w:jc w:val="both"/>
        <w:rPr>
          <w:rFonts w:ascii="Calibri" w:hAnsi="Calibri" w:cs="Calibri"/>
          <w:i/>
          <w:iCs/>
          <w:sz w:val="20"/>
          <w:szCs w:val="20"/>
        </w:rPr>
      </w:pPr>
      <w:r>
        <w:rPr>
          <w:rFonts w:ascii="Calibri" w:hAnsi="Calibri" w:cs="Calibri"/>
          <w:b/>
          <w:bCs/>
          <w:i/>
          <w:iCs/>
          <w:sz w:val="20"/>
          <w:szCs w:val="20"/>
        </w:rPr>
        <w:t xml:space="preserve">Table 2. </w:t>
      </w:r>
      <w:r>
        <w:rPr>
          <w:rFonts w:ascii="Calibri" w:hAnsi="Calibri" w:cs="Calibri"/>
          <w:i/>
          <w:iCs/>
          <w:sz w:val="20"/>
          <w:szCs w:val="20"/>
        </w:rPr>
        <w:t>Summary of safeguards triggered by the project and SES requirements.</w:t>
      </w:r>
    </w:p>
    <w:tbl>
      <w:tblPr>
        <w:tblStyle w:val="TableGrid"/>
        <w:tblW w:w="10201" w:type="dxa"/>
        <w:jc w:val="center"/>
        <w:tblLook w:val="04A0" w:firstRow="1" w:lastRow="0" w:firstColumn="1" w:lastColumn="0" w:noHBand="0" w:noVBand="1"/>
      </w:tblPr>
      <w:tblGrid>
        <w:gridCol w:w="6266"/>
        <w:gridCol w:w="1527"/>
        <w:gridCol w:w="2408"/>
      </w:tblGrid>
      <w:tr w:rsidR="00CF33D9" w14:paraId="68091C66" w14:textId="77777777">
        <w:trPr>
          <w:tblHeader/>
          <w:jc w:val="center"/>
        </w:trPr>
        <w:tc>
          <w:tcPr>
            <w:tcW w:w="6266" w:type="dxa"/>
            <w:shd w:val="clear" w:color="auto" w:fill="D9D9D9" w:themeFill="background1" w:themeFillShade="D9"/>
            <w:vAlign w:val="center"/>
          </w:tcPr>
          <w:p w14:paraId="68091C63" w14:textId="77777777" w:rsidR="00CF33D9" w:rsidRDefault="00E3332A">
            <w:pPr>
              <w:spacing w:line="200" w:lineRule="exact"/>
              <w:jc w:val="center"/>
              <w:rPr>
                <w:rFonts w:cs="Calibri"/>
                <w:b/>
                <w:sz w:val="20"/>
                <w:szCs w:val="20"/>
              </w:rPr>
            </w:pPr>
            <w:r>
              <w:rPr>
                <w:rFonts w:cs="Calibri"/>
                <w:b/>
                <w:sz w:val="20"/>
                <w:szCs w:val="20"/>
              </w:rPr>
              <w:t>Principle / Standard</w:t>
            </w:r>
          </w:p>
        </w:tc>
        <w:tc>
          <w:tcPr>
            <w:tcW w:w="1527" w:type="dxa"/>
            <w:shd w:val="clear" w:color="auto" w:fill="D9D9D9" w:themeFill="background1" w:themeFillShade="D9"/>
            <w:vAlign w:val="center"/>
          </w:tcPr>
          <w:p w14:paraId="68091C64" w14:textId="77777777" w:rsidR="00CF33D9" w:rsidRDefault="00E3332A">
            <w:pPr>
              <w:spacing w:line="200" w:lineRule="exact"/>
              <w:jc w:val="center"/>
              <w:rPr>
                <w:rFonts w:cs="Calibri"/>
                <w:b/>
                <w:sz w:val="20"/>
                <w:szCs w:val="20"/>
              </w:rPr>
            </w:pPr>
            <w:r>
              <w:rPr>
                <w:rFonts w:cs="Calibri"/>
                <w:b/>
                <w:sz w:val="20"/>
                <w:szCs w:val="20"/>
              </w:rPr>
              <w:t>Risk Rating</w:t>
            </w:r>
          </w:p>
        </w:tc>
        <w:tc>
          <w:tcPr>
            <w:tcW w:w="2408" w:type="dxa"/>
            <w:shd w:val="clear" w:color="auto" w:fill="D9D9D9" w:themeFill="background1" w:themeFillShade="D9"/>
          </w:tcPr>
          <w:p w14:paraId="68091C65" w14:textId="77777777" w:rsidR="00CF33D9" w:rsidRDefault="00E3332A">
            <w:pPr>
              <w:spacing w:line="200" w:lineRule="exact"/>
              <w:jc w:val="center"/>
              <w:rPr>
                <w:rFonts w:cs="Calibri"/>
                <w:b/>
                <w:sz w:val="20"/>
                <w:szCs w:val="20"/>
              </w:rPr>
            </w:pPr>
            <w:r>
              <w:rPr>
                <w:rFonts w:cs="Calibri"/>
                <w:b/>
                <w:sz w:val="20"/>
                <w:szCs w:val="20"/>
              </w:rPr>
              <w:t>SES Requirement</w:t>
            </w:r>
          </w:p>
        </w:tc>
      </w:tr>
      <w:tr w:rsidR="00CF33D9" w14:paraId="68091C69" w14:textId="77777777">
        <w:trPr>
          <w:jc w:val="center"/>
        </w:trPr>
        <w:tc>
          <w:tcPr>
            <w:tcW w:w="7793" w:type="dxa"/>
            <w:gridSpan w:val="2"/>
            <w:shd w:val="clear" w:color="auto" w:fill="E7E6E6" w:themeFill="background2"/>
            <w:vAlign w:val="center"/>
          </w:tcPr>
          <w:p w14:paraId="68091C67" w14:textId="77777777" w:rsidR="00CF33D9" w:rsidRDefault="00E3332A">
            <w:pPr>
              <w:spacing w:line="200" w:lineRule="exact"/>
              <w:jc w:val="center"/>
              <w:rPr>
                <w:rFonts w:cs="Calibri"/>
                <w:b/>
                <w:sz w:val="20"/>
                <w:szCs w:val="20"/>
              </w:rPr>
            </w:pPr>
            <w:r>
              <w:rPr>
                <w:rFonts w:cs="Calibri"/>
                <w:b/>
                <w:sz w:val="20"/>
                <w:szCs w:val="20"/>
              </w:rPr>
              <w:t>Overarching Principle: Leave No One Behind</w:t>
            </w:r>
          </w:p>
        </w:tc>
        <w:tc>
          <w:tcPr>
            <w:tcW w:w="2408" w:type="dxa"/>
            <w:shd w:val="clear" w:color="auto" w:fill="E7E6E6" w:themeFill="background2"/>
          </w:tcPr>
          <w:p w14:paraId="68091C68" w14:textId="77777777" w:rsidR="00CF33D9" w:rsidRDefault="00CF33D9">
            <w:pPr>
              <w:spacing w:line="200" w:lineRule="exact"/>
              <w:jc w:val="center"/>
              <w:rPr>
                <w:rFonts w:cs="Calibri"/>
                <w:b/>
                <w:sz w:val="20"/>
                <w:szCs w:val="20"/>
              </w:rPr>
            </w:pPr>
          </w:p>
        </w:tc>
      </w:tr>
      <w:tr w:rsidR="00CF33D9" w14:paraId="68091C6E" w14:textId="77777777">
        <w:trPr>
          <w:trHeight w:val="238"/>
          <w:jc w:val="center"/>
        </w:trPr>
        <w:tc>
          <w:tcPr>
            <w:tcW w:w="6266" w:type="dxa"/>
            <w:vAlign w:val="center"/>
          </w:tcPr>
          <w:p w14:paraId="68091C6A" w14:textId="77777777" w:rsidR="00CF33D9" w:rsidRDefault="00E3332A">
            <w:pPr>
              <w:spacing w:line="200" w:lineRule="exact"/>
              <w:rPr>
                <w:rFonts w:cs="Calibri"/>
                <w:sz w:val="20"/>
                <w:szCs w:val="20"/>
              </w:rPr>
            </w:pPr>
            <w:r>
              <w:rPr>
                <w:rFonts w:cs="Calibri"/>
                <w:sz w:val="20"/>
                <w:szCs w:val="20"/>
              </w:rPr>
              <w:lastRenderedPageBreak/>
              <w:t>Human Rights</w:t>
            </w:r>
          </w:p>
        </w:tc>
        <w:tc>
          <w:tcPr>
            <w:tcW w:w="1527" w:type="dxa"/>
            <w:shd w:val="clear" w:color="auto" w:fill="FFC000"/>
            <w:vAlign w:val="center"/>
          </w:tcPr>
          <w:p w14:paraId="68091C6B" w14:textId="77777777" w:rsidR="00CF33D9" w:rsidRDefault="00E3332A">
            <w:pPr>
              <w:spacing w:line="200" w:lineRule="exact"/>
              <w:jc w:val="center"/>
              <w:rPr>
                <w:rFonts w:cs="Calibri"/>
                <w:b/>
                <w:sz w:val="20"/>
                <w:szCs w:val="20"/>
              </w:rPr>
            </w:pPr>
            <w:r>
              <w:rPr>
                <w:rFonts w:cs="Calibri"/>
                <w:b/>
                <w:sz w:val="20"/>
                <w:szCs w:val="20"/>
              </w:rPr>
              <w:sym w:font="Symbol" w:char="F0D6"/>
            </w:r>
          </w:p>
          <w:p w14:paraId="68091C6C" w14:textId="77777777" w:rsidR="00CF33D9" w:rsidRDefault="00E3332A">
            <w:pPr>
              <w:spacing w:line="200" w:lineRule="exact"/>
              <w:jc w:val="center"/>
              <w:rPr>
                <w:rFonts w:cs="Calibri"/>
                <w:b/>
                <w:sz w:val="20"/>
                <w:szCs w:val="20"/>
              </w:rPr>
            </w:pPr>
            <w:r>
              <w:rPr>
                <w:rFonts w:cs="Calibri"/>
                <w:b/>
                <w:sz w:val="20"/>
                <w:szCs w:val="20"/>
              </w:rPr>
              <w:t>Substantial</w:t>
            </w:r>
          </w:p>
        </w:tc>
        <w:tc>
          <w:tcPr>
            <w:tcW w:w="2408" w:type="dxa"/>
            <w:shd w:val="clear" w:color="auto" w:fill="FFC000"/>
            <w:vAlign w:val="center"/>
          </w:tcPr>
          <w:p w14:paraId="68091C6D" w14:textId="77777777" w:rsidR="00CF33D9" w:rsidRDefault="00E3332A">
            <w:pPr>
              <w:spacing w:line="200" w:lineRule="exact"/>
              <w:jc w:val="center"/>
              <w:rPr>
                <w:rFonts w:cs="Calibri"/>
                <w:b/>
                <w:sz w:val="20"/>
                <w:szCs w:val="20"/>
              </w:rPr>
            </w:pPr>
            <w:r>
              <w:rPr>
                <w:rFonts w:cs="Calibri"/>
                <w:b/>
                <w:sz w:val="20"/>
                <w:szCs w:val="20"/>
              </w:rPr>
              <w:t>SESA, ESIA, SESP, Training</w:t>
            </w:r>
          </w:p>
        </w:tc>
      </w:tr>
      <w:tr w:rsidR="00CF33D9" w14:paraId="68091C73" w14:textId="77777777">
        <w:trPr>
          <w:trHeight w:val="222"/>
          <w:jc w:val="center"/>
        </w:trPr>
        <w:tc>
          <w:tcPr>
            <w:tcW w:w="6266" w:type="dxa"/>
            <w:vAlign w:val="center"/>
          </w:tcPr>
          <w:p w14:paraId="68091C6F" w14:textId="77777777" w:rsidR="00CF33D9" w:rsidRDefault="00E3332A">
            <w:pPr>
              <w:spacing w:line="200" w:lineRule="exact"/>
              <w:rPr>
                <w:rFonts w:cs="Calibri"/>
                <w:sz w:val="20"/>
                <w:szCs w:val="20"/>
              </w:rPr>
            </w:pPr>
            <w:r>
              <w:rPr>
                <w:rFonts w:cs="Calibri"/>
                <w:sz w:val="20"/>
                <w:szCs w:val="20"/>
              </w:rPr>
              <w:t>Gender Equality and Women’s Empowerment</w:t>
            </w:r>
          </w:p>
        </w:tc>
        <w:tc>
          <w:tcPr>
            <w:tcW w:w="1527" w:type="dxa"/>
            <w:shd w:val="clear" w:color="auto" w:fill="FFFF00"/>
            <w:vAlign w:val="center"/>
          </w:tcPr>
          <w:p w14:paraId="68091C70" w14:textId="77777777" w:rsidR="00CF33D9" w:rsidRDefault="00E3332A">
            <w:pPr>
              <w:spacing w:line="200" w:lineRule="exact"/>
              <w:jc w:val="center"/>
              <w:rPr>
                <w:rFonts w:cs="Calibri"/>
                <w:b/>
                <w:sz w:val="20"/>
                <w:szCs w:val="20"/>
              </w:rPr>
            </w:pPr>
            <w:r>
              <w:rPr>
                <w:rFonts w:cs="Calibri"/>
                <w:b/>
                <w:sz w:val="20"/>
                <w:szCs w:val="20"/>
              </w:rPr>
              <w:sym w:font="Symbol" w:char="F0D6"/>
            </w:r>
          </w:p>
          <w:p w14:paraId="68091C71" w14:textId="77777777" w:rsidR="00CF33D9" w:rsidRDefault="00E3332A">
            <w:pPr>
              <w:spacing w:line="200" w:lineRule="exact"/>
              <w:jc w:val="center"/>
              <w:rPr>
                <w:rFonts w:cs="Calibri"/>
                <w:b/>
                <w:sz w:val="20"/>
                <w:szCs w:val="20"/>
              </w:rPr>
            </w:pPr>
            <w:r>
              <w:rPr>
                <w:rFonts w:cs="Calibri"/>
                <w:b/>
                <w:bCs/>
                <w:sz w:val="20"/>
                <w:szCs w:val="20"/>
              </w:rPr>
              <w:t>Moderate</w:t>
            </w:r>
          </w:p>
        </w:tc>
        <w:tc>
          <w:tcPr>
            <w:tcW w:w="2408" w:type="dxa"/>
            <w:shd w:val="clear" w:color="auto" w:fill="FFFF00"/>
            <w:vAlign w:val="center"/>
          </w:tcPr>
          <w:p w14:paraId="68091C72" w14:textId="77777777" w:rsidR="00CF33D9" w:rsidRDefault="00E3332A">
            <w:pPr>
              <w:spacing w:line="200" w:lineRule="exact"/>
              <w:jc w:val="center"/>
              <w:rPr>
                <w:rFonts w:cs="Calibri"/>
                <w:b/>
                <w:sz w:val="20"/>
                <w:szCs w:val="20"/>
              </w:rPr>
            </w:pPr>
            <w:r>
              <w:rPr>
                <w:rFonts w:cs="Calibri"/>
                <w:b/>
                <w:sz w:val="20"/>
                <w:szCs w:val="20"/>
              </w:rPr>
              <w:t>GAP, ESIA</w:t>
            </w:r>
          </w:p>
        </w:tc>
      </w:tr>
      <w:tr w:rsidR="00CF33D9" w14:paraId="68091C78" w14:textId="77777777">
        <w:trPr>
          <w:jc w:val="center"/>
        </w:trPr>
        <w:tc>
          <w:tcPr>
            <w:tcW w:w="6266" w:type="dxa"/>
            <w:vAlign w:val="center"/>
          </w:tcPr>
          <w:p w14:paraId="68091C74" w14:textId="77777777" w:rsidR="00CF33D9" w:rsidRDefault="00E3332A">
            <w:pPr>
              <w:spacing w:line="200" w:lineRule="exact"/>
              <w:rPr>
                <w:rFonts w:cs="Calibri"/>
                <w:sz w:val="20"/>
                <w:szCs w:val="20"/>
              </w:rPr>
            </w:pPr>
            <w:r>
              <w:rPr>
                <w:rFonts w:cs="Calibri"/>
                <w:sz w:val="20"/>
                <w:szCs w:val="20"/>
              </w:rPr>
              <w:t>Accountability</w:t>
            </w:r>
          </w:p>
        </w:tc>
        <w:tc>
          <w:tcPr>
            <w:tcW w:w="1527" w:type="dxa"/>
            <w:shd w:val="clear" w:color="auto" w:fill="FFFF00"/>
            <w:vAlign w:val="center"/>
          </w:tcPr>
          <w:p w14:paraId="68091C75" w14:textId="77777777" w:rsidR="00CF33D9" w:rsidRDefault="00E3332A">
            <w:pPr>
              <w:spacing w:line="200" w:lineRule="exact"/>
              <w:jc w:val="center"/>
              <w:rPr>
                <w:rFonts w:cs="Calibri"/>
                <w:b/>
                <w:sz w:val="20"/>
                <w:szCs w:val="20"/>
              </w:rPr>
            </w:pPr>
            <w:r>
              <w:rPr>
                <w:rFonts w:cs="Calibri"/>
                <w:b/>
                <w:sz w:val="20"/>
                <w:szCs w:val="20"/>
              </w:rPr>
              <w:sym w:font="Symbol" w:char="F0D6"/>
            </w:r>
          </w:p>
          <w:p w14:paraId="68091C76" w14:textId="77777777" w:rsidR="00CF33D9" w:rsidRDefault="00E3332A">
            <w:pPr>
              <w:spacing w:line="200" w:lineRule="exact"/>
              <w:jc w:val="center"/>
              <w:rPr>
                <w:rFonts w:cs="Calibri"/>
                <w:b/>
                <w:sz w:val="20"/>
                <w:szCs w:val="20"/>
              </w:rPr>
            </w:pPr>
            <w:r>
              <w:rPr>
                <w:rFonts w:cs="Calibri"/>
                <w:b/>
                <w:bCs/>
                <w:sz w:val="20"/>
                <w:szCs w:val="20"/>
              </w:rPr>
              <w:t>Moderate</w:t>
            </w:r>
          </w:p>
        </w:tc>
        <w:tc>
          <w:tcPr>
            <w:tcW w:w="2408" w:type="dxa"/>
            <w:shd w:val="clear" w:color="auto" w:fill="FFFF00"/>
            <w:vAlign w:val="center"/>
          </w:tcPr>
          <w:p w14:paraId="68091C77" w14:textId="77777777" w:rsidR="00CF33D9" w:rsidRDefault="00E3332A">
            <w:pPr>
              <w:spacing w:line="200" w:lineRule="exact"/>
              <w:jc w:val="center"/>
              <w:rPr>
                <w:rFonts w:cs="Calibri"/>
                <w:b/>
                <w:sz w:val="20"/>
                <w:szCs w:val="20"/>
              </w:rPr>
            </w:pPr>
            <w:r>
              <w:rPr>
                <w:rFonts w:cs="Calibri"/>
                <w:b/>
                <w:sz w:val="20"/>
                <w:szCs w:val="20"/>
              </w:rPr>
              <w:t>SESA, ESIA, SESP, Training</w:t>
            </w:r>
          </w:p>
        </w:tc>
      </w:tr>
      <w:tr w:rsidR="00CF33D9" w14:paraId="68091C7B" w14:textId="77777777">
        <w:trPr>
          <w:jc w:val="center"/>
        </w:trPr>
        <w:tc>
          <w:tcPr>
            <w:tcW w:w="7793" w:type="dxa"/>
            <w:gridSpan w:val="2"/>
            <w:shd w:val="clear" w:color="auto" w:fill="E7E6E6" w:themeFill="background2"/>
            <w:vAlign w:val="center"/>
          </w:tcPr>
          <w:p w14:paraId="68091C79" w14:textId="77777777" w:rsidR="00CF33D9" w:rsidRDefault="00E3332A">
            <w:pPr>
              <w:spacing w:line="200" w:lineRule="exact"/>
              <w:jc w:val="center"/>
              <w:rPr>
                <w:rFonts w:cs="Calibri"/>
                <w:sz w:val="20"/>
                <w:szCs w:val="20"/>
              </w:rPr>
            </w:pPr>
            <w:r>
              <w:rPr>
                <w:rFonts w:cs="Calibri"/>
                <w:b/>
                <w:sz w:val="20"/>
                <w:szCs w:val="20"/>
              </w:rPr>
              <w:t>Project-level Standards</w:t>
            </w:r>
          </w:p>
        </w:tc>
        <w:tc>
          <w:tcPr>
            <w:tcW w:w="2408" w:type="dxa"/>
            <w:shd w:val="clear" w:color="auto" w:fill="E7E6E6" w:themeFill="background2"/>
            <w:vAlign w:val="center"/>
          </w:tcPr>
          <w:p w14:paraId="68091C7A" w14:textId="77777777" w:rsidR="00CF33D9" w:rsidRDefault="00CF33D9">
            <w:pPr>
              <w:spacing w:line="200" w:lineRule="exact"/>
              <w:jc w:val="center"/>
              <w:rPr>
                <w:rFonts w:cs="Calibri"/>
                <w:b/>
                <w:sz w:val="20"/>
                <w:szCs w:val="20"/>
              </w:rPr>
            </w:pPr>
          </w:p>
        </w:tc>
      </w:tr>
      <w:tr w:rsidR="00CF33D9" w14:paraId="68091C80" w14:textId="77777777">
        <w:trPr>
          <w:jc w:val="center"/>
        </w:trPr>
        <w:tc>
          <w:tcPr>
            <w:tcW w:w="6266" w:type="dxa"/>
            <w:vAlign w:val="center"/>
          </w:tcPr>
          <w:p w14:paraId="68091C7C" w14:textId="77777777" w:rsidR="00CF33D9" w:rsidRDefault="00E3332A">
            <w:pPr>
              <w:spacing w:line="200" w:lineRule="exact"/>
              <w:rPr>
                <w:rFonts w:cs="Calibri"/>
                <w:sz w:val="20"/>
                <w:szCs w:val="20"/>
              </w:rPr>
            </w:pPr>
            <w:r>
              <w:rPr>
                <w:rFonts w:cs="Calibri"/>
                <w:sz w:val="20"/>
                <w:szCs w:val="20"/>
              </w:rPr>
              <w:t>Standard 1: Biodiversity Conservation and Sustainable Natural Resource Management</w:t>
            </w:r>
          </w:p>
        </w:tc>
        <w:tc>
          <w:tcPr>
            <w:tcW w:w="1527" w:type="dxa"/>
            <w:shd w:val="clear" w:color="auto" w:fill="FFFF00"/>
            <w:vAlign w:val="center"/>
          </w:tcPr>
          <w:p w14:paraId="68091C7D" w14:textId="77777777" w:rsidR="00CF33D9" w:rsidRDefault="00E3332A">
            <w:pPr>
              <w:spacing w:line="200" w:lineRule="exact"/>
              <w:jc w:val="center"/>
              <w:rPr>
                <w:rFonts w:cs="Calibri"/>
                <w:b/>
                <w:sz w:val="20"/>
                <w:szCs w:val="20"/>
              </w:rPr>
            </w:pPr>
            <w:r>
              <w:rPr>
                <w:rFonts w:cs="Calibri"/>
                <w:b/>
                <w:sz w:val="20"/>
                <w:szCs w:val="20"/>
              </w:rPr>
              <w:sym w:font="Wingdings" w:char="F0FC"/>
            </w:r>
          </w:p>
          <w:p w14:paraId="68091C7E" w14:textId="77777777" w:rsidR="00CF33D9" w:rsidRDefault="00E3332A">
            <w:pPr>
              <w:spacing w:line="200" w:lineRule="exact"/>
              <w:jc w:val="center"/>
              <w:rPr>
                <w:rFonts w:cs="Calibri"/>
                <w:b/>
                <w:sz w:val="20"/>
                <w:szCs w:val="20"/>
              </w:rPr>
            </w:pPr>
            <w:r>
              <w:rPr>
                <w:rFonts w:cs="Calibri"/>
                <w:b/>
                <w:sz w:val="20"/>
                <w:szCs w:val="20"/>
              </w:rPr>
              <w:t>Moderate</w:t>
            </w:r>
          </w:p>
        </w:tc>
        <w:tc>
          <w:tcPr>
            <w:tcW w:w="2408" w:type="dxa"/>
            <w:shd w:val="clear" w:color="auto" w:fill="FFFF00"/>
          </w:tcPr>
          <w:p w14:paraId="68091C7F" w14:textId="77777777" w:rsidR="00CF33D9" w:rsidRDefault="00E3332A">
            <w:pPr>
              <w:spacing w:line="200" w:lineRule="exact"/>
              <w:jc w:val="center"/>
              <w:rPr>
                <w:rFonts w:cs="Calibri"/>
                <w:b/>
                <w:sz w:val="20"/>
                <w:szCs w:val="20"/>
              </w:rPr>
            </w:pPr>
            <w:r>
              <w:rPr>
                <w:rFonts w:cs="Calibri"/>
                <w:b/>
                <w:sz w:val="20"/>
                <w:szCs w:val="20"/>
              </w:rPr>
              <w:t>SESA/ESIA SESP</w:t>
            </w:r>
          </w:p>
        </w:tc>
      </w:tr>
      <w:tr w:rsidR="00CF33D9" w14:paraId="68091C85" w14:textId="77777777">
        <w:trPr>
          <w:jc w:val="center"/>
        </w:trPr>
        <w:tc>
          <w:tcPr>
            <w:tcW w:w="6266" w:type="dxa"/>
            <w:vAlign w:val="center"/>
          </w:tcPr>
          <w:p w14:paraId="68091C81" w14:textId="77777777" w:rsidR="00CF33D9" w:rsidRDefault="00E3332A">
            <w:pPr>
              <w:spacing w:line="200" w:lineRule="exact"/>
              <w:rPr>
                <w:rFonts w:cs="Calibri"/>
                <w:sz w:val="20"/>
                <w:szCs w:val="20"/>
              </w:rPr>
            </w:pPr>
            <w:r>
              <w:rPr>
                <w:rFonts w:cs="Calibri"/>
                <w:sz w:val="20"/>
                <w:szCs w:val="20"/>
              </w:rPr>
              <w:t>Standard 2: Climate Change and Disaster Risks</w:t>
            </w:r>
          </w:p>
        </w:tc>
        <w:tc>
          <w:tcPr>
            <w:tcW w:w="1527" w:type="dxa"/>
            <w:shd w:val="clear" w:color="auto" w:fill="FFFF00"/>
            <w:vAlign w:val="center"/>
          </w:tcPr>
          <w:p w14:paraId="68091C82" w14:textId="77777777" w:rsidR="00CF33D9" w:rsidRDefault="00E3332A">
            <w:pPr>
              <w:spacing w:line="200" w:lineRule="exact"/>
              <w:jc w:val="center"/>
              <w:rPr>
                <w:rFonts w:cs="Calibri"/>
                <w:b/>
                <w:sz w:val="20"/>
                <w:szCs w:val="20"/>
              </w:rPr>
            </w:pPr>
            <w:r>
              <w:rPr>
                <w:rFonts w:cs="Calibri"/>
                <w:b/>
                <w:sz w:val="20"/>
                <w:szCs w:val="20"/>
              </w:rPr>
              <w:sym w:font="Wingdings" w:char="F0FC"/>
            </w:r>
          </w:p>
          <w:p w14:paraId="68091C83" w14:textId="77777777" w:rsidR="00CF33D9" w:rsidRDefault="00E3332A">
            <w:pPr>
              <w:spacing w:line="200" w:lineRule="exact"/>
              <w:jc w:val="center"/>
              <w:rPr>
                <w:rFonts w:cs="Calibri"/>
                <w:b/>
                <w:sz w:val="20"/>
                <w:szCs w:val="20"/>
              </w:rPr>
            </w:pPr>
            <w:r>
              <w:rPr>
                <w:rFonts w:cs="Calibri"/>
                <w:b/>
                <w:sz w:val="20"/>
                <w:szCs w:val="20"/>
              </w:rPr>
              <w:t>Moderate</w:t>
            </w:r>
          </w:p>
        </w:tc>
        <w:tc>
          <w:tcPr>
            <w:tcW w:w="2408" w:type="dxa"/>
            <w:shd w:val="clear" w:color="auto" w:fill="FFFF00"/>
          </w:tcPr>
          <w:p w14:paraId="68091C84" w14:textId="77777777" w:rsidR="00CF33D9" w:rsidRDefault="00E3332A">
            <w:pPr>
              <w:spacing w:line="200" w:lineRule="exact"/>
              <w:jc w:val="center"/>
              <w:rPr>
                <w:rFonts w:cs="Calibri"/>
                <w:b/>
                <w:sz w:val="20"/>
                <w:szCs w:val="20"/>
              </w:rPr>
            </w:pPr>
            <w:r>
              <w:rPr>
                <w:rFonts w:cs="Calibri"/>
                <w:b/>
                <w:sz w:val="20"/>
                <w:szCs w:val="20"/>
              </w:rPr>
              <w:t>SESA/ESIA SESP</w:t>
            </w:r>
          </w:p>
        </w:tc>
      </w:tr>
      <w:tr w:rsidR="00CF33D9" w14:paraId="68091C89" w14:textId="77777777">
        <w:trPr>
          <w:jc w:val="center"/>
        </w:trPr>
        <w:tc>
          <w:tcPr>
            <w:tcW w:w="6266" w:type="dxa"/>
            <w:vAlign w:val="center"/>
          </w:tcPr>
          <w:p w14:paraId="68091C86" w14:textId="77777777" w:rsidR="00CF33D9" w:rsidRDefault="00E3332A">
            <w:pPr>
              <w:spacing w:line="200" w:lineRule="exact"/>
              <w:rPr>
                <w:rFonts w:cs="Calibri"/>
                <w:sz w:val="20"/>
                <w:szCs w:val="20"/>
              </w:rPr>
            </w:pPr>
            <w:r>
              <w:rPr>
                <w:rFonts w:cs="Calibri"/>
                <w:sz w:val="20"/>
                <w:szCs w:val="20"/>
              </w:rPr>
              <w:t>Standard 3: Community Health, Safety and Security</w:t>
            </w:r>
          </w:p>
        </w:tc>
        <w:tc>
          <w:tcPr>
            <w:tcW w:w="1527" w:type="dxa"/>
            <w:shd w:val="clear" w:color="auto" w:fill="auto"/>
            <w:vAlign w:val="center"/>
          </w:tcPr>
          <w:p w14:paraId="68091C87" w14:textId="77777777" w:rsidR="00CF33D9" w:rsidRDefault="00E3332A">
            <w:pPr>
              <w:spacing w:line="200" w:lineRule="exact"/>
              <w:jc w:val="center"/>
              <w:rPr>
                <w:rFonts w:cs="Calibri"/>
                <w:b/>
                <w:bCs/>
                <w:sz w:val="20"/>
                <w:szCs w:val="20"/>
              </w:rPr>
            </w:pPr>
            <w:r>
              <w:rPr>
                <w:rFonts w:cs="Calibri"/>
                <w:b/>
                <w:sz w:val="20"/>
                <w:szCs w:val="20"/>
              </w:rPr>
              <w:t>NA</w:t>
            </w:r>
          </w:p>
        </w:tc>
        <w:tc>
          <w:tcPr>
            <w:tcW w:w="2408" w:type="dxa"/>
            <w:shd w:val="clear" w:color="auto" w:fill="auto"/>
            <w:vAlign w:val="center"/>
          </w:tcPr>
          <w:p w14:paraId="68091C88" w14:textId="77777777" w:rsidR="00CF33D9" w:rsidRDefault="00E3332A">
            <w:pPr>
              <w:spacing w:line="200" w:lineRule="exact"/>
              <w:jc w:val="center"/>
              <w:rPr>
                <w:rFonts w:cs="Calibri"/>
                <w:b/>
                <w:sz w:val="20"/>
                <w:szCs w:val="20"/>
              </w:rPr>
            </w:pPr>
            <w:r>
              <w:rPr>
                <w:rFonts w:cs="Calibri"/>
                <w:b/>
                <w:sz w:val="20"/>
                <w:szCs w:val="20"/>
              </w:rPr>
              <w:t>NA</w:t>
            </w:r>
          </w:p>
        </w:tc>
      </w:tr>
      <w:tr w:rsidR="00CF33D9" w14:paraId="68091C8E" w14:textId="77777777">
        <w:trPr>
          <w:jc w:val="center"/>
        </w:trPr>
        <w:tc>
          <w:tcPr>
            <w:tcW w:w="6266" w:type="dxa"/>
            <w:vAlign w:val="center"/>
          </w:tcPr>
          <w:p w14:paraId="68091C8A" w14:textId="77777777" w:rsidR="00CF33D9" w:rsidRDefault="00E3332A">
            <w:pPr>
              <w:spacing w:line="200" w:lineRule="exact"/>
              <w:rPr>
                <w:rFonts w:cs="Calibri"/>
                <w:sz w:val="20"/>
                <w:szCs w:val="20"/>
              </w:rPr>
            </w:pPr>
            <w:bookmarkStart w:id="59" w:name="_Hlk165579112"/>
            <w:r>
              <w:rPr>
                <w:rFonts w:cs="Calibri"/>
                <w:sz w:val="20"/>
                <w:szCs w:val="20"/>
              </w:rPr>
              <w:t>Standard 4: Cultural Heritage</w:t>
            </w:r>
          </w:p>
        </w:tc>
        <w:tc>
          <w:tcPr>
            <w:tcW w:w="1527" w:type="dxa"/>
            <w:shd w:val="clear" w:color="auto" w:fill="FFC000"/>
            <w:vAlign w:val="center"/>
          </w:tcPr>
          <w:p w14:paraId="68091C8B" w14:textId="77777777" w:rsidR="00CF33D9" w:rsidRDefault="00E3332A">
            <w:pPr>
              <w:spacing w:line="200" w:lineRule="exact"/>
              <w:jc w:val="center"/>
              <w:rPr>
                <w:rFonts w:cs="Calibri"/>
                <w:b/>
                <w:sz w:val="20"/>
                <w:szCs w:val="20"/>
              </w:rPr>
            </w:pPr>
            <w:r>
              <w:rPr>
                <w:rFonts w:cs="Calibri"/>
                <w:b/>
                <w:sz w:val="20"/>
                <w:szCs w:val="20"/>
              </w:rPr>
              <w:sym w:font="Symbol" w:char="F0D6"/>
            </w:r>
          </w:p>
          <w:p w14:paraId="68091C8C" w14:textId="77777777" w:rsidR="00CF33D9" w:rsidRDefault="00E3332A">
            <w:pPr>
              <w:spacing w:line="200" w:lineRule="exact"/>
              <w:jc w:val="center"/>
              <w:rPr>
                <w:rFonts w:cs="Calibri"/>
                <w:sz w:val="20"/>
                <w:szCs w:val="20"/>
              </w:rPr>
            </w:pPr>
            <w:r>
              <w:rPr>
                <w:rFonts w:cs="Calibri"/>
                <w:b/>
                <w:bCs/>
                <w:sz w:val="20"/>
                <w:szCs w:val="20"/>
              </w:rPr>
              <w:t>Substantial</w:t>
            </w:r>
          </w:p>
        </w:tc>
        <w:tc>
          <w:tcPr>
            <w:tcW w:w="2408" w:type="dxa"/>
            <w:shd w:val="clear" w:color="auto" w:fill="FFC000"/>
            <w:vAlign w:val="center"/>
          </w:tcPr>
          <w:p w14:paraId="68091C8D" w14:textId="77777777" w:rsidR="00CF33D9" w:rsidRDefault="00E3332A">
            <w:pPr>
              <w:spacing w:line="200" w:lineRule="exact"/>
              <w:jc w:val="center"/>
              <w:rPr>
                <w:rFonts w:cs="Calibri"/>
                <w:b/>
                <w:sz w:val="20"/>
                <w:szCs w:val="20"/>
              </w:rPr>
            </w:pPr>
            <w:r>
              <w:rPr>
                <w:rFonts w:cs="Calibri"/>
                <w:b/>
                <w:sz w:val="20"/>
                <w:szCs w:val="20"/>
              </w:rPr>
              <w:t>ESIA, SESP</w:t>
            </w:r>
          </w:p>
        </w:tc>
      </w:tr>
      <w:bookmarkEnd w:id="59"/>
      <w:tr w:rsidR="00CF33D9" w14:paraId="68091C93" w14:textId="77777777">
        <w:trPr>
          <w:jc w:val="center"/>
        </w:trPr>
        <w:tc>
          <w:tcPr>
            <w:tcW w:w="6266" w:type="dxa"/>
            <w:vAlign w:val="center"/>
          </w:tcPr>
          <w:p w14:paraId="68091C8F" w14:textId="77777777" w:rsidR="00CF33D9" w:rsidRDefault="00E3332A">
            <w:pPr>
              <w:spacing w:line="200" w:lineRule="exact"/>
              <w:rPr>
                <w:rFonts w:cs="Calibri"/>
                <w:sz w:val="20"/>
                <w:szCs w:val="20"/>
              </w:rPr>
            </w:pPr>
            <w:r>
              <w:rPr>
                <w:rFonts w:cs="Calibri"/>
                <w:sz w:val="20"/>
                <w:szCs w:val="20"/>
              </w:rPr>
              <w:t>Standard 5: Displacement and Resettlement</w:t>
            </w:r>
          </w:p>
        </w:tc>
        <w:tc>
          <w:tcPr>
            <w:tcW w:w="1527" w:type="dxa"/>
            <w:shd w:val="clear" w:color="auto" w:fill="FFC000"/>
            <w:vAlign w:val="center"/>
          </w:tcPr>
          <w:p w14:paraId="68091C90" w14:textId="77777777" w:rsidR="00CF33D9" w:rsidRDefault="00E3332A">
            <w:pPr>
              <w:spacing w:line="200" w:lineRule="exact"/>
              <w:jc w:val="center"/>
              <w:rPr>
                <w:rFonts w:cs="Calibri"/>
                <w:b/>
                <w:sz w:val="20"/>
                <w:szCs w:val="20"/>
              </w:rPr>
            </w:pPr>
            <w:r>
              <w:rPr>
                <w:rFonts w:cs="Calibri"/>
                <w:b/>
                <w:sz w:val="20"/>
                <w:szCs w:val="20"/>
              </w:rPr>
              <w:sym w:font="Symbol" w:char="F0D6"/>
            </w:r>
          </w:p>
          <w:p w14:paraId="68091C91" w14:textId="77777777" w:rsidR="00CF33D9" w:rsidRDefault="00E3332A">
            <w:pPr>
              <w:spacing w:line="200" w:lineRule="exact"/>
              <w:jc w:val="center"/>
              <w:rPr>
                <w:rFonts w:cs="Calibri"/>
                <w:b/>
                <w:sz w:val="20"/>
                <w:szCs w:val="20"/>
              </w:rPr>
            </w:pPr>
            <w:r>
              <w:rPr>
                <w:rFonts w:cs="Calibri"/>
                <w:b/>
                <w:bCs/>
                <w:sz w:val="20"/>
                <w:szCs w:val="20"/>
              </w:rPr>
              <w:t>Substantial</w:t>
            </w:r>
          </w:p>
        </w:tc>
        <w:tc>
          <w:tcPr>
            <w:tcW w:w="2408" w:type="dxa"/>
            <w:shd w:val="clear" w:color="auto" w:fill="FFC000"/>
            <w:vAlign w:val="center"/>
          </w:tcPr>
          <w:p w14:paraId="68091C92" w14:textId="77777777" w:rsidR="00CF33D9" w:rsidRDefault="00E3332A">
            <w:pPr>
              <w:spacing w:line="200" w:lineRule="exact"/>
              <w:jc w:val="center"/>
              <w:rPr>
                <w:rFonts w:cs="Calibri"/>
                <w:b/>
                <w:sz w:val="20"/>
                <w:szCs w:val="20"/>
              </w:rPr>
            </w:pPr>
            <w:r>
              <w:rPr>
                <w:rFonts w:cs="Calibri"/>
                <w:b/>
                <w:sz w:val="20"/>
                <w:szCs w:val="20"/>
              </w:rPr>
              <w:t>ESIA, IPPF, LAP, SESP</w:t>
            </w:r>
          </w:p>
        </w:tc>
      </w:tr>
      <w:tr w:rsidR="00CF33D9" w14:paraId="68091C98" w14:textId="77777777">
        <w:trPr>
          <w:jc w:val="center"/>
        </w:trPr>
        <w:tc>
          <w:tcPr>
            <w:tcW w:w="6266" w:type="dxa"/>
            <w:vAlign w:val="center"/>
          </w:tcPr>
          <w:p w14:paraId="68091C94" w14:textId="77777777" w:rsidR="00CF33D9" w:rsidRDefault="00E3332A">
            <w:pPr>
              <w:spacing w:line="200" w:lineRule="exact"/>
              <w:rPr>
                <w:rFonts w:cs="Calibri"/>
                <w:sz w:val="20"/>
                <w:szCs w:val="20"/>
              </w:rPr>
            </w:pPr>
            <w:r>
              <w:rPr>
                <w:rFonts w:cs="Calibri"/>
                <w:sz w:val="20"/>
                <w:szCs w:val="20"/>
              </w:rPr>
              <w:t>Standard 6: Indigenous Peoples</w:t>
            </w:r>
            <w:r>
              <w:rPr>
                <w:rStyle w:val="FootnoteReference"/>
                <w:rFonts w:ascii="Calibri" w:hAnsi="Calibri" w:cs="Calibri"/>
                <w:sz w:val="20"/>
                <w:szCs w:val="20"/>
              </w:rPr>
              <w:footnoteReference w:id="16"/>
            </w:r>
          </w:p>
        </w:tc>
        <w:tc>
          <w:tcPr>
            <w:tcW w:w="1527" w:type="dxa"/>
            <w:shd w:val="clear" w:color="auto" w:fill="FFC000"/>
            <w:vAlign w:val="center"/>
          </w:tcPr>
          <w:p w14:paraId="68091C95" w14:textId="77777777" w:rsidR="00CF33D9" w:rsidRDefault="00E3332A">
            <w:pPr>
              <w:spacing w:line="200" w:lineRule="exact"/>
              <w:jc w:val="center"/>
              <w:rPr>
                <w:rFonts w:cs="Calibri"/>
                <w:b/>
                <w:sz w:val="20"/>
                <w:szCs w:val="20"/>
              </w:rPr>
            </w:pPr>
            <w:r>
              <w:rPr>
                <w:rFonts w:cs="Calibri"/>
                <w:b/>
                <w:sz w:val="20"/>
                <w:szCs w:val="20"/>
              </w:rPr>
              <w:sym w:font="Symbol" w:char="F0D6"/>
            </w:r>
          </w:p>
          <w:p w14:paraId="68091C96" w14:textId="77777777" w:rsidR="00CF33D9" w:rsidRDefault="00E3332A">
            <w:pPr>
              <w:spacing w:line="200" w:lineRule="exact"/>
              <w:jc w:val="center"/>
              <w:rPr>
                <w:rFonts w:cs="Calibri"/>
                <w:b/>
                <w:sz w:val="20"/>
                <w:szCs w:val="20"/>
              </w:rPr>
            </w:pPr>
            <w:r>
              <w:rPr>
                <w:rFonts w:cs="Calibri"/>
                <w:b/>
                <w:bCs/>
                <w:sz w:val="20"/>
                <w:szCs w:val="20"/>
              </w:rPr>
              <w:t>Substantial</w:t>
            </w:r>
          </w:p>
        </w:tc>
        <w:tc>
          <w:tcPr>
            <w:tcW w:w="2408" w:type="dxa"/>
            <w:shd w:val="clear" w:color="auto" w:fill="FFC000"/>
            <w:vAlign w:val="center"/>
          </w:tcPr>
          <w:p w14:paraId="68091C97" w14:textId="77777777" w:rsidR="00CF33D9" w:rsidRDefault="00E3332A">
            <w:pPr>
              <w:spacing w:line="200" w:lineRule="exact"/>
              <w:jc w:val="center"/>
              <w:rPr>
                <w:rFonts w:cs="Calibri"/>
                <w:b/>
                <w:sz w:val="20"/>
                <w:szCs w:val="20"/>
              </w:rPr>
            </w:pPr>
            <w:r>
              <w:rPr>
                <w:rFonts w:cs="Calibri"/>
                <w:b/>
                <w:sz w:val="20"/>
                <w:szCs w:val="20"/>
              </w:rPr>
              <w:t>FPIC, IPP, SESP</w:t>
            </w:r>
          </w:p>
        </w:tc>
      </w:tr>
      <w:tr w:rsidR="00CF33D9" w14:paraId="68091C9D" w14:textId="77777777">
        <w:trPr>
          <w:jc w:val="center"/>
        </w:trPr>
        <w:tc>
          <w:tcPr>
            <w:tcW w:w="6266" w:type="dxa"/>
            <w:vAlign w:val="center"/>
          </w:tcPr>
          <w:p w14:paraId="68091C99" w14:textId="77777777" w:rsidR="00CF33D9" w:rsidRDefault="00E3332A">
            <w:pPr>
              <w:spacing w:line="200" w:lineRule="exact"/>
              <w:rPr>
                <w:rFonts w:cs="Calibri"/>
                <w:sz w:val="20"/>
                <w:szCs w:val="20"/>
              </w:rPr>
            </w:pPr>
            <w:r>
              <w:rPr>
                <w:rFonts w:cs="Calibri"/>
                <w:sz w:val="20"/>
                <w:szCs w:val="20"/>
              </w:rPr>
              <w:t>Standard 7: Labour and Working Conditions</w:t>
            </w:r>
          </w:p>
        </w:tc>
        <w:tc>
          <w:tcPr>
            <w:tcW w:w="1527" w:type="dxa"/>
            <w:shd w:val="clear" w:color="auto" w:fill="FFC000"/>
            <w:vAlign w:val="center"/>
          </w:tcPr>
          <w:p w14:paraId="68091C9A" w14:textId="77777777" w:rsidR="00CF33D9" w:rsidRDefault="00E3332A">
            <w:pPr>
              <w:spacing w:line="200" w:lineRule="exact"/>
              <w:jc w:val="center"/>
              <w:rPr>
                <w:rFonts w:cs="Calibri"/>
                <w:b/>
                <w:sz w:val="20"/>
                <w:szCs w:val="20"/>
              </w:rPr>
            </w:pPr>
            <w:r>
              <w:rPr>
                <w:rFonts w:cs="Calibri"/>
                <w:b/>
                <w:sz w:val="20"/>
                <w:szCs w:val="20"/>
              </w:rPr>
              <w:sym w:font="Symbol" w:char="F0D6"/>
            </w:r>
          </w:p>
          <w:p w14:paraId="68091C9B" w14:textId="77777777" w:rsidR="00CF33D9" w:rsidRDefault="00E3332A">
            <w:pPr>
              <w:spacing w:line="200" w:lineRule="exact"/>
              <w:jc w:val="center"/>
              <w:rPr>
                <w:rFonts w:cs="Calibri"/>
                <w:b/>
                <w:sz w:val="20"/>
                <w:szCs w:val="20"/>
              </w:rPr>
            </w:pPr>
            <w:r>
              <w:rPr>
                <w:rFonts w:cs="Calibri"/>
                <w:b/>
                <w:bCs/>
                <w:sz w:val="20"/>
                <w:szCs w:val="20"/>
              </w:rPr>
              <w:t>Substantial</w:t>
            </w:r>
          </w:p>
        </w:tc>
        <w:tc>
          <w:tcPr>
            <w:tcW w:w="2408" w:type="dxa"/>
            <w:shd w:val="clear" w:color="auto" w:fill="FFC000"/>
            <w:vAlign w:val="center"/>
          </w:tcPr>
          <w:p w14:paraId="68091C9C" w14:textId="77777777" w:rsidR="00CF33D9" w:rsidRDefault="00E3332A">
            <w:pPr>
              <w:spacing w:line="200" w:lineRule="exact"/>
              <w:jc w:val="center"/>
              <w:rPr>
                <w:rFonts w:cs="Calibri"/>
                <w:b/>
                <w:sz w:val="20"/>
                <w:szCs w:val="20"/>
              </w:rPr>
            </w:pPr>
            <w:r>
              <w:rPr>
                <w:rFonts w:cs="Calibri"/>
                <w:b/>
                <w:sz w:val="20"/>
                <w:szCs w:val="20"/>
              </w:rPr>
              <w:t>SESP</w:t>
            </w:r>
          </w:p>
        </w:tc>
      </w:tr>
      <w:tr w:rsidR="00CF33D9" w14:paraId="68091CA2" w14:textId="77777777">
        <w:trPr>
          <w:trHeight w:val="70"/>
          <w:jc w:val="center"/>
        </w:trPr>
        <w:tc>
          <w:tcPr>
            <w:tcW w:w="6266" w:type="dxa"/>
            <w:vAlign w:val="center"/>
          </w:tcPr>
          <w:p w14:paraId="68091C9E" w14:textId="77777777" w:rsidR="00CF33D9" w:rsidRDefault="00E3332A">
            <w:pPr>
              <w:spacing w:line="200" w:lineRule="exact"/>
              <w:rPr>
                <w:rFonts w:cs="Calibri"/>
                <w:sz w:val="20"/>
                <w:szCs w:val="20"/>
              </w:rPr>
            </w:pPr>
            <w:r>
              <w:rPr>
                <w:rFonts w:cs="Calibri"/>
                <w:sz w:val="20"/>
                <w:szCs w:val="20"/>
              </w:rPr>
              <w:t>Standard 8: Pollution Prevention and Resource Efficiency</w:t>
            </w:r>
          </w:p>
        </w:tc>
        <w:tc>
          <w:tcPr>
            <w:tcW w:w="1527" w:type="dxa"/>
            <w:shd w:val="clear" w:color="auto" w:fill="FFC000"/>
            <w:vAlign w:val="center"/>
          </w:tcPr>
          <w:p w14:paraId="68091C9F" w14:textId="77777777" w:rsidR="00CF33D9" w:rsidRDefault="00E3332A">
            <w:pPr>
              <w:spacing w:line="200" w:lineRule="exact"/>
              <w:jc w:val="center"/>
              <w:rPr>
                <w:rFonts w:cs="Calibri"/>
                <w:b/>
                <w:sz w:val="20"/>
                <w:szCs w:val="20"/>
              </w:rPr>
            </w:pPr>
            <w:r>
              <w:rPr>
                <w:rFonts w:cs="Calibri"/>
                <w:b/>
                <w:sz w:val="20"/>
                <w:szCs w:val="20"/>
              </w:rPr>
              <w:sym w:font="Symbol" w:char="F0D6"/>
            </w:r>
          </w:p>
          <w:p w14:paraId="68091CA0" w14:textId="77777777" w:rsidR="00CF33D9" w:rsidRDefault="00E3332A">
            <w:pPr>
              <w:spacing w:line="200" w:lineRule="exact"/>
              <w:jc w:val="center"/>
              <w:rPr>
                <w:rFonts w:cs="Calibri"/>
                <w:b/>
                <w:bCs/>
                <w:sz w:val="20"/>
                <w:szCs w:val="20"/>
              </w:rPr>
            </w:pPr>
            <w:r>
              <w:rPr>
                <w:rFonts w:cs="Calibri"/>
                <w:b/>
                <w:bCs/>
                <w:sz w:val="20"/>
                <w:szCs w:val="20"/>
              </w:rPr>
              <w:t>Substantial</w:t>
            </w:r>
          </w:p>
        </w:tc>
        <w:tc>
          <w:tcPr>
            <w:tcW w:w="2408" w:type="dxa"/>
            <w:shd w:val="clear" w:color="auto" w:fill="FFC000"/>
            <w:vAlign w:val="center"/>
          </w:tcPr>
          <w:p w14:paraId="68091CA1" w14:textId="77777777" w:rsidR="00CF33D9" w:rsidRDefault="00E3332A">
            <w:pPr>
              <w:spacing w:line="200" w:lineRule="exact"/>
              <w:jc w:val="center"/>
              <w:rPr>
                <w:rFonts w:cs="Calibri"/>
                <w:b/>
                <w:sz w:val="20"/>
                <w:szCs w:val="20"/>
              </w:rPr>
            </w:pPr>
            <w:r>
              <w:rPr>
                <w:rFonts w:cs="Calibri"/>
                <w:b/>
                <w:sz w:val="20"/>
                <w:szCs w:val="20"/>
              </w:rPr>
              <w:t>SESA, ESIA, SESP</w:t>
            </w:r>
          </w:p>
        </w:tc>
      </w:tr>
      <w:tr w:rsidR="00CF33D9" w14:paraId="68091CA5" w14:textId="77777777">
        <w:trPr>
          <w:trHeight w:val="70"/>
          <w:jc w:val="center"/>
        </w:trPr>
        <w:tc>
          <w:tcPr>
            <w:tcW w:w="7793" w:type="dxa"/>
            <w:gridSpan w:val="2"/>
            <w:shd w:val="clear" w:color="auto" w:fill="E7E6E6" w:themeFill="background2"/>
            <w:vAlign w:val="center"/>
          </w:tcPr>
          <w:p w14:paraId="68091CA3" w14:textId="77777777" w:rsidR="00CF33D9" w:rsidRDefault="00E3332A">
            <w:pPr>
              <w:spacing w:line="200" w:lineRule="exact"/>
              <w:jc w:val="center"/>
              <w:rPr>
                <w:rFonts w:cs="Calibri"/>
                <w:b/>
                <w:sz w:val="20"/>
                <w:szCs w:val="20"/>
              </w:rPr>
            </w:pPr>
            <w:r>
              <w:rPr>
                <w:rFonts w:cs="Calibri"/>
                <w:b/>
                <w:sz w:val="20"/>
                <w:szCs w:val="20"/>
              </w:rPr>
              <w:t>Number of risks in each risk rating category</w:t>
            </w:r>
          </w:p>
        </w:tc>
        <w:tc>
          <w:tcPr>
            <w:tcW w:w="2408" w:type="dxa"/>
            <w:shd w:val="clear" w:color="auto" w:fill="E7E6E6" w:themeFill="background2"/>
          </w:tcPr>
          <w:p w14:paraId="68091CA4" w14:textId="77777777" w:rsidR="00CF33D9" w:rsidRDefault="00CF33D9">
            <w:pPr>
              <w:spacing w:line="200" w:lineRule="exact"/>
              <w:jc w:val="center"/>
              <w:rPr>
                <w:rFonts w:cs="Calibri"/>
                <w:b/>
                <w:sz w:val="20"/>
                <w:szCs w:val="20"/>
              </w:rPr>
            </w:pPr>
          </w:p>
        </w:tc>
      </w:tr>
      <w:tr w:rsidR="00CF33D9" w14:paraId="68091CA9" w14:textId="77777777">
        <w:trPr>
          <w:trHeight w:val="70"/>
          <w:jc w:val="center"/>
        </w:trPr>
        <w:tc>
          <w:tcPr>
            <w:tcW w:w="6266" w:type="dxa"/>
            <w:shd w:val="clear" w:color="auto" w:fill="F7CAAC" w:themeFill="accent2" w:themeFillTint="66"/>
            <w:vAlign w:val="center"/>
          </w:tcPr>
          <w:p w14:paraId="68091CA6" w14:textId="77777777" w:rsidR="00CF33D9" w:rsidRDefault="00E3332A">
            <w:pPr>
              <w:spacing w:line="200" w:lineRule="exact"/>
              <w:jc w:val="right"/>
              <w:rPr>
                <w:rFonts w:cs="Calibri"/>
                <w:b/>
                <w:sz w:val="20"/>
                <w:szCs w:val="20"/>
              </w:rPr>
            </w:pPr>
            <w:r>
              <w:rPr>
                <w:rFonts w:cs="Calibri"/>
                <w:b/>
                <w:sz w:val="20"/>
                <w:szCs w:val="20"/>
              </w:rPr>
              <w:t>High</w:t>
            </w:r>
          </w:p>
        </w:tc>
        <w:tc>
          <w:tcPr>
            <w:tcW w:w="1527" w:type="dxa"/>
            <w:shd w:val="clear" w:color="auto" w:fill="auto"/>
            <w:vAlign w:val="center"/>
          </w:tcPr>
          <w:p w14:paraId="68091CA7" w14:textId="77777777" w:rsidR="00CF33D9" w:rsidRDefault="00E3332A">
            <w:pPr>
              <w:spacing w:line="200" w:lineRule="exact"/>
              <w:jc w:val="center"/>
              <w:rPr>
                <w:rFonts w:cs="Calibri"/>
                <w:sz w:val="20"/>
                <w:szCs w:val="20"/>
              </w:rPr>
            </w:pPr>
            <w:r>
              <w:rPr>
                <w:rFonts w:cs="Calibri"/>
                <w:sz w:val="20"/>
                <w:szCs w:val="20"/>
              </w:rPr>
              <w:t>0</w:t>
            </w:r>
          </w:p>
        </w:tc>
        <w:tc>
          <w:tcPr>
            <w:tcW w:w="2408" w:type="dxa"/>
          </w:tcPr>
          <w:p w14:paraId="68091CA8" w14:textId="77777777" w:rsidR="00CF33D9" w:rsidRDefault="00CF33D9">
            <w:pPr>
              <w:spacing w:line="200" w:lineRule="exact"/>
              <w:jc w:val="center"/>
              <w:rPr>
                <w:rFonts w:cs="Calibri"/>
                <w:sz w:val="20"/>
                <w:szCs w:val="20"/>
              </w:rPr>
            </w:pPr>
          </w:p>
        </w:tc>
      </w:tr>
      <w:tr w:rsidR="00CF33D9" w14:paraId="68091CAD" w14:textId="77777777">
        <w:trPr>
          <w:trHeight w:val="70"/>
          <w:jc w:val="center"/>
        </w:trPr>
        <w:tc>
          <w:tcPr>
            <w:tcW w:w="6266" w:type="dxa"/>
            <w:shd w:val="clear" w:color="auto" w:fill="FFC000"/>
            <w:vAlign w:val="center"/>
          </w:tcPr>
          <w:p w14:paraId="68091CAA" w14:textId="77777777" w:rsidR="00CF33D9" w:rsidRDefault="00E3332A">
            <w:pPr>
              <w:spacing w:line="200" w:lineRule="exact"/>
              <w:jc w:val="right"/>
              <w:rPr>
                <w:rFonts w:cs="Calibri"/>
                <w:b/>
                <w:sz w:val="20"/>
                <w:szCs w:val="20"/>
              </w:rPr>
            </w:pPr>
            <w:r>
              <w:rPr>
                <w:rFonts w:cs="Calibri"/>
                <w:b/>
                <w:sz w:val="20"/>
                <w:szCs w:val="20"/>
              </w:rPr>
              <w:t>Substantial</w:t>
            </w:r>
          </w:p>
        </w:tc>
        <w:tc>
          <w:tcPr>
            <w:tcW w:w="1527" w:type="dxa"/>
            <w:shd w:val="clear" w:color="auto" w:fill="auto"/>
            <w:vAlign w:val="center"/>
          </w:tcPr>
          <w:p w14:paraId="68091CAB" w14:textId="77777777" w:rsidR="00CF33D9" w:rsidRDefault="00E3332A">
            <w:pPr>
              <w:spacing w:line="200" w:lineRule="exact"/>
              <w:jc w:val="center"/>
              <w:rPr>
                <w:rFonts w:cs="Calibri"/>
                <w:sz w:val="20"/>
                <w:szCs w:val="20"/>
              </w:rPr>
            </w:pPr>
            <w:r>
              <w:rPr>
                <w:rFonts w:cs="Calibri"/>
                <w:sz w:val="20"/>
                <w:szCs w:val="20"/>
              </w:rPr>
              <w:t>6</w:t>
            </w:r>
          </w:p>
        </w:tc>
        <w:tc>
          <w:tcPr>
            <w:tcW w:w="2408" w:type="dxa"/>
          </w:tcPr>
          <w:p w14:paraId="68091CAC" w14:textId="77777777" w:rsidR="00CF33D9" w:rsidRDefault="00CF33D9">
            <w:pPr>
              <w:spacing w:line="200" w:lineRule="exact"/>
              <w:jc w:val="center"/>
              <w:rPr>
                <w:rFonts w:cs="Calibri"/>
                <w:sz w:val="20"/>
                <w:szCs w:val="20"/>
              </w:rPr>
            </w:pPr>
          </w:p>
        </w:tc>
      </w:tr>
      <w:tr w:rsidR="00CF33D9" w14:paraId="68091CB1" w14:textId="77777777">
        <w:trPr>
          <w:trHeight w:val="70"/>
          <w:jc w:val="center"/>
        </w:trPr>
        <w:tc>
          <w:tcPr>
            <w:tcW w:w="6266" w:type="dxa"/>
            <w:shd w:val="clear" w:color="auto" w:fill="FFFF00"/>
            <w:vAlign w:val="center"/>
          </w:tcPr>
          <w:p w14:paraId="68091CAE" w14:textId="77777777" w:rsidR="00CF33D9" w:rsidRDefault="00E3332A">
            <w:pPr>
              <w:spacing w:line="200" w:lineRule="exact"/>
              <w:jc w:val="right"/>
              <w:rPr>
                <w:rFonts w:cs="Calibri"/>
                <w:b/>
                <w:sz w:val="20"/>
                <w:szCs w:val="20"/>
              </w:rPr>
            </w:pPr>
            <w:r>
              <w:rPr>
                <w:rFonts w:cs="Calibri"/>
                <w:b/>
                <w:sz w:val="20"/>
                <w:szCs w:val="20"/>
              </w:rPr>
              <w:t>Moderate</w:t>
            </w:r>
          </w:p>
        </w:tc>
        <w:tc>
          <w:tcPr>
            <w:tcW w:w="1527" w:type="dxa"/>
            <w:shd w:val="clear" w:color="auto" w:fill="auto"/>
            <w:vAlign w:val="center"/>
          </w:tcPr>
          <w:p w14:paraId="68091CAF" w14:textId="77777777" w:rsidR="00CF33D9" w:rsidRDefault="00E3332A">
            <w:pPr>
              <w:spacing w:line="200" w:lineRule="exact"/>
              <w:jc w:val="center"/>
              <w:rPr>
                <w:rFonts w:cs="Calibri"/>
                <w:sz w:val="20"/>
                <w:szCs w:val="20"/>
              </w:rPr>
            </w:pPr>
            <w:r>
              <w:rPr>
                <w:rFonts w:cs="Calibri"/>
                <w:sz w:val="20"/>
                <w:szCs w:val="20"/>
              </w:rPr>
              <w:t>4</w:t>
            </w:r>
          </w:p>
        </w:tc>
        <w:tc>
          <w:tcPr>
            <w:tcW w:w="2408" w:type="dxa"/>
          </w:tcPr>
          <w:p w14:paraId="68091CB0" w14:textId="77777777" w:rsidR="00CF33D9" w:rsidRDefault="00CF33D9">
            <w:pPr>
              <w:spacing w:line="200" w:lineRule="exact"/>
              <w:jc w:val="center"/>
              <w:rPr>
                <w:rFonts w:cs="Calibri"/>
                <w:sz w:val="20"/>
                <w:szCs w:val="20"/>
              </w:rPr>
            </w:pPr>
          </w:p>
        </w:tc>
      </w:tr>
      <w:tr w:rsidR="00CF33D9" w14:paraId="68091CB5" w14:textId="77777777">
        <w:trPr>
          <w:trHeight w:val="70"/>
          <w:jc w:val="center"/>
        </w:trPr>
        <w:tc>
          <w:tcPr>
            <w:tcW w:w="6266" w:type="dxa"/>
            <w:shd w:val="clear" w:color="auto" w:fill="92D050"/>
            <w:vAlign w:val="center"/>
          </w:tcPr>
          <w:p w14:paraId="68091CB2" w14:textId="77777777" w:rsidR="00CF33D9" w:rsidRDefault="00E3332A">
            <w:pPr>
              <w:spacing w:line="200" w:lineRule="exact"/>
              <w:jc w:val="right"/>
              <w:rPr>
                <w:rFonts w:cs="Calibri"/>
                <w:b/>
                <w:sz w:val="20"/>
                <w:szCs w:val="20"/>
              </w:rPr>
            </w:pPr>
            <w:r>
              <w:rPr>
                <w:rFonts w:cs="Calibri"/>
                <w:b/>
                <w:sz w:val="20"/>
                <w:szCs w:val="20"/>
              </w:rPr>
              <w:t>Low</w:t>
            </w:r>
          </w:p>
        </w:tc>
        <w:tc>
          <w:tcPr>
            <w:tcW w:w="1527" w:type="dxa"/>
            <w:shd w:val="clear" w:color="auto" w:fill="auto"/>
            <w:vAlign w:val="center"/>
          </w:tcPr>
          <w:p w14:paraId="68091CB3" w14:textId="77777777" w:rsidR="00CF33D9" w:rsidRDefault="00E3332A">
            <w:pPr>
              <w:spacing w:line="200" w:lineRule="exact"/>
              <w:jc w:val="center"/>
              <w:rPr>
                <w:rFonts w:cs="Calibri"/>
                <w:sz w:val="20"/>
                <w:szCs w:val="20"/>
              </w:rPr>
            </w:pPr>
            <w:r>
              <w:rPr>
                <w:rFonts w:cs="Calibri"/>
                <w:sz w:val="20"/>
                <w:szCs w:val="20"/>
              </w:rPr>
              <w:t>0</w:t>
            </w:r>
          </w:p>
        </w:tc>
        <w:tc>
          <w:tcPr>
            <w:tcW w:w="2408" w:type="dxa"/>
          </w:tcPr>
          <w:p w14:paraId="68091CB4" w14:textId="77777777" w:rsidR="00CF33D9" w:rsidRDefault="00CF33D9">
            <w:pPr>
              <w:spacing w:line="200" w:lineRule="exact"/>
              <w:jc w:val="center"/>
              <w:rPr>
                <w:rFonts w:cs="Calibri"/>
                <w:sz w:val="20"/>
                <w:szCs w:val="20"/>
              </w:rPr>
            </w:pPr>
          </w:p>
        </w:tc>
      </w:tr>
      <w:tr w:rsidR="00CF33D9" w14:paraId="68091CB9" w14:textId="77777777">
        <w:trPr>
          <w:trHeight w:val="70"/>
          <w:jc w:val="center"/>
        </w:trPr>
        <w:tc>
          <w:tcPr>
            <w:tcW w:w="6266" w:type="dxa"/>
            <w:vAlign w:val="center"/>
          </w:tcPr>
          <w:p w14:paraId="68091CB6" w14:textId="77777777" w:rsidR="00CF33D9" w:rsidRDefault="00E3332A">
            <w:pPr>
              <w:spacing w:line="200" w:lineRule="exact"/>
              <w:jc w:val="right"/>
              <w:rPr>
                <w:rFonts w:cs="Calibri"/>
                <w:b/>
                <w:sz w:val="20"/>
                <w:szCs w:val="20"/>
              </w:rPr>
            </w:pPr>
            <w:r>
              <w:rPr>
                <w:rFonts w:cs="Calibri"/>
                <w:b/>
                <w:sz w:val="20"/>
                <w:szCs w:val="20"/>
              </w:rPr>
              <w:t>Total number of project risks</w:t>
            </w:r>
          </w:p>
        </w:tc>
        <w:tc>
          <w:tcPr>
            <w:tcW w:w="1527" w:type="dxa"/>
            <w:shd w:val="clear" w:color="auto" w:fill="auto"/>
            <w:vAlign w:val="center"/>
          </w:tcPr>
          <w:p w14:paraId="68091CB7" w14:textId="77777777" w:rsidR="00CF33D9" w:rsidRDefault="00E3332A">
            <w:pPr>
              <w:spacing w:line="200" w:lineRule="exact"/>
              <w:jc w:val="center"/>
              <w:rPr>
                <w:rFonts w:cs="Calibri"/>
                <w:sz w:val="20"/>
                <w:szCs w:val="20"/>
              </w:rPr>
            </w:pPr>
            <w:r>
              <w:rPr>
                <w:rFonts w:cs="Calibri"/>
                <w:sz w:val="20"/>
                <w:szCs w:val="20"/>
              </w:rPr>
              <w:t>10</w:t>
            </w:r>
          </w:p>
        </w:tc>
        <w:tc>
          <w:tcPr>
            <w:tcW w:w="2408" w:type="dxa"/>
          </w:tcPr>
          <w:p w14:paraId="68091CB8" w14:textId="77777777" w:rsidR="00CF33D9" w:rsidRDefault="00CF33D9">
            <w:pPr>
              <w:spacing w:line="200" w:lineRule="exact"/>
              <w:jc w:val="center"/>
              <w:rPr>
                <w:rFonts w:cs="Calibri"/>
                <w:sz w:val="20"/>
                <w:szCs w:val="20"/>
              </w:rPr>
            </w:pPr>
          </w:p>
        </w:tc>
      </w:tr>
      <w:tr w:rsidR="00CF33D9" w14:paraId="68091CBD" w14:textId="77777777">
        <w:trPr>
          <w:trHeight w:val="70"/>
          <w:jc w:val="center"/>
        </w:trPr>
        <w:tc>
          <w:tcPr>
            <w:tcW w:w="6266" w:type="dxa"/>
            <w:vAlign w:val="center"/>
          </w:tcPr>
          <w:p w14:paraId="68091CBA" w14:textId="77777777" w:rsidR="00CF33D9" w:rsidRDefault="00E3332A">
            <w:pPr>
              <w:spacing w:line="200" w:lineRule="exact"/>
              <w:jc w:val="right"/>
              <w:rPr>
                <w:rFonts w:cs="Calibri"/>
                <w:b/>
                <w:sz w:val="20"/>
                <w:szCs w:val="20"/>
              </w:rPr>
            </w:pPr>
            <w:r>
              <w:rPr>
                <w:rFonts w:cs="Calibri"/>
                <w:b/>
                <w:sz w:val="20"/>
                <w:szCs w:val="20"/>
              </w:rPr>
              <w:t>Overall Project Risk Categorization</w:t>
            </w:r>
          </w:p>
        </w:tc>
        <w:tc>
          <w:tcPr>
            <w:tcW w:w="1527" w:type="dxa"/>
            <w:shd w:val="clear" w:color="auto" w:fill="FFC000"/>
            <w:vAlign w:val="center"/>
          </w:tcPr>
          <w:p w14:paraId="68091CBB" w14:textId="77777777" w:rsidR="00CF33D9" w:rsidRDefault="00E3332A">
            <w:pPr>
              <w:spacing w:line="200" w:lineRule="exact"/>
              <w:jc w:val="center"/>
              <w:rPr>
                <w:rFonts w:cs="Calibri"/>
                <w:sz w:val="20"/>
                <w:szCs w:val="20"/>
              </w:rPr>
            </w:pPr>
            <w:r>
              <w:rPr>
                <w:rFonts w:cs="Calibri"/>
                <w:b/>
                <w:sz w:val="20"/>
                <w:szCs w:val="20"/>
              </w:rPr>
              <w:t>Substantial</w:t>
            </w:r>
          </w:p>
        </w:tc>
        <w:tc>
          <w:tcPr>
            <w:tcW w:w="2408" w:type="dxa"/>
            <w:shd w:val="clear" w:color="auto" w:fill="FFC000"/>
          </w:tcPr>
          <w:p w14:paraId="68091CBC" w14:textId="77777777" w:rsidR="00CF33D9" w:rsidRDefault="00CF33D9">
            <w:pPr>
              <w:spacing w:line="200" w:lineRule="exact"/>
              <w:jc w:val="center"/>
              <w:rPr>
                <w:rFonts w:cs="Calibri"/>
                <w:b/>
                <w:sz w:val="20"/>
                <w:szCs w:val="20"/>
              </w:rPr>
            </w:pPr>
          </w:p>
        </w:tc>
      </w:tr>
      <w:tr w:rsidR="00CF33D9" w14:paraId="68091CC1" w14:textId="77777777">
        <w:trPr>
          <w:trHeight w:val="70"/>
          <w:jc w:val="center"/>
        </w:trPr>
        <w:tc>
          <w:tcPr>
            <w:tcW w:w="6266" w:type="dxa"/>
            <w:vAlign w:val="center"/>
          </w:tcPr>
          <w:p w14:paraId="68091CBE" w14:textId="77777777" w:rsidR="00CF33D9" w:rsidRDefault="00E3332A">
            <w:pPr>
              <w:spacing w:line="200" w:lineRule="exact"/>
              <w:jc w:val="right"/>
              <w:rPr>
                <w:rFonts w:cs="Calibri"/>
                <w:b/>
                <w:sz w:val="20"/>
                <w:szCs w:val="20"/>
              </w:rPr>
            </w:pPr>
            <w:r>
              <w:rPr>
                <w:rFonts w:cs="Calibri"/>
                <w:b/>
                <w:sz w:val="20"/>
                <w:szCs w:val="20"/>
              </w:rPr>
              <w:t>Number of safeguard standards triggered</w:t>
            </w:r>
          </w:p>
        </w:tc>
        <w:tc>
          <w:tcPr>
            <w:tcW w:w="1527" w:type="dxa"/>
            <w:shd w:val="clear" w:color="auto" w:fill="auto"/>
            <w:vAlign w:val="center"/>
          </w:tcPr>
          <w:p w14:paraId="68091CBF" w14:textId="77777777" w:rsidR="00CF33D9" w:rsidRDefault="00E3332A">
            <w:pPr>
              <w:spacing w:line="200" w:lineRule="exact"/>
              <w:jc w:val="center"/>
              <w:rPr>
                <w:rFonts w:cs="Calibri"/>
                <w:b/>
                <w:sz w:val="20"/>
                <w:szCs w:val="20"/>
              </w:rPr>
            </w:pPr>
            <w:r>
              <w:rPr>
                <w:rFonts w:cs="Calibri"/>
                <w:b/>
                <w:sz w:val="20"/>
                <w:szCs w:val="20"/>
              </w:rPr>
              <w:t>10</w:t>
            </w:r>
          </w:p>
        </w:tc>
        <w:tc>
          <w:tcPr>
            <w:tcW w:w="2408" w:type="dxa"/>
          </w:tcPr>
          <w:p w14:paraId="68091CC0" w14:textId="77777777" w:rsidR="00CF33D9" w:rsidRDefault="00CF33D9">
            <w:pPr>
              <w:spacing w:line="200" w:lineRule="exact"/>
              <w:jc w:val="center"/>
              <w:rPr>
                <w:rFonts w:cs="Calibri"/>
                <w:b/>
                <w:sz w:val="20"/>
                <w:szCs w:val="20"/>
              </w:rPr>
            </w:pPr>
          </w:p>
        </w:tc>
      </w:tr>
    </w:tbl>
    <w:p w14:paraId="68091CC2" w14:textId="77777777" w:rsidR="00CF33D9" w:rsidRDefault="00CF33D9">
      <w:pPr>
        <w:pStyle w:val="ListParagraph"/>
        <w:ind w:left="0"/>
        <w:jc w:val="both"/>
        <w:rPr>
          <w:rFonts w:ascii="Calibri" w:hAnsi="Calibri" w:cs="Calibri"/>
          <w:b/>
          <w:bCs/>
          <w:sz w:val="20"/>
          <w:szCs w:val="20"/>
        </w:rPr>
      </w:pPr>
    </w:p>
    <w:p w14:paraId="68091CC3" w14:textId="77777777" w:rsidR="00CF33D9" w:rsidRDefault="00E3332A">
      <w:pPr>
        <w:rPr>
          <w:rFonts w:ascii="Calibri" w:hAnsi="Calibri" w:cs="Calibri"/>
          <w:sz w:val="20"/>
          <w:szCs w:val="20"/>
        </w:rPr>
      </w:pPr>
      <w:r>
        <w:rPr>
          <w:rFonts w:ascii="Calibri" w:hAnsi="Calibri" w:cs="Calibri"/>
          <w:sz w:val="20"/>
          <w:szCs w:val="20"/>
        </w:rPr>
        <w:t>2.2</w:t>
      </w:r>
      <w:r>
        <w:rPr>
          <w:rFonts w:ascii="Calibri" w:hAnsi="Calibri" w:cs="Calibri"/>
          <w:sz w:val="20"/>
          <w:szCs w:val="20"/>
        </w:rPr>
        <w:tab/>
        <w:t>Potential negative impacts</w:t>
      </w:r>
    </w:p>
    <w:p w14:paraId="68091CC4" w14:textId="77777777" w:rsidR="00CF33D9" w:rsidRDefault="00CF33D9">
      <w:pPr>
        <w:spacing w:line="220" w:lineRule="exact"/>
        <w:jc w:val="both"/>
        <w:rPr>
          <w:rFonts w:ascii="Calibri" w:hAnsi="Calibri" w:cs="Calibri"/>
          <w:sz w:val="20"/>
          <w:szCs w:val="20"/>
        </w:rPr>
      </w:pPr>
    </w:p>
    <w:p w14:paraId="68091CC5" w14:textId="77777777" w:rsidR="00CF33D9" w:rsidRDefault="00E3332A">
      <w:pPr>
        <w:spacing w:line="220" w:lineRule="exact"/>
        <w:jc w:val="both"/>
        <w:rPr>
          <w:rFonts w:ascii="Calibri" w:hAnsi="Calibri" w:cs="Calibri"/>
          <w:b/>
          <w:bCs/>
          <w:sz w:val="20"/>
          <w:szCs w:val="20"/>
        </w:rPr>
      </w:pPr>
      <w:r>
        <w:rPr>
          <w:rFonts w:ascii="Calibri" w:hAnsi="Calibri" w:cs="Calibri"/>
          <w:sz w:val="20"/>
          <w:szCs w:val="20"/>
        </w:rPr>
        <w:t xml:space="preserve">During the PPG phase, the project has been screened against UNDP’s July 2022 SESP template. The analysis identified a range of potential social and environmental impacts associated with the project activities. The SESP template (Project Document </w:t>
      </w:r>
      <w:r>
        <w:rPr>
          <w:rFonts w:ascii="Calibri" w:hAnsi="Calibri" w:cs="Calibri"/>
          <w:b/>
          <w:bCs/>
          <w:sz w:val="20"/>
          <w:szCs w:val="20"/>
        </w:rPr>
        <w:t>Annex 6</w:t>
      </w:r>
      <w:r>
        <w:rPr>
          <w:rFonts w:ascii="Calibri" w:hAnsi="Calibri" w:cs="Calibri"/>
          <w:sz w:val="20"/>
          <w:szCs w:val="20"/>
        </w:rPr>
        <w:t xml:space="preserve">) details the applicable specific environmental and social risks. The significance of each risk, based on its likelihood of occurrence and extent of impact, has been estimated as being low, moderate, substantial or high. Based on the significance of these individual risks but also looking at their cumulative effect, the project has been allocated an overall SESP risk categorization rating of </w:t>
      </w:r>
      <w:r>
        <w:rPr>
          <w:rFonts w:ascii="Calibri" w:hAnsi="Calibri" w:cs="Calibri"/>
          <w:b/>
          <w:bCs/>
          <w:sz w:val="20"/>
          <w:szCs w:val="20"/>
        </w:rPr>
        <w:t xml:space="preserve">Substantial. </w:t>
      </w:r>
    </w:p>
    <w:p w14:paraId="68091CC6" w14:textId="77777777" w:rsidR="00CF33D9" w:rsidRDefault="00CF33D9">
      <w:pPr>
        <w:spacing w:line="220" w:lineRule="exact"/>
        <w:rPr>
          <w:rFonts w:ascii="Calibri" w:hAnsi="Calibri" w:cs="Calibri"/>
          <w:sz w:val="20"/>
          <w:szCs w:val="20"/>
        </w:rPr>
      </w:pPr>
    </w:p>
    <w:p w14:paraId="68091CC7" w14:textId="77777777" w:rsidR="00CF33D9" w:rsidRDefault="00E3332A">
      <w:pPr>
        <w:spacing w:line="220" w:lineRule="exact"/>
        <w:jc w:val="both"/>
        <w:rPr>
          <w:rFonts w:ascii="Calibri" w:hAnsi="Calibri" w:cs="Calibri"/>
          <w:sz w:val="20"/>
          <w:szCs w:val="20"/>
        </w:rPr>
      </w:pPr>
      <w:r>
        <w:rPr>
          <w:rFonts w:ascii="Calibri" w:hAnsi="Calibri" w:cs="Calibri"/>
          <w:b/>
          <w:bCs/>
          <w:sz w:val="20"/>
          <w:szCs w:val="20"/>
        </w:rPr>
        <w:t xml:space="preserve">The Substantial Risk category is defined by UNDP SES as: </w:t>
      </w:r>
      <w:r>
        <w:rPr>
          <w:rFonts w:ascii="Calibri" w:hAnsi="Calibri" w:cs="Calibri"/>
          <w:sz w:val="20"/>
          <w:szCs w:val="20"/>
        </w:rPr>
        <w:t>“Projects that include activities with potential adverse social and environmental risks and impacts that are more varied or complex than those Moderate Risks projects but remain limited in scale and are of lesser magnitude than those of High-Risk projects (e.g. reversible, predictable, smaller footprint, less risk of cumulative impacts).”</w:t>
      </w:r>
    </w:p>
    <w:p w14:paraId="68091CC8" w14:textId="77777777" w:rsidR="00CF33D9" w:rsidRDefault="00CF33D9">
      <w:pPr>
        <w:rPr>
          <w:rFonts w:ascii="Calibri" w:hAnsi="Calibri" w:cs="Calibri"/>
          <w:sz w:val="20"/>
          <w:szCs w:val="20"/>
        </w:rPr>
      </w:pPr>
    </w:p>
    <w:p w14:paraId="68091CC9" w14:textId="77777777" w:rsidR="00CF33D9" w:rsidRDefault="00E3332A">
      <w:pPr>
        <w:rPr>
          <w:rFonts w:ascii="Calibri" w:hAnsi="Calibri" w:cs="Calibri"/>
          <w:iCs/>
          <w:sz w:val="20"/>
          <w:szCs w:val="20"/>
        </w:rPr>
      </w:pPr>
      <w:r>
        <w:rPr>
          <w:rFonts w:ascii="Calibri" w:hAnsi="Calibri" w:cs="Calibri"/>
          <w:iCs/>
          <w:sz w:val="20"/>
          <w:szCs w:val="20"/>
          <w:u w:val="single"/>
        </w:rPr>
        <w:t>The following Risks have been identified during the SESP</w:t>
      </w:r>
      <w:r>
        <w:rPr>
          <w:rFonts w:ascii="Calibri" w:hAnsi="Calibri" w:cs="Calibri"/>
          <w:iCs/>
          <w:sz w:val="20"/>
          <w:szCs w:val="20"/>
        </w:rPr>
        <w:t xml:space="preserve">: </w:t>
      </w:r>
    </w:p>
    <w:p w14:paraId="68091CCA" w14:textId="77777777" w:rsidR="00CF33D9" w:rsidRDefault="00CF33D9">
      <w:pPr>
        <w:rPr>
          <w:rFonts w:ascii="Calibri" w:hAnsi="Calibri" w:cs="Calibri"/>
          <w:b/>
          <w:bCs/>
          <w:sz w:val="20"/>
          <w:szCs w:val="20"/>
        </w:rPr>
      </w:pPr>
    </w:p>
    <w:p w14:paraId="68091CCB" w14:textId="77777777" w:rsidR="00CF33D9" w:rsidRDefault="00E3332A">
      <w:pPr>
        <w:rPr>
          <w:rFonts w:ascii="Calibri" w:eastAsia="MS Mincho" w:hAnsi="Calibri" w:cs="Calibri"/>
          <w:b/>
          <w:bCs/>
          <w:sz w:val="20"/>
          <w:szCs w:val="20"/>
        </w:rPr>
      </w:pPr>
      <w:r>
        <w:rPr>
          <w:rFonts w:ascii="Calibri" w:hAnsi="Calibri" w:cs="Calibri"/>
          <w:b/>
          <w:bCs/>
          <w:sz w:val="20"/>
          <w:szCs w:val="20"/>
        </w:rPr>
        <w:t xml:space="preserve">Substantial Risks </w:t>
      </w:r>
    </w:p>
    <w:p w14:paraId="68091CCC" w14:textId="77777777" w:rsidR="00CF33D9" w:rsidRDefault="00CF33D9">
      <w:pPr>
        <w:rPr>
          <w:rFonts w:ascii="Calibri" w:hAnsi="Calibri" w:cs="Calibri"/>
          <w:sz w:val="20"/>
          <w:szCs w:val="20"/>
        </w:rPr>
      </w:pPr>
    </w:p>
    <w:p w14:paraId="68091CCD" w14:textId="77777777" w:rsidR="00CF33D9" w:rsidRDefault="00E3332A">
      <w:pPr>
        <w:spacing w:line="220" w:lineRule="exact"/>
        <w:jc w:val="both"/>
        <w:rPr>
          <w:rFonts w:ascii="Calibri" w:hAnsi="Calibri" w:cs="Calibri"/>
          <w:sz w:val="20"/>
          <w:szCs w:val="20"/>
        </w:rPr>
      </w:pPr>
      <w:r>
        <w:rPr>
          <w:rFonts w:ascii="Calibri" w:hAnsi="Calibri" w:cs="Calibri"/>
          <w:b/>
          <w:bCs/>
          <w:sz w:val="20"/>
          <w:szCs w:val="20"/>
        </w:rPr>
        <w:t xml:space="preserve">Risk 01 – </w:t>
      </w:r>
      <w:r>
        <w:rPr>
          <w:rFonts w:ascii="Calibri" w:hAnsi="Calibri" w:cs="Calibri"/>
          <w:sz w:val="20"/>
          <w:szCs w:val="20"/>
        </w:rPr>
        <w:t xml:space="preserve">Project activities under output 1.2.1, targeted to the development of community-based tourism in an around selected MPAs and coastal ecosystems in Namibia, including within Key Biodiversity Areas (KBAs), could lead to an increase in </w:t>
      </w:r>
      <w:r>
        <w:rPr>
          <w:rFonts w:ascii="Calibri" w:hAnsi="Calibri" w:cs="Calibri"/>
          <w:b/>
          <w:bCs/>
          <w:sz w:val="20"/>
          <w:szCs w:val="20"/>
        </w:rPr>
        <w:t xml:space="preserve">soil erosion, solid waste and littering, sewage pollution, natural habitat loss, and greater pressure on endangered species. </w:t>
      </w:r>
    </w:p>
    <w:p w14:paraId="68091CCE" w14:textId="77777777" w:rsidR="00CF33D9" w:rsidRDefault="00CF33D9">
      <w:pPr>
        <w:spacing w:line="220" w:lineRule="exact"/>
        <w:jc w:val="both"/>
        <w:rPr>
          <w:rFonts w:ascii="Calibri" w:hAnsi="Calibri" w:cs="Calibri"/>
          <w:sz w:val="20"/>
          <w:szCs w:val="20"/>
        </w:rPr>
      </w:pPr>
    </w:p>
    <w:p w14:paraId="68091CCF" w14:textId="77777777" w:rsidR="00CF33D9" w:rsidRDefault="00E3332A">
      <w:pPr>
        <w:pStyle w:val="TableParagraph"/>
        <w:spacing w:line="220" w:lineRule="exact"/>
        <w:jc w:val="both"/>
        <w:rPr>
          <w:sz w:val="20"/>
          <w:szCs w:val="20"/>
        </w:rPr>
      </w:pPr>
      <w:r>
        <w:rPr>
          <w:b/>
          <w:bCs/>
          <w:sz w:val="20"/>
          <w:szCs w:val="20"/>
        </w:rPr>
        <w:t xml:space="preserve">Risk 02 – </w:t>
      </w:r>
      <w:r>
        <w:rPr>
          <w:sz w:val="20"/>
          <w:szCs w:val="20"/>
        </w:rPr>
        <w:t xml:space="preserve">Policy and legal framework amendments/updates (1.1.3; 1.4.2; 3.1.1.2; 1.4.1.2; 3.1.1; and 4.1.1) could </w:t>
      </w:r>
      <w:r>
        <w:rPr>
          <w:b/>
          <w:bCs/>
          <w:sz w:val="20"/>
          <w:szCs w:val="20"/>
        </w:rPr>
        <w:lastRenderedPageBreak/>
        <w:t xml:space="preserve">exclude affected stakeholders/ constituents, including vulnerable groups, from participating in policy decisions </w:t>
      </w:r>
      <w:r>
        <w:rPr>
          <w:sz w:val="20"/>
          <w:szCs w:val="20"/>
        </w:rPr>
        <w:t xml:space="preserve">that could impact on their lands, territories, and resources, increasing their vulnerability to climate change. </w:t>
      </w:r>
    </w:p>
    <w:p w14:paraId="68091CD0" w14:textId="77777777" w:rsidR="00CF33D9" w:rsidRDefault="00CF33D9">
      <w:pPr>
        <w:pStyle w:val="TableParagraph"/>
        <w:spacing w:line="220" w:lineRule="exact"/>
        <w:rPr>
          <w:b/>
          <w:bCs/>
          <w:sz w:val="20"/>
          <w:szCs w:val="20"/>
        </w:rPr>
      </w:pPr>
    </w:p>
    <w:p w14:paraId="68091CD1" w14:textId="77777777" w:rsidR="00CF33D9" w:rsidRDefault="00E3332A">
      <w:pPr>
        <w:spacing w:line="220" w:lineRule="exact"/>
        <w:jc w:val="both"/>
        <w:rPr>
          <w:rFonts w:ascii="Calibri" w:hAnsi="Calibri" w:cs="Calibri"/>
          <w:sz w:val="20"/>
          <w:szCs w:val="20"/>
        </w:rPr>
      </w:pPr>
      <w:r>
        <w:rPr>
          <w:rFonts w:ascii="Calibri" w:hAnsi="Calibri" w:cs="Calibri"/>
          <w:b/>
          <w:bCs/>
          <w:sz w:val="20"/>
          <w:szCs w:val="20"/>
        </w:rPr>
        <w:t xml:space="preserve">Risk 03 – </w:t>
      </w:r>
      <w:r>
        <w:rPr>
          <w:rFonts w:ascii="Calibri" w:hAnsi="Calibri" w:cs="Calibri"/>
          <w:sz w:val="20"/>
          <w:szCs w:val="20"/>
        </w:rPr>
        <w:t xml:space="preserve">Certification requirements for fish and seafood products (Activity 2.1.3.3), as well as the market growth strategy and action plan (Activity 2.2.1.2) could lead to the </w:t>
      </w:r>
      <w:r>
        <w:rPr>
          <w:rFonts w:ascii="Calibri" w:hAnsi="Calibri" w:cs="Calibri"/>
          <w:b/>
          <w:bCs/>
          <w:sz w:val="20"/>
          <w:szCs w:val="20"/>
        </w:rPr>
        <w:t>exclusion of small-scale fisher groups (including women)</w:t>
      </w:r>
      <w:r>
        <w:rPr>
          <w:rFonts w:ascii="Calibri" w:hAnsi="Calibri" w:cs="Calibri"/>
          <w:sz w:val="20"/>
          <w:szCs w:val="20"/>
        </w:rPr>
        <w:t xml:space="preserve"> that don’t have the capacity to keep up with these requirements, leading to greater segregation and poverty levels.</w:t>
      </w:r>
    </w:p>
    <w:p w14:paraId="68091CD2" w14:textId="77777777" w:rsidR="00CF33D9" w:rsidRDefault="00CF33D9">
      <w:pPr>
        <w:spacing w:line="220" w:lineRule="exact"/>
        <w:jc w:val="both"/>
        <w:rPr>
          <w:rFonts w:ascii="Calibri" w:hAnsi="Calibri" w:cs="Calibri"/>
          <w:sz w:val="20"/>
          <w:szCs w:val="20"/>
        </w:rPr>
      </w:pPr>
    </w:p>
    <w:p w14:paraId="68091CD3" w14:textId="77777777" w:rsidR="00CF33D9" w:rsidRDefault="00E3332A">
      <w:pPr>
        <w:spacing w:line="220" w:lineRule="exact"/>
        <w:jc w:val="both"/>
        <w:rPr>
          <w:rFonts w:ascii="Calibri" w:hAnsi="Calibri" w:cs="Calibri"/>
          <w:sz w:val="20"/>
          <w:szCs w:val="20"/>
        </w:rPr>
      </w:pPr>
      <w:r>
        <w:rPr>
          <w:rFonts w:ascii="Calibri" w:hAnsi="Calibri" w:cs="Calibri"/>
          <w:b/>
          <w:bCs/>
          <w:sz w:val="20"/>
          <w:szCs w:val="20"/>
        </w:rPr>
        <w:t>Risk 04 –</w:t>
      </w:r>
      <w:r>
        <w:rPr>
          <w:rFonts w:ascii="Calibri" w:hAnsi="Calibri" w:cs="Calibri"/>
          <w:sz w:val="20"/>
          <w:szCs w:val="20"/>
        </w:rPr>
        <w:t xml:space="preserve"> Enhancing management plans of selected MPAs (Activity 1.1.2); implementing sustainable and climate-resilient mariculture opportunities and exploitation of other living marine resources (2.1.2.3); and implementing alternative livelihoods linked to pollution management activities (Activity 3.2.1.1 [coastal pilot in South Africa] and 3.2.1.3) could restrict access to resources and cause </w:t>
      </w:r>
      <w:r>
        <w:rPr>
          <w:rFonts w:ascii="Calibri" w:hAnsi="Calibri" w:cs="Calibri"/>
          <w:b/>
          <w:bCs/>
          <w:sz w:val="20"/>
          <w:szCs w:val="20"/>
        </w:rPr>
        <w:t xml:space="preserve">economic displacement, </w:t>
      </w:r>
      <w:r>
        <w:rPr>
          <w:rFonts w:ascii="Calibri" w:hAnsi="Calibri" w:cs="Calibri"/>
          <w:sz w:val="20"/>
          <w:szCs w:val="20"/>
        </w:rPr>
        <w:t>impacting on traditional livelihoods, food security, and intangible cultural heritage of Indigenous Peoples</w:t>
      </w:r>
      <w:r>
        <w:rPr>
          <w:rStyle w:val="FootnoteReference"/>
          <w:rFonts w:ascii="Calibri" w:hAnsi="Calibri" w:cs="Calibri"/>
          <w:sz w:val="20"/>
          <w:szCs w:val="20"/>
        </w:rPr>
        <w:footnoteReference w:id="17"/>
      </w:r>
      <w:r>
        <w:rPr>
          <w:rFonts w:ascii="Calibri" w:hAnsi="Calibri" w:cs="Calibri"/>
          <w:sz w:val="20"/>
          <w:szCs w:val="20"/>
        </w:rPr>
        <w:t xml:space="preserve"> and local communities.</w:t>
      </w:r>
    </w:p>
    <w:p w14:paraId="68091CD4" w14:textId="77777777" w:rsidR="00CF33D9" w:rsidRDefault="00CF33D9">
      <w:pPr>
        <w:jc w:val="both"/>
        <w:rPr>
          <w:rFonts w:ascii="Calibri" w:hAnsi="Calibri" w:cs="Calibri"/>
          <w:sz w:val="20"/>
          <w:szCs w:val="20"/>
        </w:rPr>
      </w:pPr>
    </w:p>
    <w:p w14:paraId="68091CD5" w14:textId="77777777" w:rsidR="00CF33D9" w:rsidRDefault="00E3332A">
      <w:pPr>
        <w:spacing w:line="220" w:lineRule="exact"/>
        <w:jc w:val="both"/>
        <w:rPr>
          <w:rFonts w:ascii="Calibri" w:hAnsi="Calibri" w:cs="Calibri"/>
          <w:b/>
          <w:bCs/>
          <w:sz w:val="20"/>
          <w:szCs w:val="20"/>
        </w:rPr>
      </w:pPr>
      <w:r>
        <w:rPr>
          <w:rFonts w:ascii="Calibri" w:hAnsi="Calibri" w:cs="Calibri"/>
          <w:b/>
          <w:bCs/>
          <w:sz w:val="20"/>
          <w:szCs w:val="20"/>
        </w:rPr>
        <w:t>Moderate Risks</w:t>
      </w:r>
    </w:p>
    <w:p w14:paraId="68091CD6" w14:textId="77777777" w:rsidR="00CF33D9" w:rsidRDefault="00CF33D9">
      <w:pPr>
        <w:spacing w:line="220" w:lineRule="exact"/>
        <w:jc w:val="both"/>
        <w:rPr>
          <w:rFonts w:ascii="Calibri" w:hAnsi="Calibri" w:cs="Calibri"/>
          <w:b/>
          <w:bCs/>
          <w:sz w:val="20"/>
          <w:szCs w:val="20"/>
        </w:rPr>
      </w:pPr>
    </w:p>
    <w:p w14:paraId="68091CD7" w14:textId="77777777" w:rsidR="00CF33D9" w:rsidRDefault="00E3332A">
      <w:pPr>
        <w:pStyle w:val="TableParagraph"/>
        <w:spacing w:line="220" w:lineRule="exact"/>
        <w:jc w:val="both"/>
        <w:rPr>
          <w:sz w:val="20"/>
          <w:szCs w:val="20"/>
        </w:rPr>
      </w:pPr>
      <w:r>
        <w:rPr>
          <w:b/>
          <w:bCs/>
          <w:sz w:val="20"/>
          <w:szCs w:val="20"/>
        </w:rPr>
        <w:t>Risk 05</w:t>
      </w:r>
      <w:r>
        <w:rPr>
          <w:sz w:val="20"/>
          <w:szCs w:val="20"/>
        </w:rPr>
        <w:t xml:space="preserve"> – The identification of the best suitable option for management plans of selected MPAs (Activity 1.2.2.1), the establishment of a multinational transboundary committee (Activity 2.1.1.2), the drafting of bilateral agreements (2.1.1.3) and the development of Blue Carbon finance mechanisms (Output 4.2.3) could lead to the </w:t>
      </w:r>
      <w:r>
        <w:rPr>
          <w:b/>
          <w:bCs/>
          <w:sz w:val="20"/>
          <w:szCs w:val="20"/>
        </w:rPr>
        <w:t xml:space="preserve">exclusion of vulnerable groups, </w:t>
      </w:r>
      <w:r>
        <w:rPr>
          <w:sz w:val="20"/>
          <w:szCs w:val="20"/>
        </w:rPr>
        <w:t xml:space="preserve">preventing them from accessing the project’s benefits.  </w:t>
      </w:r>
    </w:p>
    <w:p w14:paraId="68091CD8" w14:textId="77777777" w:rsidR="00CF33D9" w:rsidRDefault="00CF33D9">
      <w:pPr>
        <w:pStyle w:val="TableParagraph"/>
        <w:spacing w:line="220" w:lineRule="exact"/>
        <w:ind w:left="107"/>
        <w:jc w:val="both"/>
        <w:rPr>
          <w:sz w:val="20"/>
          <w:szCs w:val="20"/>
        </w:rPr>
      </w:pPr>
    </w:p>
    <w:p w14:paraId="68091CD9" w14:textId="77777777" w:rsidR="00CF33D9" w:rsidRDefault="00E3332A">
      <w:pPr>
        <w:pStyle w:val="TableParagraph"/>
        <w:spacing w:line="220" w:lineRule="exact"/>
        <w:jc w:val="both"/>
        <w:rPr>
          <w:sz w:val="20"/>
          <w:szCs w:val="20"/>
        </w:rPr>
      </w:pPr>
      <w:r>
        <w:rPr>
          <w:b/>
          <w:bCs/>
          <w:sz w:val="20"/>
          <w:szCs w:val="20"/>
        </w:rPr>
        <w:t xml:space="preserve">Risk 06 – </w:t>
      </w:r>
      <w:r>
        <w:rPr>
          <w:sz w:val="20"/>
          <w:szCs w:val="20"/>
        </w:rPr>
        <w:t xml:space="preserve">Completing feasibility studies for the development and financing of new technologies for pollution control at the community level, including improvements in domestic and industrial wastewater treatment; plastic collection, recycling, and re-use; and agricultural runoff (Activity 3.2.1.2) could </w:t>
      </w:r>
      <w:r>
        <w:rPr>
          <w:b/>
          <w:bCs/>
          <w:sz w:val="20"/>
          <w:szCs w:val="20"/>
        </w:rPr>
        <w:t xml:space="preserve">exclude women </w:t>
      </w:r>
      <w:r>
        <w:rPr>
          <w:sz w:val="20"/>
          <w:szCs w:val="20"/>
        </w:rPr>
        <w:t>from participating in this activity, leading to less effective waste management practices and the persistence of pollution at the community level.</w:t>
      </w:r>
    </w:p>
    <w:p w14:paraId="68091CDA" w14:textId="77777777" w:rsidR="00CF33D9" w:rsidRDefault="00CF33D9">
      <w:pPr>
        <w:pStyle w:val="TableParagraph"/>
        <w:ind w:left="107"/>
        <w:jc w:val="both"/>
        <w:rPr>
          <w:sz w:val="20"/>
          <w:szCs w:val="20"/>
        </w:rPr>
      </w:pPr>
    </w:p>
    <w:p w14:paraId="68091CDB" w14:textId="77777777" w:rsidR="00CF33D9" w:rsidRDefault="00E3332A">
      <w:pPr>
        <w:pStyle w:val="TableParagraph"/>
        <w:spacing w:line="220" w:lineRule="exact"/>
        <w:jc w:val="both"/>
        <w:rPr>
          <w:sz w:val="20"/>
          <w:szCs w:val="20"/>
        </w:rPr>
      </w:pPr>
      <w:r>
        <w:rPr>
          <w:b/>
          <w:bCs/>
          <w:sz w:val="20"/>
          <w:szCs w:val="20"/>
        </w:rPr>
        <w:t>Risk 07</w:t>
      </w:r>
      <w:r>
        <w:rPr>
          <w:sz w:val="20"/>
          <w:szCs w:val="20"/>
        </w:rPr>
        <w:t xml:space="preserve"> – The implementation of market growth strategies and action plans in mariculture and exploitation of other living marine resources at national levels (all three countries) (Output 2.1.2; Activities 2.2.1.2 and 2.2.1.5) could unintentionally involve </w:t>
      </w:r>
      <w:r>
        <w:rPr>
          <w:b/>
          <w:bCs/>
          <w:sz w:val="20"/>
          <w:szCs w:val="20"/>
        </w:rPr>
        <w:t xml:space="preserve">child labour. </w:t>
      </w:r>
      <w:r>
        <w:rPr>
          <w:sz w:val="20"/>
          <w:szCs w:val="20"/>
        </w:rPr>
        <w:t xml:space="preserve"> </w:t>
      </w:r>
    </w:p>
    <w:p w14:paraId="68091CDC" w14:textId="77777777" w:rsidR="00CF33D9" w:rsidRDefault="00CF33D9">
      <w:pPr>
        <w:pStyle w:val="TableParagraph"/>
        <w:jc w:val="both"/>
        <w:rPr>
          <w:b/>
          <w:bCs/>
          <w:sz w:val="20"/>
          <w:szCs w:val="20"/>
        </w:rPr>
      </w:pPr>
    </w:p>
    <w:p w14:paraId="68091CDD" w14:textId="77777777" w:rsidR="00CF33D9" w:rsidRDefault="00E3332A">
      <w:pPr>
        <w:pStyle w:val="TableParagraph"/>
        <w:spacing w:line="220" w:lineRule="exact"/>
        <w:jc w:val="both"/>
        <w:rPr>
          <w:sz w:val="20"/>
          <w:szCs w:val="20"/>
        </w:rPr>
      </w:pPr>
      <w:r>
        <w:rPr>
          <w:b/>
          <w:bCs/>
          <w:sz w:val="20"/>
          <w:szCs w:val="20"/>
        </w:rPr>
        <w:t>Risk 08</w:t>
      </w:r>
      <w:r>
        <w:rPr>
          <w:sz w:val="20"/>
          <w:szCs w:val="20"/>
        </w:rPr>
        <w:t xml:space="preserve"> – Bilateral agreements for joint sustainable management of transboundary fish stock (Cape horse mackerel, Cape hakes) could affect the EBSA zoning (Nambia and Angola), </w:t>
      </w:r>
      <w:r>
        <w:rPr>
          <w:b/>
          <w:bCs/>
          <w:sz w:val="20"/>
          <w:szCs w:val="20"/>
        </w:rPr>
        <w:t xml:space="preserve">impacting negatively on other species’ habitats, </w:t>
      </w:r>
      <w:r>
        <w:rPr>
          <w:sz w:val="20"/>
          <w:szCs w:val="20"/>
        </w:rPr>
        <w:t xml:space="preserve">other country’s sustainable coastal development; the marine ecosystem, and/or other fish stock availability. </w:t>
      </w:r>
    </w:p>
    <w:p w14:paraId="68091CDE" w14:textId="77777777" w:rsidR="00CF33D9" w:rsidRDefault="00CF33D9">
      <w:pPr>
        <w:pStyle w:val="TableParagraph"/>
        <w:spacing w:line="220" w:lineRule="exact"/>
        <w:jc w:val="both"/>
        <w:rPr>
          <w:sz w:val="20"/>
          <w:szCs w:val="20"/>
        </w:rPr>
      </w:pPr>
    </w:p>
    <w:p w14:paraId="68091CDF" w14:textId="77777777" w:rsidR="00CF33D9" w:rsidRDefault="00E3332A">
      <w:pPr>
        <w:pStyle w:val="TableParagraph"/>
        <w:spacing w:line="220" w:lineRule="exact"/>
        <w:jc w:val="both"/>
        <w:rPr>
          <w:sz w:val="20"/>
          <w:szCs w:val="20"/>
        </w:rPr>
      </w:pPr>
      <w:r>
        <w:rPr>
          <w:b/>
          <w:bCs/>
          <w:sz w:val="20"/>
          <w:szCs w:val="20"/>
        </w:rPr>
        <w:t xml:space="preserve">Risk 09 – Climate change </w:t>
      </w:r>
      <w:r>
        <w:rPr>
          <w:sz w:val="20"/>
          <w:szCs w:val="20"/>
        </w:rPr>
        <w:t xml:space="preserve">(floods, natural disasters, etc.) on near-shore ecosystems, could potentially affect the provision of eco-tourism services (Output 1.2.1), worsening the economic situation and livelihoods of the communities involved. </w:t>
      </w:r>
    </w:p>
    <w:p w14:paraId="68091CE0" w14:textId="77777777" w:rsidR="00CF33D9" w:rsidRDefault="00CF33D9">
      <w:pPr>
        <w:pStyle w:val="TableParagraph"/>
        <w:spacing w:line="220" w:lineRule="exact"/>
        <w:jc w:val="both"/>
        <w:rPr>
          <w:sz w:val="20"/>
          <w:szCs w:val="20"/>
        </w:rPr>
      </w:pPr>
    </w:p>
    <w:p w14:paraId="68091CE1" w14:textId="77777777" w:rsidR="00CF33D9" w:rsidRDefault="00E3332A">
      <w:pPr>
        <w:pStyle w:val="TableParagraph"/>
        <w:spacing w:line="220" w:lineRule="exact"/>
        <w:jc w:val="both"/>
        <w:rPr>
          <w:b/>
          <w:bCs/>
          <w:sz w:val="20"/>
          <w:szCs w:val="20"/>
        </w:rPr>
      </w:pPr>
      <w:r>
        <w:rPr>
          <w:b/>
          <w:bCs/>
          <w:sz w:val="20"/>
          <w:szCs w:val="20"/>
        </w:rPr>
        <w:t xml:space="preserve">Risk 10 – </w:t>
      </w:r>
      <w:r>
        <w:rPr>
          <w:sz w:val="20"/>
          <w:szCs w:val="20"/>
        </w:rPr>
        <w:t xml:space="preserve">The introduction of mariculture (Activity 2.1.2.1), which is associated not only with food production but also with the production of raw materials for cosmetics, medicines, and food activities, among others, could lead to effluents and excretions that can further </w:t>
      </w:r>
      <w:r>
        <w:rPr>
          <w:b/>
          <w:bCs/>
          <w:sz w:val="20"/>
          <w:szCs w:val="20"/>
        </w:rPr>
        <w:t xml:space="preserve">pollute ocean waters. </w:t>
      </w:r>
    </w:p>
    <w:p w14:paraId="68091CE2" w14:textId="77777777" w:rsidR="00CF33D9" w:rsidRDefault="00CF33D9">
      <w:pPr>
        <w:pStyle w:val="TableParagraph"/>
        <w:jc w:val="both"/>
        <w:rPr>
          <w:b/>
          <w:bCs/>
          <w:sz w:val="20"/>
          <w:szCs w:val="20"/>
        </w:rPr>
      </w:pPr>
    </w:p>
    <w:p w14:paraId="68091CE3" w14:textId="77777777" w:rsidR="00CF33D9" w:rsidRDefault="00E3332A">
      <w:pPr>
        <w:rPr>
          <w:rFonts w:ascii="Calibri" w:hAnsi="Calibri" w:cs="Calibri"/>
          <w:sz w:val="20"/>
          <w:szCs w:val="20"/>
        </w:rPr>
      </w:pPr>
      <w:r>
        <w:rPr>
          <w:rFonts w:ascii="Calibri" w:hAnsi="Calibri" w:cs="Calibri"/>
          <w:sz w:val="20"/>
          <w:szCs w:val="20"/>
        </w:rPr>
        <w:t>3</w:t>
      </w:r>
      <w:r>
        <w:rPr>
          <w:rFonts w:ascii="Calibri" w:hAnsi="Calibri" w:cs="Calibri"/>
          <w:sz w:val="20"/>
          <w:szCs w:val="20"/>
        </w:rPr>
        <w:tab/>
        <w:t>Legal and Institutional Framework</w:t>
      </w:r>
    </w:p>
    <w:p w14:paraId="68091CE4" w14:textId="77777777" w:rsidR="00CF33D9" w:rsidRDefault="00CF33D9">
      <w:pPr>
        <w:rPr>
          <w:rFonts w:ascii="Calibri" w:hAnsi="Calibri" w:cs="Calibri"/>
          <w:sz w:val="20"/>
          <w:szCs w:val="20"/>
        </w:rPr>
      </w:pPr>
    </w:p>
    <w:p w14:paraId="68091CE5" w14:textId="77777777" w:rsidR="00CF33D9" w:rsidRDefault="00E3332A">
      <w:pPr>
        <w:spacing w:line="220" w:lineRule="exact"/>
        <w:jc w:val="both"/>
        <w:rPr>
          <w:rFonts w:ascii="Calibri" w:hAnsi="Calibri" w:cs="Calibri"/>
          <w:sz w:val="20"/>
          <w:szCs w:val="20"/>
          <w:lang w:val="en-IE"/>
        </w:rPr>
      </w:pPr>
      <w:r>
        <w:rPr>
          <w:rFonts w:ascii="Calibri" w:hAnsi="Calibri" w:cs="Calibri"/>
          <w:sz w:val="20"/>
          <w:szCs w:val="20"/>
        </w:rPr>
        <w:t xml:space="preserve">This project will improve or develop national policies, including an improved alignment of existing policies. National ocean strategies and blue/ocean economy policies provide the opportunity for national level policy improvements and alignment. This project will provide support for strengthening the existing national policy and regulatory frameworks for sustainable blue/ocean economy and ocean governance, in particular in relation to innovative blue finance mechanisms or the establishments of new MPAs, and for aligning and improving existing sector, and cross-sector policies, laws and regulations. The project will focus on the strengthening of existing MSP activities throughout the BCC region. Building on the significant body of work that has been completed under the German-funded MARISMA project, this Output will support countries to finalize and implement relevant policy and legal mechanisms to inculcate MSP into wider national planning and conservation frameworks (Output 1.1.3). </w:t>
      </w:r>
      <w:r>
        <w:rPr>
          <w:rFonts w:ascii="Calibri" w:hAnsi="Calibri" w:cs="Calibri"/>
          <w:sz w:val="20"/>
          <w:szCs w:val="20"/>
          <w:lang w:val="en-IE"/>
        </w:rPr>
        <w:t xml:space="preserve">Under Output 1.1.3, the Project will work with the BCC and the Regional MSP Working Group members to ensure that legal frameworks and </w:t>
      </w:r>
      <w:r>
        <w:rPr>
          <w:rFonts w:ascii="Calibri" w:hAnsi="Calibri" w:cs="Calibri"/>
          <w:sz w:val="20"/>
          <w:szCs w:val="20"/>
          <w:lang w:val="en-IE"/>
        </w:rPr>
        <w:lastRenderedPageBreak/>
        <w:t>institutional arrangements are harmonised across the three countries. The activities under Output 1.1.1 are designed to address the gaps and weaknesses in the current governance framework and provide recommendations to improve its effectiveness, ultimately contributing to the overall objective of strengthening ocean and coastal governance in the BCLME region.</w:t>
      </w:r>
    </w:p>
    <w:p w14:paraId="68091CE6" w14:textId="77777777" w:rsidR="00CF33D9" w:rsidRDefault="00CF33D9">
      <w:pPr>
        <w:spacing w:line="220" w:lineRule="exact"/>
        <w:jc w:val="both"/>
        <w:rPr>
          <w:rFonts w:ascii="Calibri" w:hAnsi="Calibri" w:cs="Calibri"/>
          <w:sz w:val="20"/>
          <w:szCs w:val="20"/>
        </w:rPr>
      </w:pPr>
    </w:p>
    <w:p w14:paraId="68091CE7" w14:textId="77777777" w:rsidR="00CF33D9" w:rsidRDefault="00E3332A">
      <w:pPr>
        <w:spacing w:line="220" w:lineRule="exact"/>
        <w:jc w:val="both"/>
        <w:rPr>
          <w:rFonts w:ascii="Calibri" w:hAnsi="Calibri" w:cs="Calibri"/>
          <w:sz w:val="20"/>
          <w:szCs w:val="20"/>
        </w:rPr>
      </w:pPr>
      <w:r>
        <w:rPr>
          <w:rFonts w:ascii="Calibri" w:hAnsi="Calibri" w:cs="Calibri"/>
          <w:sz w:val="20"/>
          <w:szCs w:val="20"/>
        </w:rPr>
        <w:t>In South Africa, the broad strategy for MSP is set out in the National Framework for Marine Spatial Planning in South Africa (adopted in 2021), which establishes the regulatory framework for Marine Spatial Planning in the Republic of South Africa. The framework provides high-level direction for undertaking Marine Spatial Planning in the context of the South African legislation and policies as well as existing planning regimes.</w:t>
      </w:r>
    </w:p>
    <w:p w14:paraId="68091CE8" w14:textId="77777777" w:rsidR="00CF33D9" w:rsidRDefault="00E3332A">
      <w:pPr>
        <w:spacing w:line="220" w:lineRule="exact"/>
        <w:jc w:val="both"/>
        <w:rPr>
          <w:rFonts w:ascii="Calibri" w:hAnsi="Calibri" w:cs="Calibri"/>
          <w:sz w:val="20"/>
          <w:szCs w:val="20"/>
        </w:rPr>
      </w:pPr>
      <w:r>
        <w:rPr>
          <w:rFonts w:ascii="Calibri" w:hAnsi="Calibri" w:cs="Calibri"/>
          <w:sz w:val="20"/>
          <w:szCs w:val="20"/>
        </w:rPr>
        <w:t xml:space="preserve">A similar framework has been prepared for Namibia (2019). However, to date it has not been finally adopted and implemented by the Government. Angola has yet to prepare such a framework. The purpose of this Activity, therefore, is to support Namibia and Angola with the preparation and adoption of their respective national MSP frameworks. </w:t>
      </w:r>
    </w:p>
    <w:p w14:paraId="68091CE9" w14:textId="77777777" w:rsidR="00CF33D9" w:rsidRDefault="00CF33D9">
      <w:pPr>
        <w:spacing w:line="220" w:lineRule="exact"/>
        <w:jc w:val="both"/>
        <w:rPr>
          <w:rFonts w:ascii="Calibri" w:hAnsi="Calibri" w:cs="Calibri"/>
          <w:sz w:val="20"/>
          <w:szCs w:val="20"/>
        </w:rPr>
      </w:pPr>
    </w:p>
    <w:p w14:paraId="68091CEA" w14:textId="77777777" w:rsidR="00CF33D9" w:rsidRDefault="00E3332A">
      <w:pPr>
        <w:spacing w:line="220" w:lineRule="exact"/>
        <w:jc w:val="both"/>
        <w:rPr>
          <w:rFonts w:ascii="Calibri" w:hAnsi="Calibri" w:cs="Calibri"/>
          <w:sz w:val="20"/>
          <w:szCs w:val="20"/>
        </w:rPr>
      </w:pPr>
      <w:r>
        <w:rPr>
          <w:rFonts w:ascii="Calibri" w:hAnsi="Calibri" w:cs="Calibri"/>
          <w:sz w:val="20"/>
          <w:szCs w:val="20"/>
        </w:rPr>
        <w:t xml:space="preserve">For marine spatial planning to be effective and enforceable, and thus able to achieve its defined objectives, it should have a legal basis. Progress to date with respect to the development of national MSP frameworks varies across the three countries. While South Africa has, with the support of the MARISMA project, developed and implemented the </w:t>
      </w:r>
      <w:r>
        <w:rPr>
          <w:rFonts w:ascii="Calibri" w:hAnsi="Calibri" w:cs="Calibri"/>
          <w:i/>
          <w:iCs/>
          <w:sz w:val="20"/>
          <w:szCs w:val="20"/>
        </w:rPr>
        <w:t>Marine Spatial Planning Act</w:t>
      </w:r>
      <w:r>
        <w:rPr>
          <w:rFonts w:ascii="Calibri" w:hAnsi="Calibri" w:cs="Calibri"/>
          <w:sz w:val="20"/>
          <w:szCs w:val="20"/>
        </w:rPr>
        <w:t xml:space="preserve"> (Act No. 16 of 2018), neither Angola nor Namibia have yet adopted similar legislation with which to underpin MSP. </w:t>
      </w:r>
    </w:p>
    <w:p w14:paraId="68091CEB" w14:textId="77777777" w:rsidR="00CF33D9" w:rsidRDefault="00CF33D9">
      <w:pPr>
        <w:spacing w:line="220" w:lineRule="exact"/>
        <w:jc w:val="both"/>
        <w:rPr>
          <w:rFonts w:ascii="Calibri" w:hAnsi="Calibri" w:cs="Calibri"/>
          <w:sz w:val="20"/>
          <w:szCs w:val="20"/>
        </w:rPr>
      </w:pPr>
    </w:p>
    <w:p w14:paraId="68091CEC" w14:textId="77777777" w:rsidR="00CF33D9" w:rsidRDefault="00E3332A">
      <w:pPr>
        <w:spacing w:line="220" w:lineRule="exact"/>
        <w:jc w:val="both"/>
        <w:rPr>
          <w:rFonts w:ascii="Calibri" w:hAnsi="Calibri" w:cs="Calibri"/>
          <w:sz w:val="20"/>
          <w:szCs w:val="20"/>
        </w:rPr>
      </w:pPr>
      <w:r>
        <w:rPr>
          <w:rFonts w:ascii="Calibri" w:hAnsi="Calibri" w:cs="Calibri"/>
          <w:sz w:val="20"/>
          <w:szCs w:val="20"/>
        </w:rPr>
        <w:t xml:space="preserve">Drawing on the experience of South Africa and incorporating the principles for MSP set out in the 2018 BCC </w:t>
      </w:r>
      <w:r>
        <w:rPr>
          <w:rFonts w:ascii="Calibri" w:hAnsi="Calibri" w:cs="Calibri"/>
          <w:i/>
          <w:iCs/>
          <w:sz w:val="20"/>
          <w:szCs w:val="20"/>
        </w:rPr>
        <w:t>Regional Strategy for Marine Spatial Planning</w:t>
      </w:r>
      <w:r>
        <w:rPr>
          <w:rFonts w:ascii="Calibri" w:hAnsi="Calibri" w:cs="Calibri"/>
          <w:sz w:val="20"/>
          <w:szCs w:val="20"/>
        </w:rPr>
        <w:t>, this Activity will support the drafting and adoption of legal instruments (or legislative amendments as appropriate) to create a harmonized legal framework for MSP implementation in both countries. In the case of Namibia, different approaches are already being discussed in terms of legislating for MSP, including the development of a new legal instrument (along the lines pursued by South Africa) or amending existing legal instruments to incorporate MSP. Thus, a decision will need to be made as to the best way forwards before any drafting can be undertaken.</w:t>
      </w:r>
    </w:p>
    <w:p w14:paraId="68091CED" w14:textId="77777777" w:rsidR="00CF33D9" w:rsidRDefault="00CF33D9">
      <w:pPr>
        <w:jc w:val="both"/>
        <w:rPr>
          <w:rFonts w:ascii="Calibri" w:hAnsi="Calibri" w:cs="Calibri"/>
          <w:sz w:val="20"/>
          <w:szCs w:val="20"/>
        </w:rPr>
      </w:pPr>
    </w:p>
    <w:p w14:paraId="68091CEE" w14:textId="77777777" w:rsidR="00CF33D9" w:rsidRDefault="00E3332A">
      <w:pPr>
        <w:spacing w:line="220" w:lineRule="exact"/>
        <w:jc w:val="both"/>
        <w:rPr>
          <w:rFonts w:ascii="Calibri" w:hAnsi="Calibri" w:cs="Calibri"/>
          <w:sz w:val="20"/>
          <w:szCs w:val="20"/>
        </w:rPr>
      </w:pPr>
      <w:r>
        <w:rPr>
          <w:rFonts w:ascii="Calibri" w:hAnsi="Calibri" w:cs="Calibri"/>
          <w:sz w:val="20"/>
          <w:szCs w:val="20"/>
        </w:rPr>
        <w:t xml:space="preserve">This section provides a preliminary review of the policy, legal and institutional (PLR) framework related to the potential risks and benefits of the proposed project and prospective activities to be implemented with the use of the funding received. The PLR framework underpins how social and environmental safeguards will be addressed and respected. The preliminary baseline analysis will be further expanded during the implementation stage, when as necessary, Strategic Social and Environmental Assessment (SESA) will be conducted, in order to address a full range of analytical and participatory approaches that aim to integrate social and environmental consideration into policies and plans supported by the project. </w:t>
      </w:r>
    </w:p>
    <w:p w14:paraId="68091CEF" w14:textId="77777777" w:rsidR="00CF33D9" w:rsidRDefault="00CF33D9">
      <w:pPr>
        <w:jc w:val="both"/>
        <w:rPr>
          <w:rFonts w:ascii="Calibri" w:hAnsi="Calibri" w:cs="Calibri"/>
          <w:sz w:val="20"/>
          <w:szCs w:val="20"/>
        </w:rPr>
      </w:pPr>
    </w:p>
    <w:p w14:paraId="68091CF0" w14:textId="77777777" w:rsidR="00CF33D9" w:rsidRDefault="00E3332A">
      <w:pPr>
        <w:rPr>
          <w:rFonts w:ascii="Calibri" w:hAnsi="Calibri" w:cs="Calibri"/>
          <w:sz w:val="20"/>
          <w:szCs w:val="20"/>
        </w:rPr>
      </w:pPr>
      <w:bookmarkStart w:id="60" w:name="_Toc163750591"/>
      <w:r>
        <w:rPr>
          <w:rFonts w:ascii="Calibri" w:hAnsi="Calibri" w:cs="Calibri"/>
          <w:sz w:val="20"/>
          <w:szCs w:val="20"/>
        </w:rPr>
        <w:t>3.1</w:t>
      </w:r>
      <w:r>
        <w:rPr>
          <w:rFonts w:ascii="Calibri" w:hAnsi="Calibri" w:cs="Calibri"/>
          <w:sz w:val="20"/>
          <w:szCs w:val="20"/>
        </w:rPr>
        <w:tab/>
        <w:t>UNDP Social and Environmental Standards</w:t>
      </w:r>
      <w:bookmarkEnd w:id="60"/>
    </w:p>
    <w:p w14:paraId="68091CF1" w14:textId="77777777" w:rsidR="00CF33D9" w:rsidRDefault="00CF33D9">
      <w:pPr>
        <w:spacing w:line="220" w:lineRule="exact"/>
        <w:jc w:val="both"/>
        <w:rPr>
          <w:rFonts w:ascii="Calibri" w:hAnsi="Calibri" w:cs="Calibri"/>
          <w:sz w:val="20"/>
          <w:szCs w:val="20"/>
        </w:rPr>
      </w:pPr>
    </w:p>
    <w:p w14:paraId="68091CF2" w14:textId="77777777" w:rsidR="00CF33D9" w:rsidRDefault="00E3332A">
      <w:pPr>
        <w:spacing w:line="220" w:lineRule="exact"/>
        <w:jc w:val="both"/>
        <w:rPr>
          <w:rFonts w:ascii="Calibri" w:hAnsi="Calibri" w:cs="Calibri"/>
          <w:sz w:val="20"/>
          <w:szCs w:val="20"/>
        </w:rPr>
      </w:pPr>
      <w:r>
        <w:rPr>
          <w:rFonts w:ascii="Calibri" w:hAnsi="Calibri" w:cs="Calibri"/>
          <w:sz w:val="20"/>
          <w:szCs w:val="20"/>
        </w:rPr>
        <w:t>The project covered by this ESMF will comply with UNDP’s updated Social and Environmental Standards (SES), which came into effect on 1 January 2021. UNDP Safeguards are measures to protect or to avoid risks (do no harm), while promoting benefits (do good). The current ESMF, which forms part of the UNDP safeguards requirements, provides guidance to assess and manage the risks linked to potential harm induced by project activities, while providing guidance to ensure that these activities will actually promote benefits to the beneficiaries with respect to its objectives.</w:t>
      </w:r>
    </w:p>
    <w:p w14:paraId="68091CF3" w14:textId="77777777" w:rsidR="00CF33D9" w:rsidRDefault="00CF33D9">
      <w:pPr>
        <w:spacing w:line="220" w:lineRule="exact"/>
        <w:jc w:val="both"/>
        <w:rPr>
          <w:rFonts w:ascii="Calibri" w:hAnsi="Calibri" w:cs="Calibri"/>
          <w:sz w:val="20"/>
          <w:szCs w:val="20"/>
        </w:rPr>
      </w:pPr>
    </w:p>
    <w:p w14:paraId="68091CF4" w14:textId="77777777" w:rsidR="00CF33D9" w:rsidRDefault="00E3332A">
      <w:pPr>
        <w:spacing w:line="220" w:lineRule="exact"/>
        <w:jc w:val="both"/>
        <w:rPr>
          <w:rFonts w:ascii="Calibri" w:hAnsi="Calibri" w:cs="Calibri"/>
          <w:sz w:val="20"/>
          <w:szCs w:val="20"/>
        </w:rPr>
      </w:pPr>
      <w:r>
        <w:rPr>
          <w:rFonts w:ascii="Calibri" w:hAnsi="Calibri" w:cs="Calibri"/>
          <w:sz w:val="20"/>
          <w:szCs w:val="20"/>
        </w:rPr>
        <w:t>These standards underpin UNDP’s commitment to mainstream social and environmental sustainability in its programmes and projects to support sustainable development and are an integral component of UNDP’s quality assurance and risk-management approach to programming. Through the SES, UNDP meets the requirements of the GEF’s Environmental and Social Safeguards Policy.The objectives of the SES are to:</w:t>
      </w:r>
    </w:p>
    <w:p w14:paraId="68091CF5" w14:textId="77777777" w:rsidR="00CF33D9" w:rsidRDefault="00E3332A">
      <w:pPr>
        <w:pStyle w:val="ListParagraph"/>
        <w:numPr>
          <w:ilvl w:val="0"/>
          <w:numId w:val="106"/>
        </w:numPr>
        <w:suppressAutoHyphens/>
        <w:spacing w:line="220" w:lineRule="exact"/>
        <w:contextualSpacing/>
        <w:jc w:val="both"/>
        <w:rPr>
          <w:rFonts w:ascii="Calibri" w:hAnsi="Calibri" w:cs="Calibri"/>
          <w:sz w:val="20"/>
          <w:szCs w:val="20"/>
        </w:rPr>
      </w:pPr>
      <w:r>
        <w:rPr>
          <w:rFonts w:ascii="Calibri" w:hAnsi="Calibri" w:cs="Calibri"/>
          <w:sz w:val="20"/>
          <w:szCs w:val="20"/>
        </w:rPr>
        <w:t>Strengthen the social and environmental outcomes of programmes and projects.</w:t>
      </w:r>
    </w:p>
    <w:p w14:paraId="68091CF6" w14:textId="77777777" w:rsidR="00CF33D9" w:rsidRDefault="00E3332A">
      <w:pPr>
        <w:pStyle w:val="ListParagraph"/>
        <w:numPr>
          <w:ilvl w:val="0"/>
          <w:numId w:val="106"/>
        </w:numPr>
        <w:suppressAutoHyphens/>
        <w:spacing w:line="220" w:lineRule="exact"/>
        <w:contextualSpacing/>
        <w:jc w:val="both"/>
        <w:rPr>
          <w:rFonts w:ascii="Calibri" w:hAnsi="Calibri" w:cs="Calibri"/>
          <w:sz w:val="20"/>
          <w:szCs w:val="20"/>
        </w:rPr>
      </w:pPr>
      <w:r>
        <w:rPr>
          <w:rFonts w:ascii="Calibri" w:hAnsi="Calibri" w:cs="Calibri"/>
          <w:sz w:val="20"/>
          <w:szCs w:val="20"/>
        </w:rPr>
        <w:t>Avoid adverse impacts to people and the environment.</w:t>
      </w:r>
    </w:p>
    <w:p w14:paraId="68091CF7" w14:textId="77777777" w:rsidR="00CF33D9" w:rsidRDefault="00E3332A">
      <w:pPr>
        <w:pStyle w:val="ListParagraph"/>
        <w:numPr>
          <w:ilvl w:val="0"/>
          <w:numId w:val="106"/>
        </w:numPr>
        <w:suppressAutoHyphens/>
        <w:spacing w:line="220" w:lineRule="exact"/>
        <w:contextualSpacing/>
        <w:jc w:val="both"/>
        <w:rPr>
          <w:rFonts w:ascii="Calibri" w:hAnsi="Calibri" w:cs="Calibri"/>
          <w:sz w:val="20"/>
          <w:szCs w:val="20"/>
        </w:rPr>
      </w:pPr>
      <w:r>
        <w:rPr>
          <w:rFonts w:ascii="Calibri" w:hAnsi="Calibri" w:cs="Calibri"/>
          <w:sz w:val="20"/>
          <w:szCs w:val="20"/>
        </w:rPr>
        <w:t>Minimize, mitigate, and manage adverse impacts where avoidance is not possible.</w:t>
      </w:r>
    </w:p>
    <w:p w14:paraId="68091CF8" w14:textId="77777777" w:rsidR="00CF33D9" w:rsidRDefault="00E3332A">
      <w:pPr>
        <w:pStyle w:val="ListParagraph"/>
        <w:numPr>
          <w:ilvl w:val="0"/>
          <w:numId w:val="106"/>
        </w:numPr>
        <w:suppressAutoHyphens/>
        <w:spacing w:line="220" w:lineRule="exact"/>
        <w:contextualSpacing/>
        <w:jc w:val="both"/>
        <w:rPr>
          <w:rFonts w:ascii="Calibri" w:hAnsi="Calibri" w:cs="Calibri"/>
          <w:sz w:val="20"/>
          <w:szCs w:val="20"/>
          <w:lang w:val="en-CA"/>
        </w:rPr>
      </w:pPr>
      <w:r>
        <w:rPr>
          <w:rFonts w:ascii="Calibri" w:hAnsi="Calibri" w:cs="Calibri"/>
          <w:sz w:val="20"/>
          <w:szCs w:val="20"/>
        </w:rPr>
        <w:t>Strengthen UNDP and partner capacities for managing social and environmental risks; and</w:t>
      </w:r>
    </w:p>
    <w:p w14:paraId="68091CF9" w14:textId="77777777" w:rsidR="00CF33D9" w:rsidRDefault="00E3332A">
      <w:pPr>
        <w:pStyle w:val="ListParagraph"/>
        <w:numPr>
          <w:ilvl w:val="0"/>
          <w:numId w:val="106"/>
        </w:numPr>
        <w:suppressAutoHyphens/>
        <w:spacing w:line="220" w:lineRule="exact"/>
        <w:contextualSpacing/>
        <w:jc w:val="both"/>
        <w:rPr>
          <w:rFonts w:ascii="Calibri" w:hAnsi="Calibri" w:cs="Calibri"/>
          <w:sz w:val="20"/>
          <w:szCs w:val="20"/>
          <w:lang w:val="en-CA"/>
        </w:rPr>
      </w:pPr>
      <w:r>
        <w:rPr>
          <w:rFonts w:ascii="Calibri" w:hAnsi="Calibri" w:cs="Calibri"/>
          <w:sz w:val="20"/>
          <w:szCs w:val="20"/>
        </w:rPr>
        <w:t>Ensure full and effective stakeholder engagement, including through a mechanism to respond to complaints from project-affected people.</w:t>
      </w:r>
    </w:p>
    <w:p w14:paraId="68091CFA" w14:textId="77777777" w:rsidR="00CF33D9" w:rsidRDefault="00CF33D9">
      <w:pPr>
        <w:suppressAutoHyphens/>
        <w:spacing w:line="220" w:lineRule="exact"/>
        <w:jc w:val="both"/>
        <w:rPr>
          <w:rFonts w:ascii="Calibri" w:hAnsi="Calibri" w:cs="Calibri"/>
          <w:sz w:val="20"/>
          <w:szCs w:val="20"/>
          <w:lang w:val="en-CA"/>
        </w:rPr>
      </w:pPr>
    </w:p>
    <w:p w14:paraId="68091CFB" w14:textId="77777777" w:rsidR="00CF33D9" w:rsidRDefault="00E3332A">
      <w:pPr>
        <w:spacing w:line="220" w:lineRule="exact"/>
        <w:jc w:val="both"/>
        <w:rPr>
          <w:rFonts w:ascii="Calibri" w:hAnsi="Calibri" w:cs="Calibri"/>
          <w:sz w:val="20"/>
          <w:szCs w:val="20"/>
        </w:rPr>
      </w:pPr>
      <w:r>
        <w:rPr>
          <w:rFonts w:ascii="Calibri" w:hAnsi="Calibri" w:cs="Calibri"/>
          <w:sz w:val="20"/>
          <w:szCs w:val="20"/>
        </w:rPr>
        <w:t xml:space="preserve">UNDP uses its Social and Environmental Screening Procedure (SESP) to identify potential social and environmental risks and opportunities associated with all proposed projects. All project components are screened, including </w:t>
      </w:r>
      <w:r>
        <w:rPr>
          <w:rFonts w:ascii="Calibri" w:hAnsi="Calibri" w:cs="Calibri"/>
          <w:sz w:val="20"/>
          <w:szCs w:val="20"/>
        </w:rPr>
        <w:lastRenderedPageBreak/>
        <w:t>planning support, policy advice, and capacity-building, as well as site-specific, physical interventions. Activities that will be completed under project co-financing are also included in the scope of the assessment.</w:t>
      </w:r>
    </w:p>
    <w:p w14:paraId="68091CFC" w14:textId="77777777" w:rsidR="00CF33D9" w:rsidRDefault="00CF33D9">
      <w:pPr>
        <w:spacing w:line="220" w:lineRule="exact"/>
        <w:jc w:val="both"/>
        <w:rPr>
          <w:rFonts w:ascii="Calibri" w:hAnsi="Calibri" w:cs="Calibri"/>
          <w:sz w:val="20"/>
          <w:szCs w:val="20"/>
        </w:rPr>
      </w:pPr>
    </w:p>
    <w:p w14:paraId="68091CFD" w14:textId="77777777" w:rsidR="00CF33D9" w:rsidRDefault="00E3332A">
      <w:pPr>
        <w:spacing w:line="220" w:lineRule="exact"/>
        <w:jc w:val="both"/>
        <w:rPr>
          <w:rFonts w:ascii="Calibri" w:hAnsi="Calibri" w:cs="Calibri"/>
          <w:sz w:val="20"/>
          <w:szCs w:val="20"/>
        </w:rPr>
      </w:pPr>
      <w:r>
        <w:rPr>
          <w:rFonts w:ascii="Calibri" w:hAnsi="Calibri" w:cs="Calibri"/>
          <w:sz w:val="20"/>
          <w:szCs w:val="20"/>
        </w:rPr>
        <w:t xml:space="preserve">Projects are required to comply with </w:t>
      </w:r>
      <w:hyperlink r:id="rId88" w:history="1">
        <w:r>
          <w:rPr>
            <w:rStyle w:val="Hyperlink"/>
            <w:rFonts w:ascii="Calibri" w:hAnsi="Calibri" w:cs="Calibri"/>
            <w:sz w:val="20"/>
            <w:szCs w:val="20"/>
          </w:rPr>
          <w:t>UNDP’s Social and Environmental Standards (SES</w:t>
        </w:r>
      </w:hyperlink>
      <w:r>
        <w:rPr>
          <w:rFonts w:ascii="Calibri" w:hAnsi="Calibri" w:cs="Calibri"/>
          <w:sz w:val="20"/>
          <w:szCs w:val="20"/>
        </w:rPr>
        <w:t xml:space="preserve">). The SES are an integral component of UNDP’s quality assurance and risk management approach to programming. This includes the </w:t>
      </w:r>
      <w:hyperlink r:id="rId89" w:history="1">
        <w:r>
          <w:rPr>
            <w:rStyle w:val="Hyperlink"/>
            <w:rFonts w:ascii="Calibri" w:hAnsi="Calibri" w:cs="Calibri"/>
            <w:sz w:val="20"/>
            <w:szCs w:val="20"/>
          </w:rPr>
          <w:t>Social and Environmental Screening Procedure</w:t>
        </w:r>
      </w:hyperlink>
      <w:r>
        <w:rPr>
          <w:rFonts w:ascii="Calibri" w:hAnsi="Calibri" w:cs="Calibri"/>
          <w:sz w:val="20"/>
          <w:szCs w:val="20"/>
        </w:rPr>
        <w:t xml:space="preserve"> ( Project Document SESP, Annex 6).  The SES underpin UNDP’s commitment to mainstream social and environmental sustainability in its Programs and Projects to support sustainable development. The objectives of the standards are to: </w:t>
      </w:r>
    </w:p>
    <w:p w14:paraId="68091CFE" w14:textId="77777777" w:rsidR="00CF33D9" w:rsidRDefault="00E3332A">
      <w:pPr>
        <w:pStyle w:val="ListParagraph"/>
        <w:numPr>
          <w:ilvl w:val="2"/>
          <w:numId w:val="107"/>
        </w:numPr>
        <w:spacing w:line="220" w:lineRule="exact"/>
        <w:ind w:left="851"/>
        <w:contextualSpacing/>
        <w:jc w:val="both"/>
        <w:rPr>
          <w:rFonts w:ascii="Calibri" w:hAnsi="Calibri" w:cs="Calibri"/>
          <w:sz w:val="20"/>
          <w:szCs w:val="20"/>
        </w:rPr>
      </w:pPr>
      <w:r>
        <w:rPr>
          <w:rFonts w:ascii="Calibri" w:hAnsi="Calibri" w:cs="Calibri"/>
          <w:sz w:val="20"/>
          <w:szCs w:val="20"/>
        </w:rPr>
        <w:t xml:space="preserve">Strengthen the social and environmental outcomes of Programs and Projects </w:t>
      </w:r>
    </w:p>
    <w:p w14:paraId="68091CFF" w14:textId="77777777" w:rsidR="00CF33D9" w:rsidRDefault="00E3332A">
      <w:pPr>
        <w:pStyle w:val="ListParagraph"/>
        <w:numPr>
          <w:ilvl w:val="2"/>
          <w:numId w:val="107"/>
        </w:numPr>
        <w:spacing w:line="220" w:lineRule="exact"/>
        <w:ind w:left="851"/>
        <w:contextualSpacing/>
        <w:jc w:val="both"/>
        <w:rPr>
          <w:rFonts w:ascii="Calibri" w:hAnsi="Calibri" w:cs="Calibri"/>
          <w:sz w:val="20"/>
          <w:szCs w:val="20"/>
        </w:rPr>
      </w:pPr>
      <w:r>
        <w:rPr>
          <w:rFonts w:ascii="Calibri" w:hAnsi="Calibri" w:cs="Calibri"/>
          <w:sz w:val="20"/>
          <w:szCs w:val="20"/>
        </w:rPr>
        <w:t xml:space="preserve">Avoid adverse impacts to people and the environment </w:t>
      </w:r>
    </w:p>
    <w:p w14:paraId="68091D00" w14:textId="77777777" w:rsidR="00CF33D9" w:rsidRDefault="00E3332A">
      <w:pPr>
        <w:pStyle w:val="ListParagraph"/>
        <w:numPr>
          <w:ilvl w:val="0"/>
          <w:numId w:val="108"/>
        </w:numPr>
        <w:spacing w:line="220" w:lineRule="exact"/>
        <w:ind w:left="851"/>
        <w:contextualSpacing/>
        <w:jc w:val="both"/>
        <w:rPr>
          <w:rFonts w:ascii="Calibri" w:hAnsi="Calibri" w:cs="Calibri"/>
          <w:sz w:val="20"/>
          <w:szCs w:val="20"/>
        </w:rPr>
      </w:pPr>
      <w:r>
        <w:rPr>
          <w:rFonts w:ascii="Calibri" w:hAnsi="Calibri" w:cs="Calibri"/>
          <w:sz w:val="20"/>
          <w:szCs w:val="20"/>
        </w:rPr>
        <w:t xml:space="preserve">Minimize, mitigate, and manage adverse impacts where avoidance is not possible </w:t>
      </w:r>
    </w:p>
    <w:p w14:paraId="68091D01" w14:textId="77777777" w:rsidR="00CF33D9" w:rsidRDefault="00E3332A">
      <w:pPr>
        <w:pStyle w:val="ListParagraph"/>
        <w:numPr>
          <w:ilvl w:val="0"/>
          <w:numId w:val="108"/>
        </w:numPr>
        <w:spacing w:line="220" w:lineRule="exact"/>
        <w:ind w:left="851"/>
        <w:contextualSpacing/>
        <w:jc w:val="both"/>
        <w:rPr>
          <w:rFonts w:ascii="Calibri" w:hAnsi="Calibri" w:cs="Calibri"/>
          <w:sz w:val="20"/>
          <w:szCs w:val="20"/>
        </w:rPr>
      </w:pPr>
      <w:r>
        <w:rPr>
          <w:rFonts w:ascii="Calibri" w:hAnsi="Calibri" w:cs="Calibri"/>
          <w:sz w:val="20"/>
          <w:szCs w:val="20"/>
        </w:rPr>
        <w:t xml:space="preserve">Strengthen UNDP and partner capacities for managing social and environmental risks </w:t>
      </w:r>
    </w:p>
    <w:p w14:paraId="68091D02" w14:textId="77777777" w:rsidR="00CF33D9" w:rsidRDefault="00E3332A">
      <w:pPr>
        <w:pStyle w:val="ListParagraph"/>
        <w:numPr>
          <w:ilvl w:val="0"/>
          <w:numId w:val="108"/>
        </w:numPr>
        <w:spacing w:line="220" w:lineRule="exact"/>
        <w:ind w:left="851"/>
        <w:contextualSpacing/>
        <w:jc w:val="both"/>
        <w:rPr>
          <w:rFonts w:ascii="Calibri" w:hAnsi="Calibri" w:cs="Calibri"/>
          <w:sz w:val="20"/>
          <w:szCs w:val="20"/>
        </w:rPr>
      </w:pPr>
      <w:r>
        <w:rPr>
          <w:rFonts w:ascii="Calibri" w:hAnsi="Calibri" w:cs="Calibri"/>
          <w:sz w:val="20"/>
          <w:szCs w:val="20"/>
        </w:rPr>
        <w:t xml:space="preserve">Ensure full and effective stakeholder engagement, including through a mechanism to respond to complaints from project-affected people. </w:t>
      </w:r>
    </w:p>
    <w:p w14:paraId="68091D03" w14:textId="77777777" w:rsidR="00CF33D9" w:rsidRDefault="00CF33D9">
      <w:pPr>
        <w:spacing w:line="220" w:lineRule="exact"/>
        <w:jc w:val="both"/>
        <w:rPr>
          <w:rFonts w:ascii="Calibri" w:hAnsi="Calibri" w:cs="Calibri"/>
          <w:sz w:val="20"/>
          <w:szCs w:val="20"/>
        </w:rPr>
      </w:pPr>
    </w:p>
    <w:p w14:paraId="68091D04" w14:textId="77777777" w:rsidR="00CF33D9" w:rsidRDefault="00E3332A">
      <w:pPr>
        <w:spacing w:line="220" w:lineRule="exact"/>
        <w:jc w:val="both"/>
        <w:rPr>
          <w:rFonts w:ascii="Calibri" w:hAnsi="Calibri" w:cs="Calibri"/>
          <w:sz w:val="20"/>
          <w:szCs w:val="20"/>
        </w:rPr>
      </w:pPr>
      <w:r>
        <w:rPr>
          <w:rFonts w:ascii="Calibri" w:hAnsi="Calibri" w:cs="Calibri"/>
          <w:sz w:val="20"/>
          <w:szCs w:val="20"/>
        </w:rPr>
        <w:t>The SES are an integral component of UNDP’s quality assurance and risk management approach to programming. This includes the Social and Environmental Screening Procedure (see the completed SESP for the project in Annex 6 of the project document).</w:t>
      </w:r>
    </w:p>
    <w:p w14:paraId="68091D05" w14:textId="77777777" w:rsidR="00CF33D9" w:rsidRDefault="00CF33D9">
      <w:pPr>
        <w:jc w:val="both"/>
        <w:rPr>
          <w:rFonts w:ascii="Calibri" w:hAnsi="Calibri" w:cs="Calibri"/>
          <w:sz w:val="20"/>
          <w:szCs w:val="20"/>
        </w:rPr>
      </w:pPr>
      <w:bookmarkStart w:id="61" w:name="_Toc40331579"/>
    </w:p>
    <w:bookmarkEnd w:id="61"/>
    <w:p w14:paraId="68091D06" w14:textId="77777777" w:rsidR="00CF33D9" w:rsidRDefault="00E3332A">
      <w:pPr>
        <w:rPr>
          <w:rFonts w:ascii="Calibri" w:hAnsi="Calibri" w:cs="Calibri"/>
          <w:sz w:val="20"/>
          <w:szCs w:val="20"/>
        </w:rPr>
      </w:pPr>
      <w:r>
        <w:rPr>
          <w:rFonts w:ascii="Calibri" w:hAnsi="Calibri" w:cs="Calibri"/>
          <w:sz w:val="20"/>
          <w:szCs w:val="20"/>
        </w:rPr>
        <w:t>3.2</w:t>
      </w:r>
      <w:r>
        <w:rPr>
          <w:rFonts w:ascii="Calibri" w:hAnsi="Calibri" w:cs="Calibri"/>
          <w:sz w:val="20"/>
          <w:szCs w:val="20"/>
        </w:rPr>
        <w:tab/>
        <w:t>Relevant international treaties and Conventions</w:t>
      </w:r>
    </w:p>
    <w:p w14:paraId="68091D07" w14:textId="77777777" w:rsidR="00CF33D9" w:rsidRDefault="00CF33D9">
      <w:pPr>
        <w:rPr>
          <w:rFonts w:ascii="Calibri" w:hAnsi="Calibri" w:cs="Calibri"/>
          <w:sz w:val="20"/>
          <w:szCs w:val="20"/>
        </w:rPr>
      </w:pPr>
    </w:p>
    <w:p w14:paraId="68091D08" w14:textId="77777777" w:rsidR="00CF33D9" w:rsidRDefault="00E3332A">
      <w:pPr>
        <w:spacing w:line="220" w:lineRule="exact"/>
        <w:jc w:val="both"/>
        <w:rPr>
          <w:rFonts w:ascii="Calibri" w:hAnsi="Calibri" w:cs="Calibri"/>
          <w:sz w:val="20"/>
          <w:szCs w:val="20"/>
        </w:rPr>
      </w:pPr>
      <w:r>
        <w:rPr>
          <w:rFonts w:ascii="Calibri" w:hAnsi="Calibri" w:cs="Calibri"/>
          <w:sz w:val="20"/>
          <w:szCs w:val="20"/>
        </w:rPr>
        <w:t xml:space="preserve">The three countries are bound by international treaties and agreements regulating fishing. These include the United Nations Convention on the Law of Seas (UNCLOS)and the Food and Agriculture Organization’s Code of Conduct for Responsible Fisheries. South Africa and Namibia have acceded to (South Africa) and ratified (Namibia) the 1995 UN Fish Stocks Agreement for the Conservation and Management of Straddling Stocks and Highly Migratory Stocks. Angola has neither signed nor acceded to or ratified this Convention. Furthermore, all three BCLME countries are bound by the SADC Fishing Protocol, ICCAT (International Commission for the Conservation of Atlantic Tuna), SEAFO (South-East Atlantic Fisheries Organization), CCAMLR (Commission for the Conservation of Antarctic Marine Living Resources). </w:t>
      </w:r>
    </w:p>
    <w:p w14:paraId="68091D09" w14:textId="77777777" w:rsidR="00CF33D9" w:rsidRDefault="00CF33D9">
      <w:pPr>
        <w:jc w:val="both"/>
        <w:rPr>
          <w:rFonts w:ascii="Calibri" w:hAnsi="Calibri" w:cs="Calibri"/>
          <w:sz w:val="20"/>
          <w:szCs w:val="20"/>
        </w:rPr>
      </w:pPr>
    </w:p>
    <w:p w14:paraId="68091D0A" w14:textId="77777777" w:rsidR="00CF33D9" w:rsidRDefault="00E3332A">
      <w:pPr>
        <w:rPr>
          <w:rFonts w:ascii="Calibri" w:hAnsi="Calibri" w:cs="Calibri"/>
          <w:sz w:val="20"/>
          <w:szCs w:val="20"/>
        </w:rPr>
      </w:pPr>
      <w:r>
        <w:rPr>
          <w:rFonts w:ascii="Calibri" w:hAnsi="Calibri" w:cs="Calibri"/>
          <w:sz w:val="20"/>
          <w:szCs w:val="20"/>
        </w:rPr>
        <w:t>3.3</w:t>
      </w:r>
      <w:r>
        <w:rPr>
          <w:rFonts w:ascii="Calibri" w:hAnsi="Calibri" w:cs="Calibri"/>
          <w:sz w:val="20"/>
          <w:szCs w:val="20"/>
        </w:rPr>
        <w:tab/>
        <w:t>National legislation, policies, and regulations</w:t>
      </w:r>
    </w:p>
    <w:p w14:paraId="68091D0B" w14:textId="77777777" w:rsidR="00CF33D9" w:rsidRDefault="00CF33D9">
      <w:pPr>
        <w:pStyle w:val="ListParagraph"/>
        <w:rPr>
          <w:rFonts w:ascii="Calibri" w:hAnsi="Calibri" w:cs="Calibri"/>
          <w:sz w:val="20"/>
          <w:szCs w:val="20"/>
        </w:rPr>
      </w:pPr>
    </w:p>
    <w:p w14:paraId="68091D0C" w14:textId="77777777" w:rsidR="00CF33D9" w:rsidRDefault="00E3332A">
      <w:pPr>
        <w:spacing w:line="220" w:lineRule="exact"/>
        <w:jc w:val="both"/>
        <w:rPr>
          <w:rFonts w:ascii="Calibri" w:hAnsi="Calibri" w:cs="Calibri"/>
          <w:bCs/>
          <w:color w:val="000000"/>
          <w:sz w:val="20"/>
          <w:szCs w:val="20"/>
          <w:u w:val="single"/>
        </w:rPr>
      </w:pPr>
      <w:r>
        <w:rPr>
          <w:rFonts w:ascii="Calibri" w:hAnsi="Calibri" w:cs="Calibri"/>
          <w:bCs/>
          <w:color w:val="000000"/>
          <w:sz w:val="20"/>
          <w:szCs w:val="20"/>
          <w:u w:val="single"/>
        </w:rPr>
        <w:t>Regional level</w:t>
      </w:r>
    </w:p>
    <w:p w14:paraId="68091D0D" w14:textId="77777777" w:rsidR="00CF33D9" w:rsidRDefault="00CF33D9">
      <w:pPr>
        <w:spacing w:line="220" w:lineRule="exact"/>
        <w:jc w:val="both"/>
        <w:rPr>
          <w:rFonts w:ascii="Calibri" w:hAnsi="Calibri" w:cs="Calibri"/>
          <w:bCs/>
          <w:color w:val="000000"/>
          <w:sz w:val="20"/>
          <w:szCs w:val="20"/>
          <w:u w:val="single"/>
        </w:rPr>
      </w:pPr>
    </w:p>
    <w:p w14:paraId="68091D0E" w14:textId="77777777" w:rsidR="00CF33D9" w:rsidRDefault="00E3332A">
      <w:pPr>
        <w:spacing w:line="220" w:lineRule="exact"/>
        <w:jc w:val="both"/>
        <w:rPr>
          <w:rFonts w:ascii="Calibri" w:hAnsi="Calibri" w:cs="Calibri"/>
          <w:bCs/>
          <w:color w:val="000000"/>
          <w:sz w:val="20"/>
          <w:szCs w:val="20"/>
        </w:rPr>
      </w:pPr>
      <w:r>
        <w:rPr>
          <w:rFonts w:ascii="Calibri" w:hAnsi="Calibri" w:cs="Calibri"/>
          <w:bCs/>
          <w:color w:val="000000"/>
          <w:sz w:val="20"/>
          <w:szCs w:val="20"/>
        </w:rPr>
        <w:t>The Governments of Angola, Namibia and South Africa signed the Benguela Current Convention in 2013. The Convention is one of the key results that followed two decades of research, institutional and human capacity strengthening and cooperation between the three countries. It provides the overarching legal framework for the use of, and access to the BCLME and sets out the countries’ intention to “promote a coordinated regional approach to the long-term conservation, protection, rehabilitation, enhancement and sustainable use of the Benguela Current Large Marine Ecosystem, to provide economic, environmental and social benefits”.</w:t>
      </w:r>
    </w:p>
    <w:p w14:paraId="68091D0F" w14:textId="77777777" w:rsidR="00CF33D9" w:rsidRDefault="00CF33D9">
      <w:pPr>
        <w:spacing w:line="220" w:lineRule="exact"/>
        <w:jc w:val="both"/>
        <w:rPr>
          <w:rFonts w:ascii="Calibri" w:hAnsi="Calibri" w:cs="Calibri"/>
          <w:bCs/>
          <w:color w:val="000000"/>
          <w:sz w:val="20"/>
          <w:szCs w:val="20"/>
        </w:rPr>
      </w:pPr>
    </w:p>
    <w:p w14:paraId="68091D10" w14:textId="77777777" w:rsidR="00CF33D9" w:rsidRDefault="00E3332A">
      <w:pPr>
        <w:spacing w:line="220" w:lineRule="exact"/>
        <w:jc w:val="both"/>
        <w:rPr>
          <w:rFonts w:ascii="Calibri" w:hAnsi="Calibri" w:cs="Calibri"/>
          <w:bCs/>
          <w:color w:val="000000"/>
          <w:sz w:val="20"/>
          <w:szCs w:val="20"/>
        </w:rPr>
      </w:pPr>
      <w:r>
        <w:rPr>
          <w:rFonts w:ascii="Calibri" w:hAnsi="Calibri" w:cs="Calibri"/>
          <w:bCs/>
          <w:color w:val="000000"/>
          <w:sz w:val="20"/>
          <w:szCs w:val="20"/>
        </w:rPr>
        <w:t xml:space="preserve">The Convention has also made permanent the intergovernmental Benguela Current Commission (BBC), which has been in existence since 2007. The BBC is the first multilateral Commission in the world to be based on the Large Marine Ecosystem (LME) approach to ocean governance. The BBC has a mandate and responsibility for coordinating activities related to cross-sectoral and ecosystem-wide management of the shared marine resources of the region, including undertaking relevant research. The BBC works with national authorities in the three member countries responsible for key sectors using and impacting on the marine environment. It has been established to achieve regionally defined objectives related to, amongst others, fisheries utilization and management, conservation of marine biodiversity, minimizing and correcting environmental impacts from activities such as marine prospecting, mining and dredging and the exploration and development of oil and gas fields, and others, as outlined in the Convention and the Strategic Action Programme (SAP). </w:t>
      </w:r>
    </w:p>
    <w:p w14:paraId="68091D11" w14:textId="77777777" w:rsidR="00CF33D9" w:rsidRDefault="00CF33D9">
      <w:pPr>
        <w:spacing w:line="220" w:lineRule="exact"/>
        <w:jc w:val="both"/>
        <w:rPr>
          <w:rFonts w:ascii="Calibri" w:hAnsi="Calibri" w:cs="Calibri"/>
          <w:bCs/>
          <w:color w:val="000000"/>
          <w:sz w:val="20"/>
          <w:szCs w:val="20"/>
        </w:rPr>
      </w:pPr>
    </w:p>
    <w:p w14:paraId="68091D12" w14:textId="77777777" w:rsidR="00CF33D9" w:rsidRDefault="00E3332A">
      <w:pPr>
        <w:spacing w:line="220" w:lineRule="exact"/>
        <w:jc w:val="both"/>
        <w:rPr>
          <w:rFonts w:ascii="Calibri" w:hAnsi="Calibri" w:cs="Calibri"/>
          <w:bCs/>
          <w:color w:val="000000"/>
          <w:sz w:val="20"/>
          <w:szCs w:val="20"/>
        </w:rPr>
      </w:pPr>
      <w:r>
        <w:rPr>
          <w:rFonts w:ascii="Calibri" w:hAnsi="Calibri" w:cs="Calibri"/>
          <w:bCs/>
          <w:color w:val="000000"/>
          <w:sz w:val="20"/>
          <w:szCs w:val="20"/>
        </w:rPr>
        <w:t xml:space="preserve">The Benguela region falls within the Southern African Development Community (SADC) and the member countries of BCC are all also members of SADC. The Benguela Current Convention explicitly refers to the Community in paragraph (j) of Article 8 Functions of the Commission where one of the BCC’s functions is to “promote collaboration on monitoring, control and surveillance, including joint activities in the Southern African Development Community region”. SADC is addressing climate change, and the Sub-Regional Framework places an emphasis on adaptation actions to address the impacts of climate change on all climate-sensitive sectors, including coastal zones, fisheries, </w:t>
      </w:r>
      <w:r>
        <w:rPr>
          <w:rFonts w:ascii="Calibri" w:hAnsi="Calibri" w:cs="Calibri"/>
          <w:bCs/>
          <w:color w:val="000000"/>
          <w:sz w:val="20"/>
          <w:szCs w:val="20"/>
        </w:rPr>
        <w:lastRenderedPageBreak/>
        <w:t>biodiversity and environment. It is significant for this project that the Framework refers to the need for SADC to establish agreements with other partners on “technology transfer, capacity building and information sharing, strengthening policy, institutional and regulatory frameworks and enforcement of international rules and regulations”</w:t>
      </w:r>
      <w:r>
        <w:rPr>
          <w:rStyle w:val="FootnoteReference"/>
          <w:rFonts w:ascii="Calibri" w:hAnsi="Calibri" w:cs="Calibri"/>
          <w:bCs/>
          <w:color w:val="000000"/>
          <w:sz w:val="20"/>
          <w:szCs w:val="20"/>
        </w:rPr>
        <w:footnoteReference w:id="18"/>
      </w:r>
      <w:r>
        <w:rPr>
          <w:rFonts w:ascii="Calibri" w:hAnsi="Calibri" w:cs="Calibri"/>
          <w:bCs/>
          <w:color w:val="000000"/>
          <w:sz w:val="20"/>
          <w:szCs w:val="20"/>
        </w:rPr>
        <w:t xml:space="preserve">. In the same context it also expresses concern that degradation of coastal fishery resources is affecting the availability of protein to local communities. Component 1 will considerably provide benefits in strengthening the links between BCC and SADC in their common efforts to promote adaptation and increase resilience to climate change in the region’s coastal fishery systems by enhancing sustainable and climate-resilient marine living and non-living resources and their value chains in the BCLME. </w:t>
      </w:r>
    </w:p>
    <w:p w14:paraId="68091D13" w14:textId="77777777" w:rsidR="00CF33D9" w:rsidRDefault="00CF33D9">
      <w:pPr>
        <w:spacing w:line="220" w:lineRule="exact"/>
        <w:jc w:val="both"/>
        <w:rPr>
          <w:rFonts w:ascii="Calibri" w:hAnsi="Calibri" w:cs="Calibri"/>
          <w:b/>
          <w:color w:val="000000"/>
          <w:sz w:val="20"/>
          <w:szCs w:val="20"/>
        </w:rPr>
      </w:pPr>
    </w:p>
    <w:p w14:paraId="68091D14" w14:textId="77777777" w:rsidR="00CF33D9" w:rsidRDefault="00E3332A">
      <w:pPr>
        <w:spacing w:line="220" w:lineRule="exact"/>
        <w:jc w:val="both"/>
        <w:rPr>
          <w:rFonts w:ascii="Calibri" w:hAnsi="Calibri" w:cs="Calibri"/>
          <w:color w:val="000000"/>
          <w:sz w:val="20"/>
          <w:szCs w:val="20"/>
          <w:u w:val="single"/>
        </w:rPr>
      </w:pPr>
      <w:r>
        <w:rPr>
          <w:rFonts w:ascii="Calibri" w:hAnsi="Calibri" w:cs="Calibri"/>
          <w:color w:val="000000"/>
          <w:sz w:val="20"/>
          <w:szCs w:val="20"/>
          <w:u w:val="single"/>
        </w:rPr>
        <w:t>The Benguela Current Commission (BCC)</w:t>
      </w:r>
    </w:p>
    <w:p w14:paraId="68091D15" w14:textId="77777777" w:rsidR="00CF33D9" w:rsidRDefault="00CF33D9">
      <w:pPr>
        <w:spacing w:line="220" w:lineRule="exact"/>
        <w:jc w:val="both"/>
        <w:rPr>
          <w:rFonts w:ascii="Calibri" w:hAnsi="Calibri" w:cs="Calibri"/>
          <w:color w:val="000000"/>
          <w:sz w:val="20"/>
          <w:szCs w:val="20"/>
        </w:rPr>
      </w:pPr>
    </w:p>
    <w:p w14:paraId="68091D16" w14:textId="77777777" w:rsidR="00CF33D9" w:rsidRDefault="00E3332A">
      <w:pPr>
        <w:spacing w:line="220" w:lineRule="exact"/>
        <w:jc w:val="both"/>
        <w:rPr>
          <w:rFonts w:ascii="Calibri" w:hAnsi="Calibri" w:cs="Calibri"/>
          <w:color w:val="000000"/>
          <w:sz w:val="20"/>
          <w:szCs w:val="20"/>
        </w:rPr>
      </w:pPr>
      <w:r>
        <w:rPr>
          <w:rFonts w:ascii="Calibri" w:hAnsi="Calibri" w:cs="Calibri"/>
          <w:color w:val="000000"/>
          <w:sz w:val="20"/>
          <w:szCs w:val="20"/>
        </w:rPr>
        <w:t>The Benguela Current Commission (BCC) is a regional intergovernmental partnership which started life under an Interim Agreement in 2007 and was formally established in March 2013 by the Republics of Angola, Namibia, and South Africa to promote a coordinated approach to the long-term conservation, protection, rehabilitation, enhancement, and sustainable use of the BCLME, in order to provide economic, environmental and social benefits. The Benguela Current Convention provides a legal framework for cross-border cooperation between the three countries of the BCLME.</w:t>
      </w:r>
    </w:p>
    <w:p w14:paraId="68091D17" w14:textId="77777777" w:rsidR="00CF33D9" w:rsidRDefault="00CF33D9">
      <w:pPr>
        <w:spacing w:line="220" w:lineRule="exact"/>
        <w:jc w:val="both"/>
        <w:rPr>
          <w:rFonts w:ascii="Calibri" w:hAnsi="Calibri" w:cs="Calibri"/>
          <w:color w:val="000000"/>
          <w:sz w:val="20"/>
          <w:szCs w:val="20"/>
        </w:rPr>
      </w:pPr>
    </w:p>
    <w:p w14:paraId="68091D18" w14:textId="77777777" w:rsidR="00CF33D9" w:rsidRDefault="00E3332A">
      <w:pPr>
        <w:spacing w:line="220" w:lineRule="exact"/>
        <w:jc w:val="both"/>
        <w:rPr>
          <w:rFonts w:ascii="Calibri" w:hAnsi="Calibri" w:cs="Calibri"/>
          <w:color w:val="000000"/>
          <w:sz w:val="20"/>
          <w:szCs w:val="20"/>
        </w:rPr>
      </w:pPr>
      <w:r>
        <w:rPr>
          <w:rFonts w:ascii="Calibri" w:hAnsi="Calibri" w:cs="Calibri"/>
          <w:color w:val="000000"/>
          <w:sz w:val="20"/>
          <w:szCs w:val="20"/>
        </w:rPr>
        <w:t>The creation of the BCC followed two decades of research, institutional and human capacity strengthening and cooperation; the BCC is the first multi-lateral Commission in the world to be based on the Large Marine Ecosystem (LME) approach to ocean governance. The Commission is headed by a Ministerial Conference and supported by a Secretariat based in Swakopmund, Namibia. The Secretariat works with regional and international partners to coordinate research and capacity building programmes and assist the committees that are responsible for providing scientific, management and financial advice to the Commission. The Commission uses this advice to make management decisions related to the transboundary resources and issues, with the goal of ensuring the long-term sustainability of the BCLME and a balance between social, economic, and environmental benefits. The mandate of the Commission is set out in the Benguela Current Convention. Although this mandate spans a number of coordination and administrative functions, the core management function is to agree to specific measures to prevent, abate and minimize pollution; to agree to conservation and management measures concerning transboundary marine resources and the coastal environment; and to devise mechanisms that enhance sustainable utilization of the marine resources.</w:t>
      </w:r>
    </w:p>
    <w:p w14:paraId="68091D19" w14:textId="77777777" w:rsidR="00CF33D9" w:rsidRDefault="00CF33D9">
      <w:pPr>
        <w:spacing w:line="276" w:lineRule="auto"/>
        <w:jc w:val="both"/>
        <w:rPr>
          <w:rFonts w:ascii="Calibri" w:hAnsi="Calibri" w:cs="Calibri"/>
          <w:b/>
          <w:color w:val="000000"/>
          <w:sz w:val="20"/>
          <w:szCs w:val="20"/>
        </w:rPr>
      </w:pPr>
    </w:p>
    <w:p w14:paraId="68091D1A" w14:textId="77777777" w:rsidR="00CF33D9" w:rsidRDefault="00E3332A">
      <w:pPr>
        <w:spacing w:line="276" w:lineRule="auto"/>
        <w:jc w:val="both"/>
        <w:rPr>
          <w:rFonts w:ascii="Calibri" w:hAnsi="Calibri" w:cs="Calibri"/>
          <w:bCs/>
          <w:color w:val="000000"/>
          <w:sz w:val="20"/>
          <w:szCs w:val="20"/>
          <w:u w:val="single"/>
        </w:rPr>
      </w:pPr>
      <w:r>
        <w:rPr>
          <w:rFonts w:ascii="Calibri" w:hAnsi="Calibri" w:cs="Calibri"/>
          <w:bCs/>
          <w:color w:val="000000"/>
          <w:sz w:val="20"/>
          <w:szCs w:val="20"/>
          <w:u w:val="single"/>
        </w:rPr>
        <w:t>Policies related to BCLME Convention</w:t>
      </w:r>
    </w:p>
    <w:p w14:paraId="68091D1B" w14:textId="77777777" w:rsidR="00CF33D9" w:rsidRDefault="00CF33D9">
      <w:pPr>
        <w:spacing w:line="276" w:lineRule="auto"/>
        <w:jc w:val="both"/>
        <w:rPr>
          <w:rFonts w:ascii="Calibri" w:hAnsi="Calibri" w:cs="Calibri"/>
          <w:bCs/>
          <w:color w:val="000000"/>
          <w:sz w:val="20"/>
          <w:szCs w:val="20"/>
          <w:u w:val="single"/>
        </w:rPr>
      </w:pPr>
    </w:p>
    <w:p w14:paraId="68091D1C" w14:textId="77777777" w:rsidR="00CF33D9" w:rsidRDefault="00E3332A">
      <w:pPr>
        <w:spacing w:line="276" w:lineRule="auto"/>
        <w:jc w:val="both"/>
        <w:rPr>
          <w:rFonts w:ascii="Calibri" w:hAnsi="Calibri" w:cs="Calibri"/>
          <w:bCs/>
          <w:i/>
          <w:iCs/>
          <w:color w:val="000000"/>
          <w:sz w:val="20"/>
          <w:szCs w:val="20"/>
        </w:rPr>
      </w:pPr>
      <w:r>
        <w:rPr>
          <w:rFonts w:ascii="Calibri" w:hAnsi="Calibri" w:cs="Calibri"/>
          <w:b/>
          <w:i/>
          <w:iCs/>
          <w:color w:val="000000"/>
          <w:sz w:val="20"/>
          <w:szCs w:val="20"/>
        </w:rPr>
        <w:t xml:space="preserve">Table 3. </w:t>
      </w:r>
      <w:r>
        <w:rPr>
          <w:rFonts w:ascii="Calibri" w:hAnsi="Calibri" w:cs="Calibri"/>
          <w:bCs/>
          <w:i/>
          <w:iCs/>
          <w:color w:val="000000"/>
          <w:sz w:val="20"/>
          <w:szCs w:val="20"/>
        </w:rPr>
        <w:t xml:space="preserve">Policies related to the BCLME convention. </w:t>
      </w:r>
    </w:p>
    <w:tbl>
      <w:tblPr>
        <w:tblStyle w:val="TableGrid"/>
        <w:tblW w:w="9781" w:type="dxa"/>
        <w:tblInd w:w="-5" w:type="dxa"/>
        <w:tblLook w:val="04A0" w:firstRow="1" w:lastRow="0" w:firstColumn="1" w:lastColumn="0" w:noHBand="0" w:noVBand="1"/>
      </w:tblPr>
      <w:tblGrid>
        <w:gridCol w:w="2444"/>
        <w:gridCol w:w="5245"/>
        <w:gridCol w:w="2092"/>
      </w:tblGrid>
      <w:tr w:rsidR="00CF33D9" w14:paraId="68091D20" w14:textId="77777777">
        <w:trPr>
          <w:tblHeader/>
        </w:trPr>
        <w:tc>
          <w:tcPr>
            <w:tcW w:w="2444" w:type="dxa"/>
            <w:shd w:val="clear" w:color="auto" w:fill="DEEAF6" w:themeFill="accent1" w:themeFillTint="33"/>
          </w:tcPr>
          <w:p w14:paraId="68091D1D" w14:textId="77777777" w:rsidR="00CF33D9" w:rsidRDefault="00E3332A">
            <w:pPr>
              <w:spacing w:line="220" w:lineRule="exact"/>
              <w:jc w:val="center"/>
              <w:rPr>
                <w:rFonts w:cs="Calibri"/>
                <w:b/>
                <w:color w:val="000000"/>
                <w:sz w:val="20"/>
                <w:szCs w:val="20"/>
              </w:rPr>
            </w:pPr>
            <w:r>
              <w:rPr>
                <w:rFonts w:cs="Calibri"/>
                <w:b/>
                <w:color w:val="000000"/>
                <w:sz w:val="20"/>
                <w:szCs w:val="20"/>
              </w:rPr>
              <w:t>Policy, legal framework</w:t>
            </w:r>
          </w:p>
        </w:tc>
        <w:tc>
          <w:tcPr>
            <w:tcW w:w="5245" w:type="dxa"/>
            <w:shd w:val="clear" w:color="auto" w:fill="DEEAF6" w:themeFill="accent1" w:themeFillTint="33"/>
          </w:tcPr>
          <w:p w14:paraId="68091D1E" w14:textId="77777777" w:rsidR="00CF33D9" w:rsidRDefault="00E3332A">
            <w:pPr>
              <w:spacing w:line="220" w:lineRule="exact"/>
              <w:jc w:val="center"/>
              <w:rPr>
                <w:rFonts w:cs="Calibri"/>
                <w:b/>
                <w:color w:val="000000"/>
                <w:sz w:val="20"/>
                <w:szCs w:val="20"/>
              </w:rPr>
            </w:pPr>
            <w:r>
              <w:rPr>
                <w:rFonts w:cs="Calibri"/>
                <w:b/>
                <w:color w:val="000000"/>
                <w:sz w:val="20"/>
                <w:szCs w:val="20"/>
              </w:rPr>
              <w:t>Objective of the policy/treaty</w:t>
            </w:r>
          </w:p>
        </w:tc>
        <w:tc>
          <w:tcPr>
            <w:tcW w:w="2092" w:type="dxa"/>
            <w:shd w:val="clear" w:color="auto" w:fill="DEEAF6" w:themeFill="accent1" w:themeFillTint="33"/>
          </w:tcPr>
          <w:p w14:paraId="68091D1F" w14:textId="77777777" w:rsidR="00CF33D9" w:rsidRDefault="00E3332A">
            <w:pPr>
              <w:spacing w:line="220" w:lineRule="exact"/>
              <w:jc w:val="center"/>
              <w:rPr>
                <w:rFonts w:cs="Calibri"/>
                <w:b/>
                <w:color w:val="000000"/>
                <w:sz w:val="20"/>
                <w:szCs w:val="20"/>
              </w:rPr>
            </w:pPr>
            <w:r>
              <w:rPr>
                <w:rFonts w:cs="Calibri"/>
                <w:b/>
                <w:color w:val="000000"/>
                <w:sz w:val="20"/>
                <w:szCs w:val="20"/>
              </w:rPr>
              <w:t>Status in BCC country</w:t>
            </w:r>
          </w:p>
        </w:tc>
      </w:tr>
      <w:tr w:rsidR="00CF33D9" w14:paraId="68091D24" w14:textId="77777777">
        <w:tc>
          <w:tcPr>
            <w:tcW w:w="2444" w:type="dxa"/>
          </w:tcPr>
          <w:p w14:paraId="68091D21" w14:textId="77777777" w:rsidR="00CF33D9" w:rsidRDefault="00E3332A">
            <w:pPr>
              <w:spacing w:line="220" w:lineRule="exact"/>
              <w:jc w:val="both"/>
              <w:rPr>
                <w:rFonts w:cs="Calibri"/>
                <w:bCs/>
                <w:color w:val="000000"/>
                <w:sz w:val="20"/>
                <w:szCs w:val="20"/>
              </w:rPr>
            </w:pPr>
            <w:r>
              <w:rPr>
                <w:rFonts w:cs="Calibri"/>
                <w:bCs/>
                <w:color w:val="000000"/>
                <w:sz w:val="20"/>
                <w:szCs w:val="20"/>
              </w:rPr>
              <w:t>Namibia Blue Economy Policy 2022-2031</w:t>
            </w:r>
          </w:p>
        </w:tc>
        <w:tc>
          <w:tcPr>
            <w:tcW w:w="5245" w:type="dxa"/>
          </w:tcPr>
          <w:p w14:paraId="68091D22" w14:textId="77777777" w:rsidR="00CF33D9" w:rsidRDefault="00E3332A">
            <w:pPr>
              <w:spacing w:line="220" w:lineRule="exact"/>
              <w:jc w:val="both"/>
              <w:rPr>
                <w:rFonts w:cs="Calibri"/>
                <w:bCs/>
                <w:color w:val="000000"/>
                <w:sz w:val="20"/>
                <w:szCs w:val="20"/>
              </w:rPr>
            </w:pPr>
            <w:r>
              <w:rPr>
                <w:rFonts w:cs="Calibri"/>
                <w:bCs/>
                <w:color w:val="000000"/>
                <w:sz w:val="20"/>
                <w:szCs w:val="20"/>
              </w:rPr>
              <w:t xml:space="preserve">Provides a basis for leveraging the full potential of aquatic ecosystems in order to address its socio-economic needs in an environmentally sustainable manner. Furthermore, it strengthens inter-sectoral linkages and coordination in the governance of the blue economy sectors. </w:t>
            </w:r>
          </w:p>
        </w:tc>
        <w:tc>
          <w:tcPr>
            <w:tcW w:w="2092" w:type="dxa"/>
          </w:tcPr>
          <w:p w14:paraId="68091D23" w14:textId="77777777" w:rsidR="00CF33D9" w:rsidRDefault="00E3332A">
            <w:pPr>
              <w:spacing w:line="220" w:lineRule="exact"/>
              <w:jc w:val="both"/>
              <w:rPr>
                <w:rFonts w:cs="Calibri"/>
                <w:bCs/>
                <w:color w:val="000000"/>
                <w:sz w:val="20"/>
                <w:szCs w:val="20"/>
              </w:rPr>
            </w:pPr>
            <w:r>
              <w:rPr>
                <w:rFonts w:cs="Calibri"/>
                <w:bCs/>
                <w:color w:val="000000"/>
                <w:sz w:val="20"/>
                <w:szCs w:val="20"/>
              </w:rPr>
              <w:t xml:space="preserve">Namibia </w:t>
            </w:r>
          </w:p>
        </w:tc>
      </w:tr>
      <w:tr w:rsidR="00CF33D9" w14:paraId="68091D2A" w14:textId="77777777">
        <w:tc>
          <w:tcPr>
            <w:tcW w:w="2444" w:type="dxa"/>
          </w:tcPr>
          <w:p w14:paraId="68091D25" w14:textId="77777777" w:rsidR="00CF33D9" w:rsidRDefault="00E3332A">
            <w:pPr>
              <w:spacing w:line="220" w:lineRule="exact"/>
              <w:jc w:val="both"/>
              <w:rPr>
                <w:rFonts w:cs="Calibri"/>
                <w:bCs/>
                <w:color w:val="000000"/>
                <w:sz w:val="20"/>
                <w:szCs w:val="20"/>
              </w:rPr>
            </w:pPr>
            <w:r>
              <w:rPr>
                <w:rFonts w:cs="Calibri"/>
                <w:bCs/>
                <w:color w:val="000000"/>
                <w:sz w:val="20"/>
                <w:szCs w:val="20"/>
              </w:rPr>
              <w:t>IMO International Convention for the Prevention of Pollution from Ships as modified by the Protocol of 1978 (MARPOL)</w:t>
            </w:r>
          </w:p>
        </w:tc>
        <w:tc>
          <w:tcPr>
            <w:tcW w:w="5245" w:type="dxa"/>
          </w:tcPr>
          <w:p w14:paraId="68091D26" w14:textId="77777777" w:rsidR="00CF33D9" w:rsidRDefault="00E3332A">
            <w:pPr>
              <w:spacing w:line="220" w:lineRule="exact"/>
              <w:jc w:val="both"/>
              <w:rPr>
                <w:rFonts w:cs="Calibri"/>
                <w:bCs/>
                <w:color w:val="000000"/>
                <w:sz w:val="20"/>
                <w:szCs w:val="20"/>
              </w:rPr>
            </w:pPr>
            <w:r>
              <w:rPr>
                <w:rFonts w:cs="Calibri"/>
                <w:bCs/>
                <w:color w:val="000000"/>
                <w:sz w:val="20"/>
                <w:szCs w:val="20"/>
              </w:rPr>
              <w:t xml:space="preserve">To preserve the marine environment in an attempt to completely eliminate pollution by oil and other harmful substances and operational causes and to minimize accidental spillage of such substances. It covers all the technical aspects of pollution from ships except the disposal of waste into the sea by dumping and applies to ships of all types. It does not apply to pollution arising out of the exploration and exploitation of sea-bed mineral resources. </w:t>
            </w:r>
          </w:p>
        </w:tc>
        <w:tc>
          <w:tcPr>
            <w:tcW w:w="2092" w:type="dxa"/>
          </w:tcPr>
          <w:p w14:paraId="68091D27" w14:textId="77777777" w:rsidR="00CF33D9" w:rsidRDefault="00E3332A">
            <w:pPr>
              <w:spacing w:line="220" w:lineRule="exact"/>
              <w:jc w:val="both"/>
              <w:rPr>
                <w:rFonts w:cs="Calibri"/>
                <w:bCs/>
                <w:color w:val="000000"/>
                <w:sz w:val="20"/>
                <w:szCs w:val="20"/>
              </w:rPr>
            </w:pPr>
            <w:r>
              <w:rPr>
                <w:rFonts w:cs="Calibri"/>
                <w:bCs/>
                <w:color w:val="000000"/>
                <w:sz w:val="20"/>
                <w:szCs w:val="20"/>
              </w:rPr>
              <w:t>South Africa (ratified all annexes).</w:t>
            </w:r>
          </w:p>
          <w:p w14:paraId="68091D28" w14:textId="77777777" w:rsidR="00CF33D9" w:rsidRDefault="00E3332A">
            <w:pPr>
              <w:spacing w:line="220" w:lineRule="exact"/>
              <w:jc w:val="both"/>
              <w:rPr>
                <w:rFonts w:cs="Calibri"/>
                <w:bCs/>
                <w:color w:val="000000"/>
                <w:sz w:val="20"/>
                <w:szCs w:val="20"/>
              </w:rPr>
            </w:pPr>
            <w:r>
              <w:rPr>
                <w:rFonts w:cs="Calibri"/>
                <w:bCs/>
                <w:color w:val="000000"/>
                <w:sz w:val="20"/>
                <w:szCs w:val="20"/>
              </w:rPr>
              <w:t>Namibia (4 out of 6 annexes).</w:t>
            </w:r>
          </w:p>
          <w:p w14:paraId="68091D29" w14:textId="77777777" w:rsidR="00CF33D9" w:rsidRDefault="00E3332A">
            <w:pPr>
              <w:spacing w:line="220" w:lineRule="exact"/>
              <w:jc w:val="both"/>
              <w:rPr>
                <w:rFonts w:cs="Calibri"/>
                <w:bCs/>
                <w:color w:val="000000"/>
                <w:sz w:val="20"/>
                <w:szCs w:val="20"/>
              </w:rPr>
            </w:pPr>
            <w:r>
              <w:rPr>
                <w:rFonts w:cs="Calibri"/>
                <w:bCs/>
                <w:color w:val="000000"/>
                <w:sz w:val="20"/>
                <w:szCs w:val="20"/>
              </w:rPr>
              <w:t xml:space="preserve">Angola (5 out of 6 annexes). </w:t>
            </w:r>
          </w:p>
        </w:tc>
      </w:tr>
      <w:tr w:rsidR="00CF33D9" w14:paraId="68091D2E" w14:textId="77777777">
        <w:tc>
          <w:tcPr>
            <w:tcW w:w="2444" w:type="dxa"/>
          </w:tcPr>
          <w:p w14:paraId="68091D2B" w14:textId="77777777" w:rsidR="00CF33D9" w:rsidRDefault="00E3332A">
            <w:pPr>
              <w:spacing w:line="220" w:lineRule="exact"/>
              <w:jc w:val="both"/>
              <w:rPr>
                <w:rFonts w:cs="Calibri"/>
                <w:bCs/>
                <w:color w:val="000000"/>
                <w:sz w:val="20"/>
                <w:szCs w:val="20"/>
              </w:rPr>
            </w:pPr>
            <w:r>
              <w:rPr>
                <w:rFonts w:cs="Calibri"/>
                <w:bCs/>
                <w:color w:val="000000"/>
                <w:sz w:val="20"/>
                <w:szCs w:val="20"/>
              </w:rPr>
              <w:t xml:space="preserve">1990 IMO International Convention on Oil Pollution Preparedness, Response and Cooperation Convention </w:t>
            </w:r>
          </w:p>
        </w:tc>
        <w:tc>
          <w:tcPr>
            <w:tcW w:w="5245" w:type="dxa"/>
          </w:tcPr>
          <w:p w14:paraId="68091D2C" w14:textId="77777777" w:rsidR="00CF33D9" w:rsidRDefault="00E3332A">
            <w:pPr>
              <w:spacing w:line="220" w:lineRule="exact"/>
              <w:jc w:val="both"/>
              <w:rPr>
                <w:rFonts w:cs="Calibri"/>
                <w:bCs/>
                <w:color w:val="000000"/>
                <w:sz w:val="20"/>
                <w:szCs w:val="20"/>
              </w:rPr>
            </w:pPr>
            <w:r>
              <w:rPr>
                <w:rFonts w:cs="Calibri"/>
                <w:bCs/>
                <w:color w:val="000000"/>
                <w:sz w:val="20"/>
                <w:szCs w:val="20"/>
              </w:rPr>
              <w:t xml:space="preserve">To provide a global framework for international cooperation in responding to marine pollution emergencies or threats as well as to enhance existing national, regional and global capabilities concerning pollution preparedness and response, to facilitate </w:t>
            </w:r>
            <w:r>
              <w:rPr>
                <w:rFonts w:cs="Calibri"/>
                <w:bCs/>
                <w:color w:val="000000"/>
                <w:sz w:val="20"/>
                <w:szCs w:val="20"/>
              </w:rPr>
              <w:lastRenderedPageBreak/>
              <w:t>mutual assistance and to develop and maintain adequate organizational and technical infrastructures.</w:t>
            </w:r>
          </w:p>
        </w:tc>
        <w:tc>
          <w:tcPr>
            <w:tcW w:w="2092" w:type="dxa"/>
          </w:tcPr>
          <w:p w14:paraId="68091D2D" w14:textId="77777777" w:rsidR="00CF33D9" w:rsidRDefault="00E3332A">
            <w:pPr>
              <w:spacing w:line="220" w:lineRule="exact"/>
              <w:jc w:val="both"/>
              <w:rPr>
                <w:rFonts w:cs="Calibri"/>
                <w:bCs/>
                <w:color w:val="000000"/>
                <w:sz w:val="20"/>
                <w:szCs w:val="20"/>
              </w:rPr>
            </w:pPr>
            <w:r>
              <w:rPr>
                <w:rFonts w:cs="Calibri"/>
                <w:bCs/>
                <w:color w:val="000000"/>
                <w:sz w:val="20"/>
                <w:szCs w:val="20"/>
              </w:rPr>
              <w:lastRenderedPageBreak/>
              <w:t xml:space="preserve">Angola, Namibia, South Africa. </w:t>
            </w:r>
          </w:p>
        </w:tc>
      </w:tr>
      <w:tr w:rsidR="00CF33D9" w14:paraId="68091D33" w14:textId="77777777">
        <w:tc>
          <w:tcPr>
            <w:tcW w:w="2444" w:type="dxa"/>
          </w:tcPr>
          <w:p w14:paraId="68091D2F" w14:textId="77777777" w:rsidR="00CF33D9" w:rsidRDefault="00E3332A">
            <w:pPr>
              <w:spacing w:line="220" w:lineRule="exact"/>
              <w:jc w:val="both"/>
              <w:rPr>
                <w:rFonts w:cs="Calibri"/>
                <w:bCs/>
                <w:color w:val="000000"/>
                <w:sz w:val="20"/>
                <w:szCs w:val="20"/>
              </w:rPr>
            </w:pPr>
            <w:r>
              <w:rPr>
                <w:rFonts w:cs="Calibri"/>
                <w:bCs/>
                <w:color w:val="000000"/>
                <w:sz w:val="20"/>
                <w:szCs w:val="20"/>
              </w:rPr>
              <w:t>2009 FAO Agreement on Port State Measures</w:t>
            </w:r>
          </w:p>
        </w:tc>
        <w:tc>
          <w:tcPr>
            <w:tcW w:w="5245" w:type="dxa"/>
          </w:tcPr>
          <w:p w14:paraId="68091D30" w14:textId="77777777" w:rsidR="00CF33D9" w:rsidRDefault="00E3332A">
            <w:pPr>
              <w:spacing w:line="220" w:lineRule="exact"/>
              <w:jc w:val="both"/>
              <w:rPr>
                <w:rFonts w:cs="Calibri"/>
                <w:bCs/>
                <w:color w:val="000000"/>
                <w:sz w:val="20"/>
                <w:szCs w:val="20"/>
              </w:rPr>
            </w:pPr>
            <w:r>
              <w:rPr>
                <w:rFonts w:cs="Calibri"/>
                <w:bCs/>
                <w:color w:val="000000"/>
                <w:sz w:val="20"/>
                <w:szCs w:val="20"/>
              </w:rPr>
              <w:t>To prevent, deter and eliminate illegal, unreported and unregulated fishing (Port State Measures Agreement).</w:t>
            </w:r>
          </w:p>
        </w:tc>
        <w:tc>
          <w:tcPr>
            <w:tcW w:w="2092" w:type="dxa"/>
          </w:tcPr>
          <w:p w14:paraId="68091D31" w14:textId="77777777" w:rsidR="00CF33D9" w:rsidRDefault="00E3332A">
            <w:pPr>
              <w:spacing w:line="220" w:lineRule="exact"/>
              <w:jc w:val="both"/>
              <w:rPr>
                <w:rFonts w:cs="Calibri"/>
                <w:bCs/>
                <w:color w:val="000000"/>
                <w:sz w:val="20"/>
                <w:szCs w:val="20"/>
              </w:rPr>
            </w:pPr>
            <w:r>
              <w:rPr>
                <w:rFonts w:cs="Calibri"/>
                <w:bCs/>
                <w:color w:val="000000"/>
                <w:sz w:val="20"/>
                <w:szCs w:val="20"/>
              </w:rPr>
              <w:t>South Africa and Namibia</w:t>
            </w:r>
          </w:p>
          <w:p w14:paraId="68091D32" w14:textId="77777777" w:rsidR="00CF33D9" w:rsidRDefault="00E3332A">
            <w:pPr>
              <w:spacing w:line="220" w:lineRule="exact"/>
              <w:jc w:val="both"/>
              <w:rPr>
                <w:rFonts w:cs="Calibri"/>
                <w:bCs/>
                <w:color w:val="000000"/>
                <w:sz w:val="20"/>
                <w:szCs w:val="20"/>
              </w:rPr>
            </w:pPr>
            <w:r>
              <w:rPr>
                <w:rFonts w:cs="Calibri"/>
                <w:bCs/>
                <w:color w:val="000000"/>
                <w:sz w:val="20"/>
                <w:szCs w:val="20"/>
              </w:rPr>
              <w:t>Angola signed, but not ratified.</w:t>
            </w:r>
          </w:p>
        </w:tc>
      </w:tr>
      <w:tr w:rsidR="00CF33D9" w14:paraId="68091D37" w14:textId="77777777">
        <w:tc>
          <w:tcPr>
            <w:tcW w:w="2444" w:type="dxa"/>
          </w:tcPr>
          <w:p w14:paraId="68091D34" w14:textId="77777777" w:rsidR="00CF33D9" w:rsidRDefault="00E3332A">
            <w:pPr>
              <w:spacing w:line="220" w:lineRule="exact"/>
              <w:jc w:val="both"/>
              <w:rPr>
                <w:rFonts w:cs="Calibri"/>
                <w:bCs/>
                <w:color w:val="000000"/>
                <w:sz w:val="20"/>
                <w:szCs w:val="20"/>
              </w:rPr>
            </w:pPr>
            <w:r>
              <w:rPr>
                <w:rFonts w:cs="Calibri"/>
                <w:bCs/>
                <w:color w:val="000000"/>
                <w:sz w:val="20"/>
                <w:szCs w:val="20"/>
              </w:rPr>
              <w:t>2001 SADC Protocol on Fisheries</w:t>
            </w:r>
          </w:p>
        </w:tc>
        <w:tc>
          <w:tcPr>
            <w:tcW w:w="5245" w:type="dxa"/>
          </w:tcPr>
          <w:p w14:paraId="68091D35" w14:textId="77777777" w:rsidR="00CF33D9" w:rsidRDefault="00E3332A">
            <w:pPr>
              <w:spacing w:line="220" w:lineRule="exact"/>
              <w:jc w:val="both"/>
              <w:rPr>
                <w:rFonts w:cs="Calibri"/>
                <w:bCs/>
                <w:color w:val="000000"/>
                <w:sz w:val="20"/>
                <w:szCs w:val="20"/>
              </w:rPr>
            </w:pPr>
            <w:r>
              <w:rPr>
                <w:rFonts w:cs="Calibri"/>
                <w:bCs/>
                <w:color w:val="000000"/>
                <w:sz w:val="20"/>
                <w:szCs w:val="20"/>
              </w:rPr>
              <w:t>To promote responsible and sustainable use of the living aquatic resources and aquatic ecosystems of interest to state parties for stated purposes.</w:t>
            </w:r>
          </w:p>
        </w:tc>
        <w:tc>
          <w:tcPr>
            <w:tcW w:w="2092" w:type="dxa"/>
          </w:tcPr>
          <w:p w14:paraId="68091D36" w14:textId="77777777" w:rsidR="00CF33D9" w:rsidRDefault="00E3332A">
            <w:pPr>
              <w:spacing w:line="220" w:lineRule="exact"/>
              <w:jc w:val="both"/>
              <w:rPr>
                <w:rFonts w:cs="Calibri"/>
                <w:bCs/>
                <w:color w:val="000000"/>
                <w:sz w:val="20"/>
                <w:szCs w:val="20"/>
              </w:rPr>
            </w:pPr>
            <w:r>
              <w:rPr>
                <w:rFonts w:cs="Calibri"/>
                <w:bCs/>
                <w:color w:val="000000"/>
                <w:sz w:val="20"/>
                <w:szCs w:val="20"/>
              </w:rPr>
              <w:t>Angola, Namibia, South Africa.</w:t>
            </w:r>
          </w:p>
        </w:tc>
      </w:tr>
      <w:tr w:rsidR="00CF33D9" w14:paraId="68091D3B" w14:textId="77777777">
        <w:tc>
          <w:tcPr>
            <w:tcW w:w="2444" w:type="dxa"/>
          </w:tcPr>
          <w:p w14:paraId="68091D38" w14:textId="77777777" w:rsidR="00CF33D9" w:rsidRDefault="00E3332A">
            <w:pPr>
              <w:spacing w:line="220" w:lineRule="exact"/>
              <w:jc w:val="both"/>
              <w:rPr>
                <w:rFonts w:cs="Calibri"/>
                <w:bCs/>
                <w:color w:val="000000"/>
                <w:sz w:val="20"/>
                <w:szCs w:val="20"/>
              </w:rPr>
            </w:pPr>
            <w:r>
              <w:rPr>
                <w:rFonts w:cs="Calibri"/>
                <w:bCs/>
                <w:color w:val="000000"/>
                <w:sz w:val="20"/>
                <w:szCs w:val="20"/>
              </w:rPr>
              <w:t>International Convention for the Control and Management of Ship’s Ballast Water and Sediments (BWM)</w:t>
            </w:r>
          </w:p>
        </w:tc>
        <w:tc>
          <w:tcPr>
            <w:tcW w:w="5245" w:type="dxa"/>
          </w:tcPr>
          <w:p w14:paraId="68091D39" w14:textId="77777777" w:rsidR="00CF33D9" w:rsidRDefault="00E3332A">
            <w:pPr>
              <w:spacing w:line="220" w:lineRule="exact"/>
              <w:jc w:val="both"/>
              <w:rPr>
                <w:rFonts w:cs="Calibri"/>
                <w:bCs/>
                <w:color w:val="000000"/>
                <w:sz w:val="20"/>
                <w:szCs w:val="20"/>
              </w:rPr>
            </w:pPr>
            <w:r>
              <w:rPr>
                <w:rFonts w:cs="Calibri"/>
                <w:bCs/>
                <w:color w:val="000000"/>
                <w:sz w:val="20"/>
                <w:szCs w:val="20"/>
              </w:rPr>
              <w:t>To help prevent the spread of potentially harmful aquatic organisms and pathogens in ships’ ballast water.</w:t>
            </w:r>
          </w:p>
        </w:tc>
        <w:tc>
          <w:tcPr>
            <w:tcW w:w="2092" w:type="dxa"/>
          </w:tcPr>
          <w:p w14:paraId="68091D3A" w14:textId="77777777" w:rsidR="00CF33D9" w:rsidRDefault="00E3332A">
            <w:pPr>
              <w:spacing w:line="220" w:lineRule="exact"/>
              <w:jc w:val="both"/>
              <w:rPr>
                <w:rFonts w:cs="Calibri"/>
                <w:bCs/>
                <w:color w:val="000000"/>
                <w:sz w:val="20"/>
                <w:szCs w:val="20"/>
              </w:rPr>
            </w:pPr>
            <w:r>
              <w:rPr>
                <w:rFonts w:cs="Calibri"/>
                <w:bCs/>
                <w:color w:val="000000"/>
                <w:sz w:val="20"/>
                <w:szCs w:val="20"/>
              </w:rPr>
              <w:t>South Africa</w:t>
            </w:r>
          </w:p>
        </w:tc>
      </w:tr>
      <w:tr w:rsidR="00CF33D9" w14:paraId="68091D40" w14:textId="77777777">
        <w:tc>
          <w:tcPr>
            <w:tcW w:w="2444" w:type="dxa"/>
          </w:tcPr>
          <w:p w14:paraId="68091D3C" w14:textId="77777777" w:rsidR="00CF33D9" w:rsidRDefault="00E3332A">
            <w:pPr>
              <w:spacing w:line="220" w:lineRule="exact"/>
              <w:jc w:val="both"/>
              <w:rPr>
                <w:rFonts w:cs="Calibri"/>
                <w:bCs/>
                <w:color w:val="000000"/>
                <w:sz w:val="20"/>
                <w:szCs w:val="20"/>
              </w:rPr>
            </w:pPr>
            <w:r>
              <w:rPr>
                <w:rFonts w:cs="Calibri"/>
                <w:bCs/>
                <w:color w:val="000000"/>
                <w:sz w:val="20"/>
                <w:szCs w:val="20"/>
              </w:rPr>
              <w:t xml:space="preserve">Integrated Coastal Management Act, 2008 </w:t>
            </w:r>
          </w:p>
          <w:p w14:paraId="68091D3D" w14:textId="77777777" w:rsidR="00CF33D9" w:rsidRDefault="00E3332A">
            <w:pPr>
              <w:spacing w:line="220" w:lineRule="exact"/>
              <w:jc w:val="both"/>
              <w:rPr>
                <w:rFonts w:cs="Calibri"/>
                <w:bCs/>
                <w:color w:val="000000"/>
                <w:sz w:val="20"/>
                <w:szCs w:val="20"/>
              </w:rPr>
            </w:pPr>
            <w:r>
              <w:rPr>
                <w:rFonts w:cs="Calibri"/>
                <w:bCs/>
                <w:color w:val="000000"/>
                <w:sz w:val="20"/>
                <w:szCs w:val="20"/>
              </w:rPr>
              <w:t>(Act No. 24 of 2008)</w:t>
            </w:r>
          </w:p>
        </w:tc>
        <w:tc>
          <w:tcPr>
            <w:tcW w:w="5245" w:type="dxa"/>
          </w:tcPr>
          <w:p w14:paraId="68091D3E" w14:textId="77777777" w:rsidR="00CF33D9" w:rsidRDefault="00E3332A">
            <w:pPr>
              <w:spacing w:line="220" w:lineRule="exact"/>
              <w:jc w:val="both"/>
              <w:rPr>
                <w:rFonts w:cs="Calibri"/>
                <w:bCs/>
                <w:color w:val="000000"/>
                <w:sz w:val="20"/>
                <w:szCs w:val="20"/>
              </w:rPr>
            </w:pPr>
            <w:r>
              <w:rPr>
                <w:rFonts w:cs="Calibri"/>
                <w:bCs/>
                <w:color w:val="000000"/>
                <w:sz w:val="20"/>
                <w:szCs w:val="20"/>
              </w:rPr>
              <w:t>To establish a system of integrated coastal and estuarine management in the Republic, including norms, standards, and policies, in order to promote the conservation of the coastal environment and maintain the natural attributes of coastal landscapes and seascapes and to ensure that development and the use of natural resources within the coastal zone are socially and economically justifiable and ecologically sustainable.</w:t>
            </w:r>
          </w:p>
        </w:tc>
        <w:tc>
          <w:tcPr>
            <w:tcW w:w="2092" w:type="dxa"/>
          </w:tcPr>
          <w:p w14:paraId="68091D3F" w14:textId="77777777" w:rsidR="00CF33D9" w:rsidRDefault="00E3332A">
            <w:pPr>
              <w:spacing w:line="220" w:lineRule="exact"/>
              <w:jc w:val="both"/>
              <w:rPr>
                <w:rFonts w:cs="Calibri"/>
                <w:bCs/>
                <w:color w:val="000000"/>
                <w:sz w:val="20"/>
                <w:szCs w:val="20"/>
              </w:rPr>
            </w:pPr>
            <w:r>
              <w:rPr>
                <w:rFonts w:cs="Calibri"/>
                <w:bCs/>
                <w:color w:val="000000"/>
                <w:sz w:val="20"/>
                <w:szCs w:val="20"/>
              </w:rPr>
              <w:t>South Africa</w:t>
            </w:r>
          </w:p>
        </w:tc>
      </w:tr>
    </w:tbl>
    <w:p w14:paraId="68091D41" w14:textId="77777777" w:rsidR="00CF33D9" w:rsidRDefault="00CF33D9">
      <w:pPr>
        <w:spacing w:line="276" w:lineRule="auto"/>
        <w:jc w:val="both"/>
        <w:rPr>
          <w:rFonts w:ascii="Calibri" w:hAnsi="Calibri" w:cs="Calibri"/>
          <w:b/>
          <w:color w:val="000000"/>
          <w:sz w:val="20"/>
          <w:szCs w:val="20"/>
        </w:rPr>
      </w:pPr>
    </w:p>
    <w:p w14:paraId="68091D42" w14:textId="77777777" w:rsidR="00CF33D9" w:rsidRDefault="00E3332A">
      <w:pPr>
        <w:spacing w:line="220" w:lineRule="exact"/>
        <w:jc w:val="both"/>
        <w:rPr>
          <w:rFonts w:ascii="Calibri" w:hAnsi="Calibri" w:cs="Calibri"/>
          <w:bCs/>
          <w:color w:val="000000"/>
          <w:sz w:val="20"/>
          <w:szCs w:val="20"/>
          <w:u w:val="single"/>
        </w:rPr>
      </w:pPr>
      <w:r>
        <w:rPr>
          <w:rFonts w:ascii="Calibri" w:hAnsi="Calibri" w:cs="Calibri"/>
          <w:bCs/>
          <w:color w:val="000000"/>
          <w:sz w:val="20"/>
          <w:szCs w:val="20"/>
          <w:u w:val="single"/>
        </w:rPr>
        <w:t>National level</w:t>
      </w:r>
    </w:p>
    <w:p w14:paraId="68091D43" w14:textId="77777777" w:rsidR="00CF33D9" w:rsidRDefault="00CF33D9">
      <w:pPr>
        <w:spacing w:line="220" w:lineRule="exact"/>
        <w:rPr>
          <w:rFonts w:ascii="Calibri" w:hAnsi="Calibri" w:cs="Calibri"/>
          <w:sz w:val="20"/>
          <w:szCs w:val="20"/>
        </w:rPr>
      </w:pPr>
    </w:p>
    <w:p w14:paraId="68091D44" w14:textId="77777777" w:rsidR="00CF33D9" w:rsidRDefault="00E3332A">
      <w:pPr>
        <w:spacing w:line="220" w:lineRule="exact"/>
        <w:jc w:val="both"/>
        <w:rPr>
          <w:rFonts w:ascii="Calibri" w:hAnsi="Calibri" w:cs="Calibri"/>
          <w:sz w:val="20"/>
          <w:szCs w:val="20"/>
        </w:rPr>
      </w:pPr>
      <w:r>
        <w:rPr>
          <w:rFonts w:ascii="Calibri" w:hAnsi="Calibri" w:cs="Calibri"/>
          <w:sz w:val="20"/>
          <w:szCs w:val="20"/>
        </w:rPr>
        <w:t>All BCLME coastal countries have structures and institutions for governance, management, and development of their national fisheries. All of the countries have developed fisheries legislation. Angola has maintained up-to-date legislative frameworks and adopted new fisheries statutes in 2000 and again in 2004. The Marine Resources Act of Namibia was promulgated in 2000, while Namibia also adopted legislation on aquaculture and inland fisheries in 2002 and 2003, respectively. The Marine Living Resources Act (MLRA) was adopted by South Africa and underwent minor revision in 2014 in order to allow for the implementation of the Policy for the Small-Scale Fisheries Sector in South Africa (2013). The National Aquaculture Framework for South Africa was adopted in 2013. The existing legislation in the three countries are all essentially compatible and of similar approaches.</w:t>
      </w:r>
    </w:p>
    <w:p w14:paraId="68091D45" w14:textId="77777777" w:rsidR="00CF33D9" w:rsidRDefault="00CF33D9">
      <w:pPr>
        <w:spacing w:line="220" w:lineRule="exact"/>
        <w:jc w:val="both"/>
        <w:rPr>
          <w:rFonts w:ascii="Calibri" w:hAnsi="Calibri" w:cs="Calibri"/>
          <w:sz w:val="20"/>
          <w:szCs w:val="20"/>
        </w:rPr>
      </w:pPr>
    </w:p>
    <w:p w14:paraId="68091D46" w14:textId="77777777" w:rsidR="00CF33D9" w:rsidRDefault="00E3332A">
      <w:pPr>
        <w:spacing w:line="220" w:lineRule="exact"/>
        <w:jc w:val="both"/>
        <w:rPr>
          <w:rFonts w:ascii="Calibri" w:hAnsi="Calibri" w:cs="Calibri"/>
          <w:sz w:val="20"/>
          <w:szCs w:val="20"/>
        </w:rPr>
      </w:pPr>
      <w:r>
        <w:rPr>
          <w:rFonts w:ascii="Calibri" w:hAnsi="Calibri" w:cs="Calibri"/>
          <w:b/>
          <w:bCs/>
          <w:sz w:val="20"/>
          <w:szCs w:val="20"/>
        </w:rPr>
        <w:t xml:space="preserve">Angola </w:t>
      </w:r>
      <w:r>
        <w:rPr>
          <w:rFonts w:ascii="Calibri" w:hAnsi="Calibri" w:cs="Calibri"/>
          <w:sz w:val="20"/>
          <w:szCs w:val="20"/>
        </w:rPr>
        <w:t xml:space="preserve">adopted the Law on Aquatic Biological Resources in 1994, which superseded the 1992 Fisheries Law. The Law on Aquatic Biological Resources has established new principles and provisions related to the sustainable management of aquatic resources, and also reflects the need to integrate the management of marine resources with other sectoral policies and legislation. The principal objectives of this new law include 1) rational exploitation of marine resources within biological sustainable limits; 2) improvements in food security; 3) improvements in livelihoods and reduction in levels of poverty within communities dependent on fishing activities; 4) increased capture of foreign revenue to support sectoral improvements; 5) improvements in MCS; and 6) implementation of sectoral training programmes for better handling and management. In particular, new regulations regarding surveillance, research and licensing have been drafted to further support this new law. </w:t>
      </w:r>
    </w:p>
    <w:p w14:paraId="68091D47" w14:textId="77777777" w:rsidR="00CF33D9" w:rsidRDefault="00CF33D9">
      <w:pPr>
        <w:spacing w:line="220" w:lineRule="exact"/>
        <w:jc w:val="both"/>
        <w:rPr>
          <w:rFonts w:ascii="Calibri" w:hAnsi="Calibri" w:cs="Calibri"/>
          <w:sz w:val="20"/>
          <w:szCs w:val="20"/>
        </w:rPr>
      </w:pPr>
    </w:p>
    <w:p w14:paraId="68091D48" w14:textId="77777777" w:rsidR="00CF33D9" w:rsidRDefault="00E3332A">
      <w:pPr>
        <w:spacing w:line="220" w:lineRule="exact"/>
        <w:jc w:val="both"/>
        <w:rPr>
          <w:rFonts w:ascii="Calibri" w:hAnsi="Calibri" w:cs="Calibri"/>
          <w:sz w:val="20"/>
          <w:szCs w:val="20"/>
        </w:rPr>
      </w:pPr>
      <w:r>
        <w:rPr>
          <w:rFonts w:ascii="Calibri" w:hAnsi="Calibri" w:cs="Calibri"/>
          <w:sz w:val="20"/>
          <w:szCs w:val="20"/>
        </w:rPr>
        <w:t xml:space="preserve">The Angolan government released a development strategy – the National Development Plan 2013-2017 – which prioritizes Environment and Energy as one of its core directives, with the aim of developing capacity for sustainable management of resources. In terms of broad-based environmental governance, the Environmental Framework Law (1998) provides the guiding principles according to which all new environmental policies and acts are developed (including environmental impact assessment requirements). In 2011 the Ministry of Environment designed a National Adaptation Programme of Action (NAPA) under the United Nations Framework Convention on Climate Change. This programme of action identified the fisheries and agriculture sectors as one of the national adaptation priorities and has detailed sections that consider the potential climate change impacts and analysis of the threats and vulnerabilities. The goal of this progamme of action is to mainstream environmental issues and climate change risks within national development planning and strategies. </w:t>
      </w:r>
    </w:p>
    <w:p w14:paraId="68091D49" w14:textId="77777777" w:rsidR="00CF33D9" w:rsidRDefault="00CF33D9">
      <w:pPr>
        <w:spacing w:line="220" w:lineRule="exact"/>
        <w:jc w:val="both"/>
        <w:rPr>
          <w:rFonts w:ascii="Calibri" w:hAnsi="Calibri" w:cs="Calibri"/>
          <w:sz w:val="20"/>
          <w:szCs w:val="20"/>
        </w:rPr>
      </w:pPr>
    </w:p>
    <w:p w14:paraId="68091D4A" w14:textId="77777777" w:rsidR="00CF33D9" w:rsidRDefault="00E3332A">
      <w:pPr>
        <w:spacing w:line="220" w:lineRule="exact"/>
        <w:jc w:val="both"/>
        <w:rPr>
          <w:rFonts w:ascii="Calibri" w:hAnsi="Calibri" w:cs="Calibri"/>
          <w:sz w:val="20"/>
          <w:szCs w:val="20"/>
        </w:rPr>
      </w:pPr>
      <w:r>
        <w:rPr>
          <w:rFonts w:ascii="Calibri" w:hAnsi="Calibri" w:cs="Calibri"/>
          <w:sz w:val="20"/>
          <w:szCs w:val="20"/>
        </w:rPr>
        <w:t xml:space="preserve">In Angola, fisheries and marine resources are managed by the Angolan Ministry of Agriculture, Rural Development and Fisheries, though the Department of Fisheries and Aquaculture. The National Institute of Fisheries Research </w:t>
      </w:r>
      <w:r>
        <w:rPr>
          <w:rFonts w:ascii="Calibri" w:hAnsi="Calibri" w:cs="Calibri"/>
          <w:sz w:val="20"/>
          <w:szCs w:val="20"/>
        </w:rPr>
        <w:lastRenderedPageBreak/>
        <w:t xml:space="preserve">(INIP) </w:t>
      </w:r>
      <w:r>
        <w:rPr>
          <w:rFonts w:ascii="Calibri" w:hAnsi="Calibri" w:cs="Calibri"/>
          <w:i/>
          <w:iCs/>
          <w:sz w:val="20"/>
          <w:szCs w:val="20"/>
        </w:rPr>
        <w:t xml:space="preserve">(Instituto Nacional de </w:t>
      </w:r>
      <w:r>
        <w:rPr>
          <w:rFonts w:ascii="Calibri" w:hAnsi="Calibri" w:cs="Calibri"/>
          <w:i/>
          <w:iCs/>
          <w:sz w:val="20"/>
          <w:szCs w:val="20"/>
          <w:lang w:val="pt-BR"/>
        </w:rPr>
        <w:t>Investigação Pesqueira</w:t>
      </w:r>
      <w:r>
        <w:rPr>
          <w:rFonts w:ascii="Calibri" w:hAnsi="Calibri" w:cs="Calibri"/>
          <w:i/>
          <w:iCs/>
          <w:sz w:val="20"/>
          <w:szCs w:val="20"/>
        </w:rPr>
        <w:t xml:space="preserve">) </w:t>
      </w:r>
      <w:r>
        <w:rPr>
          <w:rFonts w:ascii="Calibri" w:hAnsi="Calibri" w:cs="Calibri"/>
          <w:sz w:val="20"/>
          <w:szCs w:val="20"/>
        </w:rPr>
        <w:t xml:space="preserve">conducts marine and fisheries research and capacities government trough technical and scientific expertise. The Institute for the Development of Artisanal Fisheries and Aquaculture (IPA) </w:t>
      </w:r>
      <w:r>
        <w:rPr>
          <w:rFonts w:ascii="Calibri" w:hAnsi="Calibri" w:cs="Calibri"/>
          <w:i/>
          <w:iCs/>
          <w:sz w:val="20"/>
          <w:szCs w:val="20"/>
        </w:rPr>
        <w:t>(Instituto de Desenvolvimento da Pesca Artesanal)</w:t>
      </w:r>
      <w:r>
        <w:rPr>
          <w:rFonts w:ascii="Calibri" w:hAnsi="Calibri" w:cs="Calibri"/>
          <w:sz w:val="20"/>
          <w:szCs w:val="20"/>
        </w:rPr>
        <w:t xml:space="preserve"> is responsible for promoting the development of small-scale fisheries through the creation of cooperatives, knowledge sharing and the provision of credit facilities. </w:t>
      </w:r>
    </w:p>
    <w:p w14:paraId="68091D4B" w14:textId="77777777" w:rsidR="00CF33D9" w:rsidRDefault="00CF33D9">
      <w:pPr>
        <w:spacing w:line="220" w:lineRule="exact"/>
        <w:jc w:val="both"/>
        <w:rPr>
          <w:rFonts w:ascii="Calibri" w:hAnsi="Calibri" w:cs="Calibri"/>
          <w:sz w:val="20"/>
          <w:szCs w:val="20"/>
        </w:rPr>
      </w:pPr>
    </w:p>
    <w:p w14:paraId="68091D4C" w14:textId="77777777" w:rsidR="00CF33D9" w:rsidRDefault="00E3332A">
      <w:pPr>
        <w:spacing w:line="220" w:lineRule="exact"/>
        <w:jc w:val="both"/>
        <w:rPr>
          <w:rFonts w:ascii="Calibri" w:hAnsi="Calibri" w:cs="Calibri"/>
          <w:sz w:val="20"/>
          <w:szCs w:val="20"/>
        </w:rPr>
      </w:pPr>
      <w:r>
        <w:rPr>
          <w:rFonts w:ascii="Calibri" w:hAnsi="Calibri" w:cs="Calibri"/>
          <w:b/>
          <w:bCs/>
          <w:sz w:val="20"/>
          <w:szCs w:val="20"/>
        </w:rPr>
        <w:t xml:space="preserve">Nambia’s </w:t>
      </w:r>
      <w:r>
        <w:rPr>
          <w:rFonts w:ascii="Calibri" w:hAnsi="Calibri" w:cs="Calibri"/>
          <w:sz w:val="20"/>
          <w:szCs w:val="20"/>
        </w:rPr>
        <w:t>overarching development framework, Vision 2030, places significant emphasis on the contribution of fisheries to the national economy, while noting the threat of climate-related impacts on marine ecosystems. Fisheries have also been highlighted through the country’s National Development Planning Framework (comprising 5-year National Development Plans (NDPs). Namibia published the National Policy on Climate Change for Namibia (NCCP) in 2011. A National Climate Change Strategy and Action Plan (2013-2020) was also developed. The policy recognizes the vulnerability of Namibia to climate change due to its geographic location and its variable climatic patterns as well as its socio-economic status. Consequently, the NCCP is structured around three strategic aims – adaptation, mitigation and cross-cutting issues, such as those of capacity-building, training and institutional strengthening. The Ministry of Environment and Tourism (MET) also prioritizes climate change adaptation activities especially that of raising public awareness about climate change. In terms of environmental management, Namibia has a comprehensive Environmental Management Act (2007), supported by a range of policy frameworks, regulations and permits as well as a National Biodiversity Strategy and Action Plan that targets the conservation and sustainable use of Namibia’s aquatic and terrestrial biodiversity. The National Policy on Coastal Management of Namibia was launched in 2013 and addresses a range of issues related to ecosystems and coastal development, including the need to adopt measures that “seek to build resilience, particularly with respect to climate variability and environmental change…”.</w:t>
      </w:r>
    </w:p>
    <w:p w14:paraId="68091D4D" w14:textId="77777777" w:rsidR="00CF33D9" w:rsidRDefault="00CF33D9">
      <w:pPr>
        <w:spacing w:line="220" w:lineRule="exact"/>
        <w:jc w:val="both"/>
        <w:rPr>
          <w:rFonts w:ascii="Calibri" w:hAnsi="Calibri" w:cs="Calibri"/>
          <w:sz w:val="20"/>
          <w:szCs w:val="20"/>
        </w:rPr>
      </w:pPr>
    </w:p>
    <w:p w14:paraId="68091D4E" w14:textId="77777777" w:rsidR="00CF33D9" w:rsidRDefault="00E3332A">
      <w:pPr>
        <w:spacing w:line="220" w:lineRule="exact"/>
        <w:jc w:val="both"/>
        <w:rPr>
          <w:rFonts w:ascii="Calibri" w:hAnsi="Calibri" w:cs="Calibri"/>
          <w:sz w:val="20"/>
          <w:szCs w:val="20"/>
        </w:rPr>
      </w:pPr>
      <w:r>
        <w:rPr>
          <w:rFonts w:ascii="Calibri" w:hAnsi="Calibri" w:cs="Calibri"/>
          <w:sz w:val="20"/>
          <w:szCs w:val="20"/>
        </w:rPr>
        <w:t xml:space="preserve">The fisheries sector in Namibia is managed by the Ministry of Fisheries and Marine Resources (MFMR). At Independence in 1990, a 200 nautical mile Exclusive Economic Zone (EEZ) was established, followed by the promulgation of a new Sea Fisheries Act in 1992, and the introduction of a new national policy on exploitation rights and quota allocation in 1993. The Marine Resources Act of 2000 replaced the Sea Fisheries Act (1992) and is implemented through a contemporary regulatory framework and associated resources. The MFMR has a high profile in the country and is advised by the Sea Fisheries Advisory Council on matters relating to management and conservation. </w:t>
      </w:r>
    </w:p>
    <w:p w14:paraId="68091D4F" w14:textId="77777777" w:rsidR="00CF33D9" w:rsidRDefault="00CF33D9">
      <w:pPr>
        <w:jc w:val="both"/>
        <w:rPr>
          <w:rFonts w:ascii="Calibri" w:hAnsi="Calibri" w:cs="Calibri"/>
          <w:sz w:val="20"/>
          <w:szCs w:val="20"/>
        </w:rPr>
      </w:pPr>
    </w:p>
    <w:p w14:paraId="68091D50" w14:textId="77777777" w:rsidR="00CF33D9" w:rsidRDefault="00E3332A">
      <w:pPr>
        <w:spacing w:line="220" w:lineRule="exact"/>
        <w:jc w:val="both"/>
        <w:rPr>
          <w:rFonts w:ascii="Calibri" w:hAnsi="Calibri" w:cs="Calibri"/>
          <w:bCs/>
          <w:sz w:val="20"/>
          <w:szCs w:val="20"/>
        </w:rPr>
      </w:pPr>
      <w:r>
        <w:rPr>
          <w:rFonts w:ascii="Calibri" w:hAnsi="Calibri" w:cs="Calibri"/>
          <w:sz w:val="20"/>
          <w:szCs w:val="20"/>
        </w:rPr>
        <w:t xml:space="preserve">The primary fisheries legislation in </w:t>
      </w:r>
      <w:r>
        <w:rPr>
          <w:rFonts w:ascii="Calibri" w:hAnsi="Calibri" w:cs="Calibri"/>
          <w:b/>
          <w:sz w:val="20"/>
          <w:szCs w:val="20"/>
        </w:rPr>
        <w:t xml:space="preserve">South Africa </w:t>
      </w:r>
      <w:r>
        <w:rPr>
          <w:rFonts w:ascii="Calibri" w:hAnsi="Calibri" w:cs="Calibri"/>
          <w:bCs/>
          <w:sz w:val="20"/>
          <w:szCs w:val="20"/>
        </w:rPr>
        <w:t xml:space="preserve">is the Marine Living Resources Act (MLRA, No. 18 of 1998). The MRLA (1998), incorporates various social and environmental principles, including the need to achieve optimum utilization and ecologically sustainable development of marine living resources, the need to conserve marine living resources for both present and future generations, the application of the precautionary approach, the need to protect the ecosystem as a whole, and the need to preserve marine biodiversity, amongst others. These principles, while not directly referencing climate change, provide a foundation for an approach that emphasizes sustainability, adaptive management, and resilience. </w:t>
      </w:r>
    </w:p>
    <w:p w14:paraId="68091D51" w14:textId="77777777" w:rsidR="00CF33D9" w:rsidRDefault="00CF33D9">
      <w:pPr>
        <w:spacing w:line="220" w:lineRule="exact"/>
        <w:jc w:val="both"/>
        <w:rPr>
          <w:rFonts w:ascii="Calibri" w:hAnsi="Calibri" w:cs="Calibri"/>
          <w:bCs/>
          <w:sz w:val="20"/>
          <w:szCs w:val="20"/>
        </w:rPr>
      </w:pPr>
    </w:p>
    <w:p w14:paraId="68091D52" w14:textId="77777777" w:rsidR="00CF33D9" w:rsidRDefault="00E3332A">
      <w:pPr>
        <w:spacing w:line="220" w:lineRule="exact"/>
        <w:jc w:val="both"/>
        <w:rPr>
          <w:rFonts w:ascii="Calibri" w:hAnsi="Calibri" w:cs="Calibri"/>
          <w:bCs/>
          <w:sz w:val="20"/>
          <w:szCs w:val="20"/>
        </w:rPr>
      </w:pPr>
      <w:r>
        <w:rPr>
          <w:rFonts w:ascii="Calibri" w:hAnsi="Calibri" w:cs="Calibri"/>
          <w:bCs/>
          <w:sz w:val="20"/>
          <w:szCs w:val="20"/>
        </w:rPr>
        <w:t>The MLRA Amendment Bill</w:t>
      </w:r>
      <w:r>
        <w:rPr>
          <w:rStyle w:val="FootnoteReference"/>
          <w:rFonts w:ascii="Calibri" w:hAnsi="Calibri" w:cs="Calibri"/>
          <w:bCs/>
          <w:sz w:val="20"/>
          <w:szCs w:val="20"/>
        </w:rPr>
        <w:footnoteReference w:id="19"/>
      </w:r>
      <w:r>
        <w:rPr>
          <w:rFonts w:ascii="Calibri" w:hAnsi="Calibri" w:cs="Calibri"/>
          <w:bCs/>
          <w:sz w:val="20"/>
          <w:szCs w:val="20"/>
        </w:rPr>
        <w:t xml:space="preserve"> was developed in order to provide a legal framework for the implementation of the Policy for the Small-Scale Fisheries Sector in South Africa, which had been published in June 2012. The publication of the Small-Scale Fisheries Policy was an important landmark in the development of South Africa’s fisheries governance regime, as the small-scale sector has historically been marginalized, resulting in significant concerns regarding social justice, socio-economic development, and sustainability within the small-scale fisheries sector. The policy emphasizes the critical role of small-scale fisheries in supporting job creation and livelihoods, as well as contributing to food security. With regards to climate change, the policy notes that the possible impacts of environmental and climate change on coastal communities’ form part of a range of challenges facing the sector, however, climate change is not addressed at any length. </w:t>
      </w:r>
    </w:p>
    <w:p w14:paraId="68091D53" w14:textId="77777777" w:rsidR="00CF33D9" w:rsidRDefault="00CF33D9">
      <w:pPr>
        <w:spacing w:line="220" w:lineRule="exact"/>
        <w:jc w:val="both"/>
        <w:rPr>
          <w:rFonts w:ascii="Calibri" w:hAnsi="Calibri" w:cs="Calibri"/>
          <w:bCs/>
          <w:sz w:val="20"/>
          <w:szCs w:val="20"/>
        </w:rPr>
      </w:pPr>
    </w:p>
    <w:p w14:paraId="68091D54" w14:textId="77777777" w:rsidR="00CF33D9" w:rsidRDefault="00E3332A">
      <w:pPr>
        <w:spacing w:line="220" w:lineRule="exact"/>
        <w:jc w:val="both"/>
        <w:rPr>
          <w:rFonts w:ascii="Calibri" w:hAnsi="Calibri" w:cs="Calibri"/>
          <w:bCs/>
          <w:sz w:val="20"/>
          <w:szCs w:val="20"/>
        </w:rPr>
      </w:pPr>
      <w:r>
        <w:rPr>
          <w:rFonts w:ascii="Calibri" w:hAnsi="Calibri" w:cs="Calibri"/>
          <w:bCs/>
          <w:sz w:val="20"/>
          <w:szCs w:val="20"/>
        </w:rPr>
        <w:t xml:space="preserve">While the MLRA Amendment Bill does not contain any direct references to climate change, it does establish the legal framework to integrate the small-scale fisheries sector more effectively within the broader fisheries governance regime. In this respect, the MLRA Amendment Bill will allow the Government to establish geographical zones for small-scale fisheries, employ a multi-species approach in the allocation of fishing rights, formally recognize small-scale fisheries communities and assign rights of access to them, and promote small-scale fisheries through recognition of fisheries cooperatives. The Bill further requires the Minister of Agriculture, Forestry and Fisheries and any organ to state to have regard to the need to incorporate a community-based approach in the allocation of rights </w:t>
      </w:r>
      <w:r>
        <w:rPr>
          <w:rFonts w:ascii="Calibri" w:hAnsi="Calibri" w:cs="Calibri"/>
          <w:bCs/>
          <w:sz w:val="20"/>
          <w:szCs w:val="20"/>
        </w:rPr>
        <w:lastRenderedPageBreak/>
        <w:t>of access within the small-scale fisheries sector. Taken together, these measures can contribute to the enhanced resilience of South Africa’s small-scale fisheries sector.</w:t>
      </w:r>
    </w:p>
    <w:p w14:paraId="68091D55" w14:textId="77777777" w:rsidR="00CF33D9" w:rsidRDefault="00CF33D9">
      <w:pPr>
        <w:jc w:val="both"/>
        <w:rPr>
          <w:rFonts w:ascii="Calibri" w:hAnsi="Calibri" w:cs="Calibri"/>
          <w:bCs/>
          <w:sz w:val="20"/>
          <w:szCs w:val="20"/>
        </w:rPr>
      </w:pPr>
    </w:p>
    <w:p w14:paraId="68091D56" w14:textId="77777777" w:rsidR="00CF33D9" w:rsidRDefault="00E3332A">
      <w:pPr>
        <w:spacing w:line="220" w:lineRule="exact"/>
        <w:jc w:val="both"/>
        <w:rPr>
          <w:rFonts w:ascii="Calibri" w:hAnsi="Calibri" w:cs="Calibri"/>
          <w:bCs/>
          <w:sz w:val="20"/>
          <w:szCs w:val="20"/>
        </w:rPr>
      </w:pPr>
      <w:r>
        <w:rPr>
          <w:rFonts w:ascii="Calibri" w:hAnsi="Calibri" w:cs="Calibri"/>
          <w:bCs/>
          <w:sz w:val="20"/>
          <w:szCs w:val="20"/>
        </w:rPr>
        <w:t xml:space="preserve">In 2000 the South African Department of Environment and Tourism published a White Paper for Sustainable Coastal Development in South Africa. This policy document called for a new approach to the management of South Africa’s coastal resources; in particular, the policy advocated for a shift in emphasis to a greater recognition of the value of the coast, a people-centered approach to coastal management, an emphasis on sustainable coastal development, and the promotion of coordinated and integrated coastal management. </w:t>
      </w:r>
    </w:p>
    <w:p w14:paraId="68091D57" w14:textId="77777777" w:rsidR="00CF33D9" w:rsidRDefault="00E3332A">
      <w:pPr>
        <w:spacing w:line="220" w:lineRule="exact"/>
        <w:jc w:val="both"/>
        <w:rPr>
          <w:rFonts w:ascii="Calibri" w:hAnsi="Calibri" w:cs="Calibri"/>
          <w:bCs/>
          <w:color w:val="000000"/>
          <w:sz w:val="20"/>
          <w:szCs w:val="20"/>
          <w:u w:val="single"/>
        </w:rPr>
      </w:pPr>
      <w:r>
        <w:rPr>
          <w:rFonts w:ascii="Calibri" w:hAnsi="Calibri" w:cs="Calibri"/>
          <w:bCs/>
          <w:color w:val="000000"/>
          <w:sz w:val="20"/>
          <w:szCs w:val="20"/>
          <w:u w:val="single"/>
        </w:rPr>
        <w:t>National Policies Relevant to the project</w:t>
      </w:r>
    </w:p>
    <w:p w14:paraId="68091D58" w14:textId="77777777" w:rsidR="00CF33D9" w:rsidRDefault="00CF33D9">
      <w:pPr>
        <w:spacing w:line="276" w:lineRule="auto"/>
        <w:jc w:val="both"/>
        <w:rPr>
          <w:rFonts w:ascii="Calibri" w:hAnsi="Calibri" w:cs="Calibri"/>
          <w:bCs/>
          <w:color w:val="000000"/>
          <w:sz w:val="20"/>
          <w:szCs w:val="20"/>
          <w:u w:val="single"/>
        </w:rPr>
      </w:pPr>
    </w:p>
    <w:p w14:paraId="68091D59" w14:textId="77777777" w:rsidR="00CF33D9" w:rsidRDefault="00E3332A">
      <w:pPr>
        <w:spacing w:line="276" w:lineRule="auto"/>
        <w:jc w:val="both"/>
        <w:rPr>
          <w:rFonts w:ascii="Calibri" w:hAnsi="Calibri" w:cs="Calibri"/>
          <w:bCs/>
          <w:i/>
          <w:iCs/>
          <w:color w:val="000000"/>
          <w:sz w:val="20"/>
          <w:szCs w:val="20"/>
        </w:rPr>
      </w:pPr>
      <w:r>
        <w:rPr>
          <w:rFonts w:ascii="Calibri" w:hAnsi="Calibri" w:cs="Calibri"/>
          <w:b/>
          <w:i/>
          <w:iCs/>
          <w:color w:val="000000"/>
          <w:sz w:val="20"/>
          <w:szCs w:val="20"/>
        </w:rPr>
        <w:t xml:space="preserve">Table 4. </w:t>
      </w:r>
      <w:r>
        <w:rPr>
          <w:rFonts w:ascii="Calibri" w:hAnsi="Calibri" w:cs="Calibri"/>
          <w:bCs/>
          <w:i/>
          <w:iCs/>
          <w:color w:val="000000"/>
          <w:sz w:val="20"/>
          <w:szCs w:val="20"/>
        </w:rPr>
        <w:t>National Policies relevant to the project</w:t>
      </w:r>
    </w:p>
    <w:tbl>
      <w:tblPr>
        <w:tblStyle w:val="TableGrid"/>
        <w:tblW w:w="10485" w:type="dxa"/>
        <w:tblLook w:val="04A0" w:firstRow="1" w:lastRow="0" w:firstColumn="1" w:lastColumn="0" w:noHBand="0" w:noVBand="1"/>
      </w:tblPr>
      <w:tblGrid>
        <w:gridCol w:w="1696"/>
        <w:gridCol w:w="2835"/>
        <w:gridCol w:w="2835"/>
        <w:gridCol w:w="3119"/>
      </w:tblGrid>
      <w:tr w:rsidR="00CF33D9" w14:paraId="68091D5E" w14:textId="77777777">
        <w:trPr>
          <w:tblHeader/>
        </w:trPr>
        <w:tc>
          <w:tcPr>
            <w:tcW w:w="1696" w:type="dxa"/>
            <w:shd w:val="clear" w:color="auto" w:fill="DEEAF6" w:themeFill="accent1" w:themeFillTint="33"/>
          </w:tcPr>
          <w:p w14:paraId="68091D5A" w14:textId="77777777" w:rsidR="00CF33D9" w:rsidRDefault="00E3332A">
            <w:pPr>
              <w:spacing w:line="220" w:lineRule="exact"/>
              <w:jc w:val="both"/>
              <w:rPr>
                <w:rFonts w:cs="Calibri"/>
                <w:b/>
                <w:color w:val="000000"/>
                <w:sz w:val="20"/>
                <w:szCs w:val="20"/>
              </w:rPr>
            </w:pPr>
            <w:r>
              <w:rPr>
                <w:rFonts w:cs="Calibri"/>
                <w:b/>
                <w:color w:val="000000"/>
                <w:sz w:val="20"/>
                <w:szCs w:val="20"/>
              </w:rPr>
              <w:t>Sector</w:t>
            </w:r>
          </w:p>
        </w:tc>
        <w:tc>
          <w:tcPr>
            <w:tcW w:w="2835" w:type="dxa"/>
            <w:shd w:val="clear" w:color="auto" w:fill="DEEAF6" w:themeFill="accent1" w:themeFillTint="33"/>
          </w:tcPr>
          <w:p w14:paraId="68091D5B" w14:textId="77777777" w:rsidR="00CF33D9" w:rsidRDefault="00E3332A">
            <w:pPr>
              <w:spacing w:line="220" w:lineRule="exact"/>
              <w:jc w:val="both"/>
              <w:rPr>
                <w:rFonts w:cs="Calibri"/>
                <w:b/>
                <w:color w:val="000000"/>
                <w:sz w:val="20"/>
                <w:szCs w:val="20"/>
              </w:rPr>
            </w:pPr>
            <w:r>
              <w:rPr>
                <w:rFonts w:cs="Calibri"/>
                <w:b/>
                <w:color w:val="000000"/>
                <w:sz w:val="20"/>
                <w:szCs w:val="20"/>
              </w:rPr>
              <w:t>Angola</w:t>
            </w:r>
          </w:p>
        </w:tc>
        <w:tc>
          <w:tcPr>
            <w:tcW w:w="2835" w:type="dxa"/>
            <w:shd w:val="clear" w:color="auto" w:fill="DEEAF6" w:themeFill="accent1" w:themeFillTint="33"/>
          </w:tcPr>
          <w:p w14:paraId="68091D5C" w14:textId="77777777" w:rsidR="00CF33D9" w:rsidRDefault="00E3332A">
            <w:pPr>
              <w:spacing w:line="220" w:lineRule="exact"/>
              <w:jc w:val="both"/>
              <w:rPr>
                <w:rFonts w:cs="Calibri"/>
                <w:b/>
                <w:color w:val="000000"/>
                <w:sz w:val="20"/>
                <w:szCs w:val="20"/>
              </w:rPr>
            </w:pPr>
            <w:r>
              <w:rPr>
                <w:rFonts w:cs="Calibri"/>
                <w:b/>
                <w:color w:val="000000"/>
                <w:sz w:val="20"/>
                <w:szCs w:val="20"/>
              </w:rPr>
              <w:t>Namibia</w:t>
            </w:r>
          </w:p>
        </w:tc>
        <w:tc>
          <w:tcPr>
            <w:tcW w:w="3119" w:type="dxa"/>
            <w:shd w:val="clear" w:color="auto" w:fill="DEEAF6" w:themeFill="accent1" w:themeFillTint="33"/>
          </w:tcPr>
          <w:p w14:paraId="68091D5D" w14:textId="77777777" w:rsidR="00CF33D9" w:rsidRDefault="00E3332A">
            <w:pPr>
              <w:spacing w:line="220" w:lineRule="exact"/>
              <w:jc w:val="both"/>
              <w:rPr>
                <w:rFonts w:cs="Calibri"/>
                <w:b/>
                <w:color w:val="000000"/>
                <w:sz w:val="20"/>
                <w:szCs w:val="20"/>
              </w:rPr>
            </w:pPr>
            <w:r>
              <w:rPr>
                <w:rFonts w:cs="Calibri"/>
                <w:b/>
                <w:color w:val="000000"/>
                <w:sz w:val="20"/>
                <w:szCs w:val="20"/>
              </w:rPr>
              <w:t>South Africa</w:t>
            </w:r>
          </w:p>
        </w:tc>
      </w:tr>
      <w:tr w:rsidR="00CF33D9" w14:paraId="68091D63" w14:textId="77777777">
        <w:tc>
          <w:tcPr>
            <w:tcW w:w="1696" w:type="dxa"/>
          </w:tcPr>
          <w:p w14:paraId="68091D5F" w14:textId="77777777" w:rsidR="00CF33D9" w:rsidRDefault="00E3332A">
            <w:pPr>
              <w:spacing w:line="220" w:lineRule="exact"/>
              <w:jc w:val="both"/>
              <w:rPr>
                <w:rFonts w:cs="Calibri"/>
                <w:b/>
                <w:color w:val="000000"/>
                <w:sz w:val="20"/>
                <w:szCs w:val="20"/>
              </w:rPr>
            </w:pPr>
            <w:r>
              <w:rPr>
                <w:rFonts w:cs="Calibri"/>
                <w:b/>
                <w:color w:val="000000"/>
                <w:sz w:val="20"/>
                <w:szCs w:val="20"/>
              </w:rPr>
              <w:t>Constitutional</w:t>
            </w:r>
          </w:p>
        </w:tc>
        <w:tc>
          <w:tcPr>
            <w:tcW w:w="2835" w:type="dxa"/>
          </w:tcPr>
          <w:p w14:paraId="68091D60" w14:textId="77777777" w:rsidR="00CF33D9" w:rsidRDefault="00E3332A">
            <w:pPr>
              <w:spacing w:line="220" w:lineRule="exact"/>
              <w:jc w:val="both"/>
              <w:rPr>
                <w:rFonts w:cs="Calibri"/>
                <w:bCs/>
                <w:color w:val="000000"/>
                <w:sz w:val="20"/>
                <w:szCs w:val="20"/>
              </w:rPr>
            </w:pPr>
            <w:r>
              <w:rPr>
                <w:rFonts w:cs="Calibri"/>
                <w:bCs/>
                <w:color w:val="000000"/>
                <w:sz w:val="20"/>
                <w:szCs w:val="20"/>
              </w:rPr>
              <w:t>Constitution of the Republic of Angola, 1992</w:t>
            </w:r>
          </w:p>
        </w:tc>
        <w:tc>
          <w:tcPr>
            <w:tcW w:w="2835" w:type="dxa"/>
          </w:tcPr>
          <w:p w14:paraId="68091D61" w14:textId="77777777" w:rsidR="00CF33D9" w:rsidRDefault="00E3332A">
            <w:pPr>
              <w:spacing w:line="220" w:lineRule="exact"/>
              <w:jc w:val="both"/>
              <w:rPr>
                <w:rFonts w:cs="Calibri"/>
                <w:bCs/>
                <w:color w:val="000000"/>
                <w:sz w:val="20"/>
                <w:szCs w:val="20"/>
              </w:rPr>
            </w:pPr>
            <w:r>
              <w:rPr>
                <w:rFonts w:cs="Calibri"/>
                <w:bCs/>
                <w:color w:val="000000"/>
                <w:sz w:val="20"/>
                <w:szCs w:val="20"/>
              </w:rPr>
              <w:t>Constitution of the Republic of Namibia, 1990</w:t>
            </w:r>
          </w:p>
        </w:tc>
        <w:tc>
          <w:tcPr>
            <w:tcW w:w="3119" w:type="dxa"/>
          </w:tcPr>
          <w:p w14:paraId="68091D62" w14:textId="77777777" w:rsidR="00CF33D9" w:rsidRDefault="00E3332A">
            <w:pPr>
              <w:spacing w:line="220" w:lineRule="exact"/>
              <w:jc w:val="both"/>
              <w:rPr>
                <w:rFonts w:cs="Calibri"/>
                <w:bCs/>
                <w:color w:val="000000"/>
                <w:sz w:val="20"/>
                <w:szCs w:val="20"/>
              </w:rPr>
            </w:pPr>
            <w:r>
              <w:rPr>
                <w:rFonts w:cs="Calibri"/>
                <w:bCs/>
                <w:color w:val="000000"/>
                <w:sz w:val="20"/>
                <w:szCs w:val="20"/>
              </w:rPr>
              <w:t>Constitution of the Republic of South Africa, 108 of 1996</w:t>
            </w:r>
          </w:p>
        </w:tc>
      </w:tr>
      <w:tr w:rsidR="00CF33D9" w14:paraId="68091D68" w14:textId="77777777">
        <w:tc>
          <w:tcPr>
            <w:tcW w:w="1696" w:type="dxa"/>
          </w:tcPr>
          <w:p w14:paraId="68091D64" w14:textId="77777777" w:rsidR="00CF33D9" w:rsidRDefault="00E3332A">
            <w:pPr>
              <w:spacing w:line="220" w:lineRule="exact"/>
              <w:jc w:val="both"/>
              <w:rPr>
                <w:rFonts w:cs="Calibri"/>
                <w:b/>
                <w:color w:val="000000"/>
                <w:sz w:val="20"/>
                <w:szCs w:val="20"/>
              </w:rPr>
            </w:pPr>
            <w:r>
              <w:rPr>
                <w:rFonts w:cs="Calibri"/>
                <w:b/>
                <w:color w:val="000000"/>
                <w:sz w:val="20"/>
                <w:szCs w:val="20"/>
              </w:rPr>
              <w:t>Environment</w:t>
            </w:r>
          </w:p>
        </w:tc>
        <w:tc>
          <w:tcPr>
            <w:tcW w:w="2835" w:type="dxa"/>
          </w:tcPr>
          <w:p w14:paraId="68091D65" w14:textId="77777777" w:rsidR="00CF33D9" w:rsidRDefault="00E3332A">
            <w:pPr>
              <w:spacing w:line="220" w:lineRule="exact"/>
              <w:jc w:val="both"/>
              <w:rPr>
                <w:rFonts w:cs="Calibri"/>
                <w:bCs/>
                <w:color w:val="000000"/>
                <w:sz w:val="20"/>
                <w:szCs w:val="20"/>
              </w:rPr>
            </w:pPr>
            <w:r>
              <w:rPr>
                <w:rFonts w:cs="Calibri"/>
                <w:bCs/>
                <w:color w:val="000000"/>
                <w:sz w:val="20"/>
                <w:szCs w:val="20"/>
              </w:rPr>
              <w:t>Environment Framework Act, 1998</w:t>
            </w:r>
          </w:p>
        </w:tc>
        <w:tc>
          <w:tcPr>
            <w:tcW w:w="2835" w:type="dxa"/>
          </w:tcPr>
          <w:p w14:paraId="68091D66" w14:textId="77777777" w:rsidR="00CF33D9" w:rsidRDefault="00E3332A">
            <w:pPr>
              <w:spacing w:line="220" w:lineRule="exact"/>
              <w:jc w:val="both"/>
              <w:rPr>
                <w:rFonts w:cs="Calibri"/>
                <w:bCs/>
                <w:color w:val="000000"/>
                <w:sz w:val="20"/>
                <w:szCs w:val="20"/>
              </w:rPr>
            </w:pPr>
            <w:r>
              <w:rPr>
                <w:rFonts w:cs="Calibri"/>
                <w:bCs/>
                <w:color w:val="000000"/>
                <w:sz w:val="20"/>
                <w:szCs w:val="20"/>
              </w:rPr>
              <w:t>No equivalent</w:t>
            </w:r>
          </w:p>
        </w:tc>
        <w:tc>
          <w:tcPr>
            <w:tcW w:w="3119" w:type="dxa"/>
          </w:tcPr>
          <w:p w14:paraId="68091D67" w14:textId="77777777" w:rsidR="00CF33D9" w:rsidRDefault="00E3332A">
            <w:pPr>
              <w:spacing w:line="220" w:lineRule="exact"/>
              <w:jc w:val="both"/>
              <w:rPr>
                <w:rFonts w:cs="Calibri"/>
                <w:bCs/>
                <w:color w:val="000000"/>
                <w:sz w:val="20"/>
                <w:szCs w:val="20"/>
              </w:rPr>
            </w:pPr>
            <w:r>
              <w:rPr>
                <w:rFonts w:cs="Calibri"/>
                <w:bCs/>
                <w:color w:val="000000"/>
                <w:sz w:val="20"/>
                <w:szCs w:val="20"/>
              </w:rPr>
              <w:t xml:space="preserve">National Environmental Management Act, 1998 </w:t>
            </w:r>
          </w:p>
        </w:tc>
      </w:tr>
      <w:tr w:rsidR="00CF33D9" w14:paraId="68091D6D" w14:textId="77777777">
        <w:tc>
          <w:tcPr>
            <w:tcW w:w="1696" w:type="dxa"/>
            <w:vMerge w:val="restart"/>
          </w:tcPr>
          <w:p w14:paraId="68091D69" w14:textId="77777777" w:rsidR="00CF33D9" w:rsidRDefault="00E3332A">
            <w:pPr>
              <w:spacing w:line="220" w:lineRule="exact"/>
              <w:jc w:val="both"/>
              <w:rPr>
                <w:rFonts w:cs="Calibri"/>
                <w:bCs/>
                <w:color w:val="000000"/>
                <w:sz w:val="20"/>
                <w:szCs w:val="20"/>
              </w:rPr>
            </w:pPr>
            <w:r>
              <w:rPr>
                <w:rFonts w:cs="Calibri"/>
                <w:b/>
                <w:color w:val="000000"/>
                <w:sz w:val="20"/>
                <w:szCs w:val="20"/>
              </w:rPr>
              <w:t>Maritime Zones</w:t>
            </w:r>
          </w:p>
        </w:tc>
        <w:tc>
          <w:tcPr>
            <w:tcW w:w="2835" w:type="dxa"/>
          </w:tcPr>
          <w:p w14:paraId="68091D6A" w14:textId="77777777" w:rsidR="00CF33D9" w:rsidRDefault="00E3332A">
            <w:pPr>
              <w:spacing w:line="220" w:lineRule="exact"/>
              <w:jc w:val="both"/>
              <w:rPr>
                <w:rFonts w:cs="Calibri"/>
                <w:bCs/>
                <w:color w:val="000000"/>
                <w:sz w:val="20"/>
                <w:szCs w:val="20"/>
              </w:rPr>
            </w:pPr>
            <w:r>
              <w:rPr>
                <w:rFonts w:cs="Calibri"/>
                <w:bCs/>
                <w:color w:val="000000"/>
                <w:sz w:val="20"/>
                <w:szCs w:val="20"/>
              </w:rPr>
              <w:t>Territorial Sea, Contiguous Zone and Exclusive Economic Zone Act, 1992</w:t>
            </w:r>
          </w:p>
        </w:tc>
        <w:tc>
          <w:tcPr>
            <w:tcW w:w="2835" w:type="dxa"/>
          </w:tcPr>
          <w:p w14:paraId="68091D6B" w14:textId="77777777" w:rsidR="00CF33D9" w:rsidRDefault="00E3332A">
            <w:pPr>
              <w:spacing w:line="220" w:lineRule="exact"/>
              <w:jc w:val="both"/>
              <w:rPr>
                <w:rFonts w:cs="Calibri"/>
                <w:bCs/>
                <w:color w:val="000000"/>
                <w:sz w:val="20"/>
                <w:szCs w:val="20"/>
              </w:rPr>
            </w:pPr>
            <w:r>
              <w:rPr>
                <w:rFonts w:cs="Calibri"/>
                <w:bCs/>
                <w:color w:val="000000"/>
                <w:sz w:val="20"/>
                <w:szCs w:val="20"/>
              </w:rPr>
              <w:t>Territorial Sea and Exclusive Economic Zone of Namibia, 1990</w:t>
            </w:r>
          </w:p>
        </w:tc>
        <w:tc>
          <w:tcPr>
            <w:tcW w:w="3119" w:type="dxa"/>
          </w:tcPr>
          <w:p w14:paraId="68091D6C" w14:textId="77777777" w:rsidR="00CF33D9" w:rsidRDefault="00E3332A">
            <w:pPr>
              <w:spacing w:line="220" w:lineRule="exact"/>
              <w:jc w:val="both"/>
              <w:rPr>
                <w:rFonts w:cs="Calibri"/>
                <w:bCs/>
                <w:color w:val="000000"/>
                <w:sz w:val="20"/>
                <w:szCs w:val="20"/>
              </w:rPr>
            </w:pPr>
            <w:r>
              <w:rPr>
                <w:rFonts w:cs="Calibri"/>
                <w:bCs/>
                <w:color w:val="000000"/>
                <w:sz w:val="20"/>
                <w:szCs w:val="20"/>
              </w:rPr>
              <w:t>Maritime Zones Act, 1994</w:t>
            </w:r>
          </w:p>
        </w:tc>
      </w:tr>
      <w:tr w:rsidR="00CF33D9" w14:paraId="68091D78" w14:textId="77777777">
        <w:tc>
          <w:tcPr>
            <w:tcW w:w="1696" w:type="dxa"/>
            <w:vMerge/>
          </w:tcPr>
          <w:p w14:paraId="68091D6E" w14:textId="77777777" w:rsidR="00CF33D9" w:rsidRDefault="00CF33D9">
            <w:pPr>
              <w:spacing w:line="220" w:lineRule="exact"/>
              <w:jc w:val="both"/>
              <w:rPr>
                <w:rFonts w:cs="Calibri"/>
                <w:bCs/>
                <w:color w:val="000000"/>
                <w:sz w:val="20"/>
                <w:szCs w:val="20"/>
              </w:rPr>
            </w:pPr>
          </w:p>
        </w:tc>
        <w:tc>
          <w:tcPr>
            <w:tcW w:w="2835" w:type="dxa"/>
          </w:tcPr>
          <w:p w14:paraId="68091D6F" w14:textId="77777777" w:rsidR="00CF33D9" w:rsidRDefault="00E3332A">
            <w:pPr>
              <w:spacing w:line="220" w:lineRule="exact"/>
              <w:jc w:val="both"/>
              <w:rPr>
                <w:rFonts w:cs="Calibri"/>
                <w:bCs/>
                <w:color w:val="000000"/>
                <w:sz w:val="20"/>
                <w:szCs w:val="20"/>
              </w:rPr>
            </w:pPr>
            <w:r>
              <w:rPr>
                <w:rFonts w:cs="Calibri"/>
                <w:bCs/>
                <w:color w:val="000000"/>
                <w:sz w:val="20"/>
                <w:szCs w:val="20"/>
              </w:rPr>
              <w:t>Decree No’s 14/05, 38/05,</w:t>
            </w:r>
          </w:p>
          <w:p w14:paraId="68091D70" w14:textId="77777777" w:rsidR="00CF33D9" w:rsidRDefault="00E3332A">
            <w:pPr>
              <w:spacing w:line="220" w:lineRule="exact"/>
              <w:jc w:val="both"/>
              <w:rPr>
                <w:rFonts w:cs="Calibri"/>
                <w:bCs/>
                <w:color w:val="000000"/>
                <w:sz w:val="20"/>
                <w:szCs w:val="20"/>
              </w:rPr>
            </w:pPr>
            <w:r>
              <w:rPr>
                <w:rFonts w:cs="Calibri"/>
                <w:bCs/>
                <w:color w:val="000000"/>
                <w:sz w:val="20"/>
                <w:szCs w:val="20"/>
              </w:rPr>
              <w:t>40/06, 28/06, 98/06 and</w:t>
            </w:r>
          </w:p>
          <w:p w14:paraId="68091D71" w14:textId="77777777" w:rsidR="00CF33D9" w:rsidRDefault="00E3332A">
            <w:pPr>
              <w:spacing w:line="220" w:lineRule="exact"/>
              <w:jc w:val="both"/>
              <w:rPr>
                <w:rFonts w:cs="Calibri"/>
                <w:bCs/>
                <w:color w:val="000000"/>
                <w:sz w:val="20"/>
                <w:szCs w:val="20"/>
              </w:rPr>
            </w:pPr>
            <w:r>
              <w:rPr>
                <w:rFonts w:cs="Calibri"/>
                <w:bCs/>
                <w:color w:val="000000"/>
                <w:sz w:val="20"/>
                <w:szCs w:val="20"/>
              </w:rPr>
              <w:t>43/05</w:t>
            </w:r>
          </w:p>
        </w:tc>
        <w:tc>
          <w:tcPr>
            <w:tcW w:w="2835" w:type="dxa"/>
          </w:tcPr>
          <w:p w14:paraId="68091D72" w14:textId="77777777" w:rsidR="00CF33D9" w:rsidRDefault="00E3332A">
            <w:pPr>
              <w:spacing w:line="220" w:lineRule="exact"/>
              <w:jc w:val="both"/>
              <w:rPr>
                <w:rFonts w:cs="Calibri"/>
                <w:bCs/>
                <w:color w:val="000000"/>
                <w:sz w:val="20"/>
                <w:szCs w:val="20"/>
              </w:rPr>
            </w:pPr>
            <w:r>
              <w:rPr>
                <w:rFonts w:cs="Calibri"/>
                <w:bCs/>
                <w:color w:val="000000"/>
                <w:sz w:val="20"/>
                <w:szCs w:val="20"/>
              </w:rPr>
              <w:t>Regulations for the</w:t>
            </w:r>
          </w:p>
          <w:p w14:paraId="68091D73" w14:textId="77777777" w:rsidR="00CF33D9" w:rsidRDefault="00E3332A">
            <w:pPr>
              <w:spacing w:line="220" w:lineRule="exact"/>
              <w:jc w:val="both"/>
              <w:rPr>
                <w:rFonts w:cs="Calibri"/>
                <w:bCs/>
                <w:color w:val="000000"/>
                <w:sz w:val="20"/>
                <w:szCs w:val="20"/>
              </w:rPr>
            </w:pPr>
            <w:r>
              <w:rPr>
                <w:rFonts w:cs="Calibri"/>
                <w:bCs/>
                <w:color w:val="000000"/>
                <w:sz w:val="20"/>
                <w:szCs w:val="20"/>
              </w:rPr>
              <w:t>Exploitation of Marine</w:t>
            </w:r>
          </w:p>
          <w:p w14:paraId="68091D74" w14:textId="77777777" w:rsidR="00CF33D9" w:rsidRDefault="00E3332A">
            <w:pPr>
              <w:spacing w:line="220" w:lineRule="exact"/>
              <w:jc w:val="both"/>
              <w:rPr>
                <w:rFonts w:cs="Calibri"/>
                <w:bCs/>
                <w:color w:val="000000"/>
                <w:sz w:val="20"/>
                <w:szCs w:val="20"/>
              </w:rPr>
            </w:pPr>
            <w:r>
              <w:rPr>
                <w:rFonts w:cs="Calibri"/>
                <w:bCs/>
                <w:color w:val="000000"/>
                <w:sz w:val="20"/>
                <w:szCs w:val="20"/>
              </w:rPr>
              <w:t>Living Resources, 2001</w:t>
            </w:r>
          </w:p>
        </w:tc>
        <w:tc>
          <w:tcPr>
            <w:tcW w:w="3119" w:type="dxa"/>
          </w:tcPr>
          <w:p w14:paraId="68091D75" w14:textId="77777777" w:rsidR="00CF33D9" w:rsidRDefault="00E3332A">
            <w:pPr>
              <w:spacing w:line="220" w:lineRule="exact"/>
              <w:jc w:val="both"/>
              <w:rPr>
                <w:rFonts w:cs="Calibri"/>
                <w:bCs/>
                <w:color w:val="000000"/>
                <w:sz w:val="20"/>
                <w:szCs w:val="20"/>
              </w:rPr>
            </w:pPr>
            <w:r>
              <w:rPr>
                <w:rFonts w:cs="Calibri"/>
                <w:bCs/>
                <w:color w:val="000000"/>
                <w:sz w:val="20"/>
                <w:szCs w:val="20"/>
              </w:rPr>
              <w:t>Fisheries Regulations, 1998 (As</w:t>
            </w:r>
          </w:p>
          <w:p w14:paraId="68091D76" w14:textId="77777777" w:rsidR="00CF33D9" w:rsidRDefault="00E3332A">
            <w:pPr>
              <w:spacing w:line="220" w:lineRule="exact"/>
              <w:jc w:val="both"/>
              <w:rPr>
                <w:rFonts w:cs="Calibri"/>
                <w:bCs/>
                <w:color w:val="000000"/>
                <w:sz w:val="20"/>
                <w:szCs w:val="20"/>
              </w:rPr>
            </w:pPr>
            <w:r>
              <w:rPr>
                <w:rFonts w:cs="Calibri"/>
                <w:bCs/>
                <w:color w:val="000000"/>
                <w:sz w:val="20"/>
                <w:szCs w:val="20"/>
              </w:rPr>
              <w:t>amended in 2000, 2001, 2003 &amp;</w:t>
            </w:r>
          </w:p>
          <w:p w14:paraId="68091D77" w14:textId="77777777" w:rsidR="00CF33D9" w:rsidRDefault="00E3332A">
            <w:pPr>
              <w:spacing w:line="220" w:lineRule="exact"/>
              <w:jc w:val="both"/>
              <w:rPr>
                <w:rFonts w:cs="Calibri"/>
                <w:bCs/>
                <w:color w:val="000000"/>
                <w:sz w:val="20"/>
                <w:szCs w:val="20"/>
              </w:rPr>
            </w:pPr>
            <w:r>
              <w:rPr>
                <w:rFonts w:cs="Calibri"/>
                <w:bCs/>
                <w:color w:val="000000"/>
                <w:sz w:val="20"/>
                <w:szCs w:val="20"/>
              </w:rPr>
              <w:t>2004)</w:t>
            </w:r>
          </w:p>
        </w:tc>
      </w:tr>
      <w:tr w:rsidR="00CF33D9" w14:paraId="68091D83" w14:textId="77777777">
        <w:tc>
          <w:tcPr>
            <w:tcW w:w="1696" w:type="dxa"/>
            <w:vMerge/>
          </w:tcPr>
          <w:p w14:paraId="68091D79" w14:textId="77777777" w:rsidR="00CF33D9" w:rsidRDefault="00CF33D9">
            <w:pPr>
              <w:spacing w:line="220" w:lineRule="exact"/>
              <w:jc w:val="both"/>
              <w:rPr>
                <w:rFonts w:cs="Calibri"/>
                <w:bCs/>
                <w:color w:val="000000"/>
                <w:sz w:val="20"/>
                <w:szCs w:val="20"/>
              </w:rPr>
            </w:pPr>
          </w:p>
        </w:tc>
        <w:tc>
          <w:tcPr>
            <w:tcW w:w="2835" w:type="dxa"/>
          </w:tcPr>
          <w:p w14:paraId="68091D7A" w14:textId="77777777" w:rsidR="00CF33D9" w:rsidRDefault="00E3332A">
            <w:pPr>
              <w:spacing w:line="220" w:lineRule="exact"/>
              <w:jc w:val="both"/>
              <w:rPr>
                <w:rFonts w:cs="Calibri"/>
                <w:bCs/>
                <w:color w:val="000000"/>
                <w:sz w:val="20"/>
                <w:szCs w:val="20"/>
              </w:rPr>
            </w:pPr>
            <w:r>
              <w:rPr>
                <w:rFonts w:cs="Calibri"/>
                <w:bCs/>
                <w:color w:val="000000"/>
                <w:sz w:val="20"/>
                <w:szCs w:val="20"/>
              </w:rPr>
              <w:t>Decree No 41/05</w:t>
            </w:r>
          </w:p>
        </w:tc>
        <w:tc>
          <w:tcPr>
            <w:tcW w:w="2835" w:type="dxa"/>
          </w:tcPr>
          <w:p w14:paraId="68091D7B" w14:textId="77777777" w:rsidR="00CF33D9" w:rsidRDefault="00E3332A">
            <w:pPr>
              <w:spacing w:line="220" w:lineRule="exact"/>
              <w:rPr>
                <w:rFonts w:cs="Calibri"/>
                <w:bCs/>
                <w:color w:val="000000"/>
                <w:sz w:val="20"/>
                <w:szCs w:val="20"/>
              </w:rPr>
            </w:pPr>
            <w:r>
              <w:rPr>
                <w:rFonts w:cs="Calibri"/>
                <w:bCs/>
                <w:color w:val="000000"/>
                <w:sz w:val="20"/>
                <w:szCs w:val="20"/>
              </w:rPr>
              <w:t>Fisheries Policies</w:t>
            </w:r>
          </w:p>
          <w:p w14:paraId="68091D7C" w14:textId="77777777" w:rsidR="00CF33D9" w:rsidRDefault="00E3332A">
            <w:pPr>
              <w:spacing w:line="220" w:lineRule="exact"/>
              <w:rPr>
                <w:rFonts w:cs="Calibri"/>
                <w:bCs/>
                <w:color w:val="000000"/>
                <w:sz w:val="20"/>
                <w:szCs w:val="20"/>
              </w:rPr>
            </w:pPr>
            <w:r>
              <w:rPr>
                <w:rFonts w:cs="Calibri"/>
                <w:bCs/>
                <w:color w:val="000000"/>
                <w:sz w:val="20"/>
                <w:szCs w:val="20"/>
              </w:rPr>
              <w:t>(Granting of Rights of</w:t>
            </w:r>
          </w:p>
          <w:p w14:paraId="68091D7D" w14:textId="77777777" w:rsidR="00CF33D9" w:rsidRDefault="00E3332A">
            <w:pPr>
              <w:spacing w:line="220" w:lineRule="exact"/>
              <w:rPr>
                <w:rFonts w:cs="Calibri"/>
                <w:bCs/>
                <w:color w:val="000000"/>
                <w:sz w:val="20"/>
                <w:szCs w:val="20"/>
              </w:rPr>
            </w:pPr>
            <w:r>
              <w:rPr>
                <w:rFonts w:cs="Calibri"/>
                <w:bCs/>
                <w:color w:val="000000"/>
                <w:sz w:val="20"/>
                <w:szCs w:val="20"/>
              </w:rPr>
              <w:t>Exploitation to Utilize Marine Resources and on</w:t>
            </w:r>
          </w:p>
          <w:p w14:paraId="68091D7E" w14:textId="77777777" w:rsidR="00CF33D9" w:rsidRDefault="00E3332A">
            <w:pPr>
              <w:spacing w:line="220" w:lineRule="exact"/>
              <w:rPr>
                <w:rFonts w:cs="Calibri"/>
                <w:bCs/>
                <w:color w:val="000000"/>
                <w:sz w:val="20"/>
                <w:szCs w:val="20"/>
              </w:rPr>
            </w:pPr>
            <w:r>
              <w:rPr>
                <w:rFonts w:cs="Calibri"/>
                <w:bCs/>
                <w:color w:val="000000"/>
                <w:sz w:val="20"/>
                <w:szCs w:val="20"/>
              </w:rPr>
              <w:t>the Allocation of Fishing</w:t>
            </w:r>
          </w:p>
          <w:p w14:paraId="68091D7F" w14:textId="77777777" w:rsidR="00CF33D9" w:rsidRDefault="00E3332A">
            <w:pPr>
              <w:spacing w:line="220" w:lineRule="exact"/>
              <w:rPr>
                <w:rFonts w:cs="Calibri"/>
                <w:bCs/>
                <w:color w:val="000000"/>
                <w:sz w:val="20"/>
                <w:szCs w:val="20"/>
              </w:rPr>
            </w:pPr>
            <w:r>
              <w:rPr>
                <w:rFonts w:cs="Calibri"/>
                <w:bCs/>
                <w:color w:val="000000"/>
                <w:sz w:val="20"/>
                <w:szCs w:val="20"/>
              </w:rPr>
              <w:t>Quotas, 1993)</w:t>
            </w:r>
          </w:p>
        </w:tc>
        <w:tc>
          <w:tcPr>
            <w:tcW w:w="3119" w:type="dxa"/>
          </w:tcPr>
          <w:p w14:paraId="68091D80" w14:textId="77777777" w:rsidR="00CF33D9" w:rsidRDefault="00E3332A">
            <w:pPr>
              <w:spacing w:line="220" w:lineRule="exact"/>
              <w:rPr>
                <w:rFonts w:cs="Calibri"/>
                <w:bCs/>
                <w:color w:val="000000"/>
                <w:sz w:val="20"/>
                <w:szCs w:val="20"/>
              </w:rPr>
            </w:pPr>
            <w:r>
              <w:rPr>
                <w:rFonts w:cs="Calibri"/>
                <w:bCs/>
                <w:color w:val="000000"/>
                <w:sz w:val="20"/>
                <w:szCs w:val="20"/>
              </w:rPr>
              <w:t>General Fishery Policy on the</w:t>
            </w:r>
          </w:p>
          <w:p w14:paraId="68091D81" w14:textId="77777777" w:rsidR="00CF33D9" w:rsidRDefault="00E3332A">
            <w:pPr>
              <w:spacing w:line="220" w:lineRule="exact"/>
              <w:rPr>
                <w:rFonts w:cs="Calibri"/>
                <w:bCs/>
                <w:color w:val="000000"/>
                <w:sz w:val="20"/>
                <w:szCs w:val="20"/>
              </w:rPr>
            </w:pPr>
            <w:r>
              <w:rPr>
                <w:rFonts w:cs="Calibri"/>
                <w:bCs/>
                <w:color w:val="000000"/>
                <w:sz w:val="20"/>
                <w:szCs w:val="20"/>
              </w:rPr>
              <w:t>Allocation and Management of</w:t>
            </w:r>
          </w:p>
          <w:p w14:paraId="68091D82" w14:textId="77777777" w:rsidR="00CF33D9" w:rsidRDefault="00E3332A">
            <w:pPr>
              <w:spacing w:line="220" w:lineRule="exact"/>
              <w:rPr>
                <w:rFonts w:cs="Calibri"/>
                <w:bCs/>
                <w:color w:val="000000"/>
                <w:sz w:val="20"/>
                <w:szCs w:val="20"/>
              </w:rPr>
            </w:pPr>
            <w:r>
              <w:rPr>
                <w:rFonts w:cs="Calibri"/>
                <w:bCs/>
                <w:color w:val="000000"/>
                <w:sz w:val="20"/>
                <w:szCs w:val="20"/>
              </w:rPr>
              <w:t>Long-Term Commercial Fishing Rights of May 2005</w:t>
            </w:r>
          </w:p>
        </w:tc>
      </w:tr>
      <w:tr w:rsidR="00CF33D9" w14:paraId="68091D88" w14:textId="77777777">
        <w:tc>
          <w:tcPr>
            <w:tcW w:w="1696" w:type="dxa"/>
            <w:vMerge/>
          </w:tcPr>
          <w:p w14:paraId="68091D84" w14:textId="77777777" w:rsidR="00CF33D9" w:rsidRDefault="00CF33D9">
            <w:pPr>
              <w:spacing w:line="220" w:lineRule="exact"/>
              <w:jc w:val="both"/>
              <w:rPr>
                <w:rFonts w:cs="Calibri"/>
                <w:bCs/>
                <w:color w:val="000000"/>
                <w:sz w:val="20"/>
                <w:szCs w:val="20"/>
              </w:rPr>
            </w:pPr>
          </w:p>
        </w:tc>
        <w:tc>
          <w:tcPr>
            <w:tcW w:w="2835" w:type="dxa"/>
          </w:tcPr>
          <w:p w14:paraId="68091D85" w14:textId="77777777" w:rsidR="00CF33D9" w:rsidRDefault="00E3332A">
            <w:pPr>
              <w:spacing w:line="220" w:lineRule="exact"/>
              <w:jc w:val="both"/>
              <w:rPr>
                <w:rFonts w:cs="Calibri"/>
                <w:bCs/>
                <w:color w:val="000000"/>
                <w:sz w:val="20"/>
                <w:szCs w:val="20"/>
              </w:rPr>
            </w:pPr>
            <w:r>
              <w:rPr>
                <w:rFonts w:cs="Calibri"/>
                <w:bCs/>
                <w:color w:val="000000"/>
                <w:sz w:val="20"/>
                <w:szCs w:val="20"/>
              </w:rPr>
              <w:t>No Equivalent</w:t>
            </w:r>
          </w:p>
        </w:tc>
        <w:tc>
          <w:tcPr>
            <w:tcW w:w="2835" w:type="dxa"/>
          </w:tcPr>
          <w:p w14:paraId="68091D86" w14:textId="77777777" w:rsidR="00CF33D9" w:rsidRDefault="00E3332A">
            <w:pPr>
              <w:spacing w:line="220" w:lineRule="exact"/>
              <w:jc w:val="both"/>
              <w:rPr>
                <w:rFonts w:cs="Calibri"/>
                <w:bCs/>
                <w:color w:val="000000"/>
                <w:sz w:val="20"/>
                <w:szCs w:val="20"/>
              </w:rPr>
            </w:pPr>
            <w:r>
              <w:rPr>
                <w:rFonts w:cs="Calibri"/>
                <w:bCs/>
                <w:color w:val="000000"/>
                <w:sz w:val="20"/>
                <w:szCs w:val="20"/>
              </w:rPr>
              <w:t>No Equivalent</w:t>
            </w:r>
          </w:p>
        </w:tc>
        <w:tc>
          <w:tcPr>
            <w:tcW w:w="3119" w:type="dxa"/>
          </w:tcPr>
          <w:p w14:paraId="68091D87" w14:textId="77777777" w:rsidR="00CF33D9" w:rsidRDefault="00E3332A">
            <w:pPr>
              <w:spacing w:line="220" w:lineRule="exact"/>
              <w:jc w:val="both"/>
              <w:rPr>
                <w:rFonts w:cs="Calibri"/>
                <w:bCs/>
                <w:color w:val="000000"/>
                <w:sz w:val="20"/>
                <w:szCs w:val="20"/>
              </w:rPr>
            </w:pPr>
            <w:r>
              <w:rPr>
                <w:rFonts w:cs="Calibri"/>
                <w:bCs/>
                <w:color w:val="000000"/>
                <w:sz w:val="20"/>
                <w:szCs w:val="20"/>
              </w:rPr>
              <w:t>Policy for the Small-Scale Fisheries Sector, 2012</w:t>
            </w:r>
          </w:p>
        </w:tc>
      </w:tr>
      <w:tr w:rsidR="00CF33D9" w14:paraId="68091D8E" w14:textId="77777777">
        <w:tc>
          <w:tcPr>
            <w:tcW w:w="1696" w:type="dxa"/>
            <w:vMerge w:val="restart"/>
          </w:tcPr>
          <w:p w14:paraId="68091D89" w14:textId="77777777" w:rsidR="00CF33D9" w:rsidRDefault="00E3332A">
            <w:pPr>
              <w:spacing w:line="220" w:lineRule="exact"/>
              <w:jc w:val="both"/>
              <w:rPr>
                <w:rFonts w:cs="Calibri"/>
                <w:b/>
                <w:color w:val="000000"/>
                <w:sz w:val="20"/>
                <w:szCs w:val="20"/>
              </w:rPr>
            </w:pPr>
            <w:r>
              <w:rPr>
                <w:rFonts w:cs="Calibri"/>
                <w:b/>
                <w:color w:val="000000"/>
                <w:sz w:val="20"/>
                <w:szCs w:val="20"/>
              </w:rPr>
              <w:t>Marine Aquaculture</w:t>
            </w:r>
          </w:p>
        </w:tc>
        <w:tc>
          <w:tcPr>
            <w:tcW w:w="2835" w:type="dxa"/>
          </w:tcPr>
          <w:p w14:paraId="68091D8A" w14:textId="77777777" w:rsidR="00CF33D9" w:rsidRDefault="00E3332A">
            <w:pPr>
              <w:spacing w:line="220" w:lineRule="exact"/>
              <w:jc w:val="both"/>
              <w:rPr>
                <w:rFonts w:cs="Calibri"/>
                <w:bCs/>
                <w:color w:val="000000"/>
                <w:sz w:val="20"/>
                <w:szCs w:val="20"/>
              </w:rPr>
            </w:pPr>
            <w:r>
              <w:rPr>
                <w:rFonts w:cs="Calibri"/>
                <w:bCs/>
                <w:color w:val="000000"/>
                <w:sz w:val="20"/>
                <w:szCs w:val="20"/>
              </w:rPr>
              <w:t>Aquatic Biological</w:t>
            </w:r>
          </w:p>
          <w:p w14:paraId="68091D8B" w14:textId="77777777" w:rsidR="00CF33D9" w:rsidRDefault="00E3332A">
            <w:pPr>
              <w:spacing w:line="220" w:lineRule="exact"/>
              <w:jc w:val="both"/>
              <w:rPr>
                <w:rFonts w:cs="Calibri"/>
                <w:bCs/>
                <w:color w:val="000000"/>
                <w:sz w:val="20"/>
                <w:szCs w:val="20"/>
              </w:rPr>
            </w:pPr>
            <w:r>
              <w:rPr>
                <w:rFonts w:cs="Calibri"/>
                <w:bCs/>
                <w:color w:val="000000"/>
                <w:sz w:val="20"/>
                <w:szCs w:val="20"/>
              </w:rPr>
              <w:t>Resources Act, 2005</w:t>
            </w:r>
          </w:p>
        </w:tc>
        <w:tc>
          <w:tcPr>
            <w:tcW w:w="2835" w:type="dxa"/>
          </w:tcPr>
          <w:p w14:paraId="68091D8C" w14:textId="77777777" w:rsidR="00CF33D9" w:rsidRDefault="00E3332A">
            <w:pPr>
              <w:spacing w:line="220" w:lineRule="exact"/>
              <w:jc w:val="both"/>
              <w:rPr>
                <w:rFonts w:cs="Calibri"/>
                <w:bCs/>
                <w:color w:val="000000"/>
                <w:sz w:val="20"/>
                <w:szCs w:val="20"/>
              </w:rPr>
            </w:pPr>
            <w:r>
              <w:rPr>
                <w:rFonts w:cs="Calibri"/>
                <w:bCs/>
                <w:color w:val="000000"/>
                <w:sz w:val="20"/>
                <w:szCs w:val="20"/>
              </w:rPr>
              <w:t>Aquaculture Act, 2002</w:t>
            </w:r>
          </w:p>
        </w:tc>
        <w:tc>
          <w:tcPr>
            <w:tcW w:w="3119" w:type="dxa"/>
          </w:tcPr>
          <w:p w14:paraId="68091D8D" w14:textId="77777777" w:rsidR="00CF33D9" w:rsidRDefault="00E3332A">
            <w:pPr>
              <w:spacing w:line="220" w:lineRule="exact"/>
              <w:jc w:val="both"/>
              <w:rPr>
                <w:rFonts w:cs="Calibri"/>
                <w:bCs/>
                <w:color w:val="000000"/>
                <w:sz w:val="20"/>
                <w:szCs w:val="20"/>
              </w:rPr>
            </w:pPr>
            <w:r>
              <w:rPr>
                <w:rFonts w:cs="Calibri"/>
                <w:bCs/>
                <w:color w:val="000000"/>
                <w:sz w:val="20"/>
                <w:szCs w:val="20"/>
              </w:rPr>
              <w:t>Marine Living Resources Act, 1998</w:t>
            </w:r>
          </w:p>
        </w:tc>
      </w:tr>
      <w:tr w:rsidR="00CF33D9" w14:paraId="68091D94" w14:textId="77777777">
        <w:tc>
          <w:tcPr>
            <w:tcW w:w="1696" w:type="dxa"/>
            <w:vMerge/>
          </w:tcPr>
          <w:p w14:paraId="68091D8F" w14:textId="77777777" w:rsidR="00CF33D9" w:rsidRDefault="00CF33D9">
            <w:pPr>
              <w:spacing w:line="220" w:lineRule="exact"/>
              <w:jc w:val="both"/>
              <w:rPr>
                <w:rFonts w:cs="Calibri"/>
                <w:b/>
                <w:color w:val="000000"/>
                <w:sz w:val="20"/>
                <w:szCs w:val="20"/>
              </w:rPr>
            </w:pPr>
          </w:p>
        </w:tc>
        <w:tc>
          <w:tcPr>
            <w:tcW w:w="2835" w:type="dxa"/>
          </w:tcPr>
          <w:p w14:paraId="68091D90" w14:textId="77777777" w:rsidR="00CF33D9" w:rsidRDefault="00E3332A">
            <w:pPr>
              <w:spacing w:line="220" w:lineRule="exact"/>
              <w:jc w:val="both"/>
              <w:rPr>
                <w:rFonts w:cs="Calibri"/>
                <w:bCs/>
                <w:color w:val="000000"/>
                <w:sz w:val="20"/>
                <w:szCs w:val="20"/>
              </w:rPr>
            </w:pPr>
            <w:r>
              <w:rPr>
                <w:rFonts w:cs="Calibri"/>
                <w:bCs/>
                <w:color w:val="000000"/>
                <w:sz w:val="20"/>
                <w:szCs w:val="20"/>
              </w:rPr>
              <w:t>Decree No’s 39/05 &amp;</w:t>
            </w:r>
          </w:p>
          <w:p w14:paraId="68091D91" w14:textId="77777777" w:rsidR="00CF33D9" w:rsidRDefault="00E3332A">
            <w:pPr>
              <w:spacing w:line="220" w:lineRule="exact"/>
              <w:jc w:val="both"/>
              <w:rPr>
                <w:rFonts w:cs="Calibri"/>
                <w:bCs/>
                <w:color w:val="000000"/>
                <w:sz w:val="20"/>
                <w:szCs w:val="20"/>
              </w:rPr>
            </w:pPr>
            <w:r>
              <w:rPr>
                <w:rFonts w:cs="Calibri"/>
                <w:bCs/>
                <w:color w:val="000000"/>
                <w:sz w:val="20"/>
                <w:szCs w:val="20"/>
              </w:rPr>
              <w:t>40/06</w:t>
            </w:r>
          </w:p>
        </w:tc>
        <w:tc>
          <w:tcPr>
            <w:tcW w:w="2835" w:type="dxa"/>
          </w:tcPr>
          <w:p w14:paraId="68091D92" w14:textId="77777777" w:rsidR="00CF33D9" w:rsidRDefault="00E3332A">
            <w:pPr>
              <w:spacing w:line="220" w:lineRule="exact"/>
              <w:jc w:val="both"/>
              <w:rPr>
                <w:rFonts w:cs="Calibri"/>
                <w:bCs/>
                <w:color w:val="000000"/>
                <w:sz w:val="20"/>
                <w:szCs w:val="20"/>
              </w:rPr>
            </w:pPr>
            <w:r>
              <w:rPr>
                <w:rFonts w:cs="Calibri"/>
                <w:bCs/>
                <w:color w:val="000000"/>
                <w:sz w:val="20"/>
                <w:szCs w:val="20"/>
              </w:rPr>
              <w:t>Bio-Safety Act, 2006</w:t>
            </w:r>
          </w:p>
        </w:tc>
        <w:tc>
          <w:tcPr>
            <w:tcW w:w="3119" w:type="dxa"/>
          </w:tcPr>
          <w:p w14:paraId="68091D93" w14:textId="77777777" w:rsidR="00CF33D9" w:rsidRDefault="00E3332A">
            <w:pPr>
              <w:tabs>
                <w:tab w:val="left" w:pos="449"/>
              </w:tabs>
              <w:spacing w:line="220" w:lineRule="exact"/>
              <w:jc w:val="both"/>
              <w:rPr>
                <w:rFonts w:cs="Calibri"/>
                <w:bCs/>
                <w:color w:val="000000"/>
                <w:sz w:val="20"/>
                <w:szCs w:val="20"/>
              </w:rPr>
            </w:pPr>
            <w:r>
              <w:rPr>
                <w:rFonts w:cs="Calibri"/>
                <w:bCs/>
                <w:color w:val="000000"/>
                <w:sz w:val="20"/>
                <w:szCs w:val="20"/>
              </w:rPr>
              <w:t>Sea Shore Act, 1935</w:t>
            </w:r>
          </w:p>
        </w:tc>
      </w:tr>
      <w:tr w:rsidR="00CF33D9" w14:paraId="68091D9B" w14:textId="77777777">
        <w:tc>
          <w:tcPr>
            <w:tcW w:w="1696" w:type="dxa"/>
            <w:vMerge/>
          </w:tcPr>
          <w:p w14:paraId="68091D95" w14:textId="77777777" w:rsidR="00CF33D9" w:rsidRDefault="00CF33D9">
            <w:pPr>
              <w:spacing w:line="220" w:lineRule="exact"/>
              <w:jc w:val="both"/>
              <w:rPr>
                <w:rFonts w:cs="Calibri"/>
                <w:b/>
                <w:color w:val="000000"/>
                <w:sz w:val="20"/>
                <w:szCs w:val="20"/>
              </w:rPr>
            </w:pPr>
          </w:p>
        </w:tc>
        <w:tc>
          <w:tcPr>
            <w:tcW w:w="2835" w:type="dxa"/>
          </w:tcPr>
          <w:p w14:paraId="68091D96" w14:textId="77777777" w:rsidR="00CF33D9" w:rsidRDefault="00E3332A">
            <w:pPr>
              <w:spacing w:line="220" w:lineRule="exact"/>
              <w:jc w:val="both"/>
              <w:rPr>
                <w:rFonts w:cs="Calibri"/>
                <w:bCs/>
                <w:color w:val="000000"/>
                <w:sz w:val="20"/>
                <w:szCs w:val="20"/>
              </w:rPr>
            </w:pPr>
            <w:r>
              <w:rPr>
                <w:rFonts w:cs="Calibri"/>
                <w:bCs/>
                <w:color w:val="000000"/>
                <w:sz w:val="20"/>
                <w:szCs w:val="20"/>
              </w:rPr>
              <w:t>Decree No’s 39/05 &amp;</w:t>
            </w:r>
          </w:p>
          <w:p w14:paraId="68091D97" w14:textId="77777777" w:rsidR="00CF33D9" w:rsidRDefault="00E3332A">
            <w:pPr>
              <w:spacing w:line="220" w:lineRule="exact"/>
              <w:jc w:val="both"/>
              <w:rPr>
                <w:rFonts w:cs="Calibri"/>
                <w:bCs/>
                <w:color w:val="000000"/>
                <w:sz w:val="20"/>
                <w:szCs w:val="20"/>
              </w:rPr>
            </w:pPr>
            <w:r>
              <w:rPr>
                <w:rFonts w:cs="Calibri"/>
                <w:bCs/>
                <w:color w:val="000000"/>
                <w:sz w:val="20"/>
                <w:szCs w:val="20"/>
              </w:rPr>
              <w:t>40/06</w:t>
            </w:r>
          </w:p>
        </w:tc>
        <w:tc>
          <w:tcPr>
            <w:tcW w:w="2835" w:type="dxa"/>
          </w:tcPr>
          <w:p w14:paraId="68091D98" w14:textId="77777777" w:rsidR="00CF33D9" w:rsidRDefault="00E3332A">
            <w:pPr>
              <w:spacing w:line="220" w:lineRule="exact"/>
              <w:jc w:val="both"/>
              <w:rPr>
                <w:rFonts w:cs="Calibri"/>
                <w:bCs/>
                <w:color w:val="000000"/>
                <w:sz w:val="20"/>
                <w:szCs w:val="20"/>
              </w:rPr>
            </w:pPr>
            <w:r>
              <w:rPr>
                <w:rFonts w:cs="Calibri"/>
                <w:bCs/>
                <w:color w:val="000000"/>
                <w:sz w:val="20"/>
                <w:szCs w:val="20"/>
              </w:rPr>
              <w:t>Namibia’s Aquaculture</w:t>
            </w:r>
          </w:p>
          <w:p w14:paraId="68091D99" w14:textId="77777777" w:rsidR="00CF33D9" w:rsidRDefault="00E3332A">
            <w:pPr>
              <w:spacing w:line="220" w:lineRule="exact"/>
              <w:jc w:val="both"/>
              <w:rPr>
                <w:rFonts w:cs="Calibri"/>
                <w:bCs/>
                <w:color w:val="000000"/>
                <w:sz w:val="20"/>
                <w:szCs w:val="20"/>
              </w:rPr>
            </w:pPr>
            <w:r>
              <w:rPr>
                <w:rFonts w:cs="Calibri"/>
                <w:bCs/>
                <w:color w:val="000000"/>
                <w:sz w:val="20"/>
                <w:szCs w:val="20"/>
              </w:rPr>
              <w:t>Policy</w:t>
            </w:r>
          </w:p>
        </w:tc>
        <w:tc>
          <w:tcPr>
            <w:tcW w:w="3119" w:type="dxa"/>
          </w:tcPr>
          <w:p w14:paraId="68091D9A" w14:textId="77777777" w:rsidR="00CF33D9" w:rsidRDefault="00E3332A">
            <w:pPr>
              <w:tabs>
                <w:tab w:val="left" w:pos="449"/>
              </w:tabs>
              <w:spacing w:line="220" w:lineRule="exact"/>
              <w:jc w:val="both"/>
              <w:rPr>
                <w:rFonts w:cs="Calibri"/>
                <w:bCs/>
                <w:color w:val="000000"/>
                <w:sz w:val="20"/>
                <w:szCs w:val="20"/>
              </w:rPr>
            </w:pPr>
            <w:r>
              <w:rPr>
                <w:rFonts w:cs="Calibri"/>
                <w:bCs/>
                <w:color w:val="000000"/>
                <w:sz w:val="20"/>
                <w:szCs w:val="20"/>
              </w:rPr>
              <w:t>Fisheries Regulations, 1998</w:t>
            </w:r>
          </w:p>
        </w:tc>
      </w:tr>
      <w:tr w:rsidR="00CF33D9" w14:paraId="68091DA4" w14:textId="77777777">
        <w:tc>
          <w:tcPr>
            <w:tcW w:w="1696" w:type="dxa"/>
            <w:vMerge/>
          </w:tcPr>
          <w:p w14:paraId="68091D9C" w14:textId="77777777" w:rsidR="00CF33D9" w:rsidRDefault="00CF33D9">
            <w:pPr>
              <w:spacing w:line="220" w:lineRule="exact"/>
              <w:jc w:val="both"/>
              <w:rPr>
                <w:rFonts w:cs="Calibri"/>
                <w:b/>
                <w:color w:val="000000"/>
                <w:sz w:val="20"/>
                <w:szCs w:val="20"/>
              </w:rPr>
            </w:pPr>
          </w:p>
        </w:tc>
        <w:tc>
          <w:tcPr>
            <w:tcW w:w="2835" w:type="dxa"/>
          </w:tcPr>
          <w:p w14:paraId="68091D9D" w14:textId="77777777" w:rsidR="00CF33D9" w:rsidRDefault="00E3332A">
            <w:pPr>
              <w:spacing w:line="220" w:lineRule="exact"/>
              <w:jc w:val="both"/>
              <w:rPr>
                <w:rFonts w:cs="Calibri"/>
                <w:bCs/>
                <w:color w:val="000000"/>
                <w:sz w:val="20"/>
                <w:szCs w:val="20"/>
              </w:rPr>
            </w:pPr>
            <w:r>
              <w:rPr>
                <w:rFonts w:cs="Calibri"/>
                <w:bCs/>
                <w:color w:val="000000"/>
                <w:sz w:val="20"/>
                <w:szCs w:val="20"/>
              </w:rPr>
              <w:t>Decree No 9/06</w:t>
            </w:r>
          </w:p>
        </w:tc>
        <w:tc>
          <w:tcPr>
            <w:tcW w:w="2835" w:type="dxa"/>
          </w:tcPr>
          <w:p w14:paraId="68091D9E" w14:textId="77777777" w:rsidR="00CF33D9" w:rsidRDefault="00E3332A">
            <w:pPr>
              <w:spacing w:line="220" w:lineRule="exact"/>
              <w:jc w:val="both"/>
              <w:rPr>
                <w:rFonts w:cs="Calibri"/>
                <w:bCs/>
                <w:color w:val="000000"/>
                <w:sz w:val="20"/>
                <w:szCs w:val="20"/>
              </w:rPr>
            </w:pPr>
            <w:r>
              <w:rPr>
                <w:rFonts w:cs="Calibri"/>
                <w:bCs/>
                <w:color w:val="000000"/>
                <w:sz w:val="20"/>
                <w:szCs w:val="20"/>
              </w:rPr>
              <w:t>Towards the Responsible</w:t>
            </w:r>
          </w:p>
          <w:p w14:paraId="68091D9F" w14:textId="77777777" w:rsidR="00CF33D9" w:rsidRDefault="00E3332A">
            <w:pPr>
              <w:spacing w:line="220" w:lineRule="exact"/>
              <w:jc w:val="both"/>
              <w:rPr>
                <w:rFonts w:cs="Calibri"/>
                <w:bCs/>
                <w:color w:val="000000"/>
                <w:sz w:val="20"/>
                <w:szCs w:val="20"/>
              </w:rPr>
            </w:pPr>
            <w:r>
              <w:rPr>
                <w:rFonts w:cs="Calibri"/>
                <w:bCs/>
                <w:color w:val="000000"/>
                <w:sz w:val="20"/>
                <w:szCs w:val="20"/>
              </w:rPr>
              <w:t>Development of</w:t>
            </w:r>
          </w:p>
          <w:p w14:paraId="68091DA0" w14:textId="77777777" w:rsidR="00CF33D9" w:rsidRDefault="00E3332A">
            <w:pPr>
              <w:spacing w:line="220" w:lineRule="exact"/>
              <w:jc w:val="both"/>
              <w:rPr>
                <w:rFonts w:cs="Calibri"/>
                <w:bCs/>
                <w:color w:val="000000"/>
                <w:sz w:val="20"/>
                <w:szCs w:val="20"/>
              </w:rPr>
            </w:pPr>
            <w:r>
              <w:rPr>
                <w:rFonts w:cs="Calibri"/>
                <w:bCs/>
                <w:color w:val="000000"/>
                <w:sz w:val="20"/>
                <w:szCs w:val="20"/>
              </w:rPr>
              <w:t>Aquaculture, 2001</w:t>
            </w:r>
          </w:p>
        </w:tc>
        <w:tc>
          <w:tcPr>
            <w:tcW w:w="3119" w:type="dxa"/>
          </w:tcPr>
          <w:p w14:paraId="68091DA1" w14:textId="77777777" w:rsidR="00CF33D9" w:rsidRDefault="00E3332A">
            <w:pPr>
              <w:tabs>
                <w:tab w:val="left" w:pos="449"/>
              </w:tabs>
              <w:spacing w:line="220" w:lineRule="exact"/>
              <w:jc w:val="both"/>
              <w:rPr>
                <w:rFonts w:cs="Calibri"/>
                <w:bCs/>
                <w:color w:val="000000"/>
                <w:sz w:val="20"/>
                <w:szCs w:val="20"/>
              </w:rPr>
            </w:pPr>
            <w:r>
              <w:rPr>
                <w:rFonts w:cs="Calibri"/>
                <w:bCs/>
                <w:color w:val="000000"/>
                <w:sz w:val="20"/>
                <w:szCs w:val="20"/>
              </w:rPr>
              <w:t>Policy for the Development of a</w:t>
            </w:r>
          </w:p>
          <w:p w14:paraId="68091DA2" w14:textId="77777777" w:rsidR="00CF33D9" w:rsidRDefault="00E3332A">
            <w:pPr>
              <w:tabs>
                <w:tab w:val="left" w:pos="449"/>
              </w:tabs>
              <w:spacing w:line="220" w:lineRule="exact"/>
              <w:jc w:val="both"/>
              <w:rPr>
                <w:rFonts w:cs="Calibri"/>
                <w:bCs/>
                <w:color w:val="000000"/>
                <w:sz w:val="20"/>
                <w:szCs w:val="20"/>
              </w:rPr>
            </w:pPr>
            <w:r>
              <w:rPr>
                <w:rFonts w:cs="Calibri"/>
                <w:bCs/>
                <w:color w:val="000000"/>
                <w:sz w:val="20"/>
                <w:szCs w:val="20"/>
              </w:rPr>
              <w:t>Sustainable Marine Aquaculture</w:t>
            </w:r>
          </w:p>
          <w:p w14:paraId="68091DA3" w14:textId="77777777" w:rsidR="00CF33D9" w:rsidRDefault="00E3332A">
            <w:pPr>
              <w:tabs>
                <w:tab w:val="left" w:pos="449"/>
              </w:tabs>
              <w:spacing w:line="220" w:lineRule="exact"/>
              <w:jc w:val="both"/>
              <w:rPr>
                <w:rFonts w:cs="Calibri"/>
                <w:bCs/>
                <w:color w:val="000000"/>
                <w:sz w:val="20"/>
                <w:szCs w:val="20"/>
              </w:rPr>
            </w:pPr>
            <w:r>
              <w:rPr>
                <w:rFonts w:cs="Calibri"/>
                <w:bCs/>
                <w:color w:val="000000"/>
                <w:sz w:val="20"/>
                <w:szCs w:val="20"/>
              </w:rPr>
              <w:t>Sector</w:t>
            </w:r>
          </w:p>
        </w:tc>
      </w:tr>
      <w:tr w:rsidR="00CF33D9" w14:paraId="68091DAB" w14:textId="77777777">
        <w:tc>
          <w:tcPr>
            <w:tcW w:w="1696" w:type="dxa"/>
            <w:vMerge/>
          </w:tcPr>
          <w:p w14:paraId="68091DA5" w14:textId="77777777" w:rsidR="00CF33D9" w:rsidRDefault="00CF33D9">
            <w:pPr>
              <w:spacing w:line="220" w:lineRule="exact"/>
              <w:jc w:val="both"/>
              <w:rPr>
                <w:rFonts w:cs="Calibri"/>
                <w:b/>
                <w:color w:val="000000"/>
                <w:sz w:val="20"/>
                <w:szCs w:val="20"/>
              </w:rPr>
            </w:pPr>
          </w:p>
        </w:tc>
        <w:tc>
          <w:tcPr>
            <w:tcW w:w="2835" w:type="dxa"/>
          </w:tcPr>
          <w:p w14:paraId="68091DA6" w14:textId="77777777" w:rsidR="00CF33D9" w:rsidRDefault="00E3332A">
            <w:pPr>
              <w:spacing w:line="220" w:lineRule="exact"/>
              <w:jc w:val="both"/>
              <w:rPr>
                <w:rFonts w:cs="Calibri"/>
                <w:bCs/>
                <w:color w:val="000000"/>
                <w:sz w:val="20"/>
                <w:szCs w:val="20"/>
              </w:rPr>
            </w:pPr>
            <w:r>
              <w:rPr>
                <w:rFonts w:cs="Calibri"/>
                <w:bCs/>
                <w:color w:val="000000"/>
                <w:sz w:val="20"/>
                <w:szCs w:val="20"/>
              </w:rPr>
              <w:t>Aquatic Biological</w:t>
            </w:r>
          </w:p>
          <w:p w14:paraId="68091DA7" w14:textId="77777777" w:rsidR="00CF33D9" w:rsidRDefault="00E3332A">
            <w:pPr>
              <w:spacing w:line="220" w:lineRule="exact"/>
              <w:jc w:val="both"/>
              <w:rPr>
                <w:rFonts w:cs="Calibri"/>
                <w:bCs/>
                <w:color w:val="000000"/>
                <w:sz w:val="20"/>
                <w:szCs w:val="20"/>
              </w:rPr>
            </w:pPr>
            <w:r>
              <w:rPr>
                <w:rFonts w:cs="Calibri"/>
                <w:bCs/>
                <w:color w:val="000000"/>
                <w:sz w:val="20"/>
                <w:szCs w:val="20"/>
              </w:rPr>
              <w:t>Resources Act, 2005</w:t>
            </w:r>
          </w:p>
        </w:tc>
        <w:tc>
          <w:tcPr>
            <w:tcW w:w="2835" w:type="dxa"/>
          </w:tcPr>
          <w:p w14:paraId="68091DA8" w14:textId="77777777" w:rsidR="00CF33D9" w:rsidRDefault="00E3332A">
            <w:pPr>
              <w:spacing w:line="220" w:lineRule="exact"/>
              <w:jc w:val="both"/>
              <w:rPr>
                <w:rFonts w:cs="Calibri"/>
                <w:bCs/>
                <w:color w:val="000000"/>
                <w:sz w:val="20"/>
                <w:szCs w:val="20"/>
              </w:rPr>
            </w:pPr>
            <w:r>
              <w:rPr>
                <w:rFonts w:cs="Calibri"/>
                <w:bCs/>
                <w:color w:val="000000"/>
                <w:sz w:val="20"/>
                <w:szCs w:val="20"/>
              </w:rPr>
              <w:t>Dumping at Sea Control</w:t>
            </w:r>
          </w:p>
          <w:p w14:paraId="68091DA9" w14:textId="77777777" w:rsidR="00CF33D9" w:rsidRDefault="00E3332A">
            <w:pPr>
              <w:spacing w:line="220" w:lineRule="exact"/>
              <w:jc w:val="both"/>
              <w:rPr>
                <w:rFonts w:cs="Calibri"/>
                <w:bCs/>
                <w:color w:val="000000"/>
                <w:sz w:val="20"/>
                <w:szCs w:val="20"/>
              </w:rPr>
            </w:pPr>
            <w:r>
              <w:rPr>
                <w:rFonts w:cs="Calibri"/>
                <w:bCs/>
                <w:color w:val="000000"/>
                <w:sz w:val="20"/>
                <w:szCs w:val="20"/>
              </w:rPr>
              <w:t>Act, 1980</w:t>
            </w:r>
          </w:p>
        </w:tc>
        <w:tc>
          <w:tcPr>
            <w:tcW w:w="3119" w:type="dxa"/>
          </w:tcPr>
          <w:p w14:paraId="68091DAA" w14:textId="77777777" w:rsidR="00CF33D9" w:rsidRDefault="00E3332A">
            <w:pPr>
              <w:tabs>
                <w:tab w:val="left" w:pos="449"/>
              </w:tabs>
              <w:spacing w:line="220" w:lineRule="exact"/>
              <w:jc w:val="both"/>
              <w:rPr>
                <w:rFonts w:cs="Calibri"/>
                <w:bCs/>
                <w:color w:val="000000"/>
                <w:sz w:val="20"/>
                <w:szCs w:val="20"/>
              </w:rPr>
            </w:pPr>
            <w:r>
              <w:rPr>
                <w:rFonts w:cs="Calibri"/>
                <w:bCs/>
                <w:color w:val="000000"/>
                <w:sz w:val="20"/>
                <w:szCs w:val="20"/>
              </w:rPr>
              <w:t>Dumping at Sea Control Act, 1980</w:t>
            </w:r>
          </w:p>
        </w:tc>
      </w:tr>
      <w:tr w:rsidR="00CF33D9" w14:paraId="68091DB6" w14:textId="77777777">
        <w:tc>
          <w:tcPr>
            <w:tcW w:w="1696" w:type="dxa"/>
            <w:vMerge/>
          </w:tcPr>
          <w:p w14:paraId="68091DAC" w14:textId="77777777" w:rsidR="00CF33D9" w:rsidRDefault="00CF33D9">
            <w:pPr>
              <w:spacing w:line="220" w:lineRule="exact"/>
              <w:jc w:val="both"/>
              <w:rPr>
                <w:rFonts w:cs="Calibri"/>
                <w:b/>
                <w:color w:val="000000"/>
                <w:sz w:val="20"/>
                <w:szCs w:val="20"/>
              </w:rPr>
            </w:pPr>
          </w:p>
        </w:tc>
        <w:tc>
          <w:tcPr>
            <w:tcW w:w="2835" w:type="dxa"/>
          </w:tcPr>
          <w:p w14:paraId="68091DAD" w14:textId="77777777" w:rsidR="00CF33D9" w:rsidRDefault="00E3332A">
            <w:pPr>
              <w:spacing w:line="220" w:lineRule="exact"/>
              <w:jc w:val="both"/>
              <w:rPr>
                <w:rFonts w:cs="Calibri"/>
                <w:bCs/>
                <w:color w:val="000000"/>
                <w:sz w:val="20"/>
                <w:szCs w:val="20"/>
              </w:rPr>
            </w:pPr>
            <w:r>
              <w:rPr>
                <w:rFonts w:cs="Calibri"/>
                <w:bCs/>
                <w:color w:val="000000"/>
                <w:sz w:val="20"/>
                <w:szCs w:val="20"/>
              </w:rPr>
              <w:t>Oil Activities and</w:t>
            </w:r>
          </w:p>
          <w:p w14:paraId="68091DAE" w14:textId="77777777" w:rsidR="00CF33D9" w:rsidRDefault="00E3332A">
            <w:pPr>
              <w:spacing w:line="220" w:lineRule="exact"/>
              <w:jc w:val="both"/>
              <w:rPr>
                <w:rFonts w:cs="Calibri"/>
                <w:bCs/>
                <w:color w:val="000000"/>
                <w:sz w:val="20"/>
                <w:szCs w:val="20"/>
              </w:rPr>
            </w:pPr>
            <w:r>
              <w:rPr>
                <w:rFonts w:cs="Calibri"/>
                <w:bCs/>
                <w:color w:val="000000"/>
                <w:sz w:val="20"/>
                <w:szCs w:val="20"/>
              </w:rPr>
              <w:t>Environmental Protection</w:t>
            </w:r>
          </w:p>
          <w:p w14:paraId="68091DAF" w14:textId="77777777" w:rsidR="00CF33D9" w:rsidRDefault="00E3332A">
            <w:pPr>
              <w:spacing w:line="220" w:lineRule="exact"/>
              <w:jc w:val="both"/>
              <w:rPr>
                <w:rFonts w:cs="Calibri"/>
                <w:bCs/>
                <w:color w:val="000000"/>
                <w:sz w:val="20"/>
                <w:szCs w:val="20"/>
              </w:rPr>
            </w:pPr>
            <w:r>
              <w:rPr>
                <w:rFonts w:cs="Calibri"/>
                <w:bCs/>
                <w:color w:val="000000"/>
                <w:sz w:val="20"/>
                <w:szCs w:val="20"/>
              </w:rPr>
              <w:t>Law 39/00</w:t>
            </w:r>
          </w:p>
        </w:tc>
        <w:tc>
          <w:tcPr>
            <w:tcW w:w="2835" w:type="dxa"/>
          </w:tcPr>
          <w:p w14:paraId="68091DB0" w14:textId="77777777" w:rsidR="00CF33D9" w:rsidRDefault="00E3332A">
            <w:pPr>
              <w:spacing w:line="220" w:lineRule="exact"/>
              <w:jc w:val="both"/>
              <w:rPr>
                <w:rFonts w:cs="Calibri"/>
                <w:bCs/>
                <w:color w:val="000000"/>
                <w:sz w:val="20"/>
                <w:szCs w:val="20"/>
              </w:rPr>
            </w:pPr>
            <w:r>
              <w:rPr>
                <w:rFonts w:cs="Calibri"/>
                <w:bCs/>
                <w:color w:val="000000"/>
                <w:sz w:val="20"/>
                <w:szCs w:val="20"/>
              </w:rPr>
              <w:t>Prevention and</w:t>
            </w:r>
          </w:p>
          <w:p w14:paraId="68091DB1" w14:textId="77777777" w:rsidR="00CF33D9" w:rsidRDefault="00E3332A">
            <w:pPr>
              <w:spacing w:line="220" w:lineRule="exact"/>
              <w:jc w:val="both"/>
              <w:rPr>
                <w:rFonts w:cs="Calibri"/>
                <w:bCs/>
                <w:color w:val="000000"/>
                <w:sz w:val="20"/>
                <w:szCs w:val="20"/>
              </w:rPr>
            </w:pPr>
            <w:r>
              <w:rPr>
                <w:rFonts w:cs="Calibri"/>
                <w:bCs/>
                <w:color w:val="000000"/>
                <w:sz w:val="20"/>
                <w:szCs w:val="20"/>
              </w:rPr>
              <w:t>Combating for Pollution of</w:t>
            </w:r>
          </w:p>
          <w:p w14:paraId="68091DB2" w14:textId="77777777" w:rsidR="00CF33D9" w:rsidRDefault="00E3332A">
            <w:pPr>
              <w:spacing w:line="220" w:lineRule="exact"/>
              <w:jc w:val="both"/>
              <w:rPr>
                <w:rFonts w:cs="Calibri"/>
                <w:bCs/>
                <w:color w:val="000000"/>
                <w:sz w:val="20"/>
                <w:szCs w:val="20"/>
              </w:rPr>
            </w:pPr>
            <w:r>
              <w:rPr>
                <w:rFonts w:cs="Calibri"/>
                <w:bCs/>
                <w:color w:val="000000"/>
                <w:sz w:val="20"/>
                <w:szCs w:val="20"/>
              </w:rPr>
              <w:t>the Sea by Oil Act, 1981</w:t>
            </w:r>
          </w:p>
          <w:p w14:paraId="68091DB3" w14:textId="77777777" w:rsidR="00CF33D9" w:rsidRDefault="00E3332A">
            <w:pPr>
              <w:spacing w:line="220" w:lineRule="exact"/>
              <w:jc w:val="both"/>
              <w:rPr>
                <w:rFonts w:cs="Calibri"/>
                <w:bCs/>
                <w:color w:val="000000"/>
                <w:sz w:val="20"/>
                <w:szCs w:val="20"/>
              </w:rPr>
            </w:pPr>
            <w:r>
              <w:rPr>
                <w:rFonts w:cs="Calibri"/>
                <w:bCs/>
                <w:color w:val="000000"/>
                <w:sz w:val="20"/>
                <w:szCs w:val="20"/>
              </w:rPr>
              <w:t>and the Amendment Act,</w:t>
            </w:r>
          </w:p>
          <w:p w14:paraId="68091DB4" w14:textId="77777777" w:rsidR="00CF33D9" w:rsidRDefault="00E3332A">
            <w:pPr>
              <w:spacing w:line="220" w:lineRule="exact"/>
              <w:jc w:val="both"/>
              <w:rPr>
                <w:rFonts w:cs="Calibri"/>
                <w:bCs/>
                <w:color w:val="000000"/>
                <w:sz w:val="20"/>
                <w:szCs w:val="20"/>
              </w:rPr>
            </w:pPr>
            <w:r>
              <w:rPr>
                <w:rFonts w:cs="Calibri"/>
                <w:bCs/>
                <w:color w:val="000000"/>
                <w:sz w:val="20"/>
                <w:szCs w:val="20"/>
              </w:rPr>
              <w:t>1991</w:t>
            </w:r>
          </w:p>
        </w:tc>
        <w:tc>
          <w:tcPr>
            <w:tcW w:w="3119" w:type="dxa"/>
          </w:tcPr>
          <w:p w14:paraId="68091DB5" w14:textId="77777777" w:rsidR="00CF33D9" w:rsidRDefault="00E3332A">
            <w:pPr>
              <w:tabs>
                <w:tab w:val="left" w:pos="449"/>
              </w:tabs>
              <w:spacing w:line="220" w:lineRule="exact"/>
              <w:rPr>
                <w:rFonts w:cs="Calibri"/>
                <w:bCs/>
                <w:color w:val="000000"/>
                <w:sz w:val="20"/>
                <w:szCs w:val="20"/>
              </w:rPr>
            </w:pPr>
            <w:r>
              <w:rPr>
                <w:rFonts w:cs="Calibri"/>
                <w:bCs/>
                <w:color w:val="000000"/>
                <w:sz w:val="20"/>
                <w:szCs w:val="20"/>
              </w:rPr>
              <w:t>Marine Pollution (Control and Civil Liability) Act, 1981 including Regulations Relating to the Prevention and Combating of Pollution at Sea by Oil of 1984</w:t>
            </w:r>
          </w:p>
        </w:tc>
      </w:tr>
      <w:tr w:rsidR="00CF33D9" w14:paraId="68091DBC" w14:textId="77777777">
        <w:tc>
          <w:tcPr>
            <w:tcW w:w="1696" w:type="dxa"/>
            <w:vMerge/>
          </w:tcPr>
          <w:p w14:paraId="68091DB7" w14:textId="77777777" w:rsidR="00CF33D9" w:rsidRDefault="00CF33D9">
            <w:pPr>
              <w:spacing w:line="220" w:lineRule="exact"/>
              <w:jc w:val="both"/>
              <w:rPr>
                <w:rFonts w:cs="Calibri"/>
                <w:b/>
                <w:color w:val="000000"/>
                <w:sz w:val="20"/>
                <w:szCs w:val="20"/>
              </w:rPr>
            </w:pPr>
          </w:p>
        </w:tc>
        <w:tc>
          <w:tcPr>
            <w:tcW w:w="2835" w:type="dxa"/>
          </w:tcPr>
          <w:p w14:paraId="68091DB8" w14:textId="77777777" w:rsidR="00CF33D9" w:rsidRDefault="00E3332A">
            <w:pPr>
              <w:spacing w:line="220" w:lineRule="exact"/>
              <w:jc w:val="both"/>
              <w:rPr>
                <w:rFonts w:cs="Calibri"/>
                <w:bCs/>
                <w:color w:val="000000"/>
                <w:sz w:val="20"/>
                <w:szCs w:val="20"/>
              </w:rPr>
            </w:pPr>
            <w:r>
              <w:rPr>
                <w:rFonts w:cs="Calibri"/>
                <w:bCs/>
                <w:color w:val="000000"/>
                <w:sz w:val="20"/>
                <w:szCs w:val="20"/>
              </w:rPr>
              <w:t>Decree 495/73</w:t>
            </w:r>
          </w:p>
        </w:tc>
        <w:tc>
          <w:tcPr>
            <w:tcW w:w="2835" w:type="dxa"/>
          </w:tcPr>
          <w:p w14:paraId="68091DB9" w14:textId="77777777" w:rsidR="00CF33D9" w:rsidRDefault="00E3332A">
            <w:pPr>
              <w:spacing w:line="220" w:lineRule="exact"/>
              <w:jc w:val="both"/>
              <w:rPr>
                <w:rFonts w:cs="Calibri"/>
                <w:bCs/>
                <w:color w:val="000000"/>
                <w:sz w:val="20"/>
                <w:szCs w:val="20"/>
              </w:rPr>
            </w:pPr>
            <w:r>
              <w:rPr>
                <w:rFonts w:cs="Calibri"/>
                <w:bCs/>
                <w:color w:val="000000"/>
                <w:sz w:val="20"/>
                <w:szCs w:val="20"/>
              </w:rPr>
              <w:t>Namibian Ports Authority</w:t>
            </w:r>
          </w:p>
          <w:p w14:paraId="68091DBA" w14:textId="77777777" w:rsidR="00CF33D9" w:rsidRDefault="00E3332A">
            <w:pPr>
              <w:spacing w:line="220" w:lineRule="exact"/>
              <w:jc w:val="both"/>
              <w:rPr>
                <w:rFonts w:cs="Calibri"/>
                <w:bCs/>
                <w:color w:val="000000"/>
                <w:sz w:val="20"/>
                <w:szCs w:val="20"/>
              </w:rPr>
            </w:pPr>
            <w:r>
              <w:rPr>
                <w:rFonts w:cs="Calibri"/>
                <w:bCs/>
                <w:color w:val="000000"/>
                <w:sz w:val="20"/>
                <w:szCs w:val="20"/>
              </w:rPr>
              <w:t>Act, 1994</w:t>
            </w:r>
          </w:p>
        </w:tc>
        <w:tc>
          <w:tcPr>
            <w:tcW w:w="3119" w:type="dxa"/>
          </w:tcPr>
          <w:p w14:paraId="68091DBB" w14:textId="77777777" w:rsidR="00CF33D9" w:rsidRDefault="00E3332A">
            <w:pPr>
              <w:tabs>
                <w:tab w:val="left" w:pos="449"/>
              </w:tabs>
              <w:spacing w:line="220" w:lineRule="exact"/>
              <w:rPr>
                <w:rFonts w:cs="Calibri"/>
                <w:bCs/>
                <w:color w:val="000000"/>
                <w:sz w:val="20"/>
                <w:szCs w:val="20"/>
              </w:rPr>
            </w:pPr>
            <w:r>
              <w:rPr>
                <w:rFonts w:cs="Calibri"/>
                <w:bCs/>
                <w:color w:val="000000"/>
                <w:sz w:val="20"/>
                <w:szCs w:val="20"/>
              </w:rPr>
              <w:t>Marine Pollution Intervention Act, 1987</w:t>
            </w:r>
          </w:p>
        </w:tc>
      </w:tr>
      <w:tr w:rsidR="00CF33D9" w14:paraId="68091DC2" w14:textId="77777777">
        <w:tc>
          <w:tcPr>
            <w:tcW w:w="1696" w:type="dxa"/>
            <w:vMerge/>
          </w:tcPr>
          <w:p w14:paraId="68091DBD" w14:textId="77777777" w:rsidR="00CF33D9" w:rsidRDefault="00CF33D9">
            <w:pPr>
              <w:spacing w:line="220" w:lineRule="exact"/>
              <w:jc w:val="both"/>
              <w:rPr>
                <w:rFonts w:cs="Calibri"/>
                <w:b/>
                <w:color w:val="000000"/>
                <w:sz w:val="20"/>
                <w:szCs w:val="20"/>
              </w:rPr>
            </w:pPr>
          </w:p>
        </w:tc>
        <w:tc>
          <w:tcPr>
            <w:tcW w:w="2835" w:type="dxa"/>
          </w:tcPr>
          <w:p w14:paraId="68091DBE" w14:textId="77777777" w:rsidR="00CF33D9" w:rsidRDefault="00E3332A">
            <w:pPr>
              <w:spacing w:line="220" w:lineRule="exact"/>
              <w:jc w:val="both"/>
              <w:rPr>
                <w:rFonts w:cs="Calibri"/>
                <w:bCs/>
                <w:color w:val="000000"/>
                <w:sz w:val="20"/>
                <w:szCs w:val="20"/>
              </w:rPr>
            </w:pPr>
            <w:r>
              <w:rPr>
                <w:rFonts w:cs="Calibri"/>
                <w:bCs/>
                <w:color w:val="000000"/>
                <w:sz w:val="20"/>
                <w:szCs w:val="20"/>
              </w:rPr>
              <w:t>Decree 412/70</w:t>
            </w:r>
          </w:p>
        </w:tc>
        <w:tc>
          <w:tcPr>
            <w:tcW w:w="2835" w:type="dxa"/>
          </w:tcPr>
          <w:p w14:paraId="68091DBF" w14:textId="77777777" w:rsidR="00CF33D9" w:rsidRDefault="00E3332A">
            <w:pPr>
              <w:spacing w:line="220" w:lineRule="exact"/>
              <w:jc w:val="both"/>
              <w:rPr>
                <w:rFonts w:cs="Calibri"/>
                <w:bCs/>
                <w:color w:val="000000"/>
                <w:sz w:val="20"/>
                <w:szCs w:val="20"/>
              </w:rPr>
            </w:pPr>
            <w:r>
              <w:rPr>
                <w:rFonts w:cs="Calibri"/>
                <w:bCs/>
                <w:color w:val="000000"/>
                <w:sz w:val="20"/>
                <w:szCs w:val="20"/>
              </w:rPr>
              <w:t>Merchant Shipping Act,</w:t>
            </w:r>
          </w:p>
          <w:p w14:paraId="68091DC0" w14:textId="77777777" w:rsidR="00CF33D9" w:rsidRDefault="00E3332A">
            <w:pPr>
              <w:spacing w:line="220" w:lineRule="exact"/>
              <w:jc w:val="both"/>
              <w:rPr>
                <w:rFonts w:cs="Calibri"/>
                <w:bCs/>
                <w:color w:val="000000"/>
                <w:sz w:val="20"/>
                <w:szCs w:val="20"/>
              </w:rPr>
            </w:pPr>
            <w:r>
              <w:rPr>
                <w:rFonts w:cs="Calibri"/>
                <w:bCs/>
                <w:color w:val="000000"/>
                <w:sz w:val="20"/>
                <w:szCs w:val="20"/>
              </w:rPr>
              <w:t>1991</w:t>
            </w:r>
          </w:p>
        </w:tc>
        <w:tc>
          <w:tcPr>
            <w:tcW w:w="3119" w:type="dxa"/>
          </w:tcPr>
          <w:p w14:paraId="68091DC1" w14:textId="77777777" w:rsidR="00CF33D9" w:rsidRDefault="00E3332A">
            <w:pPr>
              <w:tabs>
                <w:tab w:val="left" w:pos="449"/>
              </w:tabs>
              <w:spacing w:line="220" w:lineRule="exact"/>
              <w:rPr>
                <w:rFonts w:cs="Calibri"/>
                <w:bCs/>
                <w:color w:val="000000"/>
                <w:sz w:val="20"/>
                <w:szCs w:val="20"/>
              </w:rPr>
            </w:pPr>
            <w:r>
              <w:rPr>
                <w:rFonts w:cs="Calibri"/>
                <w:bCs/>
                <w:color w:val="000000"/>
                <w:sz w:val="20"/>
                <w:szCs w:val="20"/>
              </w:rPr>
              <w:t>Merchant Shipping Act, 1951</w:t>
            </w:r>
          </w:p>
        </w:tc>
      </w:tr>
    </w:tbl>
    <w:p w14:paraId="68091DC3" w14:textId="77777777" w:rsidR="00CF33D9" w:rsidRDefault="00CF33D9">
      <w:pPr>
        <w:spacing w:line="276" w:lineRule="auto"/>
        <w:jc w:val="both"/>
        <w:rPr>
          <w:rFonts w:ascii="Calibri" w:hAnsi="Calibri" w:cs="Calibri"/>
          <w:bCs/>
          <w:color w:val="000000"/>
          <w:sz w:val="20"/>
          <w:szCs w:val="20"/>
          <w:u w:val="single"/>
        </w:rPr>
      </w:pPr>
    </w:p>
    <w:p w14:paraId="68091DC4" w14:textId="77777777" w:rsidR="00CF33D9" w:rsidRDefault="00CF33D9">
      <w:pPr>
        <w:rPr>
          <w:rFonts w:ascii="Calibri" w:hAnsi="Calibri" w:cs="Calibri"/>
          <w:sz w:val="20"/>
          <w:szCs w:val="20"/>
        </w:rPr>
      </w:pPr>
      <w:bookmarkStart w:id="62" w:name="_Toc163750593"/>
    </w:p>
    <w:p w14:paraId="68091DC5" w14:textId="77777777" w:rsidR="00CF33D9" w:rsidRDefault="00E3332A">
      <w:pPr>
        <w:rPr>
          <w:rFonts w:ascii="Calibri" w:hAnsi="Calibri" w:cs="Calibri"/>
          <w:sz w:val="20"/>
          <w:szCs w:val="20"/>
        </w:rPr>
      </w:pPr>
      <w:r>
        <w:rPr>
          <w:rFonts w:ascii="Calibri" w:hAnsi="Calibri" w:cs="Calibri"/>
          <w:sz w:val="20"/>
          <w:szCs w:val="20"/>
        </w:rPr>
        <w:t>3.4</w:t>
      </w:r>
      <w:r>
        <w:rPr>
          <w:rFonts w:ascii="Calibri" w:hAnsi="Calibri" w:cs="Calibri"/>
          <w:sz w:val="20"/>
          <w:szCs w:val="20"/>
        </w:rPr>
        <w:tab/>
        <w:t>Gaps in Policy Framework</w:t>
      </w:r>
      <w:bookmarkEnd w:id="62"/>
    </w:p>
    <w:p w14:paraId="68091DC6" w14:textId="77777777" w:rsidR="00CF33D9" w:rsidRDefault="00CF33D9">
      <w:pPr>
        <w:jc w:val="both"/>
        <w:rPr>
          <w:rFonts w:ascii="Calibri" w:hAnsi="Calibri" w:cs="Calibri"/>
          <w:sz w:val="20"/>
          <w:szCs w:val="20"/>
        </w:rPr>
      </w:pPr>
    </w:p>
    <w:p w14:paraId="68091DC7" w14:textId="77777777" w:rsidR="00CF33D9" w:rsidRDefault="00E3332A">
      <w:pPr>
        <w:jc w:val="both"/>
        <w:rPr>
          <w:rFonts w:ascii="Calibri" w:hAnsi="Calibri" w:cs="Calibri"/>
          <w:sz w:val="20"/>
          <w:szCs w:val="20"/>
        </w:rPr>
      </w:pPr>
      <w:r>
        <w:rPr>
          <w:rFonts w:ascii="Calibri" w:hAnsi="Calibri" w:cs="Calibri"/>
          <w:sz w:val="20"/>
          <w:szCs w:val="20"/>
        </w:rPr>
        <w:lastRenderedPageBreak/>
        <w:t xml:space="preserve">Further analysis of the legal and policy frameworks that apply to the project will be completed during the implementation of this ESMF (i.e., during the completion of ESIAs and/or targeted assessment). For the purpose of this ESMF, a high-level assessment of the legal and policy frameworks that apply to the project has been undertaken. </w:t>
      </w:r>
    </w:p>
    <w:p w14:paraId="68091DC8" w14:textId="77777777" w:rsidR="00CF33D9" w:rsidRDefault="00CF33D9">
      <w:pPr>
        <w:jc w:val="both"/>
        <w:rPr>
          <w:rFonts w:ascii="Calibri" w:hAnsi="Calibri" w:cs="Calibri"/>
          <w:sz w:val="20"/>
          <w:szCs w:val="20"/>
        </w:rPr>
        <w:sectPr w:rsidR="00CF33D9">
          <w:pgSz w:w="12240" w:h="15840"/>
          <w:pgMar w:top="1440" w:right="1440" w:bottom="1440" w:left="1440" w:header="708" w:footer="708" w:gutter="0"/>
          <w:cols w:space="708"/>
          <w:docGrid w:linePitch="360"/>
        </w:sectPr>
      </w:pPr>
    </w:p>
    <w:p w14:paraId="68091DC9" w14:textId="77777777" w:rsidR="00CF33D9" w:rsidRDefault="00E3332A">
      <w:pPr>
        <w:jc w:val="both"/>
        <w:rPr>
          <w:rFonts w:ascii="Calibri" w:hAnsi="Calibri" w:cs="Calibri"/>
          <w:b/>
          <w:bCs/>
          <w:i/>
          <w:iCs/>
          <w:sz w:val="20"/>
          <w:szCs w:val="20"/>
        </w:rPr>
      </w:pPr>
      <w:r>
        <w:rPr>
          <w:rFonts w:ascii="Calibri" w:hAnsi="Calibri" w:cs="Calibri"/>
          <w:b/>
          <w:bCs/>
          <w:i/>
          <w:iCs/>
          <w:sz w:val="20"/>
          <w:szCs w:val="20"/>
        </w:rPr>
        <w:lastRenderedPageBreak/>
        <w:t xml:space="preserve">Table 5: </w:t>
      </w:r>
      <w:r>
        <w:rPr>
          <w:rFonts w:ascii="Calibri" w:hAnsi="Calibri" w:cs="Calibri"/>
          <w:i/>
          <w:iCs/>
          <w:sz w:val="20"/>
          <w:szCs w:val="20"/>
        </w:rPr>
        <w:t>Summary of safeguards legal and policy framework</w:t>
      </w:r>
    </w:p>
    <w:p w14:paraId="68091DCA" w14:textId="77777777" w:rsidR="00CF33D9" w:rsidRDefault="00CF33D9">
      <w:pPr>
        <w:jc w:val="both"/>
        <w:rPr>
          <w:rFonts w:ascii="Calibri" w:hAnsi="Calibri" w:cs="Calibri"/>
          <w:b/>
          <w:bCs/>
          <w:sz w:val="20"/>
          <w:szCs w:val="20"/>
        </w:rPr>
      </w:pPr>
    </w:p>
    <w:tbl>
      <w:tblPr>
        <w:tblStyle w:val="TableGrid"/>
        <w:tblW w:w="15617" w:type="dxa"/>
        <w:tblInd w:w="-1281" w:type="dxa"/>
        <w:tblLook w:val="04A0" w:firstRow="1" w:lastRow="0" w:firstColumn="1" w:lastColumn="0" w:noHBand="0" w:noVBand="1"/>
      </w:tblPr>
      <w:tblGrid>
        <w:gridCol w:w="2610"/>
        <w:gridCol w:w="1005"/>
        <w:gridCol w:w="2946"/>
        <w:gridCol w:w="3612"/>
        <w:gridCol w:w="2956"/>
        <w:gridCol w:w="2488"/>
      </w:tblGrid>
      <w:tr w:rsidR="00CF33D9" w14:paraId="68091DCF" w14:textId="77777777">
        <w:trPr>
          <w:tblHeader/>
        </w:trPr>
        <w:tc>
          <w:tcPr>
            <w:tcW w:w="2623" w:type="dxa"/>
            <w:vMerge w:val="restart"/>
            <w:shd w:val="clear" w:color="auto" w:fill="9CC2E5" w:themeFill="accent1" w:themeFillTint="99"/>
          </w:tcPr>
          <w:p w14:paraId="68091DCB" w14:textId="77777777" w:rsidR="00CF33D9" w:rsidRDefault="00E3332A">
            <w:pPr>
              <w:spacing w:line="200" w:lineRule="exact"/>
              <w:jc w:val="both"/>
              <w:rPr>
                <w:rFonts w:cs="Calibri"/>
                <w:b/>
                <w:bCs/>
                <w:sz w:val="20"/>
                <w:szCs w:val="20"/>
              </w:rPr>
            </w:pPr>
            <w:r>
              <w:rPr>
                <w:rFonts w:cs="Calibri"/>
                <w:b/>
                <w:bCs/>
                <w:sz w:val="20"/>
                <w:szCs w:val="20"/>
              </w:rPr>
              <w:t>UNDP Framework’s SES requirements</w:t>
            </w:r>
          </w:p>
        </w:tc>
        <w:tc>
          <w:tcPr>
            <w:tcW w:w="926" w:type="dxa"/>
            <w:shd w:val="clear" w:color="auto" w:fill="9CC2E5" w:themeFill="accent1" w:themeFillTint="99"/>
          </w:tcPr>
          <w:p w14:paraId="68091DCC" w14:textId="77777777" w:rsidR="00CF33D9" w:rsidRDefault="00E3332A">
            <w:pPr>
              <w:spacing w:line="200" w:lineRule="exact"/>
              <w:jc w:val="center"/>
              <w:rPr>
                <w:rFonts w:cs="Calibri"/>
                <w:b/>
                <w:bCs/>
                <w:sz w:val="20"/>
                <w:szCs w:val="20"/>
              </w:rPr>
            </w:pPr>
            <w:r>
              <w:rPr>
                <w:rFonts w:cs="Calibri"/>
                <w:b/>
                <w:bCs/>
                <w:sz w:val="20"/>
                <w:szCs w:val="20"/>
              </w:rPr>
              <w:t>Triggered</w:t>
            </w:r>
          </w:p>
        </w:tc>
        <w:tc>
          <w:tcPr>
            <w:tcW w:w="9573" w:type="dxa"/>
            <w:gridSpan w:val="3"/>
            <w:shd w:val="clear" w:color="auto" w:fill="9CC2E5" w:themeFill="accent1" w:themeFillTint="99"/>
          </w:tcPr>
          <w:p w14:paraId="68091DCD" w14:textId="77777777" w:rsidR="00CF33D9" w:rsidRDefault="00E3332A">
            <w:pPr>
              <w:spacing w:line="200" w:lineRule="exact"/>
              <w:jc w:val="center"/>
              <w:rPr>
                <w:rFonts w:cs="Calibri"/>
                <w:b/>
                <w:bCs/>
                <w:sz w:val="20"/>
                <w:szCs w:val="20"/>
              </w:rPr>
            </w:pPr>
            <w:r>
              <w:rPr>
                <w:rFonts w:cs="Calibri"/>
                <w:b/>
                <w:bCs/>
                <w:sz w:val="20"/>
                <w:szCs w:val="20"/>
              </w:rPr>
              <w:t>Relevant National Policy and Legal Framework</w:t>
            </w:r>
          </w:p>
        </w:tc>
        <w:tc>
          <w:tcPr>
            <w:tcW w:w="2485" w:type="dxa"/>
            <w:shd w:val="clear" w:color="auto" w:fill="9CC2E5" w:themeFill="accent1" w:themeFillTint="99"/>
          </w:tcPr>
          <w:p w14:paraId="68091DCE" w14:textId="77777777" w:rsidR="00CF33D9" w:rsidRDefault="00E3332A">
            <w:pPr>
              <w:spacing w:line="200" w:lineRule="exact"/>
              <w:jc w:val="center"/>
              <w:rPr>
                <w:rFonts w:cs="Calibri"/>
                <w:b/>
                <w:bCs/>
                <w:sz w:val="20"/>
                <w:szCs w:val="20"/>
              </w:rPr>
            </w:pPr>
            <w:r>
              <w:rPr>
                <w:rFonts w:cs="Calibri"/>
                <w:b/>
                <w:bCs/>
                <w:sz w:val="20"/>
                <w:szCs w:val="20"/>
              </w:rPr>
              <w:t>Gaps</w:t>
            </w:r>
          </w:p>
        </w:tc>
      </w:tr>
      <w:tr w:rsidR="00CF33D9" w14:paraId="68091DD6" w14:textId="77777777">
        <w:trPr>
          <w:tblHeader/>
        </w:trPr>
        <w:tc>
          <w:tcPr>
            <w:tcW w:w="2623" w:type="dxa"/>
            <w:vMerge/>
            <w:shd w:val="clear" w:color="auto" w:fill="9CC2E5" w:themeFill="accent1" w:themeFillTint="99"/>
          </w:tcPr>
          <w:p w14:paraId="68091DD0" w14:textId="77777777" w:rsidR="00CF33D9" w:rsidRDefault="00CF33D9">
            <w:pPr>
              <w:spacing w:line="200" w:lineRule="exact"/>
              <w:jc w:val="both"/>
              <w:rPr>
                <w:rFonts w:cs="Calibri"/>
                <w:b/>
                <w:bCs/>
                <w:sz w:val="20"/>
                <w:szCs w:val="20"/>
              </w:rPr>
            </w:pPr>
          </w:p>
        </w:tc>
        <w:tc>
          <w:tcPr>
            <w:tcW w:w="926" w:type="dxa"/>
            <w:shd w:val="clear" w:color="auto" w:fill="9CC2E5" w:themeFill="accent1" w:themeFillTint="99"/>
          </w:tcPr>
          <w:p w14:paraId="68091DD1" w14:textId="77777777" w:rsidR="00CF33D9" w:rsidRDefault="00CF33D9">
            <w:pPr>
              <w:spacing w:line="200" w:lineRule="exact"/>
              <w:jc w:val="center"/>
              <w:rPr>
                <w:rFonts w:cs="Calibri"/>
                <w:b/>
                <w:bCs/>
                <w:sz w:val="20"/>
                <w:szCs w:val="20"/>
              </w:rPr>
            </w:pPr>
          </w:p>
        </w:tc>
        <w:tc>
          <w:tcPr>
            <w:tcW w:w="2963" w:type="dxa"/>
            <w:shd w:val="clear" w:color="auto" w:fill="9CC2E5" w:themeFill="accent1" w:themeFillTint="99"/>
          </w:tcPr>
          <w:p w14:paraId="68091DD2" w14:textId="77777777" w:rsidR="00CF33D9" w:rsidRDefault="00E3332A">
            <w:pPr>
              <w:spacing w:line="200" w:lineRule="exact"/>
              <w:jc w:val="center"/>
              <w:rPr>
                <w:rFonts w:cs="Calibri"/>
                <w:b/>
                <w:bCs/>
                <w:sz w:val="20"/>
                <w:szCs w:val="20"/>
              </w:rPr>
            </w:pPr>
            <w:r>
              <w:rPr>
                <w:rFonts w:cs="Calibri"/>
                <w:b/>
                <w:bCs/>
                <w:sz w:val="20"/>
                <w:szCs w:val="20"/>
              </w:rPr>
              <w:t>Angola</w:t>
            </w:r>
          </w:p>
        </w:tc>
        <w:tc>
          <w:tcPr>
            <w:tcW w:w="3637" w:type="dxa"/>
            <w:shd w:val="clear" w:color="auto" w:fill="9CC2E5" w:themeFill="accent1" w:themeFillTint="99"/>
          </w:tcPr>
          <w:p w14:paraId="68091DD3" w14:textId="77777777" w:rsidR="00CF33D9" w:rsidRDefault="00E3332A">
            <w:pPr>
              <w:spacing w:line="200" w:lineRule="exact"/>
              <w:jc w:val="center"/>
              <w:rPr>
                <w:rFonts w:cs="Calibri"/>
                <w:b/>
                <w:bCs/>
                <w:sz w:val="20"/>
                <w:szCs w:val="20"/>
              </w:rPr>
            </w:pPr>
            <w:r>
              <w:rPr>
                <w:rFonts w:cs="Calibri"/>
                <w:b/>
                <w:bCs/>
                <w:sz w:val="20"/>
                <w:szCs w:val="20"/>
              </w:rPr>
              <w:t>Namibia</w:t>
            </w:r>
          </w:p>
        </w:tc>
        <w:tc>
          <w:tcPr>
            <w:tcW w:w="2973" w:type="dxa"/>
            <w:shd w:val="clear" w:color="auto" w:fill="9CC2E5" w:themeFill="accent1" w:themeFillTint="99"/>
          </w:tcPr>
          <w:p w14:paraId="68091DD4" w14:textId="77777777" w:rsidR="00CF33D9" w:rsidRDefault="00E3332A">
            <w:pPr>
              <w:spacing w:line="200" w:lineRule="exact"/>
              <w:jc w:val="center"/>
              <w:rPr>
                <w:rFonts w:cs="Calibri"/>
                <w:b/>
                <w:bCs/>
                <w:sz w:val="20"/>
                <w:szCs w:val="20"/>
              </w:rPr>
            </w:pPr>
            <w:r>
              <w:rPr>
                <w:rFonts w:cs="Calibri"/>
                <w:b/>
                <w:bCs/>
                <w:sz w:val="20"/>
                <w:szCs w:val="20"/>
              </w:rPr>
              <w:t>South Africa</w:t>
            </w:r>
          </w:p>
        </w:tc>
        <w:tc>
          <w:tcPr>
            <w:tcW w:w="2485" w:type="dxa"/>
            <w:shd w:val="clear" w:color="auto" w:fill="9CC2E5" w:themeFill="accent1" w:themeFillTint="99"/>
          </w:tcPr>
          <w:p w14:paraId="68091DD5" w14:textId="77777777" w:rsidR="00CF33D9" w:rsidRDefault="00CF33D9">
            <w:pPr>
              <w:spacing w:line="200" w:lineRule="exact"/>
              <w:jc w:val="both"/>
              <w:rPr>
                <w:rFonts w:cs="Calibri"/>
                <w:b/>
                <w:bCs/>
                <w:sz w:val="20"/>
                <w:szCs w:val="20"/>
              </w:rPr>
            </w:pPr>
          </w:p>
        </w:tc>
      </w:tr>
      <w:tr w:rsidR="00CF33D9" w14:paraId="68091DD8" w14:textId="77777777">
        <w:tc>
          <w:tcPr>
            <w:tcW w:w="15617" w:type="dxa"/>
            <w:gridSpan w:val="6"/>
            <w:shd w:val="clear" w:color="auto" w:fill="DEEAF6" w:themeFill="accent1" w:themeFillTint="33"/>
          </w:tcPr>
          <w:p w14:paraId="68091DD7" w14:textId="77777777" w:rsidR="00CF33D9" w:rsidRDefault="00E3332A">
            <w:pPr>
              <w:spacing w:line="200" w:lineRule="exact"/>
              <w:jc w:val="both"/>
              <w:rPr>
                <w:rFonts w:cs="Calibri"/>
                <w:b/>
                <w:bCs/>
                <w:sz w:val="20"/>
                <w:szCs w:val="20"/>
              </w:rPr>
            </w:pPr>
            <w:r>
              <w:rPr>
                <w:rFonts w:cs="Calibri"/>
                <w:b/>
                <w:bCs/>
                <w:sz w:val="20"/>
                <w:szCs w:val="20"/>
              </w:rPr>
              <w:t>Programming Principles</w:t>
            </w:r>
          </w:p>
        </w:tc>
      </w:tr>
      <w:tr w:rsidR="00CF33D9" w14:paraId="68091DDA" w14:textId="77777777">
        <w:tc>
          <w:tcPr>
            <w:tcW w:w="15617" w:type="dxa"/>
            <w:gridSpan w:val="6"/>
            <w:shd w:val="clear" w:color="auto" w:fill="DEEAF6" w:themeFill="accent1" w:themeFillTint="33"/>
          </w:tcPr>
          <w:p w14:paraId="68091DD9" w14:textId="77777777" w:rsidR="00CF33D9" w:rsidRDefault="00E3332A">
            <w:pPr>
              <w:spacing w:line="200" w:lineRule="exact"/>
              <w:jc w:val="both"/>
              <w:rPr>
                <w:rFonts w:cs="Calibri"/>
                <w:b/>
                <w:bCs/>
                <w:sz w:val="20"/>
                <w:szCs w:val="20"/>
              </w:rPr>
            </w:pPr>
            <w:r>
              <w:rPr>
                <w:rFonts w:cs="Calibri"/>
                <w:b/>
                <w:bCs/>
                <w:sz w:val="20"/>
                <w:szCs w:val="20"/>
              </w:rPr>
              <w:t>Leave No One Behind</w:t>
            </w:r>
          </w:p>
        </w:tc>
      </w:tr>
      <w:tr w:rsidR="00CF33D9" w14:paraId="68091DE1" w14:textId="77777777">
        <w:tc>
          <w:tcPr>
            <w:tcW w:w="2623" w:type="dxa"/>
          </w:tcPr>
          <w:p w14:paraId="68091DDB" w14:textId="77777777" w:rsidR="00CF33D9" w:rsidRDefault="00E3332A">
            <w:pPr>
              <w:spacing w:line="200" w:lineRule="exact"/>
              <w:jc w:val="both"/>
              <w:rPr>
                <w:rFonts w:cs="Calibri"/>
                <w:sz w:val="20"/>
                <w:szCs w:val="20"/>
              </w:rPr>
            </w:pPr>
            <w:r>
              <w:rPr>
                <w:rFonts w:cs="Calibri"/>
                <w:sz w:val="20"/>
                <w:szCs w:val="20"/>
              </w:rPr>
              <w:t>Human Rights</w:t>
            </w:r>
          </w:p>
        </w:tc>
        <w:tc>
          <w:tcPr>
            <w:tcW w:w="926" w:type="dxa"/>
          </w:tcPr>
          <w:p w14:paraId="68091DDC" w14:textId="77777777" w:rsidR="00CF33D9" w:rsidRDefault="00E3332A">
            <w:pPr>
              <w:spacing w:line="200" w:lineRule="exact"/>
              <w:jc w:val="both"/>
              <w:rPr>
                <w:rFonts w:cs="Calibri"/>
                <w:bCs/>
                <w:color w:val="000000"/>
                <w:sz w:val="20"/>
                <w:szCs w:val="20"/>
              </w:rPr>
            </w:pPr>
            <w:r>
              <w:rPr>
                <w:rFonts w:cs="Calibri"/>
                <w:bCs/>
                <w:color w:val="000000"/>
                <w:sz w:val="20"/>
                <w:szCs w:val="20"/>
              </w:rPr>
              <w:t>Yes</w:t>
            </w:r>
          </w:p>
        </w:tc>
        <w:tc>
          <w:tcPr>
            <w:tcW w:w="2963" w:type="dxa"/>
          </w:tcPr>
          <w:p w14:paraId="68091DDD" w14:textId="77777777" w:rsidR="00CF33D9" w:rsidRDefault="00E3332A">
            <w:pPr>
              <w:spacing w:line="200" w:lineRule="exact"/>
              <w:jc w:val="both"/>
              <w:rPr>
                <w:rFonts w:cs="Calibri"/>
                <w:sz w:val="20"/>
                <w:szCs w:val="20"/>
              </w:rPr>
            </w:pPr>
            <w:r>
              <w:rPr>
                <w:rFonts w:cs="Calibri"/>
                <w:bCs/>
                <w:color w:val="000000"/>
                <w:sz w:val="20"/>
                <w:szCs w:val="20"/>
              </w:rPr>
              <w:t>Constitution of the Republic of Angola, 1992</w:t>
            </w:r>
          </w:p>
        </w:tc>
        <w:tc>
          <w:tcPr>
            <w:tcW w:w="3637" w:type="dxa"/>
          </w:tcPr>
          <w:p w14:paraId="68091DDE" w14:textId="77777777" w:rsidR="00CF33D9" w:rsidRDefault="00E3332A">
            <w:pPr>
              <w:spacing w:line="200" w:lineRule="exact"/>
              <w:jc w:val="both"/>
              <w:rPr>
                <w:rFonts w:cs="Calibri"/>
                <w:sz w:val="20"/>
                <w:szCs w:val="20"/>
              </w:rPr>
            </w:pPr>
            <w:r>
              <w:rPr>
                <w:rFonts w:cs="Calibri"/>
                <w:bCs/>
                <w:color w:val="000000"/>
                <w:sz w:val="20"/>
                <w:szCs w:val="20"/>
              </w:rPr>
              <w:t>Constitution of the Republic of Namibia, 1990</w:t>
            </w:r>
          </w:p>
        </w:tc>
        <w:tc>
          <w:tcPr>
            <w:tcW w:w="2973" w:type="dxa"/>
          </w:tcPr>
          <w:p w14:paraId="68091DDF" w14:textId="77777777" w:rsidR="00CF33D9" w:rsidRDefault="00E3332A">
            <w:pPr>
              <w:spacing w:line="200" w:lineRule="exact"/>
              <w:jc w:val="both"/>
              <w:rPr>
                <w:rFonts w:cs="Calibri"/>
                <w:sz w:val="20"/>
                <w:szCs w:val="20"/>
              </w:rPr>
            </w:pPr>
            <w:r>
              <w:rPr>
                <w:rFonts w:cs="Calibri"/>
                <w:bCs/>
                <w:color w:val="000000"/>
                <w:sz w:val="20"/>
                <w:szCs w:val="20"/>
              </w:rPr>
              <w:t>Constitution of the Republic of South Africa, 108 of 1996</w:t>
            </w:r>
          </w:p>
        </w:tc>
        <w:tc>
          <w:tcPr>
            <w:tcW w:w="2485" w:type="dxa"/>
          </w:tcPr>
          <w:p w14:paraId="68091DE0" w14:textId="77777777" w:rsidR="00CF33D9" w:rsidRDefault="00E3332A">
            <w:pPr>
              <w:spacing w:line="200" w:lineRule="exact"/>
              <w:jc w:val="both"/>
              <w:rPr>
                <w:rFonts w:cs="Calibri"/>
                <w:sz w:val="20"/>
                <w:szCs w:val="20"/>
              </w:rPr>
            </w:pPr>
            <w:r>
              <w:rPr>
                <w:rFonts w:cs="Calibri"/>
                <w:sz w:val="20"/>
                <w:szCs w:val="20"/>
              </w:rPr>
              <w:t xml:space="preserve">No Gap. </w:t>
            </w:r>
          </w:p>
        </w:tc>
      </w:tr>
      <w:tr w:rsidR="00CF33D9" w14:paraId="68091DF0" w14:textId="77777777">
        <w:tc>
          <w:tcPr>
            <w:tcW w:w="2623" w:type="dxa"/>
          </w:tcPr>
          <w:p w14:paraId="68091DE2" w14:textId="77777777" w:rsidR="00CF33D9" w:rsidRDefault="00E3332A">
            <w:pPr>
              <w:spacing w:line="200" w:lineRule="exact"/>
              <w:jc w:val="both"/>
              <w:rPr>
                <w:rFonts w:cs="Calibri"/>
                <w:sz w:val="20"/>
                <w:szCs w:val="20"/>
              </w:rPr>
            </w:pPr>
            <w:r>
              <w:rPr>
                <w:rFonts w:cs="Calibri"/>
                <w:sz w:val="20"/>
                <w:szCs w:val="20"/>
              </w:rPr>
              <w:t>Gender Equality and Women’s Empowerment</w:t>
            </w:r>
          </w:p>
        </w:tc>
        <w:tc>
          <w:tcPr>
            <w:tcW w:w="926" w:type="dxa"/>
          </w:tcPr>
          <w:p w14:paraId="68091DE3" w14:textId="77777777" w:rsidR="00CF33D9" w:rsidRDefault="00E3332A">
            <w:pPr>
              <w:spacing w:line="200" w:lineRule="exact"/>
              <w:jc w:val="both"/>
              <w:rPr>
                <w:rFonts w:cs="Calibri"/>
                <w:bCs/>
                <w:color w:val="000000"/>
                <w:sz w:val="20"/>
                <w:szCs w:val="20"/>
              </w:rPr>
            </w:pPr>
            <w:r>
              <w:rPr>
                <w:rFonts w:cs="Calibri"/>
                <w:bCs/>
                <w:color w:val="000000"/>
                <w:sz w:val="20"/>
                <w:szCs w:val="20"/>
              </w:rPr>
              <w:t>Yes</w:t>
            </w:r>
          </w:p>
        </w:tc>
        <w:tc>
          <w:tcPr>
            <w:tcW w:w="2963" w:type="dxa"/>
          </w:tcPr>
          <w:p w14:paraId="68091DE4" w14:textId="77777777" w:rsidR="00CF33D9" w:rsidRDefault="00E3332A">
            <w:pPr>
              <w:spacing w:line="200" w:lineRule="exact"/>
              <w:jc w:val="both"/>
              <w:rPr>
                <w:rFonts w:cs="Calibri"/>
                <w:bCs/>
                <w:color w:val="000000"/>
                <w:sz w:val="20"/>
                <w:szCs w:val="20"/>
              </w:rPr>
            </w:pPr>
            <w:r>
              <w:rPr>
                <w:rFonts w:cs="Calibri"/>
                <w:bCs/>
                <w:color w:val="000000"/>
                <w:sz w:val="20"/>
                <w:szCs w:val="20"/>
              </w:rPr>
              <w:t>Constitution of the Republic of Angola, 1992</w:t>
            </w:r>
          </w:p>
          <w:p w14:paraId="68091DE5" w14:textId="77777777" w:rsidR="00CF33D9" w:rsidRDefault="00E3332A">
            <w:pPr>
              <w:spacing w:line="200" w:lineRule="exact"/>
              <w:jc w:val="both"/>
              <w:rPr>
                <w:rFonts w:cs="Calibri"/>
                <w:bCs/>
                <w:color w:val="000000"/>
                <w:sz w:val="20"/>
                <w:szCs w:val="20"/>
              </w:rPr>
            </w:pPr>
            <w:r>
              <w:rPr>
                <w:rFonts w:cs="Calibri"/>
                <w:bCs/>
                <w:color w:val="000000"/>
                <w:sz w:val="20"/>
                <w:szCs w:val="20"/>
              </w:rPr>
              <w:t>National Policy for Gender Equality and Equity 2013 (Presidential Decree No. 222/13)</w:t>
            </w:r>
          </w:p>
          <w:p w14:paraId="68091DE6" w14:textId="77777777" w:rsidR="00CF33D9" w:rsidRDefault="00CF33D9">
            <w:pPr>
              <w:spacing w:line="200" w:lineRule="exact"/>
              <w:jc w:val="both"/>
              <w:rPr>
                <w:rFonts w:cs="Calibri"/>
                <w:bCs/>
                <w:color w:val="000000"/>
                <w:sz w:val="20"/>
                <w:szCs w:val="20"/>
              </w:rPr>
            </w:pPr>
          </w:p>
          <w:p w14:paraId="68091DE7" w14:textId="77777777" w:rsidR="00CF33D9" w:rsidRDefault="00CF33D9">
            <w:pPr>
              <w:spacing w:line="200" w:lineRule="exact"/>
              <w:jc w:val="both"/>
              <w:rPr>
                <w:rFonts w:cs="Calibri"/>
                <w:sz w:val="20"/>
                <w:szCs w:val="20"/>
              </w:rPr>
            </w:pPr>
          </w:p>
        </w:tc>
        <w:tc>
          <w:tcPr>
            <w:tcW w:w="3637" w:type="dxa"/>
          </w:tcPr>
          <w:p w14:paraId="68091DE8" w14:textId="77777777" w:rsidR="00CF33D9" w:rsidRDefault="00E3332A">
            <w:pPr>
              <w:spacing w:line="200" w:lineRule="exact"/>
              <w:jc w:val="both"/>
              <w:rPr>
                <w:rFonts w:cs="Calibri"/>
                <w:sz w:val="20"/>
                <w:szCs w:val="20"/>
              </w:rPr>
            </w:pPr>
            <w:r>
              <w:rPr>
                <w:rFonts w:cs="Calibri"/>
                <w:sz w:val="20"/>
                <w:szCs w:val="20"/>
              </w:rPr>
              <w:t>Local Authorities Act, 1996 (Act. No. 23 of 1992)</w:t>
            </w:r>
          </w:p>
          <w:p w14:paraId="68091DE9" w14:textId="77777777" w:rsidR="00CF33D9" w:rsidRDefault="00E3332A">
            <w:pPr>
              <w:spacing w:line="200" w:lineRule="exact"/>
              <w:jc w:val="both"/>
              <w:rPr>
                <w:rFonts w:cs="Calibri"/>
                <w:sz w:val="20"/>
                <w:szCs w:val="20"/>
              </w:rPr>
            </w:pPr>
            <w:r>
              <w:rPr>
                <w:rFonts w:cs="Calibri"/>
                <w:sz w:val="20"/>
                <w:szCs w:val="20"/>
              </w:rPr>
              <w:t>Married Persons Equality Act, 1996 (Act No. 1 of 1996)</w:t>
            </w:r>
          </w:p>
          <w:p w14:paraId="68091DEA" w14:textId="77777777" w:rsidR="00CF33D9" w:rsidRDefault="00E3332A">
            <w:pPr>
              <w:spacing w:line="200" w:lineRule="exact"/>
              <w:jc w:val="both"/>
              <w:rPr>
                <w:rFonts w:cs="Calibri"/>
                <w:sz w:val="20"/>
                <w:szCs w:val="20"/>
              </w:rPr>
            </w:pPr>
            <w:r>
              <w:rPr>
                <w:rFonts w:cs="Calibri"/>
                <w:sz w:val="20"/>
                <w:szCs w:val="20"/>
              </w:rPr>
              <w:t>Co-operatives Act, 1996 (Act No. 23 of 1996)</w:t>
            </w:r>
          </w:p>
          <w:p w14:paraId="68091DEB" w14:textId="77777777" w:rsidR="00CF33D9" w:rsidRDefault="00E3332A">
            <w:pPr>
              <w:spacing w:line="200" w:lineRule="exact"/>
              <w:jc w:val="both"/>
              <w:rPr>
                <w:rFonts w:cs="Calibri"/>
                <w:sz w:val="20"/>
                <w:szCs w:val="20"/>
              </w:rPr>
            </w:pPr>
            <w:r>
              <w:rPr>
                <w:rFonts w:cs="Calibri"/>
                <w:sz w:val="20"/>
                <w:szCs w:val="20"/>
              </w:rPr>
              <w:t>Traditional Authorities Act, 2002 (Act No. 25 of 2000)</w:t>
            </w:r>
          </w:p>
          <w:p w14:paraId="68091DEC" w14:textId="77777777" w:rsidR="00CF33D9" w:rsidRDefault="00E3332A">
            <w:pPr>
              <w:spacing w:line="200" w:lineRule="exact"/>
              <w:jc w:val="both"/>
              <w:rPr>
                <w:rFonts w:cs="Calibri"/>
                <w:sz w:val="20"/>
                <w:szCs w:val="20"/>
              </w:rPr>
            </w:pPr>
            <w:r>
              <w:rPr>
                <w:rFonts w:cs="Calibri"/>
                <w:sz w:val="20"/>
                <w:szCs w:val="20"/>
              </w:rPr>
              <w:t>National Gender Policy and Action Plan (2010 – 2020)</w:t>
            </w:r>
          </w:p>
          <w:p w14:paraId="68091DED" w14:textId="77777777" w:rsidR="00CF33D9" w:rsidRDefault="00E3332A">
            <w:pPr>
              <w:spacing w:line="200" w:lineRule="exact"/>
              <w:jc w:val="both"/>
              <w:rPr>
                <w:rFonts w:cs="Calibri"/>
                <w:sz w:val="20"/>
                <w:szCs w:val="20"/>
              </w:rPr>
            </w:pPr>
            <w:r>
              <w:rPr>
                <w:rFonts w:cs="Calibri"/>
                <w:sz w:val="20"/>
                <w:szCs w:val="20"/>
              </w:rPr>
              <w:t>The Ministry of Gender Equality and Child Welfare Strategic Plan 2017-2022</w:t>
            </w:r>
          </w:p>
        </w:tc>
        <w:tc>
          <w:tcPr>
            <w:tcW w:w="2973" w:type="dxa"/>
          </w:tcPr>
          <w:p w14:paraId="68091DEE" w14:textId="77777777" w:rsidR="00CF33D9" w:rsidRDefault="00E3332A">
            <w:pPr>
              <w:spacing w:line="200" w:lineRule="exact"/>
              <w:jc w:val="both"/>
              <w:rPr>
                <w:rFonts w:cs="Calibri"/>
                <w:sz w:val="20"/>
                <w:szCs w:val="20"/>
              </w:rPr>
            </w:pPr>
            <w:r>
              <w:rPr>
                <w:rFonts w:cs="Calibri"/>
                <w:sz w:val="20"/>
                <w:szCs w:val="20"/>
              </w:rPr>
              <w:t>National Policy Framework for Women’s Empowerment and Gender Equality (2010)</w:t>
            </w:r>
          </w:p>
        </w:tc>
        <w:tc>
          <w:tcPr>
            <w:tcW w:w="2485" w:type="dxa"/>
          </w:tcPr>
          <w:p w14:paraId="68091DEF" w14:textId="77777777" w:rsidR="00CF33D9" w:rsidRDefault="00E3332A">
            <w:pPr>
              <w:spacing w:line="200" w:lineRule="exact"/>
              <w:jc w:val="both"/>
              <w:rPr>
                <w:rFonts w:cs="Calibri"/>
                <w:sz w:val="20"/>
                <w:szCs w:val="20"/>
              </w:rPr>
            </w:pPr>
            <w:r>
              <w:rPr>
                <w:rFonts w:cs="Calibri"/>
                <w:sz w:val="20"/>
                <w:szCs w:val="20"/>
              </w:rPr>
              <w:t xml:space="preserve">No Gap. </w:t>
            </w:r>
          </w:p>
        </w:tc>
      </w:tr>
      <w:tr w:rsidR="00CF33D9" w14:paraId="68091DFA" w14:textId="77777777">
        <w:tc>
          <w:tcPr>
            <w:tcW w:w="2623" w:type="dxa"/>
          </w:tcPr>
          <w:p w14:paraId="68091DF1" w14:textId="77777777" w:rsidR="00CF33D9" w:rsidRDefault="00E3332A">
            <w:pPr>
              <w:spacing w:line="200" w:lineRule="exact"/>
              <w:jc w:val="both"/>
              <w:rPr>
                <w:rFonts w:cs="Calibri"/>
                <w:sz w:val="20"/>
                <w:szCs w:val="20"/>
              </w:rPr>
            </w:pPr>
            <w:r>
              <w:rPr>
                <w:rFonts w:cs="Calibri"/>
                <w:sz w:val="20"/>
                <w:szCs w:val="20"/>
              </w:rPr>
              <w:t>Sustainability and Resilience</w:t>
            </w:r>
          </w:p>
        </w:tc>
        <w:tc>
          <w:tcPr>
            <w:tcW w:w="926" w:type="dxa"/>
          </w:tcPr>
          <w:p w14:paraId="68091DF2" w14:textId="77777777" w:rsidR="00CF33D9" w:rsidRDefault="00E3332A">
            <w:pPr>
              <w:spacing w:line="200" w:lineRule="exact"/>
              <w:jc w:val="both"/>
              <w:rPr>
                <w:rFonts w:cs="Calibri"/>
                <w:sz w:val="20"/>
                <w:szCs w:val="20"/>
              </w:rPr>
            </w:pPr>
            <w:r>
              <w:rPr>
                <w:rFonts w:cs="Calibri"/>
                <w:sz w:val="20"/>
                <w:szCs w:val="20"/>
              </w:rPr>
              <w:t>Yes</w:t>
            </w:r>
          </w:p>
        </w:tc>
        <w:tc>
          <w:tcPr>
            <w:tcW w:w="2963" w:type="dxa"/>
          </w:tcPr>
          <w:p w14:paraId="68091DF3" w14:textId="77777777" w:rsidR="00CF33D9" w:rsidRDefault="00E3332A">
            <w:pPr>
              <w:spacing w:line="200" w:lineRule="exact"/>
              <w:jc w:val="both"/>
              <w:rPr>
                <w:rFonts w:cs="Calibri"/>
                <w:sz w:val="20"/>
                <w:szCs w:val="20"/>
              </w:rPr>
            </w:pPr>
            <w:r>
              <w:rPr>
                <w:rFonts w:cs="Calibri"/>
                <w:sz w:val="20"/>
                <w:szCs w:val="20"/>
              </w:rPr>
              <w:t>Environmental Framework Law (Law No. 5/98)</w:t>
            </w:r>
          </w:p>
          <w:p w14:paraId="68091DF4" w14:textId="77777777" w:rsidR="00CF33D9" w:rsidRDefault="00E3332A">
            <w:pPr>
              <w:spacing w:line="200" w:lineRule="exact"/>
              <w:jc w:val="both"/>
              <w:rPr>
                <w:rFonts w:cs="Calibri"/>
                <w:sz w:val="20"/>
                <w:szCs w:val="20"/>
              </w:rPr>
            </w:pPr>
            <w:r>
              <w:rPr>
                <w:rFonts w:cs="Calibri"/>
                <w:sz w:val="20"/>
                <w:szCs w:val="20"/>
              </w:rPr>
              <w:t>National Development Plan (2018-2022)</w:t>
            </w:r>
          </w:p>
          <w:p w14:paraId="68091DF5" w14:textId="77777777" w:rsidR="00CF33D9" w:rsidRDefault="00CF33D9">
            <w:pPr>
              <w:spacing w:line="200" w:lineRule="exact"/>
              <w:jc w:val="both"/>
              <w:rPr>
                <w:rFonts w:cs="Calibri"/>
                <w:sz w:val="20"/>
                <w:szCs w:val="20"/>
              </w:rPr>
            </w:pPr>
          </w:p>
        </w:tc>
        <w:tc>
          <w:tcPr>
            <w:tcW w:w="3637" w:type="dxa"/>
          </w:tcPr>
          <w:p w14:paraId="68091DF6" w14:textId="77777777" w:rsidR="00CF33D9" w:rsidRDefault="00E3332A">
            <w:pPr>
              <w:spacing w:line="200" w:lineRule="exact"/>
              <w:jc w:val="both"/>
              <w:rPr>
                <w:rFonts w:cs="Calibri"/>
                <w:sz w:val="20"/>
                <w:szCs w:val="20"/>
              </w:rPr>
            </w:pPr>
            <w:r>
              <w:rPr>
                <w:rFonts w:cs="Calibri"/>
                <w:sz w:val="20"/>
                <w:szCs w:val="20"/>
              </w:rPr>
              <w:t>National Agriculture Policy (2015)</w:t>
            </w:r>
          </w:p>
        </w:tc>
        <w:tc>
          <w:tcPr>
            <w:tcW w:w="2973" w:type="dxa"/>
          </w:tcPr>
          <w:p w14:paraId="68091DF7" w14:textId="77777777" w:rsidR="00CF33D9" w:rsidRDefault="00E3332A">
            <w:pPr>
              <w:spacing w:line="200" w:lineRule="exact"/>
              <w:jc w:val="both"/>
              <w:rPr>
                <w:rFonts w:cs="Calibri"/>
                <w:sz w:val="20"/>
                <w:szCs w:val="20"/>
              </w:rPr>
            </w:pPr>
            <w:r>
              <w:rPr>
                <w:rFonts w:cs="Calibri"/>
                <w:sz w:val="20"/>
                <w:szCs w:val="20"/>
              </w:rPr>
              <w:t>National Development Plan 2030</w:t>
            </w:r>
          </w:p>
          <w:p w14:paraId="68091DF8" w14:textId="77777777" w:rsidR="00CF33D9" w:rsidRDefault="00E3332A">
            <w:pPr>
              <w:spacing w:line="200" w:lineRule="exact"/>
              <w:jc w:val="both"/>
              <w:rPr>
                <w:rFonts w:cs="Calibri"/>
                <w:sz w:val="20"/>
                <w:szCs w:val="20"/>
              </w:rPr>
            </w:pPr>
            <w:r>
              <w:rPr>
                <w:rFonts w:cs="Calibri"/>
                <w:sz w:val="20"/>
                <w:szCs w:val="20"/>
              </w:rPr>
              <w:t>National Environmental Management Act No. 107 of 1998</w:t>
            </w:r>
          </w:p>
        </w:tc>
        <w:tc>
          <w:tcPr>
            <w:tcW w:w="2485" w:type="dxa"/>
          </w:tcPr>
          <w:p w14:paraId="68091DF9" w14:textId="77777777" w:rsidR="00CF33D9" w:rsidRDefault="00E3332A">
            <w:pPr>
              <w:spacing w:line="200" w:lineRule="exact"/>
              <w:jc w:val="both"/>
              <w:rPr>
                <w:rFonts w:cs="Calibri"/>
                <w:sz w:val="20"/>
                <w:szCs w:val="20"/>
              </w:rPr>
            </w:pPr>
            <w:r>
              <w:rPr>
                <w:rFonts w:cs="Calibri"/>
                <w:sz w:val="20"/>
                <w:szCs w:val="20"/>
              </w:rPr>
              <w:t>No Gap</w:t>
            </w:r>
          </w:p>
        </w:tc>
      </w:tr>
      <w:tr w:rsidR="00CF33D9" w14:paraId="68091E02" w14:textId="77777777">
        <w:tc>
          <w:tcPr>
            <w:tcW w:w="2623" w:type="dxa"/>
          </w:tcPr>
          <w:p w14:paraId="68091DFB" w14:textId="77777777" w:rsidR="00CF33D9" w:rsidRDefault="00E3332A">
            <w:pPr>
              <w:spacing w:line="200" w:lineRule="exact"/>
              <w:jc w:val="both"/>
              <w:rPr>
                <w:rFonts w:cs="Calibri"/>
                <w:sz w:val="20"/>
                <w:szCs w:val="20"/>
              </w:rPr>
            </w:pPr>
            <w:r>
              <w:rPr>
                <w:rFonts w:cs="Calibri"/>
                <w:sz w:val="20"/>
                <w:szCs w:val="20"/>
              </w:rPr>
              <w:t>Accountability</w:t>
            </w:r>
          </w:p>
        </w:tc>
        <w:tc>
          <w:tcPr>
            <w:tcW w:w="926" w:type="dxa"/>
          </w:tcPr>
          <w:p w14:paraId="68091DFC" w14:textId="77777777" w:rsidR="00CF33D9" w:rsidRDefault="00E3332A">
            <w:pPr>
              <w:spacing w:line="200" w:lineRule="exact"/>
              <w:jc w:val="both"/>
              <w:rPr>
                <w:rFonts w:cs="Calibri"/>
                <w:sz w:val="20"/>
                <w:szCs w:val="20"/>
              </w:rPr>
            </w:pPr>
            <w:r>
              <w:rPr>
                <w:rFonts w:cs="Calibri"/>
                <w:sz w:val="20"/>
                <w:szCs w:val="20"/>
              </w:rPr>
              <w:t>Yes</w:t>
            </w:r>
          </w:p>
        </w:tc>
        <w:tc>
          <w:tcPr>
            <w:tcW w:w="2963" w:type="dxa"/>
          </w:tcPr>
          <w:p w14:paraId="68091DFD" w14:textId="77777777" w:rsidR="00CF33D9" w:rsidRDefault="00E3332A">
            <w:pPr>
              <w:spacing w:line="200" w:lineRule="exact"/>
              <w:jc w:val="both"/>
              <w:rPr>
                <w:rFonts w:cs="Calibri"/>
                <w:sz w:val="20"/>
                <w:szCs w:val="20"/>
              </w:rPr>
            </w:pPr>
            <w:r>
              <w:rPr>
                <w:rFonts w:cs="Calibri"/>
                <w:sz w:val="20"/>
                <w:szCs w:val="20"/>
              </w:rPr>
              <w:t>Government Integrity Act (Law No. 3/10)</w:t>
            </w:r>
          </w:p>
          <w:p w14:paraId="68091DFE" w14:textId="77777777" w:rsidR="00CF33D9" w:rsidRDefault="00E3332A">
            <w:pPr>
              <w:spacing w:line="200" w:lineRule="exact"/>
              <w:jc w:val="both"/>
              <w:rPr>
                <w:rFonts w:cs="Calibri"/>
                <w:sz w:val="20"/>
                <w:szCs w:val="20"/>
              </w:rPr>
            </w:pPr>
            <w:r>
              <w:rPr>
                <w:rFonts w:cs="Calibri"/>
                <w:sz w:val="20"/>
                <w:szCs w:val="20"/>
              </w:rPr>
              <w:t>Law on Public Probity (Law No. 3/15)</w:t>
            </w:r>
          </w:p>
        </w:tc>
        <w:tc>
          <w:tcPr>
            <w:tcW w:w="3637" w:type="dxa"/>
          </w:tcPr>
          <w:p w14:paraId="68091DFF" w14:textId="77777777" w:rsidR="00CF33D9" w:rsidRDefault="00E3332A">
            <w:pPr>
              <w:spacing w:line="200" w:lineRule="exact"/>
              <w:jc w:val="both"/>
              <w:rPr>
                <w:rFonts w:cs="Calibri"/>
                <w:sz w:val="20"/>
                <w:szCs w:val="20"/>
              </w:rPr>
            </w:pPr>
            <w:r>
              <w:rPr>
                <w:rFonts w:cs="Calibri"/>
                <w:sz w:val="20"/>
                <w:szCs w:val="20"/>
              </w:rPr>
              <w:t>Anti-corruption Act of 2003</w:t>
            </w:r>
          </w:p>
        </w:tc>
        <w:tc>
          <w:tcPr>
            <w:tcW w:w="2973" w:type="dxa"/>
          </w:tcPr>
          <w:p w14:paraId="68091E00" w14:textId="77777777" w:rsidR="00CF33D9" w:rsidRDefault="00E3332A">
            <w:pPr>
              <w:spacing w:line="200" w:lineRule="exact"/>
              <w:jc w:val="both"/>
              <w:rPr>
                <w:rFonts w:cs="Calibri"/>
                <w:sz w:val="20"/>
                <w:szCs w:val="20"/>
              </w:rPr>
            </w:pPr>
            <w:r>
              <w:rPr>
                <w:rFonts w:cs="Calibri"/>
                <w:sz w:val="20"/>
                <w:szCs w:val="20"/>
              </w:rPr>
              <w:t>Constitution of the Republic of South Africa 1996</w:t>
            </w:r>
          </w:p>
        </w:tc>
        <w:tc>
          <w:tcPr>
            <w:tcW w:w="2485" w:type="dxa"/>
          </w:tcPr>
          <w:p w14:paraId="68091E01" w14:textId="77777777" w:rsidR="00CF33D9" w:rsidRDefault="00E3332A">
            <w:pPr>
              <w:spacing w:line="200" w:lineRule="exact"/>
              <w:jc w:val="both"/>
              <w:rPr>
                <w:rFonts w:cs="Calibri"/>
                <w:sz w:val="20"/>
                <w:szCs w:val="20"/>
              </w:rPr>
            </w:pPr>
            <w:r>
              <w:rPr>
                <w:rFonts w:cs="Calibri"/>
                <w:sz w:val="20"/>
                <w:szCs w:val="20"/>
              </w:rPr>
              <w:t>No Gap</w:t>
            </w:r>
          </w:p>
        </w:tc>
      </w:tr>
      <w:tr w:rsidR="00CF33D9" w14:paraId="68091E04" w14:textId="77777777">
        <w:tc>
          <w:tcPr>
            <w:tcW w:w="15617" w:type="dxa"/>
            <w:gridSpan w:val="6"/>
            <w:shd w:val="clear" w:color="auto" w:fill="DEEAF6" w:themeFill="accent1" w:themeFillTint="33"/>
          </w:tcPr>
          <w:p w14:paraId="68091E03" w14:textId="77777777" w:rsidR="00CF33D9" w:rsidRDefault="00E3332A">
            <w:pPr>
              <w:spacing w:line="200" w:lineRule="exact"/>
              <w:jc w:val="both"/>
              <w:rPr>
                <w:rFonts w:cs="Calibri"/>
                <w:b/>
                <w:bCs/>
                <w:sz w:val="20"/>
                <w:szCs w:val="20"/>
              </w:rPr>
            </w:pPr>
            <w:r>
              <w:rPr>
                <w:rFonts w:cs="Calibri"/>
                <w:b/>
                <w:bCs/>
                <w:sz w:val="20"/>
                <w:szCs w:val="20"/>
              </w:rPr>
              <w:t>Project Level Standards</w:t>
            </w:r>
          </w:p>
        </w:tc>
      </w:tr>
      <w:tr w:rsidR="00CF33D9" w14:paraId="68091E14" w14:textId="77777777">
        <w:tc>
          <w:tcPr>
            <w:tcW w:w="2623" w:type="dxa"/>
          </w:tcPr>
          <w:p w14:paraId="68091E05" w14:textId="77777777" w:rsidR="00CF33D9" w:rsidRDefault="00E3332A">
            <w:pPr>
              <w:spacing w:line="200" w:lineRule="exact"/>
              <w:jc w:val="both"/>
              <w:rPr>
                <w:rFonts w:cs="Calibri"/>
                <w:sz w:val="20"/>
                <w:szCs w:val="20"/>
              </w:rPr>
            </w:pPr>
            <w:r>
              <w:rPr>
                <w:rFonts w:cs="Calibri"/>
                <w:sz w:val="20"/>
                <w:szCs w:val="20"/>
              </w:rPr>
              <w:t xml:space="preserve">Standard 1. </w:t>
            </w:r>
          </w:p>
          <w:p w14:paraId="68091E06" w14:textId="77777777" w:rsidR="00CF33D9" w:rsidRDefault="00E3332A">
            <w:pPr>
              <w:spacing w:line="200" w:lineRule="exact"/>
              <w:jc w:val="both"/>
              <w:rPr>
                <w:rFonts w:cs="Calibri"/>
                <w:sz w:val="20"/>
                <w:szCs w:val="20"/>
              </w:rPr>
            </w:pPr>
            <w:r>
              <w:rPr>
                <w:rFonts w:cs="Calibri"/>
                <w:sz w:val="20"/>
                <w:szCs w:val="20"/>
              </w:rPr>
              <w:t>Biodiversity Conservation and Sustainable Natural Resource Management</w:t>
            </w:r>
          </w:p>
        </w:tc>
        <w:tc>
          <w:tcPr>
            <w:tcW w:w="926" w:type="dxa"/>
          </w:tcPr>
          <w:p w14:paraId="68091E07" w14:textId="77777777" w:rsidR="00CF33D9" w:rsidRDefault="00E3332A">
            <w:pPr>
              <w:spacing w:line="200" w:lineRule="exact"/>
              <w:jc w:val="both"/>
              <w:rPr>
                <w:rFonts w:cs="Calibri"/>
                <w:sz w:val="20"/>
                <w:szCs w:val="20"/>
              </w:rPr>
            </w:pPr>
            <w:r>
              <w:rPr>
                <w:rFonts w:cs="Calibri"/>
                <w:sz w:val="20"/>
                <w:szCs w:val="20"/>
              </w:rPr>
              <w:t>Yes</w:t>
            </w:r>
          </w:p>
        </w:tc>
        <w:tc>
          <w:tcPr>
            <w:tcW w:w="2963" w:type="dxa"/>
          </w:tcPr>
          <w:p w14:paraId="68091E08" w14:textId="77777777" w:rsidR="00CF33D9" w:rsidRDefault="00E3332A">
            <w:pPr>
              <w:spacing w:line="200" w:lineRule="exact"/>
              <w:jc w:val="both"/>
              <w:rPr>
                <w:rFonts w:cs="Calibri"/>
                <w:sz w:val="20"/>
                <w:szCs w:val="20"/>
              </w:rPr>
            </w:pPr>
            <w:r>
              <w:rPr>
                <w:rFonts w:cs="Calibri"/>
                <w:sz w:val="20"/>
                <w:szCs w:val="20"/>
              </w:rPr>
              <w:t xml:space="preserve">Aquatic Biological Resources Act, 2004 and the Fisheries Act, Law No. 20/92. </w:t>
            </w:r>
          </w:p>
          <w:p w14:paraId="68091E09" w14:textId="77777777" w:rsidR="00CF33D9" w:rsidRDefault="00E3332A">
            <w:pPr>
              <w:spacing w:line="200" w:lineRule="exact"/>
              <w:jc w:val="both"/>
              <w:rPr>
                <w:rFonts w:cs="Calibri"/>
                <w:sz w:val="20"/>
                <w:szCs w:val="20"/>
              </w:rPr>
            </w:pPr>
            <w:r>
              <w:rPr>
                <w:rFonts w:cs="Calibri"/>
                <w:sz w:val="20"/>
                <w:szCs w:val="20"/>
              </w:rPr>
              <w:t>National Biodiversity Strategy and Action Plan (2019-2025)</w:t>
            </w:r>
          </w:p>
          <w:p w14:paraId="68091E0A" w14:textId="77777777" w:rsidR="00CF33D9" w:rsidRDefault="00E3332A">
            <w:pPr>
              <w:spacing w:line="200" w:lineRule="exact"/>
              <w:jc w:val="both"/>
              <w:rPr>
                <w:rFonts w:cs="Calibri"/>
                <w:sz w:val="20"/>
                <w:szCs w:val="20"/>
              </w:rPr>
            </w:pPr>
            <w:r>
              <w:rPr>
                <w:rFonts w:cs="Calibri"/>
                <w:sz w:val="20"/>
                <w:szCs w:val="20"/>
              </w:rPr>
              <w:t>National Forest, Wildlife, and Conservation Areas Policy (2010)</w:t>
            </w:r>
          </w:p>
          <w:p w14:paraId="68091E0B" w14:textId="77777777" w:rsidR="00CF33D9" w:rsidRDefault="00E3332A">
            <w:pPr>
              <w:spacing w:line="200" w:lineRule="exact"/>
              <w:jc w:val="both"/>
              <w:rPr>
                <w:rFonts w:cs="Calibri"/>
                <w:sz w:val="20"/>
                <w:szCs w:val="20"/>
              </w:rPr>
            </w:pPr>
            <w:r>
              <w:rPr>
                <w:rFonts w:cs="Calibri"/>
                <w:sz w:val="20"/>
                <w:szCs w:val="20"/>
              </w:rPr>
              <w:t>Law on Environmental Conservation Areas (Law No. 8/20)</w:t>
            </w:r>
          </w:p>
          <w:p w14:paraId="68091E0C" w14:textId="77777777" w:rsidR="00CF33D9" w:rsidRDefault="00E3332A">
            <w:pPr>
              <w:spacing w:line="200" w:lineRule="exact"/>
              <w:jc w:val="both"/>
              <w:rPr>
                <w:rFonts w:cs="Calibri"/>
                <w:sz w:val="20"/>
                <w:szCs w:val="20"/>
              </w:rPr>
            </w:pPr>
            <w:r>
              <w:rPr>
                <w:rFonts w:cs="Calibri"/>
                <w:sz w:val="20"/>
                <w:szCs w:val="20"/>
              </w:rPr>
              <w:t>Law on Biological Aquatic Resources (Law No. 6-A/04)</w:t>
            </w:r>
          </w:p>
        </w:tc>
        <w:tc>
          <w:tcPr>
            <w:tcW w:w="3637" w:type="dxa"/>
          </w:tcPr>
          <w:p w14:paraId="68091E0D" w14:textId="77777777" w:rsidR="00CF33D9" w:rsidRDefault="00E3332A">
            <w:pPr>
              <w:spacing w:line="200" w:lineRule="exact"/>
              <w:jc w:val="both"/>
              <w:rPr>
                <w:rFonts w:cs="Calibri"/>
                <w:sz w:val="20"/>
                <w:szCs w:val="20"/>
              </w:rPr>
            </w:pPr>
            <w:r>
              <w:rPr>
                <w:rFonts w:cs="Calibri"/>
                <w:sz w:val="20"/>
                <w:szCs w:val="20"/>
              </w:rPr>
              <w:t>Marine Resources Act 27 of 2000</w:t>
            </w:r>
          </w:p>
          <w:p w14:paraId="68091E0E" w14:textId="77777777" w:rsidR="00CF33D9" w:rsidRDefault="00E3332A">
            <w:pPr>
              <w:spacing w:line="200" w:lineRule="exact"/>
              <w:jc w:val="both"/>
              <w:rPr>
                <w:rFonts w:cs="Calibri"/>
                <w:sz w:val="20"/>
                <w:szCs w:val="20"/>
              </w:rPr>
            </w:pPr>
            <w:r>
              <w:rPr>
                <w:rFonts w:cs="Calibri"/>
                <w:sz w:val="20"/>
                <w:szCs w:val="20"/>
              </w:rPr>
              <w:t>Water Resources Management Act 2004</w:t>
            </w:r>
          </w:p>
          <w:p w14:paraId="68091E0F" w14:textId="77777777" w:rsidR="00CF33D9" w:rsidRDefault="00E3332A">
            <w:pPr>
              <w:spacing w:line="200" w:lineRule="exact"/>
              <w:jc w:val="both"/>
              <w:rPr>
                <w:rFonts w:cs="Calibri"/>
                <w:sz w:val="20"/>
                <w:szCs w:val="20"/>
              </w:rPr>
            </w:pPr>
            <w:r>
              <w:rPr>
                <w:rFonts w:cs="Calibri"/>
                <w:sz w:val="20"/>
                <w:szCs w:val="20"/>
              </w:rPr>
              <w:t>National Plan of Action for Small-Scale Fisheries 2022-2026</w:t>
            </w:r>
          </w:p>
          <w:p w14:paraId="68091E10" w14:textId="77777777" w:rsidR="00CF33D9" w:rsidRDefault="00E3332A">
            <w:pPr>
              <w:spacing w:line="200" w:lineRule="exact"/>
              <w:jc w:val="both"/>
              <w:rPr>
                <w:rFonts w:cs="Calibri"/>
                <w:sz w:val="20"/>
                <w:szCs w:val="20"/>
              </w:rPr>
            </w:pPr>
            <w:r>
              <w:rPr>
                <w:rFonts w:cs="Calibri"/>
                <w:sz w:val="20"/>
                <w:szCs w:val="20"/>
              </w:rPr>
              <w:t>Blue Economy Policy (draft) of 2021</w:t>
            </w:r>
          </w:p>
          <w:p w14:paraId="68091E11" w14:textId="77777777" w:rsidR="00CF33D9" w:rsidRDefault="00E3332A">
            <w:pPr>
              <w:spacing w:line="200" w:lineRule="exact"/>
              <w:jc w:val="both"/>
              <w:rPr>
                <w:rFonts w:cs="Calibri"/>
                <w:sz w:val="20"/>
                <w:szCs w:val="20"/>
              </w:rPr>
            </w:pPr>
            <w:r>
              <w:rPr>
                <w:rFonts w:cs="Calibri"/>
                <w:sz w:val="20"/>
                <w:szCs w:val="20"/>
              </w:rPr>
              <w:t>Regulations related to Marine Protected Areas (2000)</w:t>
            </w:r>
          </w:p>
        </w:tc>
        <w:tc>
          <w:tcPr>
            <w:tcW w:w="2973" w:type="dxa"/>
          </w:tcPr>
          <w:p w14:paraId="68091E12" w14:textId="77777777" w:rsidR="00CF33D9" w:rsidRDefault="00E3332A">
            <w:pPr>
              <w:spacing w:line="200" w:lineRule="exact"/>
              <w:jc w:val="both"/>
              <w:rPr>
                <w:rFonts w:cs="Calibri"/>
                <w:sz w:val="20"/>
                <w:szCs w:val="20"/>
              </w:rPr>
            </w:pPr>
            <w:r>
              <w:rPr>
                <w:rFonts w:cs="Calibri"/>
                <w:sz w:val="20"/>
                <w:szCs w:val="20"/>
              </w:rPr>
              <w:t>Marine Living Resources Act 18 of 1998; Maritime Zones Act 15 of 1994.</w:t>
            </w:r>
          </w:p>
        </w:tc>
        <w:tc>
          <w:tcPr>
            <w:tcW w:w="2485" w:type="dxa"/>
          </w:tcPr>
          <w:p w14:paraId="68091E13" w14:textId="77777777" w:rsidR="00CF33D9" w:rsidRDefault="00E3332A">
            <w:pPr>
              <w:spacing w:line="200" w:lineRule="exact"/>
              <w:jc w:val="both"/>
              <w:rPr>
                <w:rFonts w:cs="Calibri"/>
                <w:sz w:val="20"/>
                <w:szCs w:val="20"/>
              </w:rPr>
            </w:pPr>
            <w:r>
              <w:rPr>
                <w:rFonts w:cs="Calibri"/>
                <w:sz w:val="20"/>
                <w:szCs w:val="20"/>
              </w:rPr>
              <w:t xml:space="preserve">Gaps in addressing invasive species. </w:t>
            </w:r>
          </w:p>
        </w:tc>
      </w:tr>
      <w:tr w:rsidR="00CF33D9" w14:paraId="68091E21" w14:textId="77777777">
        <w:tc>
          <w:tcPr>
            <w:tcW w:w="2623" w:type="dxa"/>
          </w:tcPr>
          <w:p w14:paraId="68091E15" w14:textId="77777777" w:rsidR="00CF33D9" w:rsidRDefault="00E3332A">
            <w:pPr>
              <w:spacing w:line="200" w:lineRule="exact"/>
              <w:jc w:val="both"/>
              <w:rPr>
                <w:rFonts w:cs="Calibri"/>
                <w:sz w:val="20"/>
                <w:szCs w:val="20"/>
              </w:rPr>
            </w:pPr>
            <w:r>
              <w:rPr>
                <w:rFonts w:cs="Calibri"/>
                <w:sz w:val="20"/>
                <w:szCs w:val="20"/>
              </w:rPr>
              <w:t>Standard 2.</w:t>
            </w:r>
          </w:p>
          <w:p w14:paraId="68091E16" w14:textId="77777777" w:rsidR="00CF33D9" w:rsidRDefault="00E3332A">
            <w:pPr>
              <w:spacing w:line="200" w:lineRule="exact"/>
              <w:jc w:val="both"/>
              <w:rPr>
                <w:rFonts w:cs="Calibri"/>
                <w:sz w:val="20"/>
                <w:szCs w:val="20"/>
              </w:rPr>
            </w:pPr>
            <w:r>
              <w:rPr>
                <w:rFonts w:cs="Calibri"/>
                <w:sz w:val="20"/>
                <w:szCs w:val="20"/>
              </w:rPr>
              <w:t>Climate Change Mitigation &amp; Disaster risks</w:t>
            </w:r>
          </w:p>
        </w:tc>
        <w:tc>
          <w:tcPr>
            <w:tcW w:w="926" w:type="dxa"/>
          </w:tcPr>
          <w:p w14:paraId="68091E17" w14:textId="77777777" w:rsidR="00CF33D9" w:rsidRDefault="00E3332A">
            <w:pPr>
              <w:spacing w:line="200" w:lineRule="exact"/>
              <w:jc w:val="both"/>
              <w:rPr>
                <w:rFonts w:cs="Calibri"/>
                <w:sz w:val="20"/>
                <w:szCs w:val="20"/>
              </w:rPr>
            </w:pPr>
            <w:r>
              <w:rPr>
                <w:rFonts w:cs="Calibri"/>
                <w:sz w:val="20"/>
                <w:szCs w:val="20"/>
              </w:rPr>
              <w:t>Yes</w:t>
            </w:r>
          </w:p>
        </w:tc>
        <w:tc>
          <w:tcPr>
            <w:tcW w:w="2963" w:type="dxa"/>
          </w:tcPr>
          <w:p w14:paraId="68091E18" w14:textId="77777777" w:rsidR="00CF33D9" w:rsidRDefault="00E3332A">
            <w:pPr>
              <w:spacing w:line="200" w:lineRule="exact"/>
              <w:jc w:val="both"/>
              <w:rPr>
                <w:rFonts w:cs="Calibri"/>
                <w:sz w:val="20"/>
                <w:szCs w:val="20"/>
              </w:rPr>
            </w:pPr>
            <w:r>
              <w:rPr>
                <w:rFonts w:cs="Calibri"/>
                <w:sz w:val="20"/>
                <w:szCs w:val="20"/>
              </w:rPr>
              <w:t>National Strategy to Climate Change 2018-2030</w:t>
            </w:r>
          </w:p>
          <w:p w14:paraId="68091E19" w14:textId="77777777" w:rsidR="00CF33D9" w:rsidRDefault="00E3332A">
            <w:pPr>
              <w:spacing w:line="200" w:lineRule="exact"/>
              <w:jc w:val="both"/>
              <w:rPr>
                <w:rFonts w:cs="Calibri"/>
                <w:sz w:val="20"/>
                <w:szCs w:val="20"/>
              </w:rPr>
            </w:pPr>
            <w:r>
              <w:rPr>
                <w:rFonts w:cs="Calibri"/>
                <w:sz w:val="20"/>
                <w:szCs w:val="20"/>
              </w:rPr>
              <w:lastRenderedPageBreak/>
              <w:t>National Disaster Preparedness Response Plan 2023-2027</w:t>
            </w:r>
          </w:p>
        </w:tc>
        <w:tc>
          <w:tcPr>
            <w:tcW w:w="3637" w:type="dxa"/>
          </w:tcPr>
          <w:p w14:paraId="68091E1A" w14:textId="77777777" w:rsidR="00CF33D9" w:rsidRDefault="00E3332A">
            <w:pPr>
              <w:spacing w:line="200" w:lineRule="exact"/>
              <w:jc w:val="both"/>
              <w:rPr>
                <w:rFonts w:cs="Calibri"/>
                <w:sz w:val="20"/>
                <w:szCs w:val="20"/>
              </w:rPr>
            </w:pPr>
            <w:r>
              <w:rPr>
                <w:rFonts w:cs="Calibri"/>
                <w:sz w:val="20"/>
                <w:szCs w:val="20"/>
              </w:rPr>
              <w:lastRenderedPageBreak/>
              <w:t>National Policy on Climate Change for Namibia (2011)</w:t>
            </w:r>
          </w:p>
          <w:p w14:paraId="68091E1B" w14:textId="77777777" w:rsidR="00CF33D9" w:rsidRDefault="00E3332A">
            <w:pPr>
              <w:spacing w:line="200" w:lineRule="exact"/>
              <w:jc w:val="both"/>
              <w:rPr>
                <w:rFonts w:cs="Calibri"/>
                <w:sz w:val="20"/>
                <w:szCs w:val="20"/>
              </w:rPr>
            </w:pPr>
            <w:r>
              <w:rPr>
                <w:rFonts w:cs="Calibri"/>
                <w:sz w:val="20"/>
                <w:szCs w:val="20"/>
              </w:rPr>
              <w:t xml:space="preserve">Disaster Risk Management Act 10 of 2012. </w:t>
            </w:r>
          </w:p>
          <w:p w14:paraId="68091E1C" w14:textId="77777777" w:rsidR="00CF33D9" w:rsidRDefault="00E3332A">
            <w:pPr>
              <w:spacing w:line="200" w:lineRule="exact"/>
              <w:jc w:val="both"/>
              <w:rPr>
                <w:rFonts w:cs="Calibri"/>
                <w:sz w:val="20"/>
                <w:szCs w:val="20"/>
              </w:rPr>
            </w:pPr>
            <w:r>
              <w:rPr>
                <w:rFonts w:cs="Calibri"/>
                <w:sz w:val="20"/>
                <w:szCs w:val="20"/>
              </w:rPr>
              <w:lastRenderedPageBreak/>
              <w:t>National Climate Change Strategy Action Plan (2013-2020)</w:t>
            </w:r>
          </w:p>
        </w:tc>
        <w:tc>
          <w:tcPr>
            <w:tcW w:w="2973" w:type="dxa"/>
          </w:tcPr>
          <w:p w14:paraId="68091E1D" w14:textId="77777777" w:rsidR="00CF33D9" w:rsidRDefault="00E3332A">
            <w:pPr>
              <w:spacing w:line="200" w:lineRule="exact"/>
              <w:jc w:val="both"/>
              <w:rPr>
                <w:rFonts w:cs="Calibri"/>
                <w:sz w:val="20"/>
                <w:szCs w:val="20"/>
              </w:rPr>
            </w:pPr>
            <w:r>
              <w:rPr>
                <w:rFonts w:cs="Calibri"/>
                <w:sz w:val="20"/>
                <w:szCs w:val="20"/>
              </w:rPr>
              <w:lastRenderedPageBreak/>
              <w:t>National Climate Change Response Policy (2011)</w:t>
            </w:r>
          </w:p>
          <w:p w14:paraId="68091E1E" w14:textId="77777777" w:rsidR="00CF33D9" w:rsidRDefault="00E3332A">
            <w:pPr>
              <w:spacing w:line="200" w:lineRule="exact"/>
              <w:jc w:val="both"/>
              <w:rPr>
                <w:rFonts w:cs="Calibri"/>
                <w:sz w:val="20"/>
                <w:szCs w:val="20"/>
              </w:rPr>
            </w:pPr>
            <w:r>
              <w:rPr>
                <w:rFonts w:cs="Calibri"/>
                <w:sz w:val="20"/>
                <w:szCs w:val="20"/>
              </w:rPr>
              <w:lastRenderedPageBreak/>
              <w:t>National Disaster Management Act (2002)</w:t>
            </w:r>
          </w:p>
          <w:p w14:paraId="68091E1F" w14:textId="77777777" w:rsidR="00CF33D9" w:rsidRDefault="00E3332A">
            <w:pPr>
              <w:spacing w:line="200" w:lineRule="exact"/>
              <w:jc w:val="both"/>
              <w:rPr>
                <w:rFonts w:cs="Calibri"/>
                <w:sz w:val="20"/>
                <w:szCs w:val="20"/>
              </w:rPr>
            </w:pPr>
            <w:r>
              <w:rPr>
                <w:rFonts w:cs="Calibri"/>
                <w:sz w:val="20"/>
                <w:szCs w:val="20"/>
              </w:rPr>
              <w:t>National Disaster Management Policy Framework (2005)</w:t>
            </w:r>
          </w:p>
        </w:tc>
        <w:tc>
          <w:tcPr>
            <w:tcW w:w="2485" w:type="dxa"/>
          </w:tcPr>
          <w:p w14:paraId="68091E20" w14:textId="77777777" w:rsidR="00CF33D9" w:rsidRDefault="00E3332A">
            <w:pPr>
              <w:spacing w:line="200" w:lineRule="exact"/>
              <w:jc w:val="both"/>
              <w:rPr>
                <w:rFonts w:cs="Calibri"/>
                <w:sz w:val="20"/>
                <w:szCs w:val="20"/>
              </w:rPr>
            </w:pPr>
            <w:r>
              <w:rPr>
                <w:rFonts w:cs="Calibri"/>
                <w:sz w:val="20"/>
                <w:szCs w:val="20"/>
              </w:rPr>
              <w:lastRenderedPageBreak/>
              <w:t>No Gap.</w:t>
            </w:r>
          </w:p>
        </w:tc>
      </w:tr>
      <w:tr w:rsidR="00CF33D9" w14:paraId="68091E2A" w14:textId="77777777">
        <w:tc>
          <w:tcPr>
            <w:tcW w:w="2623" w:type="dxa"/>
          </w:tcPr>
          <w:p w14:paraId="68091E22" w14:textId="77777777" w:rsidR="00CF33D9" w:rsidRDefault="00E3332A">
            <w:pPr>
              <w:spacing w:line="200" w:lineRule="exact"/>
              <w:jc w:val="both"/>
              <w:rPr>
                <w:rFonts w:cs="Calibri"/>
                <w:sz w:val="20"/>
                <w:szCs w:val="20"/>
              </w:rPr>
            </w:pPr>
            <w:r>
              <w:rPr>
                <w:rFonts w:cs="Calibri"/>
                <w:sz w:val="20"/>
                <w:szCs w:val="20"/>
              </w:rPr>
              <w:t>Standard 3.</w:t>
            </w:r>
          </w:p>
          <w:p w14:paraId="68091E23" w14:textId="77777777" w:rsidR="00CF33D9" w:rsidRDefault="00E3332A">
            <w:pPr>
              <w:spacing w:line="200" w:lineRule="exact"/>
              <w:jc w:val="both"/>
              <w:rPr>
                <w:rFonts w:cs="Calibri"/>
                <w:sz w:val="20"/>
                <w:szCs w:val="20"/>
              </w:rPr>
            </w:pPr>
            <w:r>
              <w:rPr>
                <w:rFonts w:cs="Calibri"/>
                <w:sz w:val="20"/>
                <w:szCs w:val="20"/>
              </w:rPr>
              <w:t>Community Health, Safety, and Security</w:t>
            </w:r>
          </w:p>
        </w:tc>
        <w:tc>
          <w:tcPr>
            <w:tcW w:w="926" w:type="dxa"/>
          </w:tcPr>
          <w:p w14:paraId="68091E24" w14:textId="77777777" w:rsidR="00CF33D9" w:rsidRDefault="00E3332A">
            <w:pPr>
              <w:spacing w:line="200" w:lineRule="exact"/>
              <w:jc w:val="both"/>
              <w:rPr>
                <w:rFonts w:cs="Calibri"/>
                <w:sz w:val="20"/>
                <w:szCs w:val="20"/>
              </w:rPr>
            </w:pPr>
            <w:r>
              <w:rPr>
                <w:rFonts w:cs="Calibri"/>
                <w:sz w:val="20"/>
                <w:szCs w:val="20"/>
              </w:rPr>
              <w:t>No</w:t>
            </w:r>
          </w:p>
        </w:tc>
        <w:tc>
          <w:tcPr>
            <w:tcW w:w="2963" w:type="dxa"/>
          </w:tcPr>
          <w:p w14:paraId="68091E25" w14:textId="77777777" w:rsidR="00CF33D9" w:rsidRDefault="00E3332A">
            <w:pPr>
              <w:spacing w:line="200" w:lineRule="exact"/>
              <w:jc w:val="both"/>
              <w:rPr>
                <w:rFonts w:cs="Calibri"/>
                <w:sz w:val="20"/>
                <w:szCs w:val="20"/>
              </w:rPr>
            </w:pPr>
            <w:r>
              <w:rPr>
                <w:rFonts w:cs="Calibri"/>
                <w:sz w:val="20"/>
                <w:szCs w:val="20"/>
              </w:rPr>
              <w:t xml:space="preserve">General Regulation of Occupational Health and Safety (executive decree no. 6/96) </w:t>
            </w:r>
          </w:p>
        </w:tc>
        <w:tc>
          <w:tcPr>
            <w:tcW w:w="3637" w:type="dxa"/>
          </w:tcPr>
          <w:p w14:paraId="68091E26" w14:textId="77777777" w:rsidR="00CF33D9" w:rsidRDefault="00E3332A">
            <w:pPr>
              <w:spacing w:line="200" w:lineRule="exact"/>
              <w:jc w:val="both"/>
              <w:rPr>
                <w:rFonts w:cs="Calibri"/>
                <w:sz w:val="20"/>
                <w:szCs w:val="20"/>
              </w:rPr>
            </w:pPr>
            <w:r>
              <w:rPr>
                <w:rFonts w:cs="Calibri"/>
                <w:sz w:val="20"/>
                <w:szCs w:val="20"/>
              </w:rPr>
              <w:t>National Occupational Safety &amp; Health Policy (2001)</w:t>
            </w:r>
          </w:p>
          <w:p w14:paraId="68091E27" w14:textId="77777777" w:rsidR="00CF33D9" w:rsidRDefault="00E3332A">
            <w:pPr>
              <w:spacing w:line="200" w:lineRule="exact"/>
              <w:jc w:val="both"/>
              <w:rPr>
                <w:rFonts w:cs="Calibri"/>
                <w:sz w:val="20"/>
                <w:szCs w:val="20"/>
              </w:rPr>
            </w:pPr>
            <w:r>
              <w:rPr>
                <w:rFonts w:cs="Calibri"/>
                <w:sz w:val="20"/>
                <w:szCs w:val="20"/>
              </w:rPr>
              <w:t>Public Health Act 36 of 1919</w:t>
            </w:r>
          </w:p>
        </w:tc>
        <w:tc>
          <w:tcPr>
            <w:tcW w:w="2973" w:type="dxa"/>
          </w:tcPr>
          <w:p w14:paraId="68091E28" w14:textId="77777777" w:rsidR="00CF33D9" w:rsidRDefault="00E3332A">
            <w:pPr>
              <w:spacing w:line="200" w:lineRule="exact"/>
              <w:jc w:val="both"/>
              <w:rPr>
                <w:rFonts w:cs="Calibri"/>
                <w:sz w:val="20"/>
                <w:szCs w:val="20"/>
              </w:rPr>
            </w:pPr>
            <w:r>
              <w:rPr>
                <w:rFonts w:cs="Calibri"/>
                <w:sz w:val="20"/>
                <w:szCs w:val="20"/>
              </w:rPr>
              <w:t>National Development Plan</w:t>
            </w:r>
          </w:p>
        </w:tc>
        <w:tc>
          <w:tcPr>
            <w:tcW w:w="2485" w:type="dxa"/>
          </w:tcPr>
          <w:p w14:paraId="68091E29" w14:textId="77777777" w:rsidR="00CF33D9" w:rsidRDefault="00E3332A">
            <w:pPr>
              <w:spacing w:line="200" w:lineRule="exact"/>
              <w:jc w:val="both"/>
              <w:rPr>
                <w:rFonts w:cs="Calibri"/>
                <w:sz w:val="20"/>
                <w:szCs w:val="20"/>
              </w:rPr>
            </w:pPr>
            <w:r>
              <w:rPr>
                <w:rFonts w:cs="Calibri"/>
                <w:sz w:val="20"/>
                <w:szCs w:val="20"/>
              </w:rPr>
              <w:t>No Gap.</w:t>
            </w:r>
          </w:p>
        </w:tc>
      </w:tr>
      <w:tr w:rsidR="00CF33D9" w14:paraId="68091E32" w14:textId="77777777">
        <w:tc>
          <w:tcPr>
            <w:tcW w:w="2623" w:type="dxa"/>
          </w:tcPr>
          <w:p w14:paraId="68091E2B" w14:textId="77777777" w:rsidR="00CF33D9" w:rsidRDefault="00E3332A">
            <w:pPr>
              <w:spacing w:line="200" w:lineRule="exact"/>
              <w:jc w:val="both"/>
              <w:rPr>
                <w:rFonts w:cs="Calibri"/>
                <w:sz w:val="20"/>
                <w:szCs w:val="20"/>
              </w:rPr>
            </w:pPr>
            <w:r>
              <w:rPr>
                <w:rFonts w:cs="Calibri"/>
                <w:sz w:val="20"/>
                <w:szCs w:val="20"/>
              </w:rPr>
              <w:t>Standard 4.</w:t>
            </w:r>
          </w:p>
          <w:p w14:paraId="68091E2C" w14:textId="77777777" w:rsidR="00CF33D9" w:rsidRDefault="00E3332A">
            <w:pPr>
              <w:spacing w:line="200" w:lineRule="exact"/>
              <w:jc w:val="both"/>
              <w:rPr>
                <w:rFonts w:cs="Calibri"/>
                <w:sz w:val="20"/>
                <w:szCs w:val="20"/>
              </w:rPr>
            </w:pPr>
            <w:r>
              <w:rPr>
                <w:rFonts w:cs="Calibri"/>
                <w:sz w:val="20"/>
                <w:szCs w:val="20"/>
              </w:rPr>
              <w:t>Cultural Heritage</w:t>
            </w:r>
          </w:p>
        </w:tc>
        <w:tc>
          <w:tcPr>
            <w:tcW w:w="926" w:type="dxa"/>
          </w:tcPr>
          <w:p w14:paraId="68091E2D" w14:textId="77777777" w:rsidR="00CF33D9" w:rsidRDefault="00E3332A">
            <w:pPr>
              <w:spacing w:line="200" w:lineRule="exact"/>
              <w:jc w:val="both"/>
              <w:rPr>
                <w:rFonts w:cs="Calibri"/>
                <w:sz w:val="20"/>
                <w:szCs w:val="20"/>
              </w:rPr>
            </w:pPr>
            <w:r>
              <w:rPr>
                <w:rFonts w:cs="Calibri"/>
                <w:sz w:val="20"/>
                <w:szCs w:val="20"/>
              </w:rPr>
              <w:t>Yes</w:t>
            </w:r>
          </w:p>
        </w:tc>
        <w:tc>
          <w:tcPr>
            <w:tcW w:w="2963" w:type="dxa"/>
          </w:tcPr>
          <w:p w14:paraId="68091E2E" w14:textId="77777777" w:rsidR="00CF33D9" w:rsidRDefault="00E3332A">
            <w:pPr>
              <w:spacing w:line="200" w:lineRule="exact"/>
              <w:jc w:val="both"/>
              <w:rPr>
                <w:rFonts w:cs="Calibri"/>
                <w:sz w:val="20"/>
                <w:szCs w:val="20"/>
              </w:rPr>
            </w:pPr>
            <w:r>
              <w:rPr>
                <w:rFonts w:cs="Calibri"/>
                <w:sz w:val="20"/>
                <w:szCs w:val="20"/>
              </w:rPr>
              <w:t>Cultural Heritage Law (Law No.14/05)</w:t>
            </w:r>
          </w:p>
        </w:tc>
        <w:tc>
          <w:tcPr>
            <w:tcW w:w="3637" w:type="dxa"/>
          </w:tcPr>
          <w:p w14:paraId="68091E2F" w14:textId="77777777" w:rsidR="00CF33D9" w:rsidRDefault="00E3332A">
            <w:pPr>
              <w:spacing w:line="200" w:lineRule="exact"/>
              <w:jc w:val="both"/>
              <w:rPr>
                <w:rFonts w:cs="Calibri"/>
                <w:sz w:val="20"/>
                <w:szCs w:val="20"/>
              </w:rPr>
            </w:pPr>
            <w:r>
              <w:rPr>
                <w:rFonts w:cs="Calibri"/>
                <w:sz w:val="20"/>
                <w:szCs w:val="20"/>
              </w:rPr>
              <w:t>National Heritage Act 27 of 2004</w:t>
            </w:r>
          </w:p>
        </w:tc>
        <w:tc>
          <w:tcPr>
            <w:tcW w:w="2973" w:type="dxa"/>
          </w:tcPr>
          <w:p w14:paraId="68091E30" w14:textId="77777777" w:rsidR="00CF33D9" w:rsidRDefault="00E3332A">
            <w:pPr>
              <w:spacing w:line="200" w:lineRule="exact"/>
              <w:jc w:val="both"/>
              <w:rPr>
                <w:rFonts w:cs="Calibri"/>
                <w:sz w:val="20"/>
                <w:szCs w:val="20"/>
              </w:rPr>
            </w:pPr>
            <w:r>
              <w:rPr>
                <w:rFonts w:cs="Calibri"/>
                <w:sz w:val="20"/>
                <w:szCs w:val="20"/>
              </w:rPr>
              <w:t>National Heritage Resources Act No. 25 of 1999</w:t>
            </w:r>
          </w:p>
        </w:tc>
        <w:tc>
          <w:tcPr>
            <w:tcW w:w="2485" w:type="dxa"/>
          </w:tcPr>
          <w:p w14:paraId="68091E31" w14:textId="77777777" w:rsidR="00CF33D9" w:rsidRDefault="00E3332A">
            <w:pPr>
              <w:pStyle w:val="ListParagraph"/>
              <w:numPr>
                <w:ilvl w:val="0"/>
                <w:numId w:val="109"/>
              </w:numPr>
              <w:spacing w:line="200" w:lineRule="exact"/>
              <w:ind w:left="318" w:hanging="284"/>
              <w:contextualSpacing/>
              <w:jc w:val="both"/>
              <w:rPr>
                <w:rFonts w:cs="Calibri"/>
                <w:sz w:val="20"/>
                <w:szCs w:val="20"/>
              </w:rPr>
            </w:pPr>
            <w:r>
              <w:rPr>
                <w:rFonts w:cs="Calibri"/>
                <w:sz w:val="20"/>
                <w:szCs w:val="20"/>
              </w:rPr>
              <w:t xml:space="preserve">Gaps in the inclusion of intangible cultural heritage </w:t>
            </w:r>
          </w:p>
        </w:tc>
      </w:tr>
      <w:tr w:rsidR="00CF33D9" w14:paraId="68091E3D" w14:textId="77777777">
        <w:tc>
          <w:tcPr>
            <w:tcW w:w="2623" w:type="dxa"/>
          </w:tcPr>
          <w:p w14:paraId="68091E33" w14:textId="77777777" w:rsidR="00CF33D9" w:rsidRDefault="00E3332A">
            <w:pPr>
              <w:spacing w:line="200" w:lineRule="exact"/>
              <w:jc w:val="both"/>
              <w:rPr>
                <w:rFonts w:cs="Calibri"/>
                <w:sz w:val="20"/>
                <w:szCs w:val="20"/>
              </w:rPr>
            </w:pPr>
            <w:r>
              <w:rPr>
                <w:rFonts w:cs="Calibri"/>
                <w:sz w:val="20"/>
                <w:szCs w:val="20"/>
              </w:rPr>
              <w:t>Standard 5.</w:t>
            </w:r>
          </w:p>
          <w:p w14:paraId="68091E34" w14:textId="77777777" w:rsidR="00CF33D9" w:rsidRDefault="00E3332A">
            <w:pPr>
              <w:spacing w:line="200" w:lineRule="exact"/>
              <w:jc w:val="both"/>
              <w:rPr>
                <w:rFonts w:cs="Calibri"/>
                <w:sz w:val="20"/>
                <w:szCs w:val="20"/>
              </w:rPr>
            </w:pPr>
            <w:r>
              <w:rPr>
                <w:rFonts w:cs="Calibri"/>
                <w:sz w:val="20"/>
                <w:szCs w:val="20"/>
              </w:rPr>
              <w:t>Displacement and Resettlement</w:t>
            </w:r>
          </w:p>
        </w:tc>
        <w:tc>
          <w:tcPr>
            <w:tcW w:w="926" w:type="dxa"/>
          </w:tcPr>
          <w:p w14:paraId="68091E35" w14:textId="77777777" w:rsidR="00CF33D9" w:rsidRDefault="00E3332A">
            <w:pPr>
              <w:spacing w:line="200" w:lineRule="exact"/>
              <w:jc w:val="both"/>
              <w:rPr>
                <w:rFonts w:cs="Calibri"/>
                <w:sz w:val="20"/>
                <w:szCs w:val="20"/>
              </w:rPr>
            </w:pPr>
            <w:r>
              <w:rPr>
                <w:rFonts w:cs="Calibri"/>
                <w:sz w:val="20"/>
                <w:szCs w:val="20"/>
              </w:rPr>
              <w:t>Yes</w:t>
            </w:r>
          </w:p>
        </w:tc>
        <w:tc>
          <w:tcPr>
            <w:tcW w:w="2963" w:type="dxa"/>
          </w:tcPr>
          <w:p w14:paraId="68091E36" w14:textId="77777777" w:rsidR="00CF33D9" w:rsidRDefault="00E3332A">
            <w:pPr>
              <w:spacing w:line="200" w:lineRule="exact"/>
              <w:jc w:val="both"/>
              <w:rPr>
                <w:rFonts w:cs="Calibri"/>
                <w:sz w:val="20"/>
                <w:szCs w:val="20"/>
              </w:rPr>
            </w:pPr>
            <w:r>
              <w:rPr>
                <w:rFonts w:cs="Calibri"/>
                <w:sz w:val="20"/>
                <w:szCs w:val="20"/>
              </w:rPr>
              <w:t>Regulation on Resettlement (Presidential Decree No. 117/16)</w:t>
            </w:r>
          </w:p>
        </w:tc>
        <w:tc>
          <w:tcPr>
            <w:tcW w:w="3637" w:type="dxa"/>
          </w:tcPr>
          <w:p w14:paraId="68091E37" w14:textId="77777777" w:rsidR="00CF33D9" w:rsidRDefault="00E3332A">
            <w:pPr>
              <w:spacing w:line="200" w:lineRule="exact"/>
              <w:jc w:val="both"/>
              <w:rPr>
                <w:rFonts w:cs="Calibri"/>
                <w:sz w:val="20"/>
                <w:szCs w:val="20"/>
              </w:rPr>
            </w:pPr>
            <w:r>
              <w:rPr>
                <w:rFonts w:cs="Calibri"/>
                <w:sz w:val="20"/>
                <w:szCs w:val="20"/>
              </w:rPr>
              <w:t>National Resettlement Policy 2001</w:t>
            </w:r>
          </w:p>
        </w:tc>
        <w:tc>
          <w:tcPr>
            <w:tcW w:w="2973" w:type="dxa"/>
          </w:tcPr>
          <w:p w14:paraId="68091E38" w14:textId="77777777" w:rsidR="00CF33D9" w:rsidRDefault="00E3332A">
            <w:pPr>
              <w:spacing w:line="200" w:lineRule="exact"/>
              <w:jc w:val="both"/>
              <w:rPr>
                <w:rFonts w:cs="Calibri"/>
                <w:sz w:val="20"/>
                <w:szCs w:val="20"/>
              </w:rPr>
            </w:pPr>
            <w:r>
              <w:rPr>
                <w:rFonts w:cs="Calibri"/>
                <w:sz w:val="20"/>
                <w:szCs w:val="20"/>
              </w:rPr>
              <w:t>The Natives Resettlement Act, No. 19 of 1954</w:t>
            </w:r>
          </w:p>
        </w:tc>
        <w:tc>
          <w:tcPr>
            <w:tcW w:w="2485" w:type="dxa"/>
          </w:tcPr>
          <w:p w14:paraId="68091E39" w14:textId="77777777" w:rsidR="00CF33D9" w:rsidRDefault="00E3332A">
            <w:pPr>
              <w:pStyle w:val="ListParagraph"/>
              <w:numPr>
                <w:ilvl w:val="0"/>
                <w:numId w:val="109"/>
              </w:numPr>
              <w:spacing w:line="200" w:lineRule="exact"/>
              <w:ind w:left="318" w:hanging="284"/>
              <w:contextualSpacing/>
              <w:jc w:val="both"/>
              <w:rPr>
                <w:rFonts w:cs="Calibri"/>
                <w:sz w:val="20"/>
                <w:szCs w:val="20"/>
              </w:rPr>
            </w:pPr>
            <w:r>
              <w:rPr>
                <w:rFonts w:cs="Calibri"/>
                <w:sz w:val="20"/>
                <w:szCs w:val="20"/>
              </w:rPr>
              <w:t>Absence or inadequate pre- and post-settlement support</w:t>
            </w:r>
          </w:p>
          <w:p w14:paraId="68091E3A" w14:textId="77777777" w:rsidR="00CF33D9" w:rsidRDefault="00E3332A">
            <w:pPr>
              <w:pStyle w:val="ListParagraph"/>
              <w:numPr>
                <w:ilvl w:val="0"/>
                <w:numId w:val="109"/>
              </w:numPr>
              <w:spacing w:line="200" w:lineRule="exact"/>
              <w:ind w:left="318" w:hanging="284"/>
              <w:contextualSpacing/>
              <w:jc w:val="both"/>
              <w:rPr>
                <w:rFonts w:cs="Calibri"/>
                <w:sz w:val="20"/>
                <w:szCs w:val="20"/>
              </w:rPr>
            </w:pPr>
            <w:r>
              <w:rPr>
                <w:rFonts w:cs="Calibri"/>
                <w:sz w:val="20"/>
                <w:szCs w:val="20"/>
              </w:rPr>
              <w:t>Lack of effective monitoring and evaluation of the resettlement process</w:t>
            </w:r>
          </w:p>
          <w:p w14:paraId="68091E3B" w14:textId="77777777" w:rsidR="00CF33D9" w:rsidRDefault="00E3332A">
            <w:pPr>
              <w:pStyle w:val="ListParagraph"/>
              <w:numPr>
                <w:ilvl w:val="0"/>
                <w:numId w:val="109"/>
              </w:numPr>
              <w:spacing w:line="200" w:lineRule="exact"/>
              <w:ind w:left="318" w:hanging="284"/>
              <w:contextualSpacing/>
              <w:jc w:val="both"/>
              <w:rPr>
                <w:rFonts w:cs="Calibri"/>
                <w:sz w:val="20"/>
                <w:szCs w:val="20"/>
              </w:rPr>
            </w:pPr>
            <w:r>
              <w:rPr>
                <w:rFonts w:cs="Calibri"/>
                <w:sz w:val="20"/>
                <w:szCs w:val="20"/>
              </w:rPr>
              <w:t>Economic displacement or restrictions in access to natural resources are not regulated.</w:t>
            </w:r>
          </w:p>
          <w:p w14:paraId="68091E3C" w14:textId="77777777" w:rsidR="00CF33D9" w:rsidRDefault="00E3332A">
            <w:pPr>
              <w:pStyle w:val="ListParagraph"/>
              <w:numPr>
                <w:ilvl w:val="0"/>
                <w:numId w:val="109"/>
              </w:numPr>
              <w:spacing w:line="200" w:lineRule="exact"/>
              <w:ind w:left="318" w:hanging="284"/>
              <w:contextualSpacing/>
              <w:jc w:val="both"/>
              <w:rPr>
                <w:rFonts w:cs="Calibri"/>
                <w:sz w:val="20"/>
                <w:szCs w:val="20"/>
              </w:rPr>
            </w:pPr>
            <w:r>
              <w:rPr>
                <w:rFonts w:cs="Calibri"/>
                <w:sz w:val="20"/>
                <w:szCs w:val="20"/>
              </w:rPr>
              <w:t xml:space="preserve">There are no legislation/ regulations requiring resettlement activities and associated measures as a requirement to be implemented before project implementation starts. </w:t>
            </w:r>
          </w:p>
        </w:tc>
      </w:tr>
      <w:tr w:rsidR="00CF33D9" w14:paraId="68091E47" w14:textId="77777777">
        <w:tc>
          <w:tcPr>
            <w:tcW w:w="2623" w:type="dxa"/>
          </w:tcPr>
          <w:p w14:paraId="68091E3E" w14:textId="77777777" w:rsidR="00CF33D9" w:rsidRDefault="00E3332A">
            <w:pPr>
              <w:spacing w:line="200" w:lineRule="exact"/>
              <w:jc w:val="both"/>
              <w:rPr>
                <w:rFonts w:cs="Calibri"/>
                <w:sz w:val="20"/>
                <w:szCs w:val="20"/>
              </w:rPr>
            </w:pPr>
            <w:r>
              <w:rPr>
                <w:rFonts w:cs="Calibri"/>
                <w:sz w:val="20"/>
                <w:szCs w:val="20"/>
              </w:rPr>
              <w:t>Standard 6.</w:t>
            </w:r>
            <w:r>
              <w:rPr>
                <w:rStyle w:val="FootnoteReference"/>
                <w:rFonts w:ascii="Calibri" w:hAnsi="Calibri" w:cs="Calibri"/>
                <w:sz w:val="20"/>
                <w:szCs w:val="20"/>
              </w:rPr>
              <w:footnoteReference w:id="20"/>
            </w:r>
          </w:p>
          <w:p w14:paraId="68091E3F" w14:textId="77777777" w:rsidR="00CF33D9" w:rsidRDefault="00E3332A">
            <w:pPr>
              <w:spacing w:line="200" w:lineRule="exact"/>
              <w:jc w:val="both"/>
              <w:rPr>
                <w:rFonts w:cs="Calibri"/>
                <w:sz w:val="20"/>
                <w:szCs w:val="20"/>
              </w:rPr>
            </w:pPr>
            <w:r>
              <w:rPr>
                <w:rFonts w:cs="Calibri"/>
                <w:sz w:val="20"/>
                <w:szCs w:val="20"/>
              </w:rPr>
              <w:t>Indigenous Peoples</w:t>
            </w:r>
          </w:p>
        </w:tc>
        <w:tc>
          <w:tcPr>
            <w:tcW w:w="926" w:type="dxa"/>
          </w:tcPr>
          <w:p w14:paraId="68091E40" w14:textId="77777777" w:rsidR="00CF33D9" w:rsidRDefault="00E3332A">
            <w:pPr>
              <w:spacing w:line="200" w:lineRule="exact"/>
              <w:jc w:val="both"/>
              <w:rPr>
                <w:rFonts w:cs="Calibri"/>
                <w:sz w:val="20"/>
                <w:szCs w:val="20"/>
              </w:rPr>
            </w:pPr>
            <w:r>
              <w:rPr>
                <w:rFonts w:cs="Calibri"/>
                <w:sz w:val="20"/>
                <w:szCs w:val="20"/>
              </w:rPr>
              <w:t>Yes</w:t>
            </w:r>
          </w:p>
        </w:tc>
        <w:tc>
          <w:tcPr>
            <w:tcW w:w="2963" w:type="dxa"/>
          </w:tcPr>
          <w:p w14:paraId="68091E41" w14:textId="77777777" w:rsidR="00CF33D9" w:rsidRDefault="00E3332A">
            <w:pPr>
              <w:spacing w:line="200" w:lineRule="exact"/>
              <w:jc w:val="both"/>
              <w:rPr>
                <w:rFonts w:cs="Calibri"/>
                <w:sz w:val="20"/>
                <w:szCs w:val="20"/>
              </w:rPr>
            </w:pPr>
            <w:r>
              <w:rPr>
                <w:rFonts w:cs="Calibri"/>
                <w:sz w:val="20"/>
                <w:szCs w:val="20"/>
              </w:rPr>
              <w:t>No specific policy at national level</w:t>
            </w:r>
          </w:p>
        </w:tc>
        <w:tc>
          <w:tcPr>
            <w:tcW w:w="3637" w:type="dxa"/>
          </w:tcPr>
          <w:p w14:paraId="68091E42" w14:textId="77777777" w:rsidR="00CF33D9" w:rsidRDefault="00E3332A">
            <w:pPr>
              <w:spacing w:line="200" w:lineRule="exact"/>
              <w:jc w:val="both"/>
              <w:rPr>
                <w:rFonts w:cs="Calibri"/>
                <w:sz w:val="20"/>
                <w:szCs w:val="20"/>
              </w:rPr>
            </w:pPr>
            <w:r>
              <w:rPr>
                <w:rFonts w:cs="Calibri"/>
                <w:sz w:val="20"/>
                <w:szCs w:val="20"/>
              </w:rPr>
              <w:t>No specific policy at national level</w:t>
            </w:r>
          </w:p>
        </w:tc>
        <w:tc>
          <w:tcPr>
            <w:tcW w:w="2973" w:type="dxa"/>
          </w:tcPr>
          <w:p w14:paraId="68091E43" w14:textId="77777777" w:rsidR="00CF33D9" w:rsidRDefault="00E3332A">
            <w:pPr>
              <w:spacing w:line="200" w:lineRule="exact"/>
              <w:jc w:val="both"/>
              <w:rPr>
                <w:rFonts w:cs="Calibri"/>
                <w:sz w:val="20"/>
                <w:szCs w:val="20"/>
              </w:rPr>
            </w:pPr>
            <w:r>
              <w:rPr>
                <w:rFonts w:cs="Calibri"/>
                <w:sz w:val="20"/>
                <w:szCs w:val="20"/>
              </w:rPr>
              <w:t xml:space="preserve">Traditional and Khoisan Leadership Act 2 of 2019. </w:t>
            </w:r>
          </w:p>
        </w:tc>
        <w:tc>
          <w:tcPr>
            <w:tcW w:w="2485" w:type="dxa"/>
          </w:tcPr>
          <w:p w14:paraId="68091E44" w14:textId="77777777" w:rsidR="00CF33D9" w:rsidRDefault="00E3332A">
            <w:pPr>
              <w:pStyle w:val="ListParagraph"/>
              <w:numPr>
                <w:ilvl w:val="0"/>
                <w:numId w:val="109"/>
              </w:numPr>
              <w:spacing w:line="200" w:lineRule="exact"/>
              <w:ind w:left="318" w:hanging="284"/>
              <w:contextualSpacing/>
              <w:jc w:val="both"/>
              <w:rPr>
                <w:rFonts w:cs="Calibri"/>
                <w:sz w:val="20"/>
                <w:szCs w:val="20"/>
              </w:rPr>
            </w:pPr>
            <w:r>
              <w:rPr>
                <w:rFonts w:cs="Calibri"/>
                <w:sz w:val="20"/>
                <w:szCs w:val="20"/>
              </w:rPr>
              <w:t xml:space="preserve">While the Constitution of Namibia prohibits discrimination on the grounds of ethnic or tribal affiliation, it does not specifically recognize the rights of indigenous peoples or minorities, and there’s no national legislation </w:t>
            </w:r>
            <w:r>
              <w:rPr>
                <w:rFonts w:cs="Calibri"/>
                <w:sz w:val="20"/>
                <w:szCs w:val="20"/>
              </w:rPr>
              <w:lastRenderedPageBreak/>
              <w:t xml:space="preserve">dealing directly with indigenous peoples. </w:t>
            </w:r>
          </w:p>
          <w:p w14:paraId="68091E45" w14:textId="77777777" w:rsidR="00CF33D9" w:rsidRDefault="00E3332A">
            <w:pPr>
              <w:pStyle w:val="ListParagraph"/>
              <w:numPr>
                <w:ilvl w:val="0"/>
                <w:numId w:val="109"/>
              </w:numPr>
              <w:spacing w:line="200" w:lineRule="exact"/>
              <w:ind w:left="318" w:hanging="284"/>
              <w:contextualSpacing/>
              <w:jc w:val="both"/>
              <w:rPr>
                <w:rFonts w:cs="Calibri"/>
                <w:sz w:val="20"/>
                <w:szCs w:val="20"/>
              </w:rPr>
            </w:pPr>
            <w:r>
              <w:rPr>
                <w:rFonts w:cs="Calibri"/>
                <w:sz w:val="20"/>
                <w:szCs w:val="20"/>
              </w:rPr>
              <w:t>The Government of Angola does not recognize the concept of Indigenous Peoples as affirmed in international law, and there are no specific references to Indigenous Peoples or minorities in the Constitution, nor in other domestic law.</w:t>
            </w:r>
          </w:p>
          <w:p w14:paraId="68091E46" w14:textId="77777777" w:rsidR="00CF33D9" w:rsidRDefault="00E3332A">
            <w:pPr>
              <w:pStyle w:val="ListParagraph"/>
              <w:numPr>
                <w:ilvl w:val="0"/>
                <w:numId w:val="109"/>
              </w:numPr>
              <w:spacing w:line="200" w:lineRule="exact"/>
              <w:ind w:left="318" w:hanging="284"/>
              <w:contextualSpacing/>
              <w:jc w:val="both"/>
              <w:rPr>
                <w:rFonts w:cs="Calibri"/>
                <w:sz w:val="20"/>
                <w:szCs w:val="20"/>
              </w:rPr>
            </w:pPr>
            <w:r>
              <w:rPr>
                <w:rFonts w:cs="Calibri"/>
                <w:sz w:val="20"/>
                <w:szCs w:val="20"/>
              </w:rPr>
              <w:t xml:space="preserve">While the Traditional and Khoisan Leadership Act 3 of 2019 became legislation, giving formal recognition to Khoi and San leaders, it does not recognize the Khoi and the San as First Nations nor designates their languages among the official languages of South Africa. </w:t>
            </w:r>
          </w:p>
        </w:tc>
      </w:tr>
      <w:tr w:rsidR="00CF33D9" w14:paraId="68091E56" w14:textId="77777777">
        <w:tc>
          <w:tcPr>
            <w:tcW w:w="2623" w:type="dxa"/>
          </w:tcPr>
          <w:p w14:paraId="68091E48" w14:textId="77777777" w:rsidR="00CF33D9" w:rsidRDefault="00E3332A">
            <w:pPr>
              <w:spacing w:line="200" w:lineRule="exact"/>
              <w:jc w:val="both"/>
              <w:rPr>
                <w:rFonts w:cs="Calibri"/>
                <w:sz w:val="20"/>
                <w:szCs w:val="20"/>
              </w:rPr>
            </w:pPr>
            <w:r>
              <w:rPr>
                <w:rFonts w:cs="Calibri"/>
                <w:sz w:val="20"/>
                <w:szCs w:val="20"/>
              </w:rPr>
              <w:lastRenderedPageBreak/>
              <w:t>Standard 7.</w:t>
            </w:r>
          </w:p>
          <w:p w14:paraId="68091E49" w14:textId="77777777" w:rsidR="00CF33D9" w:rsidRDefault="00E3332A">
            <w:pPr>
              <w:spacing w:line="200" w:lineRule="exact"/>
              <w:jc w:val="both"/>
              <w:rPr>
                <w:rFonts w:cs="Calibri"/>
                <w:sz w:val="20"/>
                <w:szCs w:val="20"/>
              </w:rPr>
            </w:pPr>
            <w:r>
              <w:rPr>
                <w:rFonts w:cs="Calibri"/>
                <w:sz w:val="20"/>
                <w:szCs w:val="20"/>
              </w:rPr>
              <w:t>Labour and Working conditions</w:t>
            </w:r>
          </w:p>
        </w:tc>
        <w:tc>
          <w:tcPr>
            <w:tcW w:w="926" w:type="dxa"/>
          </w:tcPr>
          <w:p w14:paraId="68091E4A" w14:textId="77777777" w:rsidR="00CF33D9" w:rsidRDefault="00E3332A">
            <w:pPr>
              <w:spacing w:line="200" w:lineRule="exact"/>
              <w:jc w:val="both"/>
              <w:rPr>
                <w:rFonts w:cs="Calibri"/>
                <w:sz w:val="20"/>
                <w:szCs w:val="20"/>
              </w:rPr>
            </w:pPr>
            <w:r>
              <w:rPr>
                <w:rFonts w:cs="Calibri"/>
                <w:sz w:val="20"/>
                <w:szCs w:val="20"/>
              </w:rPr>
              <w:t>No</w:t>
            </w:r>
          </w:p>
        </w:tc>
        <w:tc>
          <w:tcPr>
            <w:tcW w:w="2963" w:type="dxa"/>
          </w:tcPr>
          <w:p w14:paraId="68091E4B" w14:textId="77777777" w:rsidR="00CF33D9" w:rsidRDefault="00E3332A">
            <w:pPr>
              <w:spacing w:line="200" w:lineRule="exact"/>
              <w:jc w:val="both"/>
              <w:rPr>
                <w:rFonts w:cs="Calibri"/>
                <w:sz w:val="20"/>
                <w:szCs w:val="20"/>
              </w:rPr>
            </w:pPr>
            <w:r>
              <w:rPr>
                <w:rFonts w:cs="Calibri"/>
                <w:sz w:val="20"/>
                <w:szCs w:val="20"/>
              </w:rPr>
              <w:t>Legal System for Work-related accidents and occupational diseases (Decree no.53/05)</w:t>
            </w:r>
          </w:p>
          <w:p w14:paraId="68091E4C" w14:textId="77777777" w:rsidR="00CF33D9" w:rsidRDefault="00E3332A">
            <w:pPr>
              <w:spacing w:line="200" w:lineRule="exact"/>
              <w:jc w:val="both"/>
              <w:rPr>
                <w:rFonts w:cs="Calibri"/>
                <w:sz w:val="20"/>
                <w:szCs w:val="20"/>
              </w:rPr>
            </w:pPr>
            <w:r>
              <w:rPr>
                <w:rFonts w:cs="Calibri"/>
                <w:sz w:val="20"/>
                <w:szCs w:val="20"/>
              </w:rPr>
              <w:t>General Labor Law (Law No. 7/15)</w:t>
            </w:r>
          </w:p>
          <w:p w14:paraId="68091E4D" w14:textId="77777777" w:rsidR="00CF33D9" w:rsidRDefault="00E3332A">
            <w:pPr>
              <w:spacing w:line="200" w:lineRule="exact"/>
              <w:jc w:val="both"/>
              <w:rPr>
                <w:rFonts w:cs="Calibri"/>
                <w:sz w:val="20"/>
                <w:szCs w:val="20"/>
              </w:rPr>
            </w:pPr>
            <w:r>
              <w:rPr>
                <w:rFonts w:cs="Calibri"/>
                <w:sz w:val="20"/>
                <w:szCs w:val="20"/>
              </w:rPr>
              <w:t>Decree No. 31/94 principles for the promotion of safety, hygiene, and health at work</w:t>
            </w:r>
          </w:p>
          <w:p w14:paraId="68091E4E" w14:textId="77777777" w:rsidR="00CF33D9" w:rsidRDefault="00E3332A">
            <w:pPr>
              <w:spacing w:line="200" w:lineRule="exact"/>
              <w:jc w:val="both"/>
              <w:rPr>
                <w:rFonts w:cs="Calibri"/>
                <w:sz w:val="20"/>
                <w:szCs w:val="20"/>
              </w:rPr>
            </w:pPr>
            <w:r>
              <w:rPr>
                <w:rFonts w:cs="Calibri"/>
                <w:sz w:val="20"/>
                <w:szCs w:val="20"/>
              </w:rPr>
              <w:t>Decree No. 53/05 legal regime of accidents at work and occupational diseases</w:t>
            </w:r>
          </w:p>
        </w:tc>
        <w:tc>
          <w:tcPr>
            <w:tcW w:w="3637" w:type="dxa"/>
          </w:tcPr>
          <w:p w14:paraId="68091E4F" w14:textId="77777777" w:rsidR="00CF33D9" w:rsidRDefault="00E3332A">
            <w:pPr>
              <w:spacing w:line="200" w:lineRule="exact"/>
              <w:jc w:val="both"/>
              <w:rPr>
                <w:rFonts w:cs="Calibri"/>
                <w:sz w:val="20"/>
                <w:szCs w:val="20"/>
              </w:rPr>
            </w:pPr>
            <w:r>
              <w:rPr>
                <w:rFonts w:cs="Calibri"/>
                <w:sz w:val="20"/>
                <w:szCs w:val="20"/>
              </w:rPr>
              <w:t>The Labour Act, 2007 (Act 11 of 2007)</w:t>
            </w:r>
          </w:p>
          <w:p w14:paraId="68091E50" w14:textId="77777777" w:rsidR="00CF33D9" w:rsidRDefault="00E3332A">
            <w:pPr>
              <w:spacing w:line="200" w:lineRule="exact"/>
              <w:jc w:val="both"/>
              <w:rPr>
                <w:rFonts w:cs="Calibri"/>
                <w:sz w:val="20"/>
                <w:szCs w:val="20"/>
              </w:rPr>
            </w:pPr>
            <w:r>
              <w:rPr>
                <w:rFonts w:cs="Calibri"/>
                <w:sz w:val="20"/>
                <w:szCs w:val="20"/>
              </w:rPr>
              <w:t>Labour Act, 1992</w:t>
            </w:r>
          </w:p>
          <w:p w14:paraId="68091E51" w14:textId="77777777" w:rsidR="00CF33D9" w:rsidRDefault="00CF33D9">
            <w:pPr>
              <w:spacing w:line="200" w:lineRule="exact"/>
              <w:jc w:val="both"/>
              <w:rPr>
                <w:rFonts w:cs="Calibri"/>
                <w:sz w:val="20"/>
                <w:szCs w:val="20"/>
              </w:rPr>
            </w:pPr>
          </w:p>
        </w:tc>
        <w:tc>
          <w:tcPr>
            <w:tcW w:w="2973" w:type="dxa"/>
          </w:tcPr>
          <w:p w14:paraId="68091E52" w14:textId="77777777" w:rsidR="00CF33D9" w:rsidRDefault="00E3332A">
            <w:pPr>
              <w:spacing w:line="200" w:lineRule="exact"/>
              <w:jc w:val="both"/>
              <w:rPr>
                <w:rFonts w:cs="Calibri"/>
                <w:sz w:val="20"/>
                <w:szCs w:val="20"/>
              </w:rPr>
            </w:pPr>
            <w:r>
              <w:rPr>
                <w:rFonts w:cs="Calibri"/>
                <w:sz w:val="20"/>
                <w:szCs w:val="20"/>
              </w:rPr>
              <w:t>Basic Conditions of Employment Act</w:t>
            </w:r>
          </w:p>
          <w:p w14:paraId="68091E53" w14:textId="77777777" w:rsidR="00CF33D9" w:rsidRDefault="00E3332A">
            <w:pPr>
              <w:spacing w:line="200" w:lineRule="exact"/>
              <w:jc w:val="both"/>
              <w:rPr>
                <w:rFonts w:cs="Calibri"/>
                <w:sz w:val="20"/>
                <w:szCs w:val="20"/>
              </w:rPr>
            </w:pPr>
            <w:r>
              <w:rPr>
                <w:rFonts w:cs="Calibri"/>
                <w:sz w:val="20"/>
                <w:szCs w:val="20"/>
              </w:rPr>
              <w:t>Labour Relations Act</w:t>
            </w:r>
          </w:p>
          <w:p w14:paraId="68091E54" w14:textId="77777777" w:rsidR="00CF33D9" w:rsidRDefault="00E3332A">
            <w:pPr>
              <w:spacing w:line="200" w:lineRule="exact"/>
              <w:jc w:val="both"/>
              <w:rPr>
                <w:rFonts w:cs="Calibri"/>
                <w:sz w:val="20"/>
                <w:szCs w:val="20"/>
              </w:rPr>
            </w:pPr>
            <w:r>
              <w:rPr>
                <w:rFonts w:cs="Calibri"/>
                <w:sz w:val="20"/>
                <w:szCs w:val="20"/>
              </w:rPr>
              <w:t>Employment Equity Act</w:t>
            </w:r>
          </w:p>
        </w:tc>
        <w:tc>
          <w:tcPr>
            <w:tcW w:w="2485" w:type="dxa"/>
          </w:tcPr>
          <w:p w14:paraId="68091E55" w14:textId="77777777" w:rsidR="00CF33D9" w:rsidRDefault="00E3332A">
            <w:pPr>
              <w:spacing w:line="200" w:lineRule="exact"/>
              <w:jc w:val="both"/>
              <w:rPr>
                <w:rFonts w:cs="Calibri"/>
                <w:sz w:val="20"/>
                <w:szCs w:val="20"/>
              </w:rPr>
            </w:pPr>
            <w:r>
              <w:rPr>
                <w:rFonts w:cs="Calibri"/>
                <w:sz w:val="20"/>
                <w:szCs w:val="20"/>
              </w:rPr>
              <w:t>No Gap.</w:t>
            </w:r>
          </w:p>
        </w:tc>
      </w:tr>
      <w:tr w:rsidR="00CF33D9" w14:paraId="68091E5E" w14:textId="77777777">
        <w:tc>
          <w:tcPr>
            <w:tcW w:w="2623" w:type="dxa"/>
          </w:tcPr>
          <w:p w14:paraId="68091E57" w14:textId="77777777" w:rsidR="00CF33D9" w:rsidRDefault="00E3332A">
            <w:pPr>
              <w:spacing w:line="200" w:lineRule="exact"/>
              <w:jc w:val="both"/>
              <w:rPr>
                <w:rFonts w:cs="Calibri"/>
                <w:sz w:val="20"/>
                <w:szCs w:val="20"/>
              </w:rPr>
            </w:pPr>
            <w:r>
              <w:rPr>
                <w:rFonts w:cs="Calibri"/>
                <w:sz w:val="20"/>
                <w:szCs w:val="20"/>
              </w:rPr>
              <w:t xml:space="preserve">Standard 8. </w:t>
            </w:r>
          </w:p>
          <w:p w14:paraId="68091E58" w14:textId="77777777" w:rsidR="00CF33D9" w:rsidRDefault="00E3332A">
            <w:pPr>
              <w:spacing w:line="200" w:lineRule="exact"/>
              <w:jc w:val="both"/>
              <w:rPr>
                <w:rFonts w:cs="Calibri"/>
                <w:sz w:val="20"/>
                <w:szCs w:val="20"/>
              </w:rPr>
            </w:pPr>
            <w:r>
              <w:rPr>
                <w:rFonts w:cs="Calibri"/>
                <w:sz w:val="20"/>
                <w:szCs w:val="20"/>
              </w:rPr>
              <w:t>Pollution Prevention and Resource Efficiency</w:t>
            </w:r>
          </w:p>
        </w:tc>
        <w:tc>
          <w:tcPr>
            <w:tcW w:w="926" w:type="dxa"/>
          </w:tcPr>
          <w:p w14:paraId="68091E59" w14:textId="77777777" w:rsidR="00CF33D9" w:rsidRDefault="00E3332A">
            <w:pPr>
              <w:spacing w:line="200" w:lineRule="exact"/>
              <w:jc w:val="both"/>
              <w:rPr>
                <w:rFonts w:cs="Calibri"/>
                <w:sz w:val="20"/>
                <w:szCs w:val="20"/>
              </w:rPr>
            </w:pPr>
            <w:r>
              <w:rPr>
                <w:rFonts w:cs="Calibri"/>
                <w:sz w:val="20"/>
                <w:szCs w:val="20"/>
              </w:rPr>
              <w:t>Yes</w:t>
            </w:r>
          </w:p>
        </w:tc>
        <w:tc>
          <w:tcPr>
            <w:tcW w:w="2963" w:type="dxa"/>
          </w:tcPr>
          <w:p w14:paraId="68091E5A" w14:textId="77777777" w:rsidR="00CF33D9" w:rsidRDefault="00E3332A">
            <w:pPr>
              <w:spacing w:line="200" w:lineRule="exact"/>
              <w:jc w:val="both"/>
              <w:rPr>
                <w:rFonts w:cs="Calibri"/>
                <w:sz w:val="20"/>
                <w:szCs w:val="20"/>
              </w:rPr>
            </w:pPr>
            <w:r>
              <w:rPr>
                <w:rFonts w:cs="Calibri"/>
                <w:sz w:val="20"/>
                <w:szCs w:val="20"/>
              </w:rPr>
              <w:t>Regulation for the prevention and control of National water pollution (Presidential Decree No. 141/12)</w:t>
            </w:r>
          </w:p>
        </w:tc>
        <w:tc>
          <w:tcPr>
            <w:tcW w:w="3637" w:type="dxa"/>
          </w:tcPr>
          <w:p w14:paraId="68091E5B" w14:textId="77777777" w:rsidR="00CF33D9" w:rsidRDefault="00E3332A">
            <w:pPr>
              <w:spacing w:line="200" w:lineRule="exact"/>
              <w:jc w:val="both"/>
              <w:rPr>
                <w:rFonts w:cs="Calibri"/>
                <w:sz w:val="20"/>
                <w:szCs w:val="20"/>
              </w:rPr>
            </w:pPr>
            <w:r>
              <w:rPr>
                <w:rFonts w:cs="Calibri"/>
                <w:sz w:val="20"/>
                <w:szCs w:val="20"/>
              </w:rPr>
              <w:t>Pollution Control and Waste Management Act</w:t>
            </w:r>
          </w:p>
        </w:tc>
        <w:tc>
          <w:tcPr>
            <w:tcW w:w="2973" w:type="dxa"/>
          </w:tcPr>
          <w:p w14:paraId="68091E5C" w14:textId="77777777" w:rsidR="00CF33D9" w:rsidRDefault="00E3332A">
            <w:pPr>
              <w:spacing w:line="200" w:lineRule="exact"/>
              <w:jc w:val="both"/>
              <w:rPr>
                <w:rFonts w:cs="Calibri"/>
                <w:sz w:val="20"/>
                <w:szCs w:val="20"/>
              </w:rPr>
            </w:pPr>
            <w:r>
              <w:rPr>
                <w:rFonts w:cs="Calibri"/>
                <w:sz w:val="20"/>
                <w:szCs w:val="20"/>
              </w:rPr>
              <w:t xml:space="preserve">National Industrial Policy </w:t>
            </w:r>
          </w:p>
        </w:tc>
        <w:tc>
          <w:tcPr>
            <w:tcW w:w="2485" w:type="dxa"/>
          </w:tcPr>
          <w:p w14:paraId="68091E5D" w14:textId="77777777" w:rsidR="00CF33D9" w:rsidRDefault="00E3332A">
            <w:pPr>
              <w:spacing w:line="200" w:lineRule="exact"/>
              <w:jc w:val="both"/>
              <w:rPr>
                <w:rFonts w:cs="Calibri"/>
                <w:sz w:val="20"/>
                <w:szCs w:val="20"/>
              </w:rPr>
            </w:pPr>
            <w:r>
              <w:rPr>
                <w:rFonts w:cs="Calibri"/>
                <w:sz w:val="20"/>
                <w:szCs w:val="20"/>
              </w:rPr>
              <w:t>No Gap.</w:t>
            </w:r>
          </w:p>
        </w:tc>
      </w:tr>
    </w:tbl>
    <w:p w14:paraId="68091E5F" w14:textId="77777777" w:rsidR="00CF33D9" w:rsidRDefault="00CF33D9">
      <w:pPr>
        <w:jc w:val="both"/>
        <w:rPr>
          <w:rFonts w:ascii="Calibri" w:hAnsi="Calibri" w:cs="Calibri"/>
          <w:sz w:val="20"/>
          <w:szCs w:val="20"/>
        </w:rPr>
      </w:pPr>
    </w:p>
    <w:p w14:paraId="68091E60" w14:textId="77777777" w:rsidR="00CF33D9" w:rsidRDefault="00CF33D9">
      <w:pPr>
        <w:spacing w:line="276" w:lineRule="auto"/>
        <w:jc w:val="both"/>
        <w:rPr>
          <w:rFonts w:ascii="Calibri" w:hAnsi="Calibri" w:cs="Calibri"/>
          <w:bCs/>
          <w:color w:val="000000"/>
          <w:sz w:val="20"/>
          <w:szCs w:val="20"/>
          <w:u w:val="single"/>
        </w:rPr>
        <w:sectPr w:rsidR="00CF33D9">
          <w:pgSz w:w="15840" w:h="12240" w:orient="landscape"/>
          <w:pgMar w:top="1440" w:right="1440" w:bottom="1440" w:left="1440" w:header="708" w:footer="708" w:gutter="0"/>
          <w:cols w:space="708"/>
          <w:docGrid w:linePitch="360"/>
        </w:sectPr>
      </w:pPr>
    </w:p>
    <w:p w14:paraId="68091E61" w14:textId="77777777" w:rsidR="00CF33D9" w:rsidRDefault="00E3332A">
      <w:pPr>
        <w:rPr>
          <w:rFonts w:ascii="Calibri" w:hAnsi="Calibri" w:cs="Calibri"/>
          <w:sz w:val="20"/>
          <w:szCs w:val="20"/>
        </w:rPr>
      </w:pPr>
      <w:r>
        <w:rPr>
          <w:rFonts w:ascii="Calibri" w:hAnsi="Calibri" w:cs="Calibri"/>
          <w:sz w:val="20"/>
          <w:szCs w:val="20"/>
        </w:rPr>
        <w:lastRenderedPageBreak/>
        <w:t>4.</w:t>
      </w:r>
      <w:r>
        <w:rPr>
          <w:rFonts w:ascii="Calibri" w:hAnsi="Calibri" w:cs="Calibri"/>
          <w:sz w:val="20"/>
          <w:szCs w:val="20"/>
        </w:rPr>
        <w:tab/>
        <w:t>Required Procedures for Screening, Assessment, and Management</w:t>
      </w:r>
    </w:p>
    <w:p w14:paraId="68091E62" w14:textId="77777777" w:rsidR="00CF33D9" w:rsidRDefault="00CF33D9">
      <w:pPr>
        <w:spacing w:line="276" w:lineRule="auto"/>
        <w:jc w:val="both"/>
        <w:rPr>
          <w:rFonts w:ascii="Calibri" w:hAnsi="Calibri" w:cs="Calibri"/>
          <w:bCs/>
          <w:color w:val="000000"/>
          <w:sz w:val="20"/>
          <w:szCs w:val="20"/>
          <w:u w:val="single"/>
        </w:rPr>
      </w:pPr>
    </w:p>
    <w:p w14:paraId="68091E63" w14:textId="77777777" w:rsidR="00CF33D9" w:rsidRDefault="00E3332A">
      <w:pPr>
        <w:spacing w:line="220" w:lineRule="exact"/>
        <w:jc w:val="both"/>
        <w:rPr>
          <w:rFonts w:ascii="Calibri" w:hAnsi="Calibri" w:cs="Calibri"/>
          <w:sz w:val="20"/>
          <w:szCs w:val="20"/>
        </w:rPr>
      </w:pPr>
      <w:r>
        <w:rPr>
          <w:rFonts w:ascii="Calibri" w:hAnsi="Calibri" w:cs="Calibri"/>
          <w:sz w:val="20"/>
          <w:szCs w:val="20"/>
        </w:rPr>
        <w:t>This section specifies the procedures for reviewing and addressing potential social and environmental risks and impacts of specific project activities, policies or regulations to be adopted/implemented, including the following:</w:t>
      </w:r>
    </w:p>
    <w:p w14:paraId="68091E64" w14:textId="77777777" w:rsidR="00CF33D9" w:rsidRDefault="00CF33D9">
      <w:pPr>
        <w:spacing w:line="220" w:lineRule="exact"/>
        <w:jc w:val="both"/>
        <w:rPr>
          <w:rFonts w:ascii="Calibri" w:hAnsi="Calibri" w:cs="Calibri"/>
          <w:sz w:val="20"/>
          <w:szCs w:val="20"/>
        </w:rPr>
      </w:pPr>
    </w:p>
    <w:p w14:paraId="68091E65" w14:textId="77777777" w:rsidR="00CF33D9" w:rsidRDefault="00E3332A">
      <w:pPr>
        <w:pStyle w:val="ListParagraph"/>
        <w:numPr>
          <w:ilvl w:val="0"/>
          <w:numId w:val="110"/>
        </w:numPr>
        <w:spacing w:line="220" w:lineRule="exact"/>
        <w:contextualSpacing/>
        <w:jc w:val="both"/>
        <w:rPr>
          <w:rFonts w:ascii="Calibri" w:hAnsi="Calibri" w:cs="Calibri"/>
          <w:sz w:val="20"/>
          <w:szCs w:val="20"/>
        </w:rPr>
      </w:pPr>
      <w:r>
        <w:rPr>
          <w:rFonts w:ascii="Calibri" w:hAnsi="Calibri" w:cs="Calibri"/>
          <w:sz w:val="20"/>
          <w:szCs w:val="20"/>
        </w:rPr>
        <w:t>Screening of social and environmental risks and impacts and determining applicable social and environmental standards and requirements (including UNDP SES). The screening process utilizes UNDP’s SESP and develops a specific screening procedure for the forthcoming type of activities.</w:t>
      </w:r>
    </w:p>
    <w:p w14:paraId="68091E66" w14:textId="77777777" w:rsidR="00CF33D9" w:rsidRDefault="00E3332A">
      <w:pPr>
        <w:pStyle w:val="ListParagraph"/>
        <w:numPr>
          <w:ilvl w:val="0"/>
          <w:numId w:val="110"/>
        </w:numPr>
        <w:spacing w:line="220" w:lineRule="exact"/>
        <w:contextualSpacing/>
        <w:jc w:val="both"/>
        <w:rPr>
          <w:rFonts w:ascii="Calibri" w:hAnsi="Calibri" w:cs="Calibri"/>
          <w:sz w:val="20"/>
          <w:szCs w:val="20"/>
        </w:rPr>
      </w:pPr>
      <w:r>
        <w:rPr>
          <w:rFonts w:ascii="Calibri" w:hAnsi="Calibri" w:cs="Calibri"/>
          <w:sz w:val="20"/>
          <w:szCs w:val="20"/>
        </w:rPr>
        <w:t>Appropriate types of social and environmental assessments to address identified potential social and environmental risks and impacts.</w:t>
      </w:r>
    </w:p>
    <w:p w14:paraId="68091E67" w14:textId="77777777" w:rsidR="00CF33D9" w:rsidRDefault="00E3332A">
      <w:pPr>
        <w:pStyle w:val="ListParagraph"/>
        <w:numPr>
          <w:ilvl w:val="0"/>
          <w:numId w:val="110"/>
        </w:numPr>
        <w:spacing w:line="220" w:lineRule="exact"/>
        <w:contextualSpacing/>
        <w:jc w:val="both"/>
        <w:rPr>
          <w:rFonts w:ascii="Calibri" w:hAnsi="Calibri" w:cs="Calibri"/>
          <w:sz w:val="20"/>
          <w:szCs w:val="20"/>
        </w:rPr>
      </w:pPr>
      <w:r>
        <w:rPr>
          <w:rFonts w:ascii="Calibri" w:hAnsi="Calibri" w:cs="Calibri"/>
          <w:sz w:val="20"/>
          <w:szCs w:val="20"/>
        </w:rPr>
        <w:t xml:space="preserve">Preparing and approving time-bound action plans for avoiding, and where avoidance is not possible, reducing, mitigating, and managing adverse impacts, including development of specific management plans according to applicable policies and regulations, including UNDP’s SES (i.e. Environmental and Social Management Plans which would be completed post-assessment). </w:t>
      </w:r>
    </w:p>
    <w:p w14:paraId="68091E68" w14:textId="77777777" w:rsidR="00CF33D9" w:rsidRDefault="00CF33D9">
      <w:pPr>
        <w:spacing w:line="220" w:lineRule="exact"/>
        <w:jc w:val="both"/>
        <w:rPr>
          <w:rFonts w:ascii="Calibri" w:hAnsi="Calibri" w:cs="Calibri"/>
          <w:sz w:val="20"/>
          <w:szCs w:val="20"/>
        </w:rPr>
      </w:pPr>
    </w:p>
    <w:p w14:paraId="68091E69" w14:textId="77777777" w:rsidR="00CF33D9" w:rsidRDefault="00E3332A">
      <w:pPr>
        <w:spacing w:line="220" w:lineRule="exact"/>
        <w:jc w:val="both"/>
        <w:rPr>
          <w:rFonts w:ascii="Calibri" w:hAnsi="Calibri" w:cs="Calibri"/>
          <w:sz w:val="20"/>
          <w:szCs w:val="20"/>
        </w:rPr>
      </w:pPr>
      <w:r>
        <w:rPr>
          <w:rFonts w:ascii="Calibri" w:hAnsi="Calibri" w:cs="Calibri"/>
          <w:sz w:val="20"/>
          <w:szCs w:val="20"/>
        </w:rPr>
        <w:t>An initial study has been undertaken for the Environmental and Social Assessment during the PPG phase. This included the following:</w:t>
      </w:r>
    </w:p>
    <w:p w14:paraId="68091E6A" w14:textId="77777777" w:rsidR="00CF33D9" w:rsidRDefault="00E3332A">
      <w:pPr>
        <w:pStyle w:val="ListParagraph"/>
        <w:numPr>
          <w:ilvl w:val="0"/>
          <w:numId w:val="111"/>
        </w:numPr>
        <w:spacing w:line="220" w:lineRule="exact"/>
        <w:contextualSpacing/>
        <w:jc w:val="both"/>
        <w:rPr>
          <w:rFonts w:ascii="Calibri" w:hAnsi="Calibri" w:cs="Calibri"/>
          <w:sz w:val="20"/>
          <w:szCs w:val="20"/>
        </w:rPr>
      </w:pPr>
      <w:r>
        <w:rPr>
          <w:rFonts w:ascii="Calibri" w:hAnsi="Calibri" w:cs="Calibri"/>
          <w:sz w:val="20"/>
          <w:szCs w:val="20"/>
        </w:rPr>
        <w:t>Workshops and stakeholders’ interview and consultations.</w:t>
      </w:r>
    </w:p>
    <w:p w14:paraId="68091E6B" w14:textId="77777777" w:rsidR="00CF33D9" w:rsidRDefault="00E3332A">
      <w:pPr>
        <w:pStyle w:val="ListParagraph"/>
        <w:numPr>
          <w:ilvl w:val="0"/>
          <w:numId w:val="111"/>
        </w:numPr>
        <w:spacing w:line="220" w:lineRule="exact"/>
        <w:contextualSpacing/>
        <w:jc w:val="both"/>
        <w:rPr>
          <w:rFonts w:ascii="Calibri" w:hAnsi="Calibri" w:cs="Calibri"/>
          <w:sz w:val="20"/>
          <w:szCs w:val="20"/>
        </w:rPr>
      </w:pPr>
      <w:r>
        <w:rPr>
          <w:rFonts w:ascii="Calibri" w:hAnsi="Calibri" w:cs="Calibri"/>
          <w:sz w:val="20"/>
          <w:szCs w:val="20"/>
        </w:rPr>
        <w:t>Review of previous work conducted at the PIF stage.</w:t>
      </w:r>
    </w:p>
    <w:p w14:paraId="68091E6C" w14:textId="77777777" w:rsidR="00CF33D9" w:rsidRDefault="00E3332A">
      <w:pPr>
        <w:pStyle w:val="ListParagraph"/>
        <w:numPr>
          <w:ilvl w:val="0"/>
          <w:numId w:val="111"/>
        </w:numPr>
        <w:spacing w:line="220" w:lineRule="exact"/>
        <w:contextualSpacing/>
        <w:jc w:val="both"/>
        <w:rPr>
          <w:rFonts w:ascii="Calibri" w:hAnsi="Calibri" w:cs="Calibri"/>
          <w:sz w:val="20"/>
          <w:szCs w:val="20"/>
        </w:rPr>
      </w:pPr>
      <w:r>
        <w:rPr>
          <w:rFonts w:ascii="Calibri" w:hAnsi="Calibri" w:cs="Calibri"/>
          <w:sz w:val="20"/>
          <w:szCs w:val="20"/>
        </w:rPr>
        <w:t>Review of existing relevant information.</w:t>
      </w:r>
    </w:p>
    <w:p w14:paraId="68091E6D" w14:textId="77777777" w:rsidR="00CF33D9" w:rsidRDefault="00E3332A">
      <w:pPr>
        <w:pStyle w:val="ListParagraph"/>
        <w:numPr>
          <w:ilvl w:val="0"/>
          <w:numId w:val="111"/>
        </w:numPr>
        <w:spacing w:line="220" w:lineRule="exact"/>
        <w:contextualSpacing/>
        <w:jc w:val="both"/>
        <w:rPr>
          <w:rFonts w:ascii="Calibri" w:hAnsi="Calibri" w:cs="Calibri"/>
          <w:sz w:val="20"/>
          <w:szCs w:val="20"/>
        </w:rPr>
      </w:pPr>
      <w:r>
        <w:rPr>
          <w:rFonts w:ascii="Calibri" w:hAnsi="Calibri" w:cs="Calibri"/>
          <w:sz w:val="20"/>
          <w:szCs w:val="20"/>
        </w:rPr>
        <w:t>PPG Expert’s team inputs and feedback</w:t>
      </w:r>
    </w:p>
    <w:p w14:paraId="68091E6E" w14:textId="77777777" w:rsidR="00CF33D9" w:rsidRDefault="00CF33D9">
      <w:pPr>
        <w:spacing w:line="220" w:lineRule="exact"/>
        <w:jc w:val="both"/>
        <w:rPr>
          <w:rFonts w:ascii="Calibri" w:hAnsi="Calibri" w:cs="Calibri"/>
          <w:sz w:val="20"/>
          <w:szCs w:val="20"/>
        </w:rPr>
      </w:pPr>
    </w:p>
    <w:p w14:paraId="68091E6F" w14:textId="77777777" w:rsidR="00CF33D9" w:rsidRDefault="00E3332A">
      <w:pPr>
        <w:spacing w:line="220" w:lineRule="exact"/>
        <w:jc w:val="both"/>
        <w:rPr>
          <w:rFonts w:ascii="Calibri" w:hAnsi="Calibri" w:cs="Calibri"/>
          <w:sz w:val="20"/>
          <w:szCs w:val="20"/>
        </w:rPr>
      </w:pPr>
      <w:r>
        <w:rPr>
          <w:rFonts w:ascii="Calibri" w:hAnsi="Calibri" w:cs="Calibri"/>
          <w:sz w:val="20"/>
          <w:szCs w:val="20"/>
        </w:rPr>
        <w:t xml:space="preserve">All risks identified in the SESP need to be further assessed and managed as described in this section. </w:t>
      </w:r>
    </w:p>
    <w:p w14:paraId="68091E70" w14:textId="77777777" w:rsidR="00CF33D9" w:rsidRDefault="00E3332A">
      <w:pPr>
        <w:spacing w:line="220" w:lineRule="exact"/>
        <w:jc w:val="both"/>
        <w:rPr>
          <w:rFonts w:ascii="Calibri" w:hAnsi="Calibri" w:cs="Calibri"/>
          <w:sz w:val="20"/>
          <w:szCs w:val="20"/>
        </w:rPr>
      </w:pPr>
      <w:r>
        <w:rPr>
          <w:rFonts w:ascii="Calibri" w:hAnsi="Calibri" w:cs="Calibri"/>
          <w:sz w:val="20"/>
          <w:szCs w:val="20"/>
        </w:rPr>
        <w:t>The procedures and their criteria described in this ESMF include:</w:t>
      </w:r>
    </w:p>
    <w:p w14:paraId="68091E71" w14:textId="77777777" w:rsidR="00CF33D9" w:rsidRDefault="00CF33D9">
      <w:pPr>
        <w:spacing w:line="220" w:lineRule="exact"/>
        <w:jc w:val="both"/>
        <w:rPr>
          <w:rFonts w:ascii="Calibri" w:hAnsi="Calibri" w:cs="Calibri"/>
          <w:sz w:val="20"/>
          <w:szCs w:val="20"/>
        </w:rPr>
      </w:pPr>
    </w:p>
    <w:p w14:paraId="68091E72" w14:textId="77777777" w:rsidR="00CF33D9" w:rsidRDefault="00E3332A">
      <w:pPr>
        <w:pStyle w:val="ListParagraph"/>
        <w:numPr>
          <w:ilvl w:val="0"/>
          <w:numId w:val="112"/>
        </w:numPr>
        <w:spacing w:line="220" w:lineRule="exact"/>
        <w:contextualSpacing/>
        <w:jc w:val="both"/>
        <w:rPr>
          <w:rFonts w:ascii="Calibri" w:hAnsi="Calibri" w:cs="Calibri"/>
          <w:sz w:val="20"/>
          <w:szCs w:val="20"/>
        </w:rPr>
      </w:pPr>
      <w:r>
        <w:rPr>
          <w:rFonts w:ascii="Calibri" w:hAnsi="Calibri" w:cs="Calibri"/>
          <w:b/>
          <w:bCs/>
          <w:sz w:val="20"/>
          <w:szCs w:val="20"/>
        </w:rPr>
        <w:t xml:space="preserve">Procedures for the overall project: </w:t>
      </w:r>
      <w:r>
        <w:rPr>
          <w:rFonts w:ascii="Calibri" w:hAnsi="Calibri" w:cs="Calibri"/>
          <w:sz w:val="20"/>
          <w:szCs w:val="20"/>
        </w:rPr>
        <w:t>applicable to all project activities</w:t>
      </w:r>
    </w:p>
    <w:p w14:paraId="68091E73" w14:textId="77777777" w:rsidR="00CF33D9" w:rsidRDefault="00E3332A">
      <w:pPr>
        <w:pStyle w:val="ListParagraph"/>
        <w:numPr>
          <w:ilvl w:val="0"/>
          <w:numId w:val="112"/>
        </w:numPr>
        <w:spacing w:line="220" w:lineRule="exact"/>
        <w:contextualSpacing/>
        <w:jc w:val="both"/>
        <w:rPr>
          <w:rFonts w:ascii="Calibri" w:hAnsi="Calibri" w:cs="Calibri"/>
          <w:sz w:val="20"/>
          <w:szCs w:val="20"/>
        </w:rPr>
      </w:pPr>
      <w:r>
        <w:rPr>
          <w:rFonts w:ascii="Calibri" w:hAnsi="Calibri" w:cs="Calibri"/>
          <w:b/>
          <w:bCs/>
          <w:sz w:val="20"/>
          <w:szCs w:val="20"/>
        </w:rPr>
        <w:t xml:space="preserve">Procedures for co-financed activities: </w:t>
      </w:r>
      <w:r>
        <w:rPr>
          <w:rFonts w:ascii="Calibri" w:hAnsi="Calibri" w:cs="Calibri"/>
          <w:sz w:val="20"/>
          <w:szCs w:val="20"/>
        </w:rPr>
        <w:t xml:space="preserve">applicable specifically to activities funded by co-financing which contributes to project results either flowing through UNDP accounts or flowing directly to the project outside of UNDP accounts. </w:t>
      </w:r>
    </w:p>
    <w:p w14:paraId="68091E74" w14:textId="77777777" w:rsidR="00CF33D9" w:rsidRDefault="00E3332A">
      <w:pPr>
        <w:pStyle w:val="ListParagraph"/>
        <w:numPr>
          <w:ilvl w:val="0"/>
          <w:numId w:val="112"/>
        </w:numPr>
        <w:spacing w:line="220" w:lineRule="exact"/>
        <w:contextualSpacing/>
        <w:jc w:val="both"/>
        <w:rPr>
          <w:rFonts w:ascii="Calibri" w:hAnsi="Calibri" w:cs="Calibri"/>
          <w:sz w:val="20"/>
          <w:szCs w:val="20"/>
        </w:rPr>
      </w:pPr>
      <w:r>
        <w:rPr>
          <w:rFonts w:ascii="Calibri" w:hAnsi="Calibri" w:cs="Calibri"/>
          <w:b/>
          <w:bCs/>
          <w:sz w:val="20"/>
          <w:szCs w:val="20"/>
        </w:rPr>
        <w:t>Procedures for upstream activities:</w:t>
      </w:r>
      <w:r>
        <w:rPr>
          <w:rFonts w:ascii="Calibri" w:hAnsi="Calibri" w:cs="Calibri"/>
          <w:sz w:val="20"/>
          <w:szCs w:val="20"/>
        </w:rPr>
        <w:t xml:space="preserve"> applicable specifically to activities supporting policy and/or sector reforms.</w:t>
      </w:r>
    </w:p>
    <w:p w14:paraId="68091E75" w14:textId="77777777" w:rsidR="00CF33D9" w:rsidRDefault="00E3332A">
      <w:pPr>
        <w:pStyle w:val="ListParagraph"/>
        <w:numPr>
          <w:ilvl w:val="0"/>
          <w:numId w:val="112"/>
        </w:numPr>
        <w:spacing w:line="220" w:lineRule="exact"/>
        <w:contextualSpacing/>
        <w:jc w:val="both"/>
        <w:rPr>
          <w:rFonts w:ascii="Calibri" w:hAnsi="Calibri" w:cs="Calibri"/>
          <w:sz w:val="20"/>
          <w:szCs w:val="20"/>
        </w:rPr>
      </w:pPr>
      <w:r>
        <w:rPr>
          <w:rFonts w:ascii="Calibri" w:hAnsi="Calibri" w:cs="Calibri"/>
          <w:b/>
          <w:bCs/>
          <w:sz w:val="20"/>
          <w:szCs w:val="20"/>
        </w:rPr>
        <w:t xml:space="preserve">Procedures for downstream activities: </w:t>
      </w:r>
      <w:r>
        <w:rPr>
          <w:rFonts w:ascii="Calibri" w:hAnsi="Calibri" w:cs="Calibri"/>
          <w:sz w:val="20"/>
          <w:szCs w:val="20"/>
        </w:rPr>
        <w:t>applicable to on-the-ground activities often referred to as “downstream activities”.</w:t>
      </w:r>
    </w:p>
    <w:p w14:paraId="68091E76" w14:textId="77777777" w:rsidR="00CF33D9" w:rsidRDefault="00CF33D9">
      <w:pPr>
        <w:jc w:val="both"/>
        <w:rPr>
          <w:rFonts w:ascii="Calibri" w:hAnsi="Calibri" w:cs="Calibri"/>
          <w:bCs/>
          <w:sz w:val="20"/>
          <w:szCs w:val="20"/>
        </w:rPr>
      </w:pPr>
    </w:p>
    <w:p w14:paraId="68091E77" w14:textId="77777777" w:rsidR="00CF33D9" w:rsidRDefault="00E3332A">
      <w:pPr>
        <w:rPr>
          <w:rFonts w:ascii="Calibri" w:hAnsi="Calibri" w:cs="Calibri"/>
          <w:sz w:val="20"/>
          <w:szCs w:val="20"/>
        </w:rPr>
      </w:pPr>
      <w:r>
        <w:rPr>
          <w:rFonts w:ascii="Calibri" w:hAnsi="Calibri" w:cs="Calibri"/>
          <w:sz w:val="20"/>
          <w:szCs w:val="20"/>
        </w:rPr>
        <w:t>4.1</w:t>
      </w:r>
      <w:r>
        <w:rPr>
          <w:rFonts w:ascii="Calibri" w:hAnsi="Calibri" w:cs="Calibri"/>
          <w:sz w:val="20"/>
          <w:szCs w:val="20"/>
        </w:rPr>
        <w:tab/>
        <w:t>Guiding Principles</w:t>
      </w:r>
    </w:p>
    <w:p w14:paraId="68091E78" w14:textId="77777777" w:rsidR="00CF33D9" w:rsidRDefault="00CF33D9">
      <w:pPr>
        <w:rPr>
          <w:rFonts w:ascii="Calibri" w:hAnsi="Calibri" w:cs="Calibri"/>
          <w:sz w:val="20"/>
          <w:szCs w:val="20"/>
        </w:rPr>
      </w:pPr>
    </w:p>
    <w:p w14:paraId="68091E79" w14:textId="77777777" w:rsidR="00CF33D9" w:rsidRDefault="00E3332A">
      <w:pPr>
        <w:spacing w:line="220" w:lineRule="exact"/>
        <w:rPr>
          <w:rFonts w:ascii="Calibri" w:hAnsi="Calibri" w:cs="Calibri"/>
          <w:b/>
          <w:bCs/>
          <w:sz w:val="20"/>
          <w:szCs w:val="20"/>
        </w:rPr>
      </w:pPr>
      <w:r>
        <w:rPr>
          <w:rFonts w:ascii="Calibri" w:hAnsi="Calibri" w:cs="Calibri"/>
          <w:b/>
          <w:bCs/>
          <w:sz w:val="20"/>
          <w:szCs w:val="20"/>
        </w:rPr>
        <w:t>Substantial-risk project categorization</w:t>
      </w:r>
    </w:p>
    <w:p w14:paraId="68091E7A" w14:textId="77777777" w:rsidR="00CF33D9" w:rsidRDefault="00CF33D9">
      <w:pPr>
        <w:spacing w:line="220" w:lineRule="exact"/>
        <w:rPr>
          <w:rFonts w:ascii="Calibri" w:hAnsi="Calibri" w:cs="Calibri"/>
          <w:b/>
          <w:bCs/>
          <w:sz w:val="20"/>
          <w:szCs w:val="20"/>
        </w:rPr>
      </w:pPr>
    </w:p>
    <w:p w14:paraId="68091E7B" w14:textId="77777777" w:rsidR="00CF33D9" w:rsidRDefault="00E3332A">
      <w:pPr>
        <w:spacing w:line="220" w:lineRule="exact"/>
        <w:jc w:val="both"/>
        <w:rPr>
          <w:rFonts w:ascii="Calibri" w:hAnsi="Calibri" w:cs="Calibri"/>
          <w:sz w:val="20"/>
          <w:szCs w:val="20"/>
        </w:rPr>
      </w:pPr>
      <w:r>
        <w:rPr>
          <w:rFonts w:ascii="Calibri" w:hAnsi="Calibri" w:cs="Calibri"/>
          <w:sz w:val="20"/>
          <w:szCs w:val="20"/>
        </w:rPr>
        <w:t>The project will follow UNDP’s requirements and procedures for screening, assessment, and management according to its substantial-risk project categorization.</w:t>
      </w:r>
    </w:p>
    <w:p w14:paraId="68091E7C" w14:textId="77777777" w:rsidR="00CF33D9" w:rsidRDefault="00CF33D9">
      <w:pPr>
        <w:spacing w:line="220" w:lineRule="exact"/>
        <w:jc w:val="both"/>
        <w:rPr>
          <w:rFonts w:ascii="Calibri" w:hAnsi="Calibri" w:cs="Calibri"/>
          <w:sz w:val="20"/>
          <w:szCs w:val="20"/>
        </w:rPr>
      </w:pPr>
    </w:p>
    <w:p w14:paraId="68091E7D" w14:textId="77777777" w:rsidR="00CF33D9" w:rsidRDefault="00E3332A">
      <w:pPr>
        <w:spacing w:line="220" w:lineRule="exact"/>
        <w:jc w:val="both"/>
        <w:rPr>
          <w:rFonts w:ascii="Calibri" w:hAnsi="Calibri" w:cs="Calibri"/>
          <w:sz w:val="20"/>
          <w:szCs w:val="20"/>
        </w:rPr>
      </w:pPr>
      <w:r>
        <w:rPr>
          <w:rFonts w:ascii="Calibri" w:hAnsi="Calibri" w:cs="Calibri"/>
          <w:sz w:val="20"/>
          <w:szCs w:val="20"/>
        </w:rPr>
        <w:t>The following principles will guide the procedures:</w:t>
      </w:r>
    </w:p>
    <w:p w14:paraId="68091E7E" w14:textId="77777777" w:rsidR="00CF33D9" w:rsidRDefault="00CF33D9">
      <w:pPr>
        <w:spacing w:line="220" w:lineRule="exact"/>
        <w:jc w:val="both"/>
        <w:rPr>
          <w:rFonts w:ascii="Calibri" w:hAnsi="Calibri" w:cs="Calibri"/>
          <w:sz w:val="20"/>
          <w:szCs w:val="20"/>
        </w:rPr>
      </w:pPr>
    </w:p>
    <w:p w14:paraId="68091E7F" w14:textId="77777777" w:rsidR="00CF33D9" w:rsidRDefault="00E3332A">
      <w:pPr>
        <w:spacing w:line="220" w:lineRule="exact"/>
        <w:jc w:val="both"/>
        <w:rPr>
          <w:rFonts w:ascii="Calibri" w:hAnsi="Calibri" w:cs="Calibri"/>
          <w:b/>
          <w:bCs/>
          <w:sz w:val="20"/>
          <w:szCs w:val="20"/>
        </w:rPr>
      </w:pPr>
      <w:r>
        <w:rPr>
          <w:rFonts w:ascii="Calibri" w:hAnsi="Calibri" w:cs="Calibri"/>
          <w:b/>
          <w:bCs/>
          <w:sz w:val="20"/>
          <w:szCs w:val="20"/>
        </w:rPr>
        <w:t>Mitigation Hierarchy</w:t>
      </w:r>
    </w:p>
    <w:p w14:paraId="68091E80" w14:textId="77777777" w:rsidR="00CF33D9" w:rsidRDefault="00E3332A">
      <w:pPr>
        <w:spacing w:line="220" w:lineRule="exact"/>
        <w:jc w:val="both"/>
        <w:rPr>
          <w:rFonts w:ascii="Calibri" w:hAnsi="Calibri" w:cs="Calibri"/>
          <w:sz w:val="20"/>
          <w:szCs w:val="20"/>
        </w:rPr>
      </w:pPr>
      <w:r>
        <w:rPr>
          <w:rFonts w:ascii="Calibri" w:hAnsi="Calibri" w:cs="Calibri"/>
          <w:sz w:val="20"/>
          <w:szCs w:val="20"/>
        </w:rPr>
        <w:t xml:space="preserve">The project will first seek to </w:t>
      </w:r>
      <w:r>
        <w:rPr>
          <w:rFonts w:ascii="Calibri" w:hAnsi="Calibri" w:cs="Calibri"/>
          <w:i/>
          <w:iCs/>
          <w:sz w:val="20"/>
          <w:szCs w:val="20"/>
          <w:u w:val="single"/>
        </w:rPr>
        <w:t xml:space="preserve">avoid </w:t>
      </w:r>
      <w:r>
        <w:rPr>
          <w:rFonts w:ascii="Calibri" w:hAnsi="Calibri" w:cs="Calibri"/>
          <w:sz w:val="20"/>
          <w:szCs w:val="20"/>
        </w:rPr>
        <w:t xml:space="preserve">potential adverse impacts, then </w:t>
      </w:r>
      <w:r>
        <w:rPr>
          <w:rFonts w:ascii="Calibri" w:hAnsi="Calibri" w:cs="Calibri"/>
          <w:i/>
          <w:iCs/>
          <w:sz w:val="20"/>
          <w:szCs w:val="20"/>
          <w:u w:val="single"/>
        </w:rPr>
        <w:t xml:space="preserve">minimize </w:t>
      </w:r>
      <w:r>
        <w:rPr>
          <w:rFonts w:ascii="Calibri" w:hAnsi="Calibri" w:cs="Calibri"/>
          <w:sz w:val="20"/>
          <w:szCs w:val="20"/>
        </w:rPr>
        <w:t xml:space="preserve">them; where impacts remain, it will then apply </w:t>
      </w:r>
      <w:r>
        <w:rPr>
          <w:rFonts w:ascii="Calibri" w:hAnsi="Calibri" w:cs="Calibri"/>
          <w:i/>
          <w:iCs/>
          <w:sz w:val="20"/>
          <w:szCs w:val="20"/>
          <w:u w:val="single"/>
        </w:rPr>
        <w:t xml:space="preserve">mitigation </w:t>
      </w:r>
      <w:r>
        <w:rPr>
          <w:rFonts w:ascii="Calibri" w:hAnsi="Calibri" w:cs="Calibri"/>
          <w:sz w:val="20"/>
          <w:szCs w:val="20"/>
        </w:rPr>
        <w:t xml:space="preserve">measures; the </w:t>
      </w:r>
      <w:r>
        <w:rPr>
          <w:rFonts w:ascii="Calibri" w:hAnsi="Calibri" w:cs="Calibri"/>
          <w:i/>
          <w:iCs/>
          <w:sz w:val="20"/>
          <w:szCs w:val="20"/>
          <w:u w:val="single"/>
        </w:rPr>
        <w:t xml:space="preserve">offset </w:t>
      </w:r>
      <w:r>
        <w:rPr>
          <w:rFonts w:ascii="Calibri" w:hAnsi="Calibri" w:cs="Calibri"/>
          <w:sz w:val="20"/>
          <w:szCs w:val="20"/>
        </w:rPr>
        <w:t>of impacts that have not mitigated will be used as a last resort.</w:t>
      </w:r>
    </w:p>
    <w:p w14:paraId="68091E81" w14:textId="77777777" w:rsidR="00CF33D9" w:rsidRDefault="00CF33D9">
      <w:pPr>
        <w:spacing w:line="220" w:lineRule="exact"/>
        <w:jc w:val="both"/>
        <w:rPr>
          <w:rFonts w:ascii="Calibri" w:hAnsi="Calibri" w:cs="Calibri"/>
          <w:sz w:val="20"/>
          <w:szCs w:val="20"/>
        </w:rPr>
      </w:pPr>
    </w:p>
    <w:p w14:paraId="68091E82" w14:textId="77777777" w:rsidR="00CF33D9" w:rsidRDefault="00E3332A">
      <w:pPr>
        <w:spacing w:line="220" w:lineRule="exact"/>
        <w:jc w:val="both"/>
        <w:rPr>
          <w:rFonts w:ascii="Calibri" w:hAnsi="Calibri" w:cs="Calibri"/>
          <w:b/>
          <w:sz w:val="20"/>
          <w:szCs w:val="20"/>
        </w:rPr>
      </w:pPr>
      <w:r>
        <w:rPr>
          <w:rFonts w:ascii="Calibri" w:hAnsi="Calibri" w:cs="Calibri"/>
          <w:b/>
          <w:sz w:val="20"/>
          <w:szCs w:val="20"/>
        </w:rPr>
        <w:t>Precautionary Principle</w:t>
      </w:r>
    </w:p>
    <w:p w14:paraId="68091E83" w14:textId="77777777" w:rsidR="00CF33D9" w:rsidRDefault="00E3332A">
      <w:pPr>
        <w:spacing w:line="220" w:lineRule="exact"/>
        <w:jc w:val="both"/>
        <w:rPr>
          <w:rFonts w:ascii="Calibri" w:hAnsi="Calibri" w:cs="Calibri"/>
          <w:bCs/>
          <w:sz w:val="20"/>
          <w:szCs w:val="20"/>
        </w:rPr>
      </w:pPr>
      <w:r>
        <w:rPr>
          <w:rFonts w:ascii="Calibri" w:hAnsi="Calibri" w:cs="Calibri"/>
          <w:bCs/>
          <w:sz w:val="20"/>
          <w:szCs w:val="20"/>
        </w:rPr>
        <w:t xml:space="preserve">The lack of full scientific certainty shall not be used as a reason for postponing measures to prevent serious threats. </w:t>
      </w:r>
    </w:p>
    <w:p w14:paraId="68091E84" w14:textId="77777777" w:rsidR="00CF33D9" w:rsidRDefault="00CF33D9">
      <w:pPr>
        <w:spacing w:line="220" w:lineRule="exact"/>
        <w:jc w:val="both"/>
        <w:rPr>
          <w:rFonts w:ascii="Calibri" w:hAnsi="Calibri" w:cs="Calibri"/>
          <w:bCs/>
          <w:sz w:val="20"/>
          <w:szCs w:val="20"/>
        </w:rPr>
      </w:pPr>
    </w:p>
    <w:p w14:paraId="68091E85" w14:textId="77777777" w:rsidR="00CF33D9" w:rsidRDefault="00E3332A">
      <w:pPr>
        <w:spacing w:line="220" w:lineRule="exact"/>
        <w:jc w:val="both"/>
        <w:rPr>
          <w:rFonts w:ascii="Calibri" w:hAnsi="Calibri" w:cs="Calibri"/>
          <w:b/>
          <w:sz w:val="20"/>
          <w:szCs w:val="20"/>
        </w:rPr>
      </w:pPr>
      <w:r>
        <w:rPr>
          <w:rFonts w:ascii="Calibri" w:hAnsi="Calibri" w:cs="Calibri"/>
          <w:b/>
          <w:sz w:val="20"/>
          <w:szCs w:val="20"/>
        </w:rPr>
        <w:t>Direct, Indirect, and Cumulative Impacts</w:t>
      </w:r>
    </w:p>
    <w:p w14:paraId="68091E86" w14:textId="77777777" w:rsidR="00CF33D9" w:rsidRDefault="00E3332A">
      <w:pPr>
        <w:spacing w:line="220" w:lineRule="exact"/>
        <w:jc w:val="both"/>
        <w:rPr>
          <w:rFonts w:ascii="Calibri" w:hAnsi="Calibri" w:cs="Calibri"/>
          <w:bCs/>
          <w:color w:val="000000"/>
          <w:sz w:val="20"/>
          <w:szCs w:val="20"/>
        </w:rPr>
      </w:pPr>
      <w:r>
        <w:rPr>
          <w:rFonts w:ascii="Calibri" w:hAnsi="Calibri" w:cs="Calibri"/>
          <w:bCs/>
          <w:color w:val="000000"/>
          <w:sz w:val="20"/>
          <w:szCs w:val="20"/>
        </w:rPr>
        <w:t>The project will consider all relevant impacts, not just in the immediate project area but also in the project’s area of influence; it will also consider cumulative impacts from the project or from other relevant past, present, and reasonably foreseeable developments in the geographic area.</w:t>
      </w:r>
    </w:p>
    <w:p w14:paraId="68091E87" w14:textId="77777777" w:rsidR="00CF33D9" w:rsidRDefault="00CF33D9">
      <w:pPr>
        <w:spacing w:line="276" w:lineRule="auto"/>
        <w:jc w:val="both"/>
        <w:rPr>
          <w:rFonts w:ascii="Calibri" w:hAnsi="Calibri" w:cs="Calibri"/>
          <w:bCs/>
          <w:color w:val="000000"/>
          <w:sz w:val="20"/>
          <w:szCs w:val="20"/>
        </w:rPr>
      </w:pPr>
    </w:p>
    <w:p w14:paraId="68091E88" w14:textId="77777777" w:rsidR="00CF33D9" w:rsidRDefault="00E3332A">
      <w:pPr>
        <w:spacing w:line="220" w:lineRule="exact"/>
        <w:jc w:val="both"/>
        <w:rPr>
          <w:rFonts w:ascii="Calibri" w:hAnsi="Calibri" w:cs="Calibri"/>
          <w:b/>
          <w:color w:val="000000"/>
          <w:sz w:val="20"/>
          <w:szCs w:val="20"/>
        </w:rPr>
      </w:pPr>
      <w:r>
        <w:rPr>
          <w:rFonts w:ascii="Calibri" w:hAnsi="Calibri" w:cs="Calibri"/>
          <w:b/>
          <w:color w:val="000000"/>
          <w:sz w:val="20"/>
          <w:szCs w:val="20"/>
        </w:rPr>
        <w:t>“Polluter pays”</w:t>
      </w:r>
    </w:p>
    <w:p w14:paraId="68091E89" w14:textId="77777777" w:rsidR="00CF33D9" w:rsidRDefault="00E3332A">
      <w:pPr>
        <w:spacing w:line="220" w:lineRule="exact"/>
        <w:jc w:val="both"/>
        <w:rPr>
          <w:rFonts w:ascii="Calibri" w:hAnsi="Calibri" w:cs="Calibri"/>
          <w:bCs/>
          <w:color w:val="000000"/>
          <w:sz w:val="20"/>
          <w:szCs w:val="20"/>
        </w:rPr>
      </w:pPr>
      <w:r>
        <w:rPr>
          <w:rFonts w:ascii="Calibri" w:hAnsi="Calibri" w:cs="Calibri"/>
          <w:bCs/>
          <w:color w:val="000000"/>
          <w:sz w:val="20"/>
          <w:szCs w:val="20"/>
        </w:rPr>
        <w:t>The cost of mitigation is borne by the agent causing the damage.</w:t>
      </w:r>
    </w:p>
    <w:p w14:paraId="68091E8A" w14:textId="77777777" w:rsidR="00CF33D9" w:rsidRDefault="00CF33D9">
      <w:pPr>
        <w:spacing w:line="276" w:lineRule="auto"/>
        <w:jc w:val="both"/>
        <w:rPr>
          <w:rFonts w:ascii="Calibri" w:hAnsi="Calibri" w:cs="Calibri"/>
          <w:bCs/>
          <w:color w:val="000000"/>
          <w:sz w:val="20"/>
          <w:szCs w:val="20"/>
        </w:rPr>
      </w:pPr>
    </w:p>
    <w:p w14:paraId="68091E8B" w14:textId="77777777" w:rsidR="00CF33D9" w:rsidRDefault="00E3332A">
      <w:pPr>
        <w:spacing w:line="276" w:lineRule="auto"/>
        <w:jc w:val="both"/>
        <w:rPr>
          <w:rFonts w:ascii="Calibri" w:hAnsi="Calibri" w:cs="Calibri"/>
          <w:bCs/>
          <w:i/>
          <w:iCs/>
          <w:color w:val="000000"/>
          <w:sz w:val="20"/>
          <w:szCs w:val="20"/>
        </w:rPr>
      </w:pPr>
      <w:r>
        <w:rPr>
          <w:rFonts w:ascii="Calibri" w:hAnsi="Calibri" w:cs="Calibri"/>
          <w:b/>
          <w:i/>
          <w:iCs/>
          <w:color w:val="000000"/>
          <w:sz w:val="20"/>
          <w:szCs w:val="20"/>
        </w:rPr>
        <w:t xml:space="preserve">Figure 1. </w:t>
      </w:r>
      <w:r>
        <w:rPr>
          <w:rFonts w:ascii="Calibri" w:hAnsi="Calibri" w:cs="Calibri"/>
          <w:bCs/>
          <w:i/>
          <w:iCs/>
          <w:color w:val="000000"/>
          <w:sz w:val="20"/>
          <w:szCs w:val="20"/>
        </w:rPr>
        <w:t>UNDP’s SES mitigation hierarchy</w:t>
      </w:r>
    </w:p>
    <w:p w14:paraId="68091E8C" w14:textId="77777777" w:rsidR="00CF33D9" w:rsidRDefault="00E3332A">
      <w:pPr>
        <w:spacing w:line="276" w:lineRule="auto"/>
        <w:jc w:val="both"/>
        <w:rPr>
          <w:rFonts w:ascii="Calibri" w:hAnsi="Calibri" w:cs="Calibri"/>
          <w:bCs/>
          <w:color w:val="000000"/>
          <w:sz w:val="20"/>
          <w:szCs w:val="20"/>
        </w:rPr>
      </w:pPr>
      <w:r>
        <w:rPr>
          <w:rFonts w:ascii="Calibri" w:hAnsi="Calibri" w:cs="Calibri"/>
          <w:noProof/>
          <w:sz w:val="20"/>
          <w:szCs w:val="20"/>
        </w:rPr>
        <w:drawing>
          <wp:inline distT="0" distB="0" distL="0" distR="0" wp14:anchorId="68092309" wp14:editId="6809230A">
            <wp:extent cx="3297555" cy="1654810"/>
            <wp:effectExtent l="19050" t="0" r="36195" b="40640"/>
            <wp:docPr id="16" name="Diagram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0" r:lo="rId91" r:qs="rId92" r:cs="rId93"/>
              </a:graphicData>
            </a:graphic>
          </wp:inline>
        </w:drawing>
      </w:r>
    </w:p>
    <w:p w14:paraId="68091E8D" w14:textId="77777777" w:rsidR="00CF33D9" w:rsidRDefault="00CF33D9">
      <w:pPr>
        <w:rPr>
          <w:rFonts w:ascii="Calibri" w:hAnsi="Calibri" w:cs="Calibri"/>
          <w:sz w:val="20"/>
          <w:szCs w:val="20"/>
        </w:rPr>
      </w:pPr>
    </w:p>
    <w:p w14:paraId="68091E8E" w14:textId="77777777" w:rsidR="00CF33D9" w:rsidRDefault="00E3332A">
      <w:pPr>
        <w:rPr>
          <w:rFonts w:ascii="Calibri" w:hAnsi="Calibri" w:cs="Calibri"/>
          <w:sz w:val="20"/>
          <w:szCs w:val="20"/>
        </w:rPr>
      </w:pPr>
      <w:r>
        <w:rPr>
          <w:rFonts w:ascii="Calibri" w:hAnsi="Calibri" w:cs="Calibri"/>
          <w:sz w:val="20"/>
          <w:szCs w:val="20"/>
        </w:rPr>
        <w:t>4.2</w:t>
      </w:r>
      <w:r>
        <w:rPr>
          <w:rFonts w:ascii="Calibri" w:hAnsi="Calibri" w:cs="Calibri"/>
          <w:sz w:val="20"/>
          <w:szCs w:val="20"/>
        </w:rPr>
        <w:tab/>
        <w:t>Social and Environmental Screening Procedure (SESP)</w:t>
      </w:r>
    </w:p>
    <w:p w14:paraId="68091E8F" w14:textId="77777777" w:rsidR="00CF33D9" w:rsidRDefault="00CF33D9">
      <w:pPr>
        <w:rPr>
          <w:rFonts w:ascii="Calibri" w:hAnsi="Calibri" w:cs="Calibri"/>
          <w:sz w:val="20"/>
          <w:szCs w:val="20"/>
        </w:rPr>
      </w:pPr>
    </w:p>
    <w:p w14:paraId="68091E90" w14:textId="77777777" w:rsidR="00CF33D9" w:rsidRDefault="00E3332A">
      <w:pPr>
        <w:spacing w:line="220" w:lineRule="exact"/>
        <w:jc w:val="both"/>
        <w:rPr>
          <w:rFonts w:ascii="Calibri" w:hAnsi="Calibri" w:cs="Calibri"/>
          <w:sz w:val="20"/>
          <w:szCs w:val="20"/>
        </w:rPr>
      </w:pPr>
      <w:r>
        <w:rPr>
          <w:rFonts w:ascii="Calibri" w:hAnsi="Calibri" w:cs="Calibri"/>
          <w:sz w:val="20"/>
          <w:szCs w:val="20"/>
        </w:rPr>
        <w:t>The SESP was conducted during PPG and is available as annex to the ProDoc. The SESP was preceded by an Initial Social and Environmental Risk Screening undertaken during PIF development, then updated and finalized following the national workshops during PPG. It has been conceived according to the following principles:</w:t>
      </w:r>
    </w:p>
    <w:p w14:paraId="68091E91" w14:textId="77777777" w:rsidR="00CF33D9" w:rsidRDefault="00CF33D9">
      <w:pPr>
        <w:spacing w:line="220" w:lineRule="exact"/>
        <w:jc w:val="both"/>
        <w:rPr>
          <w:rFonts w:ascii="Calibri" w:hAnsi="Calibri" w:cs="Calibri"/>
          <w:sz w:val="20"/>
          <w:szCs w:val="20"/>
        </w:rPr>
      </w:pPr>
    </w:p>
    <w:p w14:paraId="68091E92" w14:textId="77777777" w:rsidR="00CF33D9" w:rsidRDefault="00E3332A">
      <w:pPr>
        <w:spacing w:line="220" w:lineRule="exact"/>
        <w:jc w:val="both"/>
        <w:rPr>
          <w:rFonts w:ascii="Calibri" w:hAnsi="Calibri" w:cs="Calibri"/>
          <w:b/>
          <w:sz w:val="20"/>
          <w:szCs w:val="20"/>
        </w:rPr>
      </w:pPr>
      <w:r>
        <w:rPr>
          <w:rFonts w:ascii="Calibri" w:hAnsi="Calibri" w:cs="Calibri"/>
          <w:b/>
          <w:sz w:val="20"/>
          <w:szCs w:val="20"/>
        </w:rPr>
        <w:t>Do not Assume Away Risks</w:t>
      </w:r>
    </w:p>
    <w:p w14:paraId="68091E93" w14:textId="77777777" w:rsidR="00CF33D9" w:rsidRDefault="00E3332A">
      <w:pPr>
        <w:spacing w:line="220" w:lineRule="exact"/>
        <w:jc w:val="both"/>
        <w:rPr>
          <w:rFonts w:ascii="Calibri" w:hAnsi="Calibri" w:cs="Calibri"/>
          <w:bCs/>
          <w:sz w:val="20"/>
          <w:szCs w:val="20"/>
        </w:rPr>
      </w:pPr>
      <w:r>
        <w:rPr>
          <w:rFonts w:ascii="Calibri" w:hAnsi="Calibri" w:cs="Calibri"/>
          <w:bCs/>
          <w:sz w:val="20"/>
          <w:szCs w:val="20"/>
        </w:rPr>
        <w:t>Impact and probability have been rated as if mitigation measures will not be applied, thinking “worst case scenario”.</w:t>
      </w:r>
    </w:p>
    <w:p w14:paraId="68091E94" w14:textId="77777777" w:rsidR="00CF33D9" w:rsidRDefault="00CF33D9">
      <w:pPr>
        <w:spacing w:line="220" w:lineRule="exact"/>
        <w:jc w:val="both"/>
        <w:rPr>
          <w:rFonts w:ascii="Calibri" w:hAnsi="Calibri" w:cs="Calibri"/>
          <w:bCs/>
          <w:sz w:val="20"/>
          <w:szCs w:val="20"/>
        </w:rPr>
      </w:pPr>
    </w:p>
    <w:p w14:paraId="68091E95" w14:textId="77777777" w:rsidR="00CF33D9" w:rsidRDefault="00E3332A">
      <w:pPr>
        <w:spacing w:line="220" w:lineRule="exact"/>
        <w:jc w:val="both"/>
        <w:rPr>
          <w:rFonts w:ascii="Calibri" w:hAnsi="Calibri" w:cs="Calibri"/>
          <w:b/>
          <w:sz w:val="20"/>
          <w:szCs w:val="20"/>
        </w:rPr>
      </w:pPr>
      <w:r>
        <w:rPr>
          <w:rFonts w:ascii="Calibri" w:hAnsi="Calibri" w:cs="Calibri"/>
          <w:b/>
          <w:sz w:val="20"/>
          <w:szCs w:val="20"/>
        </w:rPr>
        <w:t>Rate Risks Appropriately</w:t>
      </w:r>
    </w:p>
    <w:p w14:paraId="68091E96" w14:textId="77777777" w:rsidR="00CF33D9" w:rsidRDefault="00E3332A">
      <w:pPr>
        <w:spacing w:line="220" w:lineRule="exact"/>
        <w:jc w:val="both"/>
        <w:rPr>
          <w:rFonts w:ascii="Calibri" w:hAnsi="Calibri" w:cs="Calibri"/>
          <w:bCs/>
          <w:sz w:val="20"/>
          <w:szCs w:val="20"/>
        </w:rPr>
      </w:pPr>
      <w:r>
        <w:rPr>
          <w:rFonts w:ascii="Calibri" w:hAnsi="Calibri" w:cs="Calibri"/>
          <w:bCs/>
          <w:sz w:val="20"/>
          <w:szCs w:val="20"/>
        </w:rPr>
        <w:t>Risk significance levels have not been underestimated – to be accurate, the most likely risk levels have been identified.</w:t>
      </w:r>
    </w:p>
    <w:p w14:paraId="68091E97" w14:textId="77777777" w:rsidR="00CF33D9" w:rsidRDefault="00CF33D9">
      <w:pPr>
        <w:spacing w:line="220" w:lineRule="exact"/>
        <w:jc w:val="both"/>
        <w:rPr>
          <w:rFonts w:ascii="Calibri" w:hAnsi="Calibri" w:cs="Calibri"/>
          <w:bCs/>
          <w:sz w:val="20"/>
          <w:szCs w:val="20"/>
        </w:rPr>
      </w:pPr>
    </w:p>
    <w:p w14:paraId="68091E98" w14:textId="77777777" w:rsidR="00CF33D9" w:rsidRDefault="00E3332A">
      <w:pPr>
        <w:spacing w:line="220" w:lineRule="exact"/>
        <w:jc w:val="both"/>
        <w:rPr>
          <w:rFonts w:ascii="Calibri" w:hAnsi="Calibri" w:cs="Calibri"/>
          <w:b/>
          <w:sz w:val="20"/>
          <w:szCs w:val="20"/>
        </w:rPr>
      </w:pPr>
      <w:r>
        <w:rPr>
          <w:rFonts w:ascii="Calibri" w:hAnsi="Calibri" w:cs="Calibri"/>
          <w:b/>
          <w:sz w:val="20"/>
          <w:szCs w:val="20"/>
        </w:rPr>
        <w:t>Categorize Based on Highest Risk</w:t>
      </w:r>
    </w:p>
    <w:p w14:paraId="68091E99" w14:textId="77777777" w:rsidR="00CF33D9" w:rsidRDefault="00E3332A">
      <w:pPr>
        <w:spacing w:line="220" w:lineRule="exact"/>
        <w:jc w:val="both"/>
        <w:rPr>
          <w:rFonts w:ascii="Calibri" w:hAnsi="Calibri" w:cs="Calibri"/>
          <w:bCs/>
          <w:sz w:val="20"/>
          <w:szCs w:val="20"/>
        </w:rPr>
      </w:pPr>
      <w:r>
        <w:rPr>
          <w:rFonts w:ascii="Calibri" w:hAnsi="Calibri" w:cs="Calibri"/>
          <w:bCs/>
          <w:sz w:val="20"/>
          <w:szCs w:val="20"/>
        </w:rPr>
        <w:t>The overall categorization has been accurately assigned by using the highest individual risk rating.</w:t>
      </w:r>
    </w:p>
    <w:p w14:paraId="68091E9A" w14:textId="77777777" w:rsidR="00CF33D9" w:rsidRDefault="00CF33D9">
      <w:pPr>
        <w:spacing w:line="220" w:lineRule="exact"/>
        <w:jc w:val="both"/>
        <w:rPr>
          <w:rFonts w:ascii="Calibri" w:hAnsi="Calibri" w:cs="Calibri"/>
          <w:bCs/>
          <w:sz w:val="20"/>
          <w:szCs w:val="20"/>
        </w:rPr>
      </w:pPr>
    </w:p>
    <w:p w14:paraId="68091E9B" w14:textId="77777777" w:rsidR="00CF33D9" w:rsidRDefault="00E3332A">
      <w:pPr>
        <w:spacing w:line="220" w:lineRule="exact"/>
        <w:jc w:val="both"/>
        <w:rPr>
          <w:rFonts w:ascii="Calibri" w:hAnsi="Calibri" w:cs="Calibri"/>
          <w:bCs/>
          <w:sz w:val="20"/>
          <w:szCs w:val="20"/>
        </w:rPr>
      </w:pPr>
      <w:r>
        <w:rPr>
          <w:rFonts w:ascii="Calibri" w:hAnsi="Calibri" w:cs="Calibri"/>
          <w:bCs/>
          <w:sz w:val="20"/>
          <w:szCs w:val="20"/>
        </w:rPr>
        <w:t xml:space="preserve">During implementation, the project will be re-screened with the UNDP SESP as needed in the course of required assessments, when determined necessary by the respective Project Manager (after consideration of the advice from PMO staff with responsibility for safeguards), the Project Steering Committee, and/or when project circumstances change in a substantive or relevant way. </w:t>
      </w:r>
    </w:p>
    <w:p w14:paraId="68091E9C" w14:textId="77777777" w:rsidR="00CF33D9" w:rsidRDefault="00CF33D9">
      <w:pPr>
        <w:jc w:val="both"/>
        <w:rPr>
          <w:rFonts w:ascii="Calibri" w:hAnsi="Calibri" w:cs="Calibri"/>
          <w:bCs/>
          <w:sz w:val="20"/>
          <w:szCs w:val="20"/>
        </w:rPr>
      </w:pPr>
    </w:p>
    <w:p w14:paraId="68091E9D" w14:textId="77777777" w:rsidR="00CF33D9" w:rsidRDefault="00E3332A">
      <w:pPr>
        <w:rPr>
          <w:rFonts w:ascii="Calibri" w:hAnsi="Calibri" w:cs="Calibri"/>
          <w:sz w:val="20"/>
          <w:szCs w:val="20"/>
        </w:rPr>
      </w:pPr>
      <w:r>
        <w:rPr>
          <w:rFonts w:ascii="Calibri" w:hAnsi="Calibri" w:cs="Calibri"/>
          <w:sz w:val="20"/>
          <w:szCs w:val="20"/>
        </w:rPr>
        <w:t>4.3</w:t>
      </w:r>
      <w:r>
        <w:rPr>
          <w:rFonts w:ascii="Calibri" w:hAnsi="Calibri" w:cs="Calibri"/>
          <w:sz w:val="20"/>
          <w:szCs w:val="20"/>
        </w:rPr>
        <w:tab/>
        <w:t>Assessment procedures</w:t>
      </w:r>
    </w:p>
    <w:p w14:paraId="68091E9E" w14:textId="77777777" w:rsidR="00CF33D9" w:rsidRDefault="00CF33D9">
      <w:pPr>
        <w:spacing w:line="220" w:lineRule="exact"/>
        <w:jc w:val="both"/>
        <w:rPr>
          <w:rFonts w:ascii="Calibri" w:hAnsi="Calibri" w:cs="Calibri"/>
          <w:bCs/>
          <w:color w:val="000000"/>
          <w:sz w:val="20"/>
          <w:szCs w:val="20"/>
        </w:rPr>
      </w:pPr>
    </w:p>
    <w:p w14:paraId="68091E9F" w14:textId="77777777" w:rsidR="00CF33D9" w:rsidRDefault="00E3332A">
      <w:pPr>
        <w:spacing w:line="220" w:lineRule="exact"/>
        <w:jc w:val="both"/>
        <w:rPr>
          <w:rFonts w:ascii="Calibri" w:hAnsi="Calibri" w:cs="Calibri"/>
          <w:bCs/>
          <w:color w:val="000000"/>
          <w:sz w:val="20"/>
          <w:szCs w:val="20"/>
        </w:rPr>
      </w:pPr>
      <w:r>
        <w:rPr>
          <w:rFonts w:ascii="Calibri" w:hAnsi="Calibri" w:cs="Calibri"/>
          <w:bCs/>
          <w:color w:val="000000"/>
          <w:sz w:val="20"/>
          <w:szCs w:val="20"/>
        </w:rPr>
        <w:t>In accordance with UNDP SES policy, the Social and Environmental Screening Procedure (SESP) has been applied to the project during the project development phase. Under this policy, a SES principle or standard is triggered when a potential risk is identified and assessed as having either a “moderate”, “substantial” or “high” risk rating based on its probability of occurrence and extent of impact. Risks that are assessed as “low” do not trigger the related principle or standard.</w:t>
      </w:r>
    </w:p>
    <w:p w14:paraId="68091EA0" w14:textId="77777777" w:rsidR="00CF33D9" w:rsidRDefault="00E3332A">
      <w:pPr>
        <w:spacing w:line="220" w:lineRule="exact"/>
        <w:jc w:val="both"/>
        <w:rPr>
          <w:rFonts w:ascii="Calibri" w:hAnsi="Calibri" w:cs="Calibri"/>
          <w:bCs/>
          <w:color w:val="000000"/>
          <w:sz w:val="20"/>
          <w:szCs w:val="20"/>
        </w:rPr>
      </w:pPr>
      <w:r>
        <w:rPr>
          <w:rFonts w:ascii="Calibri" w:hAnsi="Calibri" w:cs="Calibri"/>
          <w:bCs/>
          <w:color w:val="000000"/>
          <w:sz w:val="20"/>
          <w:szCs w:val="20"/>
        </w:rPr>
        <w:t xml:space="preserve">In accordance with the SES, and due to the </w:t>
      </w:r>
      <w:r>
        <w:rPr>
          <w:rFonts w:ascii="Calibri" w:hAnsi="Calibri" w:cs="Calibri"/>
          <w:b/>
          <w:color w:val="000000"/>
          <w:sz w:val="20"/>
          <w:szCs w:val="20"/>
        </w:rPr>
        <w:t xml:space="preserve">Substantial overall Risk category, </w:t>
      </w:r>
      <w:r>
        <w:rPr>
          <w:rFonts w:ascii="Calibri" w:hAnsi="Calibri" w:cs="Calibri"/>
          <w:bCs/>
          <w:color w:val="000000"/>
          <w:sz w:val="20"/>
          <w:szCs w:val="20"/>
        </w:rPr>
        <w:t xml:space="preserve">social and environmental assessments, including the identification of management mechanisms to mitigate identified risks must be undertaken. The required procedures are outlined below: </w:t>
      </w:r>
    </w:p>
    <w:p w14:paraId="68091EA1" w14:textId="77777777" w:rsidR="00CF33D9" w:rsidRDefault="00CF33D9">
      <w:pPr>
        <w:spacing w:line="276" w:lineRule="auto"/>
        <w:jc w:val="both"/>
        <w:rPr>
          <w:rFonts w:ascii="Calibri" w:hAnsi="Calibri" w:cs="Calibri"/>
          <w:bCs/>
          <w:color w:val="000000"/>
          <w:sz w:val="20"/>
          <w:szCs w:val="20"/>
        </w:rPr>
      </w:pPr>
    </w:p>
    <w:p w14:paraId="68091EA2" w14:textId="77777777" w:rsidR="00CF33D9" w:rsidRDefault="00E3332A">
      <w:pPr>
        <w:pStyle w:val="ListParagraph"/>
        <w:numPr>
          <w:ilvl w:val="0"/>
          <w:numId w:val="113"/>
        </w:numPr>
        <w:shd w:val="clear" w:color="auto" w:fill="DEEAF6" w:themeFill="accent1" w:themeFillTint="33"/>
        <w:spacing w:before="120" w:after="120"/>
        <w:jc w:val="both"/>
        <w:rPr>
          <w:rFonts w:ascii="Calibri" w:hAnsi="Calibri" w:cs="Calibri"/>
          <w:b/>
          <w:sz w:val="20"/>
          <w:szCs w:val="20"/>
          <w:u w:val="single"/>
        </w:rPr>
      </w:pPr>
      <w:r>
        <w:rPr>
          <w:rFonts w:ascii="Calibri" w:hAnsi="Calibri" w:cs="Calibri"/>
          <w:b/>
          <w:sz w:val="20"/>
          <w:szCs w:val="20"/>
          <w:u w:val="single"/>
        </w:rPr>
        <w:t xml:space="preserve">Strategic Environmental and Social Assessment for upstream activities </w:t>
      </w:r>
    </w:p>
    <w:p w14:paraId="68091EA3" w14:textId="77777777" w:rsidR="00CF33D9" w:rsidRDefault="00E3332A">
      <w:pPr>
        <w:rPr>
          <w:rFonts w:ascii="Calibri" w:eastAsia="SimSun" w:hAnsi="Calibri" w:cs="Calibri"/>
          <w:sz w:val="20"/>
          <w:szCs w:val="20"/>
        </w:rPr>
      </w:pPr>
      <w:r>
        <w:rPr>
          <w:rFonts w:ascii="Calibri" w:eastAsia="SimSun" w:hAnsi="Calibri" w:cs="Calibri"/>
          <w:sz w:val="20"/>
          <w:szCs w:val="20"/>
        </w:rPr>
        <w:t>A scoped Strategic Environmental and Social Assessments (SESA) will be undertaken during the following activities:</w:t>
      </w:r>
    </w:p>
    <w:p w14:paraId="68091EA4" w14:textId="77777777" w:rsidR="00CF33D9" w:rsidRDefault="00CF33D9">
      <w:pPr>
        <w:spacing w:line="276" w:lineRule="auto"/>
        <w:jc w:val="both"/>
        <w:rPr>
          <w:rFonts w:ascii="Calibri" w:hAnsi="Calibri" w:cs="Calibri"/>
          <w:bCs/>
          <w:color w:val="000000"/>
          <w:sz w:val="20"/>
          <w:szCs w:val="20"/>
        </w:rPr>
      </w:pPr>
    </w:p>
    <w:p w14:paraId="68091EA5" w14:textId="77777777" w:rsidR="00CF33D9" w:rsidRDefault="00E3332A">
      <w:pPr>
        <w:spacing w:line="220" w:lineRule="exact"/>
        <w:jc w:val="both"/>
        <w:rPr>
          <w:rFonts w:ascii="Calibri" w:hAnsi="Calibri" w:cs="Calibri"/>
          <w:b/>
          <w:bCs/>
          <w:i/>
          <w:iCs/>
          <w:sz w:val="20"/>
          <w:szCs w:val="20"/>
          <w:u w:val="single"/>
        </w:rPr>
      </w:pPr>
      <w:r>
        <w:rPr>
          <w:rFonts w:ascii="Calibri" w:hAnsi="Calibri" w:cs="Calibri"/>
          <w:b/>
          <w:bCs/>
          <w:i/>
          <w:iCs/>
          <w:sz w:val="20"/>
          <w:szCs w:val="20"/>
          <w:u w:val="single"/>
        </w:rPr>
        <w:t>Activity 1.1.1.1: Analysis of legal frameworks of selected MPAs and coastal ecosystems to identify their strengths and weaknesses, using an agreed set of selection criteria for selecting the MPAs for analysis.</w:t>
      </w:r>
    </w:p>
    <w:p w14:paraId="68091EA6" w14:textId="77777777" w:rsidR="00CF33D9" w:rsidRDefault="00E3332A">
      <w:pPr>
        <w:pStyle w:val="NormalWeb"/>
        <w:spacing w:line="220" w:lineRule="exact"/>
        <w:contextualSpacing/>
        <w:rPr>
          <w:rFonts w:ascii="Calibri" w:hAnsi="Calibri" w:cs="Calibri"/>
          <w:color w:val="000000"/>
          <w:sz w:val="20"/>
          <w:szCs w:val="20"/>
          <w:lang w:val="en-US"/>
        </w:rPr>
      </w:pPr>
      <w:r>
        <w:rPr>
          <w:rFonts w:ascii="Calibri" w:hAnsi="Calibri" w:cs="Calibri"/>
          <w:color w:val="000000"/>
          <w:sz w:val="20"/>
          <w:szCs w:val="20"/>
          <w:lang w:val="en-US"/>
        </w:rPr>
        <w:t xml:space="preserve">This activity involves the identification of the existing legal frameworks in each country and their analysis to establish first their strengths and weaknesses in order to legally support selected MPAs and coastal ecosystems. The study </w:t>
      </w:r>
      <w:r>
        <w:rPr>
          <w:rFonts w:ascii="Calibri" w:hAnsi="Calibri" w:cs="Calibri"/>
          <w:color w:val="000000"/>
          <w:sz w:val="20"/>
          <w:szCs w:val="20"/>
          <w:lang w:val="en-US"/>
        </w:rPr>
        <w:lastRenderedPageBreak/>
        <w:t xml:space="preserve">will determine the effectiveness of the current legal frameworks in protecting and conserving the selected MPAs and coastal ecosystems. This activity aims to identify gaps in the current legal frameworks and provide recommendations for improvement. Bearing in mind that each country has its own legal framework for instance in the case of South Africa MPAs are declared through the National Environmental Management: protected Areas Act, and in Namibia the Marine Resources Act sets regulations to address the key drivers of the degradation of marine capture fisheries: bycatch and discards, illegal fishing, overcapacity from subsidies and harmful fishing gear. </w:t>
      </w:r>
    </w:p>
    <w:p w14:paraId="68091EA7" w14:textId="77777777" w:rsidR="00CF33D9" w:rsidRDefault="00CF33D9">
      <w:pPr>
        <w:pStyle w:val="NormalWeb"/>
        <w:spacing w:line="220" w:lineRule="exact"/>
        <w:contextualSpacing/>
        <w:rPr>
          <w:rFonts w:ascii="Calibri" w:hAnsi="Calibri" w:cs="Calibri"/>
          <w:color w:val="000000"/>
          <w:sz w:val="20"/>
          <w:szCs w:val="20"/>
          <w:lang w:val="en-US"/>
        </w:rPr>
      </w:pPr>
    </w:p>
    <w:p w14:paraId="68091EA8" w14:textId="77777777" w:rsidR="00CF33D9" w:rsidRDefault="00E3332A">
      <w:pPr>
        <w:pStyle w:val="NormalWeb"/>
        <w:spacing w:line="220" w:lineRule="exact"/>
        <w:contextualSpacing/>
        <w:rPr>
          <w:rFonts w:ascii="Calibri" w:hAnsi="Calibri" w:cs="Calibri"/>
          <w:sz w:val="20"/>
          <w:szCs w:val="20"/>
          <w:lang w:val="en-US"/>
        </w:rPr>
      </w:pPr>
      <w:r>
        <w:rPr>
          <w:rFonts w:ascii="Calibri" w:hAnsi="Calibri" w:cs="Calibri"/>
          <w:color w:val="000000"/>
          <w:sz w:val="20"/>
          <w:szCs w:val="20"/>
          <w:lang w:val="en-US"/>
        </w:rPr>
        <w:t xml:space="preserve">In the case of Angola, the legal framework is expressed under National Biodiversity Strategy and Action Plan and First National Report to the Conference of the Parties on the need to protect marine and coastal natural resources, threatened by illegal fishing/overfishing, unsustainable coastal development and pollution, oil and gas exploration, as well as the Regulation of the Law on Environmental Conservation Areas. However, the inability of the Angola Government to enforce coastal and marine related laws and regulations, together with lack of stakeholders’ awareness on marine biodiversity degradation fuelled by poverty had jeopardise the creation of Marine Protected Areas in Angola. There have been already done several analyses on the legal framework in each country like the </w:t>
      </w:r>
      <w:r>
        <w:rPr>
          <w:rFonts w:ascii="Calibri" w:hAnsi="Calibri" w:cs="Calibri"/>
          <w:i/>
          <w:iCs/>
          <w:color w:val="000000"/>
          <w:sz w:val="20"/>
          <w:szCs w:val="20"/>
          <w:lang w:val="en-US"/>
        </w:rPr>
        <w:t>Communities and Biodiversity in Angola: Analysis of the legal and institutional framework for community-based approaches to conservation and natural resource management</w:t>
      </w:r>
      <w:r>
        <w:rPr>
          <w:rFonts w:ascii="Calibri" w:hAnsi="Calibri" w:cs="Calibri"/>
          <w:color w:val="000000"/>
          <w:sz w:val="20"/>
          <w:szCs w:val="20"/>
          <w:lang w:val="en-US"/>
        </w:rPr>
        <w:t xml:space="preserve"> (2018) that should be considered to establish the current existing baseline in terms of policies and legislation in each country.</w:t>
      </w:r>
    </w:p>
    <w:p w14:paraId="68091EA9" w14:textId="77777777" w:rsidR="00CF33D9" w:rsidRDefault="00CF33D9">
      <w:pPr>
        <w:pStyle w:val="NormalWeb"/>
        <w:spacing w:line="220" w:lineRule="exact"/>
        <w:contextualSpacing/>
        <w:rPr>
          <w:rFonts w:ascii="Calibri" w:hAnsi="Calibri" w:cs="Calibri"/>
          <w:sz w:val="20"/>
          <w:szCs w:val="20"/>
        </w:rPr>
      </w:pPr>
    </w:p>
    <w:p w14:paraId="68091EAA" w14:textId="77777777" w:rsidR="00CF33D9" w:rsidRDefault="00E3332A">
      <w:pPr>
        <w:pStyle w:val="NormalWeb"/>
        <w:spacing w:line="220" w:lineRule="exact"/>
        <w:contextualSpacing/>
        <w:rPr>
          <w:rFonts w:ascii="Calibri" w:hAnsi="Calibri" w:cs="Calibri"/>
          <w:sz w:val="20"/>
          <w:szCs w:val="20"/>
          <w:lang w:val="en-CA"/>
        </w:rPr>
      </w:pPr>
      <w:r>
        <w:rPr>
          <w:rFonts w:ascii="Calibri" w:hAnsi="Calibri" w:cs="Calibri"/>
          <w:color w:val="000000"/>
          <w:sz w:val="20"/>
          <w:szCs w:val="20"/>
          <w:lang w:val="en-CA"/>
        </w:rPr>
        <w:t>This activity also includes developing selection criteria for selecting the MPAs for analysis. The selection criteria will address the need for site specific protection and conservation objectives and measures for all BCLME sites that will become a legal requirement built on the adopted legal frameworks. The requirements will be developed based on various factors. In the first step the identification of the MPAs need to be based on:</w:t>
      </w:r>
    </w:p>
    <w:p w14:paraId="68091EAB" w14:textId="77777777" w:rsidR="00CF33D9" w:rsidRDefault="00CF33D9">
      <w:pPr>
        <w:pStyle w:val="NormalWeb"/>
        <w:spacing w:line="220" w:lineRule="exact"/>
        <w:textAlignment w:val="baseline"/>
        <w:rPr>
          <w:rFonts w:ascii="Calibri" w:hAnsi="Calibri" w:cs="Calibri"/>
          <w:color w:val="000000"/>
          <w:sz w:val="20"/>
          <w:szCs w:val="20"/>
          <w:lang w:val="en-CA"/>
        </w:rPr>
      </w:pPr>
    </w:p>
    <w:p w14:paraId="68091EAC" w14:textId="77777777" w:rsidR="00CF33D9" w:rsidRDefault="00E3332A">
      <w:pPr>
        <w:pStyle w:val="NormalWeb"/>
        <w:numPr>
          <w:ilvl w:val="0"/>
          <w:numId w:val="114"/>
        </w:numPr>
        <w:spacing w:before="0" w:beforeAutospacing="0" w:after="0" w:afterAutospacing="0" w:line="220" w:lineRule="exact"/>
        <w:textAlignment w:val="baseline"/>
        <w:rPr>
          <w:rFonts w:ascii="Calibri" w:hAnsi="Calibri" w:cs="Calibri"/>
          <w:color w:val="000000"/>
          <w:sz w:val="20"/>
          <w:szCs w:val="20"/>
          <w:lang w:val="en-CA"/>
        </w:rPr>
      </w:pPr>
      <w:r>
        <w:rPr>
          <w:rFonts w:ascii="Calibri" w:hAnsi="Calibri" w:cs="Calibri"/>
          <w:color w:val="000000"/>
          <w:sz w:val="20"/>
          <w:szCs w:val="20"/>
          <w:lang w:val="en-CA"/>
        </w:rPr>
        <w:t>representative habitats of coastal and marine ecosystems, habitats and associated ecosystems of adequate size to ensure their long-term viability and to maintain biological and genetic diversity;</w:t>
      </w:r>
    </w:p>
    <w:p w14:paraId="68091EAD" w14:textId="77777777" w:rsidR="00CF33D9" w:rsidRDefault="00E3332A">
      <w:pPr>
        <w:pStyle w:val="NormalWeb"/>
        <w:numPr>
          <w:ilvl w:val="0"/>
          <w:numId w:val="114"/>
        </w:numPr>
        <w:spacing w:before="0" w:beforeAutospacing="0" w:after="0" w:afterAutospacing="0" w:line="220" w:lineRule="exact"/>
        <w:textAlignment w:val="baseline"/>
        <w:rPr>
          <w:rFonts w:ascii="Calibri" w:hAnsi="Calibri" w:cs="Calibri"/>
          <w:color w:val="000000"/>
          <w:sz w:val="20"/>
          <w:szCs w:val="20"/>
          <w:lang w:val="en-CA"/>
        </w:rPr>
      </w:pPr>
      <w:r>
        <w:rPr>
          <w:rFonts w:ascii="Calibri" w:hAnsi="Calibri" w:cs="Calibri"/>
          <w:color w:val="000000"/>
          <w:sz w:val="20"/>
          <w:szCs w:val="20"/>
          <w:lang w:val="en-CA"/>
        </w:rPr>
        <w:t>habitats and their associated ecosystems critical to the survival and recovery of endangered, threatened or endemic species of flora and fauna;</w:t>
      </w:r>
    </w:p>
    <w:p w14:paraId="68091EAE" w14:textId="77777777" w:rsidR="00CF33D9" w:rsidRDefault="00E3332A">
      <w:pPr>
        <w:pStyle w:val="NormalWeb"/>
        <w:numPr>
          <w:ilvl w:val="0"/>
          <w:numId w:val="114"/>
        </w:numPr>
        <w:spacing w:before="0" w:beforeAutospacing="0" w:after="0" w:afterAutospacing="0" w:line="220" w:lineRule="exact"/>
        <w:textAlignment w:val="baseline"/>
        <w:rPr>
          <w:rFonts w:ascii="Calibri" w:hAnsi="Calibri" w:cs="Calibri"/>
          <w:color w:val="000000"/>
          <w:sz w:val="20"/>
          <w:szCs w:val="20"/>
          <w:lang w:val="en-CA"/>
        </w:rPr>
      </w:pPr>
      <w:r>
        <w:rPr>
          <w:rFonts w:ascii="Calibri" w:hAnsi="Calibri" w:cs="Calibri"/>
          <w:color w:val="000000"/>
          <w:sz w:val="20"/>
          <w:szCs w:val="20"/>
          <w:lang w:val="en-CA"/>
        </w:rPr>
        <w:t>the productivity of ecosystems and natural resources that provide economic or social benefits and upon which the welfare of local inhabitants is dependent; and</w:t>
      </w:r>
    </w:p>
    <w:p w14:paraId="68091EAF" w14:textId="77777777" w:rsidR="00CF33D9" w:rsidRDefault="00E3332A">
      <w:pPr>
        <w:pStyle w:val="NormalWeb"/>
        <w:numPr>
          <w:ilvl w:val="0"/>
          <w:numId w:val="114"/>
        </w:numPr>
        <w:spacing w:before="0" w:beforeAutospacing="0" w:after="0" w:afterAutospacing="0" w:line="220" w:lineRule="exact"/>
        <w:textAlignment w:val="baseline"/>
        <w:rPr>
          <w:rFonts w:ascii="Calibri" w:hAnsi="Calibri" w:cs="Calibri"/>
          <w:color w:val="000000"/>
          <w:sz w:val="20"/>
          <w:szCs w:val="20"/>
          <w:lang w:val="en-CA"/>
        </w:rPr>
      </w:pPr>
      <w:r>
        <w:rPr>
          <w:rFonts w:ascii="Calibri" w:hAnsi="Calibri" w:cs="Calibri"/>
          <w:color w:val="000000"/>
          <w:sz w:val="20"/>
          <w:szCs w:val="20"/>
          <w:lang w:val="en-CA"/>
        </w:rPr>
        <w:t>areas of special biological, ecological, educational, scientific, historic, cultural, recreational, archaeological, aesthetic, or economic value, including in particular, areas which ecological and biological processes are essential to the functioning of the Wider Caribbean ecosystems.</w:t>
      </w:r>
    </w:p>
    <w:p w14:paraId="68091EB0" w14:textId="77777777" w:rsidR="00CF33D9" w:rsidRDefault="00CF33D9">
      <w:pPr>
        <w:jc w:val="both"/>
        <w:rPr>
          <w:rFonts w:ascii="Calibri" w:hAnsi="Calibri" w:cs="Calibri"/>
          <w:color w:val="000000"/>
          <w:sz w:val="20"/>
          <w:szCs w:val="20"/>
        </w:rPr>
      </w:pPr>
    </w:p>
    <w:p w14:paraId="68091EB1" w14:textId="77777777" w:rsidR="00CF33D9" w:rsidRDefault="00E3332A">
      <w:pPr>
        <w:spacing w:line="220" w:lineRule="exact"/>
        <w:rPr>
          <w:rFonts w:ascii="Calibri" w:hAnsi="Calibri" w:cs="Calibri"/>
          <w:b/>
          <w:bCs/>
          <w:i/>
          <w:iCs/>
          <w:color w:val="000000"/>
          <w:sz w:val="20"/>
          <w:szCs w:val="20"/>
          <w:u w:val="single"/>
        </w:rPr>
      </w:pPr>
      <w:r>
        <w:rPr>
          <w:rFonts w:ascii="Calibri" w:hAnsi="Calibri" w:cs="Calibri"/>
          <w:b/>
          <w:bCs/>
          <w:i/>
          <w:iCs/>
          <w:color w:val="000000"/>
          <w:sz w:val="20"/>
          <w:szCs w:val="20"/>
          <w:u w:val="single"/>
        </w:rPr>
        <w:t>Activity 1.1.1.2: Development of draft suggestions for improvement, in particular the protection and conservation taking into consideration the other marine economic sectors, and establishment/support of cross-sectoral coordination of MPA policies and legal frameworks.</w:t>
      </w:r>
    </w:p>
    <w:p w14:paraId="68091EB2" w14:textId="77777777" w:rsidR="00CF33D9" w:rsidRDefault="00CF33D9">
      <w:pPr>
        <w:rPr>
          <w:rFonts w:ascii="Calibri" w:hAnsi="Calibri" w:cs="Calibri"/>
          <w:i/>
          <w:iCs/>
          <w:color w:val="000000"/>
          <w:sz w:val="20"/>
          <w:szCs w:val="20"/>
        </w:rPr>
      </w:pPr>
    </w:p>
    <w:p w14:paraId="68091EB3" w14:textId="77777777" w:rsidR="00CF33D9" w:rsidRDefault="00E3332A">
      <w:pPr>
        <w:pStyle w:val="NormalWeb"/>
        <w:spacing w:line="220" w:lineRule="exact"/>
        <w:rPr>
          <w:rFonts w:ascii="Calibri" w:hAnsi="Calibri" w:cs="Calibri"/>
          <w:sz w:val="20"/>
          <w:szCs w:val="20"/>
          <w:lang w:val="en-CA"/>
        </w:rPr>
      </w:pPr>
      <w:r>
        <w:rPr>
          <w:rFonts w:ascii="Calibri" w:hAnsi="Calibri" w:cs="Calibri"/>
          <w:color w:val="161719"/>
          <w:sz w:val="20"/>
          <w:szCs w:val="20"/>
          <w:shd w:val="clear" w:color="auto" w:fill="FFFFFF"/>
          <w:lang w:val="en-CA"/>
        </w:rPr>
        <w:t>This activity involves the drafting of suggestions for improvement of the legal frameworks in each country on the protection and conservation of the selected MPAs and coastal ecosystems. The suggestions will be developed based on the analysis of the legal frameworks carried in the activity 1.1.1.2 and the selection criteria developed and adopted of activity 1.1.1.1. This activity aims to provide recommendations to each target country for improving their protection and conservation legislation of the selected MPAs and coastal ecosystems while ensuring coexistence with other marine economic sectors.</w:t>
      </w:r>
    </w:p>
    <w:p w14:paraId="68091EB4" w14:textId="77777777" w:rsidR="00CF33D9" w:rsidRDefault="00CF33D9">
      <w:pPr>
        <w:pStyle w:val="NormalWeb"/>
        <w:spacing w:line="220" w:lineRule="exact"/>
        <w:rPr>
          <w:rFonts w:ascii="Calibri" w:hAnsi="Calibri" w:cs="Calibri"/>
          <w:color w:val="000000"/>
          <w:sz w:val="20"/>
          <w:szCs w:val="20"/>
          <w:lang w:val="en-CA"/>
        </w:rPr>
      </w:pPr>
    </w:p>
    <w:p w14:paraId="68091EB5" w14:textId="77777777" w:rsidR="00CF33D9" w:rsidRDefault="00E3332A">
      <w:pPr>
        <w:pStyle w:val="NormalWeb"/>
        <w:spacing w:line="220" w:lineRule="exact"/>
        <w:rPr>
          <w:rFonts w:ascii="Calibri" w:hAnsi="Calibri" w:cs="Calibri"/>
          <w:color w:val="000000"/>
          <w:sz w:val="20"/>
          <w:szCs w:val="20"/>
          <w:lang w:val="en-CA"/>
        </w:rPr>
      </w:pPr>
      <w:r>
        <w:rPr>
          <w:rFonts w:ascii="Calibri" w:hAnsi="Calibri" w:cs="Calibri"/>
          <w:color w:val="000000"/>
          <w:sz w:val="20"/>
          <w:szCs w:val="20"/>
          <w:lang w:val="en-CA"/>
        </w:rPr>
        <w:t>This activity also aims to coordinate the policies and legal frameworks for protecting and conserving the selected MPAs and coastal ecosystems across different sectors and stakeholders. This will help ensure the protection and conservation efforts are effective and sustainable.</w:t>
      </w:r>
    </w:p>
    <w:p w14:paraId="68091EB6" w14:textId="77777777" w:rsidR="00CF33D9" w:rsidRDefault="00CF33D9">
      <w:pPr>
        <w:pStyle w:val="NormalWeb"/>
        <w:rPr>
          <w:rFonts w:ascii="Calibri" w:hAnsi="Calibri" w:cs="Calibri"/>
          <w:color w:val="000000"/>
          <w:sz w:val="20"/>
          <w:szCs w:val="20"/>
          <w:lang w:val="en-CA"/>
        </w:rPr>
      </w:pPr>
    </w:p>
    <w:p w14:paraId="68091EB7" w14:textId="77777777" w:rsidR="00CF33D9" w:rsidRDefault="00E3332A">
      <w:pPr>
        <w:spacing w:line="220" w:lineRule="exact"/>
        <w:jc w:val="both"/>
        <w:textAlignment w:val="baseline"/>
        <w:rPr>
          <w:rFonts w:ascii="Calibri" w:hAnsi="Calibri" w:cs="Calibri"/>
          <w:b/>
          <w:bCs/>
          <w:i/>
          <w:iCs/>
          <w:color w:val="000000"/>
          <w:sz w:val="20"/>
          <w:szCs w:val="20"/>
          <w:u w:val="single"/>
        </w:rPr>
      </w:pPr>
      <w:r>
        <w:rPr>
          <w:rFonts w:ascii="Calibri" w:hAnsi="Calibri" w:cs="Calibri"/>
          <w:b/>
          <w:bCs/>
          <w:i/>
          <w:iCs/>
          <w:color w:val="000000"/>
          <w:sz w:val="20"/>
          <w:szCs w:val="20"/>
          <w:u w:val="single"/>
        </w:rPr>
        <w:lastRenderedPageBreak/>
        <w:t>Activity 1.4.1.1: Develop harmonized policy, legislation and institutional arrangement models supporting the management of extractive industries, in line with the good practice environmental guidelines prepared by the BCC for oil and gas and marine mineral exploitation.</w:t>
      </w:r>
    </w:p>
    <w:p w14:paraId="68091EB8" w14:textId="77777777" w:rsidR="00CF33D9" w:rsidRDefault="00CF33D9">
      <w:pPr>
        <w:spacing w:line="220" w:lineRule="exact"/>
        <w:jc w:val="both"/>
        <w:rPr>
          <w:rFonts w:ascii="Calibri" w:hAnsi="Calibri" w:cs="Calibri"/>
          <w:color w:val="000000"/>
          <w:sz w:val="20"/>
          <w:szCs w:val="20"/>
        </w:rPr>
      </w:pPr>
    </w:p>
    <w:p w14:paraId="68091EB9" w14:textId="77777777" w:rsidR="00CF33D9" w:rsidRDefault="00E3332A">
      <w:pPr>
        <w:spacing w:line="220" w:lineRule="exact"/>
        <w:jc w:val="both"/>
        <w:rPr>
          <w:rFonts w:ascii="Calibri" w:hAnsi="Calibri" w:cs="Calibri"/>
          <w:sz w:val="20"/>
          <w:szCs w:val="20"/>
        </w:rPr>
      </w:pPr>
      <w:r>
        <w:rPr>
          <w:rFonts w:ascii="Calibri" w:hAnsi="Calibri" w:cs="Calibri"/>
          <w:color w:val="000000"/>
          <w:sz w:val="20"/>
          <w:szCs w:val="20"/>
        </w:rPr>
        <w:t>Building on the development by BCC of the good practice guidelines for oil and gas and mining activities, this Activity will focus on the development of a set of ‘model’ policy and legal instruments that will establish a harmonized governance framework with which to manage the future development of the oil and gas and mining sectors. In addition to the BCC good practice guidelines, this Activity will also consider the guidance established by relevant international organizations (such as the International Seabed Authority) and draw of practice from other regions (such as the Seabed Mining Regional Legal and Regulatory Framework from the Pacific).</w:t>
      </w:r>
    </w:p>
    <w:p w14:paraId="68091EBA" w14:textId="77777777" w:rsidR="00CF33D9" w:rsidRDefault="00E3332A">
      <w:pPr>
        <w:pStyle w:val="NormalWeb"/>
        <w:rPr>
          <w:rFonts w:ascii="Calibri" w:hAnsi="Calibri" w:cs="Calibri"/>
          <w:color w:val="000000"/>
          <w:sz w:val="20"/>
          <w:szCs w:val="20"/>
          <w:lang w:val="en-US"/>
        </w:rPr>
      </w:pPr>
      <w:r>
        <w:rPr>
          <w:rFonts w:ascii="Calibri" w:hAnsi="Calibri" w:cs="Calibri"/>
          <w:color w:val="000000"/>
          <w:sz w:val="20"/>
          <w:szCs w:val="20"/>
          <w:lang w:val="en-US"/>
        </w:rPr>
        <w:t>Such model instruments will generally include the adoption and integration of important paradigms such as the “precautionary approach”, “adaptive management” and “polluter pays” principles and should institutionalize key industry self-management concepts such as the application of risk management techniques and performance-based environmental management systems.</w:t>
      </w:r>
    </w:p>
    <w:p w14:paraId="68091EBB" w14:textId="77777777" w:rsidR="00CF33D9" w:rsidRDefault="00CF33D9">
      <w:pPr>
        <w:pStyle w:val="NormalWeb"/>
        <w:rPr>
          <w:rFonts w:ascii="Calibri" w:hAnsi="Calibri" w:cs="Calibri"/>
          <w:color w:val="000000"/>
          <w:sz w:val="20"/>
          <w:szCs w:val="20"/>
          <w:lang w:val="en-US"/>
        </w:rPr>
      </w:pPr>
    </w:p>
    <w:p w14:paraId="68091EBC" w14:textId="77777777" w:rsidR="00CF33D9" w:rsidRDefault="00E3332A">
      <w:pPr>
        <w:spacing w:line="220" w:lineRule="exact"/>
        <w:jc w:val="both"/>
        <w:textAlignment w:val="baseline"/>
        <w:rPr>
          <w:rFonts w:ascii="Calibri" w:hAnsi="Calibri" w:cs="Calibri"/>
          <w:b/>
          <w:bCs/>
          <w:i/>
          <w:iCs/>
          <w:color w:val="000000"/>
          <w:sz w:val="20"/>
          <w:szCs w:val="20"/>
          <w:u w:val="single"/>
        </w:rPr>
      </w:pPr>
      <w:r>
        <w:rPr>
          <w:rFonts w:ascii="Calibri" w:hAnsi="Calibri" w:cs="Calibri"/>
          <w:b/>
          <w:bCs/>
          <w:i/>
          <w:iCs/>
          <w:color w:val="000000"/>
          <w:sz w:val="20"/>
          <w:szCs w:val="20"/>
          <w:u w:val="single"/>
        </w:rPr>
        <w:t>Activity 1.4.1.2: Develop new or amend existing sector-specific environmental management legislation as needed.</w:t>
      </w:r>
    </w:p>
    <w:p w14:paraId="68091EBD" w14:textId="77777777" w:rsidR="00CF33D9" w:rsidRDefault="00CF33D9">
      <w:pPr>
        <w:spacing w:line="220" w:lineRule="exact"/>
        <w:jc w:val="both"/>
        <w:rPr>
          <w:rFonts w:ascii="Calibri" w:hAnsi="Calibri" w:cs="Calibri"/>
          <w:color w:val="000000"/>
          <w:sz w:val="20"/>
          <w:szCs w:val="20"/>
        </w:rPr>
      </w:pPr>
    </w:p>
    <w:p w14:paraId="68091EBE" w14:textId="77777777" w:rsidR="00CF33D9" w:rsidRDefault="00E3332A">
      <w:pPr>
        <w:spacing w:line="220" w:lineRule="exact"/>
        <w:jc w:val="both"/>
        <w:rPr>
          <w:rFonts w:ascii="Calibri" w:hAnsi="Calibri" w:cs="Calibri"/>
          <w:sz w:val="20"/>
          <w:szCs w:val="20"/>
        </w:rPr>
      </w:pPr>
      <w:r>
        <w:rPr>
          <w:rFonts w:ascii="Calibri" w:hAnsi="Calibri" w:cs="Calibri"/>
          <w:color w:val="000000"/>
          <w:sz w:val="20"/>
          <w:szCs w:val="20"/>
        </w:rPr>
        <w:t>Once the model instruments have been defined, the relevant national policy, legal and institutional arrangements will be reviewed and updated for each of the participating countries. To undertake this process there is a need to:</w:t>
      </w:r>
    </w:p>
    <w:p w14:paraId="68091EBF" w14:textId="77777777" w:rsidR="00CF33D9" w:rsidRDefault="00E3332A">
      <w:pPr>
        <w:numPr>
          <w:ilvl w:val="0"/>
          <w:numId w:val="115"/>
        </w:numPr>
        <w:spacing w:line="220" w:lineRule="exact"/>
        <w:ind w:left="425" w:hanging="357"/>
        <w:contextualSpacing/>
        <w:jc w:val="both"/>
        <w:textAlignment w:val="baseline"/>
        <w:rPr>
          <w:rFonts w:ascii="Calibri" w:hAnsi="Calibri" w:cs="Calibri"/>
          <w:color w:val="000000"/>
          <w:sz w:val="20"/>
          <w:szCs w:val="20"/>
        </w:rPr>
      </w:pPr>
      <w:r>
        <w:rPr>
          <w:rFonts w:ascii="Calibri" w:hAnsi="Calibri" w:cs="Calibri"/>
          <w:color w:val="000000"/>
          <w:sz w:val="20"/>
          <w:szCs w:val="20"/>
        </w:rPr>
        <w:t>Review all relevant existing policy, legal and institutional arrangements.</w:t>
      </w:r>
    </w:p>
    <w:p w14:paraId="68091EC0" w14:textId="77777777" w:rsidR="00CF33D9" w:rsidRDefault="00E3332A">
      <w:pPr>
        <w:numPr>
          <w:ilvl w:val="0"/>
          <w:numId w:val="115"/>
        </w:numPr>
        <w:spacing w:line="220" w:lineRule="exact"/>
        <w:ind w:left="425" w:hanging="357"/>
        <w:contextualSpacing/>
        <w:jc w:val="both"/>
        <w:textAlignment w:val="baseline"/>
        <w:rPr>
          <w:rFonts w:ascii="Calibri" w:hAnsi="Calibri" w:cs="Calibri"/>
          <w:color w:val="000000"/>
          <w:sz w:val="20"/>
          <w:szCs w:val="20"/>
        </w:rPr>
      </w:pPr>
      <w:r>
        <w:rPr>
          <w:rFonts w:ascii="Calibri" w:hAnsi="Calibri" w:cs="Calibri"/>
          <w:color w:val="000000"/>
          <w:sz w:val="20"/>
          <w:szCs w:val="20"/>
        </w:rPr>
        <w:t>Identify gaps and areas for improvement.</w:t>
      </w:r>
    </w:p>
    <w:p w14:paraId="68091EC1" w14:textId="77777777" w:rsidR="00CF33D9" w:rsidRDefault="00E3332A">
      <w:pPr>
        <w:numPr>
          <w:ilvl w:val="0"/>
          <w:numId w:val="115"/>
        </w:numPr>
        <w:spacing w:line="220" w:lineRule="exact"/>
        <w:ind w:left="425" w:hanging="357"/>
        <w:contextualSpacing/>
        <w:jc w:val="both"/>
        <w:textAlignment w:val="baseline"/>
        <w:rPr>
          <w:rFonts w:ascii="Calibri" w:hAnsi="Calibri" w:cs="Calibri"/>
          <w:color w:val="000000"/>
          <w:sz w:val="20"/>
          <w:szCs w:val="20"/>
        </w:rPr>
      </w:pPr>
      <w:r>
        <w:rPr>
          <w:rFonts w:ascii="Calibri" w:hAnsi="Calibri" w:cs="Calibri"/>
          <w:color w:val="000000"/>
          <w:sz w:val="20"/>
          <w:szCs w:val="20"/>
        </w:rPr>
        <w:t>Draft revised policy and legal instruments.</w:t>
      </w:r>
    </w:p>
    <w:p w14:paraId="68091EC2" w14:textId="77777777" w:rsidR="00CF33D9" w:rsidRDefault="00E3332A">
      <w:pPr>
        <w:numPr>
          <w:ilvl w:val="0"/>
          <w:numId w:val="115"/>
        </w:numPr>
        <w:spacing w:line="220" w:lineRule="exact"/>
        <w:ind w:left="425" w:hanging="357"/>
        <w:contextualSpacing/>
        <w:jc w:val="both"/>
        <w:textAlignment w:val="baseline"/>
        <w:rPr>
          <w:rFonts w:ascii="Calibri" w:hAnsi="Calibri" w:cs="Calibri"/>
          <w:color w:val="000000"/>
          <w:sz w:val="20"/>
          <w:szCs w:val="20"/>
        </w:rPr>
      </w:pPr>
      <w:r>
        <w:rPr>
          <w:rFonts w:ascii="Calibri" w:hAnsi="Calibri" w:cs="Calibri"/>
          <w:color w:val="000000"/>
          <w:sz w:val="20"/>
          <w:szCs w:val="20"/>
        </w:rPr>
        <w:t>Consult widely with stakeholder on the draft instruments; and</w:t>
      </w:r>
    </w:p>
    <w:p w14:paraId="68091EC3" w14:textId="77777777" w:rsidR="00CF33D9" w:rsidRDefault="00E3332A">
      <w:pPr>
        <w:numPr>
          <w:ilvl w:val="0"/>
          <w:numId w:val="115"/>
        </w:numPr>
        <w:spacing w:line="220" w:lineRule="exact"/>
        <w:ind w:left="425" w:hanging="357"/>
        <w:contextualSpacing/>
        <w:jc w:val="both"/>
        <w:textAlignment w:val="baseline"/>
        <w:rPr>
          <w:rFonts w:ascii="Calibri" w:hAnsi="Calibri" w:cs="Calibri"/>
          <w:color w:val="000000"/>
          <w:sz w:val="20"/>
          <w:szCs w:val="20"/>
        </w:rPr>
      </w:pPr>
      <w:r>
        <w:rPr>
          <w:rFonts w:ascii="Calibri" w:hAnsi="Calibri" w:cs="Calibri"/>
          <w:color w:val="000000"/>
          <w:sz w:val="20"/>
          <w:szCs w:val="20"/>
        </w:rPr>
        <w:t>Prepare final instruments for Government approval.</w:t>
      </w:r>
    </w:p>
    <w:p w14:paraId="68091EC4" w14:textId="77777777" w:rsidR="00CF33D9" w:rsidRDefault="00CF33D9">
      <w:pPr>
        <w:spacing w:line="220" w:lineRule="exact"/>
        <w:jc w:val="both"/>
        <w:rPr>
          <w:rFonts w:ascii="Calibri" w:hAnsi="Calibri" w:cs="Calibri"/>
          <w:color w:val="000000"/>
          <w:sz w:val="20"/>
          <w:szCs w:val="20"/>
        </w:rPr>
      </w:pPr>
    </w:p>
    <w:p w14:paraId="68091EC5" w14:textId="77777777" w:rsidR="00CF33D9" w:rsidRDefault="00E3332A">
      <w:pPr>
        <w:spacing w:line="220" w:lineRule="exact"/>
        <w:contextualSpacing/>
        <w:jc w:val="both"/>
        <w:rPr>
          <w:rFonts w:ascii="Calibri" w:hAnsi="Calibri" w:cs="Calibri"/>
          <w:color w:val="000000"/>
          <w:sz w:val="20"/>
          <w:szCs w:val="20"/>
        </w:rPr>
      </w:pPr>
      <w:r>
        <w:rPr>
          <w:rFonts w:ascii="Calibri" w:hAnsi="Calibri" w:cs="Calibri"/>
          <w:color w:val="000000"/>
          <w:sz w:val="20"/>
          <w:szCs w:val="20"/>
        </w:rPr>
        <w:t>In this regard, the project will take into account the existing governance frameworks and assess these against the good practice guidelines for oil and gas and mining activities and the Malabo Protocol, particularly with respect to minimizing physical risks to the marine environment and preventing marine pollution.</w:t>
      </w:r>
    </w:p>
    <w:p w14:paraId="68091EC6" w14:textId="77777777" w:rsidR="00CF33D9" w:rsidRDefault="00CF33D9">
      <w:pPr>
        <w:spacing w:line="220" w:lineRule="exact"/>
        <w:contextualSpacing/>
        <w:jc w:val="both"/>
        <w:rPr>
          <w:rFonts w:ascii="Calibri" w:hAnsi="Calibri" w:cs="Calibri"/>
          <w:color w:val="000000"/>
          <w:sz w:val="20"/>
          <w:szCs w:val="20"/>
        </w:rPr>
      </w:pPr>
    </w:p>
    <w:p w14:paraId="68091EC7" w14:textId="77777777" w:rsidR="00CF33D9" w:rsidRDefault="00E3332A">
      <w:pPr>
        <w:spacing w:line="220" w:lineRule="exact"/>
        <w:jc w:val="both"/>
        <w:textAlignment w:val="baseline"/>
        <w:rPr>
          <w:rFonts w:ascii="Calibri" w:hAnsi="Calibri" w:cs="Calibri"/>
          <w:b/>
          <w:bCs/>
          <w:i/>
          <w:iCs/>
          <w:color w:val="000000"/>
          <w:sz w:val="20"/>
          <w:szCs w:val="20"/>
          <w:u w:val="single"/>
        </w:rPr>
      </w:pPr>
      <w:r>
        <w:rPr>
          <w:rFonts w:ascii="Calibri" w:hAnsi="Calibri" w:cs="Calibri"/>
          <w:b/>
          <w:bCs/>
          <w:i/>
          <w:iCs/>
          <w:color w:val="000000"/>
          <w:sz w:val="20"/>
          <w:szCs w:val="20"/>
          <w:u w:val="single"/>
        </w:rPr>
        <w:t>Activity 2.1.3.3: Selected fish and seafood products of the MPAs and coastal ecosystem undergo certification, supported by the project, and monitoring and assessment of the benefits of being a certified fish and seafood product (with gender-inclusive dimension on results and impact monitoring).</w:t>
      </w:r>
    </w:p>
    <w:p w14:paraId="68091EC8" w14:textId="77777777" w:rsidR="00CF33D9" w:rsidRDefault="00CF33D9">
      <w:pPr>
        <w:spacing w:line="220" w:lineRule="exact"/>
        <w:rPr>
          <w:rFonts w:ascii="Calibri" w:hAnsi="Calibri" w:cs="Calibri"/>
          <w:color w:val="000000"/>
          <w:sz w:val="20"/>
          <w:szCs w:val="20"/>
        </w:rPr>
      </w:pPr>
    </w:p>
    <w:p w14:paraId="68091EC9" w14:textId="77777777" w:rsidR="00CF33D9" w:rsidRDefault="00E3332A">
      <w:pPr>
        <w:spacing w:line="220" w:lineRule="exact"/>
        <w:jc w:val="both"/>
        <w:rPr>
          <w:rFonts w:ascii="Calibri" w:hAnsi="Calibri" w:cs="Calibri"/>
          <w:color w:val="000000"/>
          <w:sz w:val="20"/>
          <w:szCs w:val="20"/>
        </w:rPr>
      </w:pPr>
      <w:r>
        <w:rPr>
          <w:rFonts w:ascii="Calibri" w:hAnsi="Calibri" w:cs="Calibri"/>
          <w:color w:val="000000"/>
          <w:sz w:val="20"/>
          <w:szCs w:val="20"/>
        </w:rPr>
        <w:t>This activity provides the actual process of certification and the monitoring of the evolution, as well as the assessment of the benefits to the population and the level of market acquisition it gives.</w:t>
      </w:r>
    </w:p>
    <w:p w14:paraId="68091ECA" w14:textId="77777777" w:rsidR="00CF33D9" w:rsidRDefault="00CF33D9">
      <w:pPr>
        <w:spacing w:line="220" w:lineRule="exact"/>
        <w:jc w:val="both"/>
        <w:rPr>
          <w:rFonts w:ascii="Calibri" w:hAnsi="Calibri" w:cs="Calibri"/>
          <w:color w:val="000000"/>
          <w:sz w:val="20"/>
          <w:szCs w:val="20"/>
        </w:rPr>
      </w:pPr>
    </w:p>
    <w:p w14:paraId="68091ECB" w14:textId="77777777" w:rsidR="00CF33D9" w:rsidRDefault="00E3332A">
      <w:pPr>
        <w:spacing w:line="220" w:lineRule="exact"/>
        <w:contextualSpacing/>
        <w:jc w:val="both"/>
        <w:rPr>
          <w:rFonts w:ascii="Calibri" w:hAnsi="Calibri" w:cs="Calibri"/>
          <w:sz w:val="20"/>
          <w:szCs w:val="20"/>
        </w:rPr>
      </w:pPr>
      <w:r>
        <w:rPr>
          <w:rFonts w:ascii="Calibri" w:hAnsi="Calibri" w:cs="Calibri"/>
          <w:sz w:val="20"/>
          <w:szCs w:val="20"/>
        </w:rPr>
        <w:t xml:space="preserve">As part of the SESA, a Distributional Analysis will be carried out to better understand and assess how the certification requirements could affect small-scale fishers (men and women). Based on this analysis, the SESA will include options to mitigate potential inequalities will be established. </w:t>
      </w:r>
    </w:p>
    <w:p w14:paraId="68091ECC" w14:textId="77777777" w:rsidR="00CF33D9" w:rsidRDefault="00CF33D9">
      <w:pPr>
        <w:spacing w:line="220" w:lineRule="exact"/>
        <w:jc w:val="both"/>
        <w:rPr>
          <w:rFonts w:ascii="Calibri" w:hAnsi="Calibri" w:cs="Calibri"/>
          <w:sz w:val="20"/>
          <w:szCs w:val="20"/>
        </w:rPr>
      </w:pPr>
    </w:p>
    <w:p w14:paraId="68091ECD" w14:textId="77777777" w:rsidR="00CF33D9" w:rsidRDefault="00E3332A">
      <w:pPr>
        <w:spacing w:line="220" w:lineRule="exact"/>
        <w:jc w:val="both"/>
        <w:textAlignment w:val="baseline"/>
        <w:rPr>
          <w:rFonts w:ascii="Calibri" w:hAnsi="Calibri" w:cs="Calibri"/>
          <w:b/>
          <w:bCs/>
          <w:i/>
          <w:iCs/>
          <w:color w:val="000000"/>
          <w:sz w:val="20"/>
          <w:szCs w:val="20"/>
          <w:u w:val="single"/>
        </w:rPr>
      </w:pPr>
      <w:r>
        <w:rPr>
          <w:rFonts w:ascii="Calibri" w:hAnsi="Calibri" w:cs="Calibri"/>
          <w:b/>
          <w:bCs/>
          <w:i/>
          <w:iCs/>
          <w:color w:val="000000"/>
          <w:sz w:val="20"/>
          <w:szCs w:val="20"/>
          <w:u w:val="single"/>
        </w:rPr>
        <w:t>Activity 2.2.1.2: Development of market growth strategy and action plan (based on findings from 2.2.1.1) and identification of existing sustainable and climate resilient value chains.</w:t>
      </w:r>
    </w:p>
    <w:p w14:paraId="68091ECE" w14:textId="77777777" w:rsidR="00CF33D9" w:rsidRDefault="00CF33D9">
      <w:pPr>
        <w:spacing w:line="220" w:lineRule="exact"/>
        <w:jc w:val="both"/>
        <w:rPr>
          <w:rFonts w:ascii="Calibri" w:hAnsi="Calibri" w:cs="Calibri"/>
          <w:bCs/>
          <w:color w:val="000000"/>
          <w:sz w:val="20"/>
          <w:szCs w:val="20"/>
        </w:rPr>
      </w:pPr>
    </w:p>
    <w:p w14:paraId="68091ECF" w14:textId="77777777" w:rsidR="00CF33D9" w:rsidRDefault="00E3332A">
      <w:pPr>
        <w:spacing w:line="220" w:lineRule="exact"/>
        <w:jc w:val="both"/>
        <w:rPr>
          <w:rFonts w:ascii="Calibri" w:hAnsi="Calibri" w:cs="Calibri"/>
          <w:sz w:val="20"/>
          <w:szCs w:val="20"/>
        </w:rPr>
      </w:pPr>
      <w:r>
        <w:rPr>
          <w:rFonts w:ascii="Calibri" w:hAnsi="Calibri" w:cs="Calibri"/>
          <w:color w:val="000000"/>
          <w:sz w:val="20"/>
          <w:szCs w:val="20"/>
        </w:rPr>
        <w:t>This activity will build on the findings of the market analysis to design and develop a tailor market growth strategy and action plan. This strategy will need to take into account the current fish and seafood market at national and regional level and the potential for diversification and added value of the value chains.</w:t>
      </w:r>
    </w:p>
    <w:p w14:paraId="68091ED0" w14:textId="77777777" w:rsidR="00CF33D9" w:rsidRDefault="00CF33D9">
      <w:pPr>
        <w:spacing w:line="220" w:lineRule="exact"/>
        <w:jc w:val="both"/>
        <w:rPr>
          <w:rFonts w:ascii="Calibri" w:hAnsi="Calibri" w:cs="Calibri"/>
          <w:bCs/>
          <w:color w:val="000000"/>
          <w:sz w:val="20"/>
          <w:szCs w:val="20"/>
        </w:rPr>
      </w:pPr>
    </w:p>
    <w:p w14:paraId="68091ED1" w14:textId="77777777" w:rsidR="00CF33D9" w:rsidRDefault="00E3332A">
      <w:pPr>
        <w:spacing w:line="220" w:lineRule="exact"/>
        <w:jc w:val="both"/>
        <w:rPr>
          <w:rFonts w:ascii="Calibri" w:hAnsi="Calibri" w:cs="Calibri"/>
          <w:iCs/>
          <w:sz w:val="20"/>
          <w:szCs w:val="20"/>
        </w:rPr>
      </w:pPr>
      <w:r>
        <w:rPr>
          <w:rFonts w:ascii="Calibri" w:hAnsi="Calibri" w:cs="Calibri"/>
          <w:iCs/>
          <w:sz w:val="20"/>
          <w:szCs w:val="20"/>
        </w:rPr>
        <w:t xml:space="preserve">The safeguards measures will be an appropriately scoped ESIA that will be conducted during this process, aligned with UNDP SES requirements. </w:t>
      </w:r>
    </w:p>
    <w:p w14:paraId="68091ED2" w14:textId="77777777" w:rsidR="00CF33D9" w:rsidRDefault="00E3332A">
      <w:pPr>
        <w:spacing w:line="220" w:lineRule="exact"/>
        <w:jc w:val="both"/>
        <w:rPr>
          <w:rFonts w:ascii="Calibri" w:hAnsi="Calibri" w:cs="Calibri"/>
          <w:iCs/>
          <w:sz w:val="20"/>
          <w:szCs w:val="20"/>
        </w:rPr>
      </w:pPr>
      <w:r>
        <w:rPr>
          <w:rFonts w:ascii="Calibri" w:hAnsi="Calibri" w:cs="Calibri"/>
          <w:iCs/>
          <w:sz w:val="20"/>
          <w:szCs w:val="20"/>
        </w:rPr>
        <w:t xml:space="preserve">The project specialists (Marine Spatial Analyst, Fisheries value chain specialist, Gender expert, etc.) and the specialized safeguards experts will make sure that full assessments of social and environmental risks are embedded in the process of the need-analysis on transboundary fish stock for the sustainable and climate resilient mariculture opportunities in the BCLME. </w:t>
      </w:r>
    </w:p>
    <w:p w14:paraId="68091ED3" w14:textId="77777777" w:rsidR="00CF33D9" w:rsidRDefault="00CF33D9">
      <w:pPr>
        <w:spacing w:line="220" w:lineRule="exact"/>
        <w:contextualSpacing/>
        <w:jc w:val="both"/>
        <w:rPr>
          <w:rFonts w:ascii="Calibri" w:hAnsi="Calibri" w:cs="Calibri"/>
          <w:sz w:val="20"/>
          <w:szCs w:val="20"/>
        </w:rPr>
      </w:pPr>
    </w:p>
    <w:p w14:paraId="68091ED4" w14:textId="77777777" w:rsidR="00CF33D9" w:rsidRDefault="00E3332A">
      <w:pPr>
        <w:spacing w:line="220" w:lineRule="exact"/>
        <w:jc w:val="both"/>
        <w:rPr>
          <w:rFonts w:ascii="Calibri" w:eastAsia="SimSun" w:hAnsi="Calibri" w:cs="Calibri"/>
          <w:sz w:val="20"/>
          <w:szCs w:val="20"/>
        </w:rPr>
      </w:pPr>
      <w:r>
        <w:rPr>
          <w:rFonts w:ascii="Calibri" w:eastAsia="SimSun" w:hAnsi="Calibri" w:cs="Calibri"/>
          <w:sz w:val="20"/>
          <w:szCs w:val="20"/>
        </w:rPr>
        <w:lastRenderedPageBreak/>
        <w:t xml:space="preserve">The SESA will be carried out by independent experts in accordance with UNDP’s SES policy and the </w:t>
      </w:r>
      <w:hyperlink r:id="rId95" w:history="1">
        <w:r>
          <w:rPr>
            <w:rFonts w:ascii="Calibri" w:eastAsia="SimSun" w:hAnsi="Calibri" w:cs="Calibri"/>
            <w:color w:val="0563C1" w:themeColor="hyperlink"/>
            <w:sz w:val="20"/>
            <w:szCs w:val="20"/>
            <w:u w:val="single"/>
          </w:rPr>
          <w:t>UNDP SES Guidance Note on Assessment and Management</w:t>
        </w:r>
      </w:hyperlink>
      <w:r>
        <w:rPr>
          <w:rFonts w:ascii="Calibri" w:eastAsia="SimSun" w:hAnsi="Calibri" w:cs="Calibri"/>
          <w:color w:val="000000"/>
          <w:sz w:val="20"/>
          <w:szCs w:val="20"/>
        </w:rPr>
        <w:t xml:space="preserve"> </w:t>
      </w:r>
      <w:r>
        <w:rPr>
          <w:rFonts w:ascii="Calibri" w:eastAsia="SimSun" w:hAnsi="Calibri" w:cs="Calibri"/>
          <w:sz w:val="20"/>
          <w:szCs w:val="20"/>
        </w:rPr>
        <w:t>to identify and assess social and environmental impacts associated with the proposed regulations in a participatory manner with stakeholders as follows:</w:t>
      </w:r>
    </w:p>
    <w:p w14:paraId="68091ED5" w14:textId="77777777" w:rsidR="00CF33D9" w:rsidRDefault="00E3332A">
      <w:pPr>
        <w:numPr>
          <w:ilvl w:val="1"/>
          <w:numId w:val="116"/>
        </w:numPr>
        <w:spacing w:line="220" w:lineRule="exact"/>
        <w:ind w:left="720"/>
        <w:jc w:val="both"/>
        <w:rPr>
          <w:rFonts w:ascii="Calibri" w:eastAsia="SimSun" w:hAnsi="Calibri" w:cs="Calibri"/>
          <w:sz w:val="20"/>
          <w:szCs w:val="20"/>
        </w:rPr>
      </w:pPr>
      <w:r>
        <w:rPr>
          <w:rFonts w:ascii="Calibri" w:eastAsia="SimSun" w:hAnsi="Calibri" w:cs="Calibri"/>
          <w:sz w:val="20"/>
          <w:szCs w:val="20"/>
        </w:rPr>
        <w:t>Identify social and environmental priorities to be included in planning and policy processes.</w:t>
      </w:r>
    </w:p>
    <w:p w14:paraId="68091ED6" w14:textId="77777777" w:rsidR="00CF33D9" w:rsidRDefault="00E3332A">
      <w:pPr>
        <w:numPr>
          <w:ilvl w:val="1"/>
          <w:numId w:val="116"/>
        </w:numPr>
        <w:spacing w:line="220" w:lineRule="exact"/>
        <w:ind w:left="720"/>
        <w:jc w:val="both"/>
        <w:rPr>
          <w:rFonts w:ascii="Calibri" w:eastAsia="SimSun" w:hAnsi="Calibri" w:cs="Calibri"/>
          <w:sz w:val="20"/>
          <w:szCs w:val="20"/>
        </w:rPr>
      </w:pPr>
      <w:r>
        <w:rPr>
          <w:rFonts w:ascii="Calibri" w:eastAsia="SimSun" w:hAnsi="Calibri" w:cs="Calibri"/>
          <w:sz w:val="20"/>
          <w:szCs w:val="20"/>
        </w:rPr>
        <w:t>Assess gaps in the institutional, policy, and legal frameworks to address these priorities.</w:t>
      </w:r>
    </w:p>
    <w:p w14:paraId="68091ED7" w14:textId="77777777" w:rsidR="00CF33D9" w:rsidRDefault="00E3332A">
      <w:pPr>
        <w:numPr>
          <w:ilvl w:val="1"/>
          <w:numId w:val="116"/>
        </w:numPr>
        <w:spacing w:line="220" w:lineRule="exact"/>
        <w:ind w:left="720"/>
        <w:jc w:val="both"/>
        <w:rPr>
          <w:rFonts w:ascii="Calibri" w:eastAsia="SimSun" w:hAnsi="Calibri" w:cs="Calibri"/>
          <w:sz w:val="20"/>
          <w:szCs w:val="20"/>
        </w:rPr>
      </w:pPr>
      <w:r>
        <w:rPr>
          <w:rFonts w:ascii="Calibri" w:eastAsia="SimSun" w:hAnsi="Calibri" w:cs="Calibri"/>
          <w:sz w:val="20"/>
          <w:szCs w:val="20"/>
        </w:rPr>
        <w:t>Identify potential adverse social and environmental impacts associated with policy options.</w:t>
      </w:r>
    </w:p>
    <w:p w14:paraId="68091ED8" w14:textId="77777777" w:rsidR="00CF33D9" w:rsidRDefault="00E3332A">
      <w:pPr>
        <w:numPr>
          <w:ilvl w:val="1"/>
          <w:numId w:val="116"/>
        </w:numPr>
        <w:spacing w:line="220" w:lineRule="exact"/>
        <w:ind w:left="720"/>
        <w:jc w:val="both"/>
        <w:rPr>
          <w:rFonts w:ascii="Calibri" w:eastAsia="SimSun" w:hAnsi="Calibri" w:cs="Calibri"/>
          <w:sz w:val="20"/>
          <w:szCs w:val="20"/>
        </w:rPr>
      </w:pPr>
      <w:r>
        <w:rPr>
          <w:rFonts w:ascii="Calibri" w:eastAsia="SimSun" w:hAnsi="Calibri" w:cs="Calibri"/>
          <w:sz w:val="20"/>
          <w:szCs w:val="20"/>
        </w:rPr>
        <w:t>Engage decision makers and stakeholders to ensure a common understanding and broad support for implementation.</w:t>
      </w:r>
    </w:p>
    <w:p w14:paraId="68091ED9" w14:textId="77777777" w:rsidR="00CF33D9" w:rsidRDefault="00E3332A">
      <w:pPr>
        <w:numPr>
          <w:ilvl w:val="1"/>
          <w:numId w:val="116"/>
        </w:numPr>
        <w:spacing w:line="220" w:lineRule="exact"/>
        <w:ind w:left="720"/>
        <w:jc w:val="both"/>
        <w:rPr>
          <w:rFonts w:ascii="Calibri" w:eastAsia="SimSun" w:hAnsi="Calibri" w:cs="Calibri"/>
          <w:sz w:val="20"/>
          <w:szCs w:val="20"/>
        </w:rPr>
      </w:pPr>
      <w:r>
        <w:rPr>
          <w:rFonts w:ascii="Calibri" w:eastAsia="SimSun" w:hAnsi="Calibri" w:cs="Calibri"/>
          <w:sz w:val="20"/>
          <w:szCs w:val="20"/>
        </w:rPr>
        <w:t xml:space="preserve">Formulate policy and institutional measures needed to close policy and legal gaps, address institutional weaknesses, and avoid adverse social and environmental impacts. </w:t>
      </w:r>
    </w:p>
    <w:p w14:paraId="68091EDA" w14:textId="77777777" w:rsidR="00CF33D9" w:rsidRDefault="00E3332A">
      <w:pPr>
        <w:tabs>
          <w:tab w:val="left" w:pos="284"/>
          <w:tab w:val="left" w:pos="9781"/>
        </w:tabs>
        <w:spacing w:line="220" w:lineRule="exact"/>
        <w:jc w:val="both"/>
        <w:rPr>
          <w:rFonts w:ascii="Calibri" w:hAnsi="Calibri" w:cs="Calibri"/>
          <w:sz w:val="20"/>
          <w:szCs w:val="20"/>
        </w:rPr>
      </w:pPr>
      <w:r>
        <w:rPr>
          <w:rFonts w:ascii="Calibri" w:hAnsi="Calibri" w:cs="Calibri"/>
          <w:sz w:val="20"/>
          <w:szCs w:val="20"/>
        </w:rPr>
        <w:t xml:space="preserve">The SESA will consist of an assessment of impacts that integrates environmental and social considerations into policies, plans and programmes and evaluates their interlinkages with economic considerations.  It will evaluate the effect of supported regulatory/policy changes on a broad, cross sectoral basis with the aim of making policy decisions and other upstream actions more sustainable. </w:t>
      </w:r>
    </w:p>
    <w:p w14:paraId="68091EDB" w14:textId="77777777" w:rsidR="00CF33D9" w:rsidRDefault="00E3332A">
      <w:pPr>
        <w:tabs>
          <w:tab w:val="left" w:pos="284"/>
          <w:tab w:val="left" w:pos="9781"/>
        </w:tabs>
        <w:spacing w:line="220" w:lineRule="exact"/>
        <w:jc w:val="both"/>
        <w:rPr>
          <w:rFonts w:ascii="Calibri" w:hAnsi="Calibri" w:cs="Calibri"/>
          <w:sz w:val="20"/>
          <w:szCs w:val="20"/>
        </w:rPr>
      </w:pPr>
      <w:r>
        <w:rPr>
          <w:rFonts w:ascii="Calibri" w:hAnsi="Calibri" w:cs="Calibri"/>
          <w:sz w:val="20"/>
          <w:szCs w:val="20"/>
        </w:rPr>
        <w:t>The SESA approach will be applied to all the project-supported improvements of the legal frameworks in each country on the protection and conservation of the selected MPAs and coastal ecosystems such that potential social and environmental downstream impacts arising from the development of subsequent regulations/policy/guidelines are considered as an explicit part of the amended laws and policies.</w:t>
      </w:r>
    </w:p>
    <w:p w14:paraId="68091EDC" w14:textId="77777777" w:rsidR="00CF33D9" w:rsidRDefault="00E3332A">
      <w:pPr>
        <w:spacing w:line="220" w:lineRule="exact"/>
        <w:jc w:val="both"/>
        <w:rPr>
          <w:rFonts w:ascii="Calibri" w:hAnsi="Calibri" w:cs="Calibri"/>
          <w:sz w:val="20"/>
          <w:szCs w:val="20"/>
        </w:rPr>
      </w:pPr>
      <w:r>
        <w:rPr>
          <w:rFonts w:ascii="Calibri" w:hAnsi="Calibri" w:cs="Calibri"/>
          <w:sz w:val="20"/>
          <w:szCs w:val="20"/>
        </w:rPr>
        <w:t xml:space="preserve">Information and strategies identified will inform decision making and will be used to guide assessments of downstream activities.   </w:t>
      </w:r>
    </w:p>
    <w:p w14:paraId="68091EDD" w14:textId="77777777" w:rsidR="00CF33D9" w:rsidRDefault="00E3332A">
      <w:pPr>
        <w:spacing w:line="200" w:lineRule="exact"/>
        <w:jc w:val="both"/>
        <w:rPr>
          <w:rFonts w:ascii="Calibri" w:hAnsi="Calibri" w:cs="Calibri"/>
          <w:color w:val="000000"/>
          <w:sz w:val="20"/>
          <w:szCs w:val="20"/>
        </w:rPr>
      </w:pPr>
      <w:r>
        <w:rPr>
          <w:rFonts w:ascii="Calibri" w:hAnsi="Calibri" w:cs="Calibri"/>
          <w:color w:val="000000"/>
          <w:sz w:val="20"/>
          <w:szCs w:val="20"/>
        </w:rPr>
        <w:t>The SESA process will be accompanied by a concise report that summarizes the main findings and results of SESA, including:</w:t>
      </w:r>
    </w:p>
    <w:p w14:paraId="68091EDE" w14:textId="77777777" w:rsidR="00CF33D9" w:rsidRDefault="00E3332A">
      <w:pPr>
        <w:pStyle w:val="ListParagraph"/>
        <w:numPr>
          <w:ilvl w:val="0"/>
          <w:numId w:val="117"/>
        </w:numPr>
        <w:spacing w:before="120" w:after="120" w:line="200" w:lineRule="exact"/>
        <w:jc w:val="both"/>
        <w:rPr>
          <w:rFonts w:ascii="Calibri" w:hAnsi="Calibri" w:cs="Calibri"/>
          <w:sz w:val="20"/>
          <w:szCs w:val="20"/>
        </w:rPr>
      </w:pPr>
      <w:r>
        <w:rPr>
          <w:rFonts w:ascii="Calibri" w:hAnsi="Calibri" w:cs="Calibri"/>
          <w:color w:val="000000"/>
          <w:sz w:val="20"/>
          <w:szCs w:val="20"/>
        </w:rPr>
        <w:t>SESA stakeholder engagement process.</w:t>
      </w:r>
    </w:p>
    <w:p w14:paraId="68091EDF" w14:textId="77777777" w:rsidR="00CF33D9" w:rsidRDefault="00E3332A">
      <w:pPr>
        <w:pStyle w:val="ListParagraph"/>
        <w:numPr>
          <w:ilvl w:val="0"/>
          <w:numId w:val="117"/>
        </w:numPr>
        <w:spacing w:before="120" w:after="120" w:line="200" w:lineRule="exact"/>
        <w:jc w:val="both"/>
        <w:rPr>
          <w:rFonts w:ascii="Calibri" w:hAnsi="Calibri" w:cs="Calibri"/>
          <w:sz w:val="20"/>
          <w:szCs w:val="20"/>
        </w:rPr>
      </w:pPr>
      <w:r>
        <w:rPr>
          <w:rFonts w:ascii="Calibri" w:hAnsi="Calibri" w:cs="Calibri"/>
          <w:color w:val="000000"/>
          <w:sz w:val="20"/>
          <w:szCs w:val="20"/>
        </w:rPr>
        <w:t>Key social and environmental priorities and issues associated with the proposed project-born amendments and policy work.</w:t>
      </w:r>
    </w:p>
    <w:p w14:paraId="68091EE0" w14:textId="77777777" w:rsidR="00CF33D9" w:rsidRDefault="00E3332A">
      <w:pPr>
        <w:pStyle w:val="ListParagraph"/>
        <w:numPr>
          <w:ilvl w:val="0"/>
          <w:numId w:val="117"/>
        </w:numPr>
        <w:spacing w:before="120" w:after="120" w:line="200" w:lineRule="exact"/>
        <w:jc w:val="both"/>
        <w:rPr>
          <w:rFonts w:ascii="Calibri" w:hAnsi="Calibri" w:cs="Calibri"/>
          <w:sz w:val="20"/>
          <w:szCs w:val="20"/>
        </w:rPr>
      </w:pPr>
      <w:r>
        <w:rPr>
          <w:rFonts w:ascii="Calibri" w:hAnsi="Calibri" w:cs="Calibri"/>
          <w:color w:val="000000"/>
          <w:sz w:val="20"/>
          <w:szCs w:val="20"/>
        </w:rPr>
        <w:t>Institutional arrangements for coordinating integration of social and environmental issues into chosen amendments.</w:t>
      </w:r>
    </w:p>
    <w:p w14:paraId="68091EE1" w14:textId="77777777" w:rsidR="00CF33D9" w:rsidRDefault="00E3332A">
      <w:pPr>
        <w:pStyle w:val="ListParagraph"/>
        <w:numPr>
          <w:ilvl w:val="0"/>
          <w:numId w:val="117"/>
        </w:numPr>
        <w:spacing w:before="120" w:after="120" w:line="200" w:lineRule="exact"/>
        <w:jc w:val="both"/>
        <w:rPr>
          <w:rFonts w:ascii="Calibri" w:hAnsi="Calibri" w:cs="Calibri"/>
          <w:sz w:val="20"/>
          <w:szCs w:val="20"/>
        </w:rPr>
      </w:pPr>
      <w:r>
        <w:rPr>
          <w:rFonts w:ascii="Calibri" w:hAnsi="Calibri" w:cs="Calibri"/>
          <w:color w:val="000000"/>
          <w:sz w:val="20"/>
          <w:szCs w:val="20"/>
        </w:rPr>
        <w:t>Legal, regulatory, policy, institutional and capacity recommendations to address any identified gaps for managing the social and environmental priorities and implementing applicable social and environmental policies.</w:t>
      </w:r>
    </w:p>
    <w:p w14:paraId="68091EE2" w14:textId="77777777" w:rsidR="00CF33D9" w:rsidRDefault="00E3332A">
      <w:pPr>
        <w:pStyle w:val="ListParagraph"/>
        <w:numPr>
          <w:ilvl w:val="0"/>
          <w:numId w:val="117"/>
        </w:numPr>
        <w:spacing w:before="120" w:after="120" w:line="200" w:lineRule="exact"/>
        <w:jc w:val="both"/>
        <w:rPr>
          <w:rFonts w:ascii="Calibri" w:hAnsi="Calibri" w:cs="Calibri"/>
          <w:sz w:val="20"/>
          <w:szCs w:val="20"/>
        </w:rPr>
      </w:pPr>
      <w:r>
        <w:rPr>
          <w:rFonts w:ascii="Calibri" w:hAnsi="Calibri" w:cs="Calibri"/>
          <w:color w:val="000000"/>
          <w:sz w:val="20"/>
          <w:szCs w:val="20"/>
        </w:rPr>
        <w:t>Identification of measures (e.g. policies, institutional strengthening, governance reform) to address and manage anticipated adverse social and environmental risks and impacts.</w:t>
      </w:r>
    </w:p>
    <w:p w14:paraId="68091EE3" w14:textId="77777777" w:rsidR="00CF33D9" w:rsidRDefault="00E3332A">
      <w:pPr>
        <w:pStyle w:val="ListParagraph"/>
        <w:numPr>
          <w:ilvl w:val="0"/>
          <w:numId w:val="117"/>
        </w:numPr>
        <w:spacing w:before="120" w:after="120" w:line="200" w:lineRule="exact"/>
        <w:jc w:val="both"/>
        <w:rPr>
          <w:rFonts w:ascii="Calibri" w:hAnsi="Calibri" w:cs="Calibri"/>
          <w:sz w:val="20"/>
          <w:szCs w:val="20"/>
        </w:rPr>
      </w:pPr>
      <w:r>
        <w:rPr>
          <w:rFonts w:ascii="Calibri" w:hAnsi="Calibri" w:cs="Calibri"/>
          <w:color w:val="000000"/>
          <w:sz w:val="20"/>
          <w:szCs w:val="20"/>
        </w:rPr>
        <w:t>where applicable, final or advanced draft of ESMF as framework for managing social and environmental risks during implementation of the proposed regulations or strategies.</w:t>
      </w:r>
    </w:p>
    <w:p w14:paraId="68091EE4" w14:textId="77777777" w:rsidR="00CF33D9" w:rsidRDefault="00E3332A">
      <w:pPr>
        <w:spacing w:line="200" w:lineRule="exact"/>
        <w:jc w:val="both"/>
        <w:rPr>
          <w:rFonts w:ascii="Calibri" w:hAnsi="Calibri" w:cs="Calibri"/>
          <w:sz w:val="20"/>
          <w:szCs w:val="20"/>
        </w:rPr>
      </w:pPr>
      <w:r>
        <w:rPr>
          <w:rFonts w:ascii="Calibri" w:hAnsi="Calibri" w:cs="Calibri"/>
          <w:sz w:val="20"/>
          <w:szCs w:val="20"/>
        </w:rPr>
        <w:t xml:space="preserve">As a high-level document, the SESA is based on the broad scope of envisaged high-level project activities.  As such, work on the SESA will commence during the first six months of the project.  </w:t>
      </w:r>
    </w:p>
    <w:p w14:paraId="68091EE5" w14:textId="77777777" w:rsidR="00CF33D9" w:rsidRDefault="00CF33D9">
      <w:pPr>
        <w:rPr>
          <w:rFonts w:ascii="Calibri" w:hAnsi="Calibri" w:cs="Calibri"/>
          <w:color w:val="000000"/>
          <w:sz w:val="20"/>
          <w:szCs w:val="20"/>
        </w:rPr>
      </w:pPr>
    </w:p>
    <w:p w14:paraId="68091EE6" w14:textId="77777777" w:rsidR="00CF33D9" w:rsidRDefault="00E3332A">
      <w:pPr>
        <w:pStyle w:val="ListParagraph"/>
        <w:numPr>
          <w:ilvl w:val="0"/>
          <w:numId w:val="113"/>
        </w:numPr>
        <w:shd w:val="clear" w:color="auto" w:fill="DEEAF6" w:themeFill="accent1" w:themeFillTint="33"/>
        <w:spacing w:before="120" w:after="120"/>
        <w:jc w:val="both"/>
        <w:rPr>
          <w:rFonts w:ascii="Calibri" w:hAnsi="Calibri" w:cs="Calibri"/>
          <w:b/>
          <w:bCs/>
          <w:sz w:val="20"/>
          <w:szCs w:val="20"/>
          <w:u w:val="single"/>
        </w:rPr>
      </w:pPr>
      <w:r>
        <w:rPr>
          <w:rFonts w:ascii="Calibri" w:hAnsi="Calibri" w:cs="Calibri"/>
          <w:b/>
          <w:bCs/>
          <w:sz w:val="20"/>
          <w:szCs w:val="20"/>
          <w:u w:val="single"/>
        </w:rPr>
        <w:t xml:space="preserve">Scoped ESIA/ESMP for the sustainable and climate resilient mariculture opportunities and exploitation of other living marine resources at national levels. </w:t>
      </w:r>
    </w:p>
    <w:p w14:paraId="68091EE7" w14:textId="77777777" w:rsidR="00CF33D9" w:rsidRDefault="00CF33D9">
      <w:pPr>
        <w:rPr>
          <w:rFonts w:ascii="Calibri" w:hAnsi="Calibri" w:cs="Calibri"/>
          <w:color w:val="000000"/>
          <w:sz w:val="20"/>
          <w:szCs w:val="20"/>
        </w:rPr>
      </w:pPr>
    </w:p>
    <w:p w14:paraId="68091EE8" w14:textId="77777777" w:rsidR="00CF33D9" w:rsidRDefault="00E3332A">
      <w:pPr>
        <w:spacing w:line="220" w:lineRule="exact"/>
        <w:jc w:val="both"/>
        <w:textAlignment w:val="baseline"/>
        <w:rPr>
          <w:rFonts w:ascii="Calibri" w:hAnsi="Calibri" w:cs="Calibri"/>
          <w:i/>
          <w:iCs/>
          <w:color w:val="000000"/>
          <w:sz w:val="20"/>
          <w:szCs w:val="20"/>
        </w:rPr>
      </w:pPr>
      <w:r>
        <w:rPr>
          <w:rFonts w:ascii="Calibri" w:hAnsi="Calibri" w:cs="Calibri"/>
          <w:b/>
          <w:bCs/>
          <w:i/>
          <w:iCs/>
          <w:color w:val="000000"/>
          <w:sz w:val="20"/>
          <w:szCs w:val="20"/>
          <w:u w:val="single"/>
        </w:rPr>
        <w:t>Activity 2.1.1.1: Identification and needs analysis for joint sustainable climate resilient management of transboundary fish stock (Cape horse mackerel, Cape hakes) and (based on findings) drafting of possible bilateral agreements</w:t>
      </w:r>
      <w:r>
        <w:rPr>
          <w:rFonts w:ascii="Calibri" w:hAnsi="Calibri" w:cs="Calibri"/>
          <w:i/>
          <w:iCs/>
          <w:color w:val="000000"/>
          <w:sz w:val="20"/>
          <w:szCs w:val="20"/>
        </w:rPr>
        <w:t>.</w:t>
      </w:r>
    </w:p>
    <w:p w14:paraId="68091EE9" w14:textId="77777777" w:rsidR="00CF33D9" w:rsidRDefault="00CF33D9">
      <w:pPr>
        <w:spacing w:line="220" w:lineRule="exact"/>
        <w:jc w:val="both"/>
        <w:textAlignment w:val="baseline"/>
        <w:rPr>
          <w:rFonts w:ascii="Calibri" w:hAnsi="Calibri" w:cs="Calibri"/>
          <w:color w:val="000000"/>
          <w:sz w:val="20"/>
          <w:szCs w:val="20"/>
        </w:rPr>
      </w:pPr>
    </w:p>
    <w:p w14:paraId="68091EEA" w14:textId="77777777" w:rsidR="00CF33D9" w:rsidRDefault="00E3332A">
      <w:pPr>
        <w:spacing w:line="220" w:lineRule="exact"/>
        <w:jc w:val="both"/>
        <w:rPr>
          <w:rFonts w:ascii="Calibri" w:hAnsi="Calibri" w:cs="Calibri"/>
          <w:sz w:val="20"/>
          <w:szCs w:val="20"/>
        </w:rPr>
      </w:pPr>
      <w:r>
        <w:rPr>
          <w:rFonts w:ascii="Calibri" w:hAnsi="Calibri" w:cs="Calibri"/>
          <w:color w:val="000000"/>
          <w:sz w:val="20"/>
          <w:szCs w:val="20"/>
        </w:rPr>
        <w:t>This activity will identify and carry out a need-analysis on transboundary fish stock management aiming to focus on a sustainable climate resilient approach and structure to protect and conserve the biodiversity as well as to incorporate and integrate natural values, indigenous cultural values together with broader community and historic heritage values in the fishery sector across the three target countries to scientifically support the drafting of possible bilateral agreements. It should take into account that the transboundary management becomes part of a broader bioregional, social, cultural and economic landscapes and they should be managed in this context when drafting possible bilateral agreements.</w:t>
      </w:r>
    </w:p>
    <w:p w14:paraId="68091EEB" w14:textId="77777777" w:rsidR="00CF33D9" w:rsidRDefault="00CF33D9">
      <w:pPr>
        <w:spacing w:line="220" w:lineRule="exact"/>
        <w:jc w:val="both"/>
        <w:textAlignment w:val="baseline"/>
        <w:rPr>
          <w:rFonts w:ascii="Calibri" w:hAnsi="Calibri" w:cs="Calibri"/>
          <w:color w:val="000000"/>
          <w:sz w:val="20"/>
          <w:szCs w:val="20"/>
        </w:rPr>
      </w:pPr>
    </w:p>
    <w:p w14:paraId="68091EEC" w14:textId="77777777" w:rsidR="00CF33D9" w:rsidRDefault="00E3332A">
      <w:pPr>
        <w:spacing w:line="220" w:lineRule="exact"/>
        <w:jc w:val="both"/>
        <w:textAlignment w:val="baseline"/>
        <w:rPr>
          <w:rFonts w:ascii="Calibri" w:hAnsi="Calibri" w:cs="Calibri"/>
          <w:b/>
          <w:bCs/>
          <w:i/>
          <w:iCs/>
          <w:color w:val="000000"/>
          <w:sz w:val="20"/>
          <w:szCs w:val="20"/>
          <w:u w:val="single"/>
        </w:rPr>
      </w:pPr>
      <w:r>
        <w:rPr>
          <w:rFonts w:ascii="Calibri" w:hAnsi="Calibri" w:cs="Calibri"/>
          <w:b/>
          <w:bCs/>
          <w:i/>
          <w:iCs/>
          <w:color w:val="000000"/>
          <w:sz w:val="20"/>
          <w:szCs w:val="20"/>
          <w:u w:val="single"/>
        </w:rPr>
        <w:t xml:space="preserve">Activity 2.1.2.1: Identification and needs analysis of selected MPAs and coastal ecosystems for sustainable and climate resilient mariculture opportunities and other living marine resources. </w:t>
      </w:r>
    </w:p>
    <w:p w14:paraId="68091EED" w14:textId="77777777" w:rsidR="00CF33D9" w:rsidRDefault="00CF33D9">
      <w:pPr>
        <w:spacing w:line="220" w:lineRule="exact"/>
        <w:jc w:val="both"/>
        <w:textAlignment w:val="baseline"/>
        <w:rPr>
          <w:rFonts w:ascii="Calibri" w:hAnsi="Calibri" w:cs="Calibri"/>
          <w:color w:val="000000"/>
          <w:sz w:val="20"/>
          <w:szCs w:val="20"/>
        </w:rPr>
      </w:pPr>
    </w:p>
    <w:p w14:paraId="68091EEE" w14:textId="77777777" w:rsidR="00CF33D9" w:rsidRDefault="00E3332A">
      <w:pPr>
        <w:spacing w:line="220" w:lineRule="exact"/>
        <w:jc w:val="both"/>
        <w:textAlignment w:val="baseline"/>
        <w:rPr>
          <w:rFonts w:ascii="Calibri" w:hAnsi="Calibri" w:cs="Calibri"/>
          <w:color w:val="000000"/>
          <w:sz w:val="20"/>
          <w:szCs w:val="20"/>
        </w:rPr>
      </w:pPr>
      <w:r>
        <w:rPr>
          <w:rFonts w:ascii="Calibri" w:hAnsi="Calibri" w:cs="Calibri"/>
          <w:color w:val="000000"/>
          <w:sz w:val="20"/>
          <w:szCs w:val="20"/>
        </w:rPr>
        <w:lastRenderedPageBreak/>
        <w:t>This activity is composed of three steps that begins with drafting the plans for sustainable and climate resilient mariculture opportunities and their exploitation, followed by a stakeholder consultation allowing the participation and inclusion of stakeholders. The introduction of mariculture which is associated not only with food production but also with the production of raw materials for cosmetics, medicines, and food activities, could lead to effluents and excretions that can further pollute the oceans.</w:t>
      </w:r>
    </w:p>
    <w:p w14:paraId="68091EEF" w14:textId="77777777" w:rsidR="00CF33D9" w:rsidRDefault="00CF33D9">
      <w:pPr>
        <w:spacing w:line="220" w:lineRule="exact"/>
        <w:jc w:val="both"/>
        <w:textAlignment w:val="baseline"/>
        <w:rPr>
          <w:rFonts w:ascii="Calibri" w:hAnsi="Calibri" w:cs="Calibri"/>
          <w:color w:val="000000"/>
          <w:sz w:val="20"/>
          <w:szCs w:val="20"/>
        </w:rPr>
      </w:pPr>
    </w:p>
    <w:p w14:paraId="68091EF0" w14:textId="77777777" w:rsidR="00CF33D9" w:rsidRDefault="00E3332A">
      <w:pPr>
        <w:spacing w:line="220" w:lineRule="exact"/>
        <w:rPr>
          <w:rFonts w:ascii="Calibri" w:hAnsi="Calibri" w:cs="Calibri"/>
          <w:iCs/>
          <w:sz w:val="20"/>
          <w:szCs w:val="20"/>
        </w:rPr>
      </w:pPr>
      <w:r>
        <w:rPr>
          <w:rFonts w:ascii="Calibri" w:hAnsi="Calibri" w:cs="Calibri"/>
          <w:iCs/>
          <w:sz w:val="20"/>
          <w:szCs w:val="20"/>
        </w:rPr>
        <w:t>ESIA will be conducted through several steps which will include:</w:t>
      </w:r>
    </w:p>
    <w:p w14:paraId="68091EF1" w14:textId="77777777" w:rsidR="00CF33D9" w:rsidRDefault="00E3332A">
      <w:pPr>
        <w:pStyle w:val="ListParagraph"/>
        <w:numPr>
          <w:ilvl w:val="0"/>
          <w:numId w:val="118"/>
        </w:numPr>
        <w:spacing w:line="220" w:lineRule="exact"/>
        <w:jc w:val="both"/>
        <w:rPr>
          <w:rFonts w:ascii="Calibri" w:hAnsi="Calibri" w:cs="Calibri"/>
          <w:iCs/>
          <w:sz w:val="20"/>
          <w:szCs w:val="20"/>
        </w:rPr>
      </w:pPr>
      <w:r>
        <w:rPr>
          <w:rFonts w:ascii="Calibri" w:hAnsi="Calibri" w:cs="Calibri"/>
          <w:iCs/>
          <w:sz w:val="20"/>
          <w:szCs w:val="20"/>
        </w:rPr>
        <w:t>A scoping exercise will be undertaken during the initial needs analysis on transboundary fish stock management and field missions. The scoping may involve the following: (i) TORs for additional expertise/recruitment; (ii) identification of significant social and environmental issues and potential adverse impacts to be addressed (iii) identification of data availability and gaps for conducting the assessments (iv) identification of UNDP/SES requirements to be addressed (v) scoping meeting with concerned stakeholders.</w:t>
      </w:r>
    </w:p>
    <w:p w14:paraId="68091EF2" w14:textId="77777777" w:rsidR="00CF33D9" w:rsidRDefault="00E3332A">
      <w:pPr>
        <w:pStyle w:val="ListParagraph"/>
        <w:numPr>
          <w:ilvl w:val="0"/>
          <w:numId w:val="118"/>
        </w:numPr>
        <w:spacing w:line="220" w:lineRule="exact"/>
        <w:jc w:val="both"/>
        <w:rPr>
          <w:rFonts w:ascii="Calibri" w:hAnsi="Calibri" w:cs="Calibri"/>
          <w:iCs/>
          <w:sz w:val="20"/>
          <w:szCs w:val="20"/>
        </w:rPr>
      </w:pPr>
      <w:r>
        <w:rPr>
          <w:rFonts w:ascii="Calibri" w:hAnsi="Calibri" w:cs="Calibri"/>
          <w:iCs/>
          <w:sz w:val="20"/>
          <w:szCs w:val="20"/>
        </w:rPr>
        <w:t>Develop baseline information on the relevant environmental social, physical and cultural baseline in the area of influence.</w:t>
      </w:r>
    </w:p>
    <w:p w14:paraId="68091EF3" w14:textId="77777777" w:rsidR="00CF33D9" w:rsidRDefault="00E3332A">
      <w:pPr>
        <w:pStyle w:val="ListParagraph"/>
        <w:numPr>
          <w:ilvl w:val="0"/>
          <w:numId w:val="118"/>
        </w:numPr>
        <w:spacing w:line="220" w:lineRule="exact"/>
        <w:jc w:val="both"/>
        <w:rPr>
          <w:rFonts w:ascii="Calibri" w:hAnsi="Calibri" w:cs="Calibri"/>
          <w:iCs/>
          <w:sz w:val="20"/>
          <w:szCs w:val="20"/>
        </w:rPr>
      </w:pPr>
      <w:r>
        <w:rPr>
          <w:rFonts w:ascii="Calibri" w:hAnsi="Calibri" w:cs="Calibri"/>
          <w:iCs/>
          <w:sz w:val="20"/>
          <w:szCs w:val="20"/>
        </w:rPr>
        <w:t xml:space="preserve">Review the applicable regulations and legal acts relevant to Sustainable Partnership Agreements together with limiting Illegal, Unreported and Unregulated (IUU) fishing as well as existing fisheries governance within the seafood sector across the three BCC countries. </w:t>
      </w:r>
    </w:p>
    <w:p w14:paraId="68091EF4" w14:textId="77777777" w:rsidR="00CF33D9" w:rsidRDefault="00E3332A">
      <w:pPr>
        <w:pStyle w:val="ListParagraph"/>
        <w:numPr>
          <w:ilvl w:val="0"/>
          <w:numId w:val="118"/>
        </w:numPr>
        <w:spacing w:line="220" w:lineRule="exact"/>
        <w:jc w:val="both"/>
        <w:rPr>
          <w:rFonts w:ascii="Calibri" w:hAnsi="Calibri" w:cs="Calibri"/>
          <w:iCs/>
          <w:sz w:val="20"/>
          <w:szCs w:val="20"/>
        </w:rPr>
      </w:pPr>
      <w:r>
        <w:rPr>
          <w:rFonts w:ascii="Calibri" w:hAnsi="Calibri" w:cs="Calibri"/>
          <w:iCs/>
          <w:sz w:val="20"/>
          <w:szCs w:val="20"/>
        </w:rPr>
        <w:t xml:space="preserve">Analyze the economic production of BCLME sustainable and climate resilient marine commodities in domestic and international markets. </w:t>
      </w:r>
    </w:p>
    <w:p w14:paraId="68091EF5" w14:textId="77777777" w:rsidR="00CF33D9" w:rsidRDefault="00E3332A">
      <w:pPr>
        <w:pStyle w:val="ListParagraph"/>
        <w:numPr>
          <w:ilvl w:val="0"/>
          <w:numId w:val="118"/>
        </w:numPr>
        <w:spacing w:line="220" w:lineRule="exact"/>
        <w:jc w:val="both"/>
        <w:rPr>
          <w:rFonts w:ascii="Calibri" w:hAnsi="Calibri" w:cs="Calibri"/>
          <w:iCs/>
          <w:sz w:val="20"/>
          <w:szCs w:val="20"/>
        </w:rPr>
      </w:pPr>
      <w:r>
        <w:rPr>
          <w:rFonts w:ascii="Calibri" w:hAnsi="Calibri" w:cs="Calibri"/>
          <w:iCs/>
          <w:sz w:val="20"/>
          <w:szCs w:val="20"/>
        </w:rPr>
        <w:t xml:space="preserve">Identify relevant stakeholders in the fishery sector including key members of each government to establish a multinational committee that would be able to facilitate an interactive communication and prompt response to the implementation of the transboundary fish stock management across the BCLME and selected MPAs and coastal ecosystems. </w:t>
      </w:r>
    </w:p>
    <w:p w14:paraId="68091EF6" w14:textId="77777777" w:rsidR="00CF33D9" w:rsidRDefault="00E3332A">
      <w:pPr>
        <w:pStyle w:val="ListParagraph"/>
        <w:numPr>
          <w:ilvl w:val="0"/>
          <w:numId w:val="118"/>
        </w:numPr>
        <w:spacing w:line="220" w:lineRule="exact"/>
        <w:jc w:val="both"/>
        <w:rPr>
          <w:rFonts w:ascii="Calibri" w:hAnsi="Calibri" w:cs="Calibri"/>
          <w:iCs/>
          <w:sz w:val="20"/>
          <w:szCs w:val="20"/>
        </w:rPr>
      </w:pPr>
      <w:r>
        <w:rPr>
          <w:rFonts w:ascii="Calibri" w:hAnsi="Calibri" w:cs="Calibri"/>
          <w:iCs/>
          <w:sz w:val="20"/>
          <w:szCs w:val="20"/>
        </w:rPr>
        <w:t>Analyze and evaluate risks and impacts (according to SES requirements); support stakeholder consultations (Activity 2.1.1.3).</w:t>
      </w:r>
    </w:p>
    <w:p w14:paraId="68091EF7" w14:textId="77777777" w:rsidR="00CF33D9" w:rsidRDefault="00E3332A">
      <w:pPr>
        <w:pStyle w:val="ListParagraph"/>
        <w:numPr>
          <w:ilvl w:val="0"/>
          <w:numId w:val="118"/>
        </w:numPr>
        <w:spacing w:line="220" w:lineRule="exact"/>
        <w:jc w:val="both"/>
        <w:rPr>
          <w:rFonts w:ascii="Calibri" w:hAnsi="Calibri" w:cs="Calibri"/>
          <w:iCs/>
          <w:sz w:val="20"/>
          <w:szCs w:val="20"/>
        </w:rPr>
      </w:pPr>
      <w:r>
        <w:rPr>
          <w:rFonts w:ascii="Calibri" w:hAnsi="Calibri" w:cs="Calibri"/>
          <w:iCs/>
          <w:sz w:val="20"/>
          <w:szCs w:val="20"/>
        </w:rPr>
        <w:t xml:space="preserve">Analyze the potential negative environmental and social impacts of mariculture. </w:t>
      </w:r>
    </w:p>
    <w:p w14:paraId="68091EF8" w14:textId="77777777" w:rsidR="00CF33D9" w:rsidRDefault="00E3332A">
      <w:pPr>
        <w:pStyle w:val="ListParagraph"/>
        <w:numPr>
          <w:ilvl w:val="0"/>
          <w:numId w:val="118"/>
        </w:numPr>
        <w:spacing w:line="220" w:lineRule="exact"/>
        <w:jc w:val="both"/>
        <w:rPr>
          <w:rFonts w:ascii="Calibri" w:hAnsi="Calibri" w:cs="Calibri"/>
          <w:iCs/>
          <w:sz w:val="20"/>
          <w:szCs w:val="20"/>
        </w:rPr>
      </w:pPr>
      <w:r>
        <w:rPr>
          <w:rFonts w:ascii="Calibri" w:hAnsi="Calibri" w:cs="Calibri"/>
          <w:iCs/>
          <w:sz w:val="20"/>
          <w:szCs w:val="20"/>
        </w:rPr>
        <w:t>Prepare ESIA report and proposed risk mitigation/management measures.</w:t>
      </w:r>
    </w:p>
    <w:p w14:paraId="68091EF9" w14:textId="77777777" w:rsidR="00CF33D9" w:rsidRDefault="00E3332A">
      <w:pPr>
        <w:pStyle w:val="ListParagraph"/>
        <w:numPr>
          <w:ilvl w:val="0"/>
          <w:numId w:val="118"/>
        </w:numPr>
        <w:spacing w:line="220" w:lineRule="exact"/>
        <w:jc w:val="both"/>
        <w:rPr>
          <w:rFonts w:ascii="Calibri" w:hAnsi="Calibri" w:cs="Calibri"/>
          <w:iCs/>
          <w:sz w:val="20"/>
          <w:szCs w:val="20"/>
        </w:rPr>
      </w:pPr>
      <w:r>
        <w:rPr>
          <w:rFonts w:ascii="Calibri" w:hAnsi="Calibri" w:cs="Calibri"/>
          <w:iCs/>
          <w:sz w:val="20"/>
          <w:szCs w:val="20"/>
        </w:rPr>
        <w:t xml:space="preserve">Include safeguards measures in the proposed bilateral agreements drafted. </w:t>
      </w:r>
    </w:p>
    <w:p w14:paraId="68091EFA" w14:textId="77777777" w:rsidR="00CF33D9" w:rsidRDefault="00CF33D9">
      <w:pPr>
        <w:spacing w:line="276" w:lineRule="auto"/>
        <w:jc w:val="both"/>
        <w:rPr>
          <w:rFonts w:ascii="Calibri" w:hAnsi="Calibri" w:cs="Calibri"/>
          <w:bCs/>
          <w:color w:val="000000"/>
          <w:sz w:val="20"/>
          <w:szCs w:val="20"/>
        </w:rPr>
      </w:pPr>
    </w:p>
    <w:p w14:paraId="68091EFB" w14:textId="77777777" w:rsidR="00CF33D9" w:rsidRDefault="00E3332A">
      <w:pPr>
        <w:pStyle w:val="ListParagraph"/>
        <w:numPr>
          <w:ilvl w:val="0"/>
          <w:numId w:val="119"/>
        </w:numPr>
        <w:shd w:val="clear" w:color="auto" w:fill="DEEAF6" w:themeFill="accent1" w:themeFillTint="33"/>
        <w:jc w:val="both"/>
        <w:rPr>
          <w:rFonts w:ascii="Calibri" w:hAnsi="Calibri" w:cs="Calibri"/>
          <w:b/>
          <w:bCs/>
          <w:sz w:val="20"/>
          <w:szCs w:val="20"/>
          <w:u w:val="single"/>
        </w:rPr>
      </w:pPr>
      <w:r>
        <w:rPr>
          <w:rFonts w:ascii="Calibri" w:hAnsi="Calibri" w:cs="Calibri"/>
          <w:b/>
          <w:bCs/>
          <w:sz w:val="20"/>
          <w:szCs w:val="20"/>
          <w:u w:val="single"/>
        </w:rPr>
        <w:t>Scoped ESIA/ESMP for sustainable community-based tourism developed in and around selected MPAs and coastal ecosystems.</w:t>
      </w:r>
    </w:p>
    <w:p w14:paraId="68091EFC" w14:textId="77777777" w:rsidR="00CF33D9" w:rsidRDefault="00E3332A">
      <w:pPr>
        <w:pStyle w:val="NormalWeb"/>
        <w:spacing w:before="240" w:after="240" w:line="220" w:lineRule="exact"/>
        <w:textAlignment w:val="baseline"/>
        <w:rPr>
          <w:rFonts w:ascii="Calibri" w:hAnsi="Calibri" w:cs="Calibri"/>
          <w:b/>
          <w:bCs/>
          <w:i/>
          <w:iCs/>
          <w:color w:val="000000"/>
          <w:sz w:val="20"/>
          <w:szCs w:val="20"/>
          <w:u w:val="single"/>
          <w:lang w:val="en-US"/>
        </w:rPr>
      </w:pPr>
      <w:r>
        <w:rPr>
          <w:rFonts w:ascii="Calibri" w:hAnsi="Calibri" w:cs="Calibri"/>
          <w:b/>
          <w:bCs/>
          <w:i/>
          <w:iCs/>
          <w:color w:val="000000"/>
          <w:sz w:val="20"/>
          <w:szCs w:val="20"/>
          <w:u w:val="single"/>
          <w:lang w:val="en-US"/>
        </w:rPr>
        <w:t>Activity 1.2.1.2: Analysis of the tourism status and development plans/solutions, as well as environmental feasibility of the implementation of the community-based tourism plans and financing/investment needs, and identification of community-based climate-resilient management efforts for local economic development and beneficiation.</w:t>
      </w:r>
    </w:p>
    <w:p w14:paraId="68091EFD" w14:textId="77777777" w:rsidR="00CF33D9" w:rsidRDefault="00E3332A">
      <w:pPr>
        <w:pStyle w:val="NormalWeb"/>
        <w:spacing w:before="240" w:after="240" w:line="220" w:lineRule="exact"/>
        <w:rPr>
          <w:rFonts w:ascii="Calibri" w:hAnsi="Calibri" w:cs="Calibri"/>
          <w:color w:val="000000"/>
          <w:sz w:val="20"/>
          <w:szCs w:val="20"/>
          <w:lang w:val="en-US"/>
        </w:rPr>
      </w:pPr>
      <w:r>
        <w:rPr>
          <w:rFonts w:ascii="Calibri" w:hAnsi="Calibri" w:cs="Calibri"/>
          <w:color w:val="000000"/>
          <w:sz w:val="20"/>
          <w:szCs w:val="20"/>
          <w:lang w:val="en-US"/>
        </w:rPr>
        <w:t>Built on activity 1.2.1.1, this activity has two phases. The first phase is the analyzing of the tourism status then based on the findings develop solutions to enhance the environmental feasibility of implementing the community-based tourism plan. This activity aims to assess tourism's current status and identify solutions that will ensure sustainable tourism development without compromising the environment. This activity provides a local economic development that will have to balance protecting marine biodiversity and maintaining sustainable and direct access to ecosystem services. By supporting sustainable use of marine resources and offering an entry point for low-resource coastal communities to take part in the blue economy a balance is established within the developing market dynamics. Each tailored community-based tourism plan will be based on the environmental assessment and community interests within selected MPAs and coastal system.</w:t>
      </w:r>
    </w:p>
    <w:p w14:paraId="68091EFE" w14:textId="77777777" w:rsidR="00CF33D9" w:rsidRDefault="00E3332A">
      <w:pPr>
        <w:pStyle w:val="NormalWeb"/>
        <w:spacing w:before="240" w:after="240" w:line="220" w:lineRule="exact"/>
        <w:rPr>
          <w:rFonts w:ascii="Calibri" w:hAnsi="Calibri" w:cs="Calibri"/>
          <w:color w:val="000000"/>
          <w:sz w:val="20"/>
          <w:szCs w:val="20"/>
          <w:lang w:val="en-US"/>
        </w:rPr>
      </w:pPr>
      <w:r>
        <w:rPr>
          <w:rFonts w:ascii="Calibri" w:hAnsi="Calibri" w:cs="Calibri"/>
          <w:color w:val="000000"/>
          <w:sz w:val="20"/>
          <w:szCs w:val="20"/>
          <w:lang w:val="en-US"/>
        </w:rPr>
        <w:t>There are inherent risks associated with community-based tourism that can lead to degradation of coastal resources, increase in pollution, solid waste littering, discharges into the sea and can exacerbate the vulnerability of coastal areas. The project is required to conduct a screening and targeted assessment of potential negative impact that activities under output 1.2.1 could pose for Key Biodiversity Areas in Namibia.</w:t>
      </w:r>
    </w:p>
    <w:p w14:paraId="68091EFF" w14:textId="77777777" w:rsidR="00CF33D9" w:rsidRDefault="00E3332A">
      <w:pPr>
        <w:pStyle w:val="NormalWeb"/>
        <w:spacing w:before="240" w:after="240" w:line="220" w:lineRule="exact"/>
        <w:rPr>
          <w:rFonts w:ascii="Calibri" w:hAnsi="Calibri" w:cs="Calibri"/>
          <w:color w:val="000000"/>
          <w:sz w:val="20"/>
          <w:szCs w:val="20"/>
          <w:lang w:val="en-US"/>
        </w:rPr>
      </w:pPr>
      <w:r>
        <w:rPr>
          <w:rFonts w:ascii="Calibri" w:hAnsi="Calibri" w:cs="Calibri"/>
          <w:color w:val="000000"/>
          <w:sz w:val="20"/>
          <w:szCs w:val="20"/>
          <w:lang w:val="en-US"/>
        </w:rPr>
        <w:t>The ESIA will include appropriate assessments regarding pollution and resource use based on scoping study of project risks and impacts.</w:t>
      </w:r>
    </w:p>
    <w:p w14:paraId="68091F00" w14:textId="77777777" w:rsidR="00CF33D9" w:rsidRDefault="00E3332A">
      <w:pPr>
        <w:pStyle w:val="NormalWeb"/>
        <w:spacing w:line="220" w:lineRule="exact"/>
        <w:rPr>
          <w:rFonts w:ascii="Calibri" w:hAnsi="Calibri" w:cs="Calibri"/>
          <w:color w:val="000000"/>
          <w:sz w:val="20"/>
          <w:szCs w:val="20"/>
          <w:lang w:val="en-US"/>
        </w:rPr>
      </w:pPr>
      <w:r>
        <w:rPr>
          <w:rFonts w:ascii="Calibri" w:hAnsi="Calibri" w:cs="Calibri"/>
          <w:color w:val="000000"/>
          <w:sz w:val="20"/>
          <w:szCs w:val="20"/>
          <w:lang w:val="en-US"/>
        </w:rPr>
        <w:t>The screening procedures will apply to the following selected sites:</w:t>
      </w:r>
    </w:p>
    <w:p w14:paraId="68091F01" w14:textId="77777777" w:rsidR="00CF33D9" w:rsidRDefault="00E3332A">
      <w:pPr>
        <w:pStyle w:val="NormalWeb"/>
        <w:numPr>
          <w:ilvl w:val="0"/>
          <w:numId w:val="120"/>
        </w:numPr>
        <w:suppressAutoHyphens/>
        <w:spacing w:before="0" w:beforeAutospacing="0" w:after="0" w:afterAutospacing="0" w:line="220" w:lineRule="exact"/>
        <w:rPr>
          <w:rFonts w:ascii="Calibri" w:hAnsi="Calibri" w:cs="Calibri"/>
          <w:sz w:val="20"/>
          <w:szCs w:val="20"/>
          <w:lang w:val="en-US"/>
        </w:rPr>
      </w:pPr>
      <w:r>
        <w:rPr>
          <w:rFonts w:ascii="Calibri" w:hAnsi="Calibri" w:cs="Calibri"/>
          <w:sz w:val="20"/>
          <w:szCs w:val="20"/>
          <w:lang w:val="en-US"/>
        </w:rPr>
        <w:lastRenderedPageBreak/>
        <w:t>Namibian Islands EBSA/ Luderitz</w:t>
      </w:r>
    </w:p>
    <w:p w14:paraId="68091F02" w14:textId="77777777" w:rsidR="00CF33D9" w:rsidRDefault="00E3332A">
      <w:pPr>
        <w:pStyle w:val="NormalWeb"/>
        <w:numPr>
          <w:ilvl w:val="0"/>
          <w:numId w:val="120"/>
        </w:numPr>
        <w:suppressAutoHyphens/>
        <w:spacing w:before="0" w:beforeAutospacing="0" w:after="0" w:afterAutospacing="0" w:line="220" w:lineRule="exact"/>
        <w:rPr>
          <w:rFonts w:ascii="Calibri" w:hAnsi="Calibri" w:cs="Calibri"/>
          <w:sz w:val="20"/>
          <w:szCs w:val="20"/>
          <w:lang w:val="en-US"/>
        </w:rPr>
      </w:pPr>
      <w:r>
        <w:rPr>
          <w:rFonts w:ascii="Calibri" w:hAnsi="Calibri" w:cs="Calibri"/>
          <w:sz w:val="20"/>
          <w:szCs w:val="20"/>
          <w:lang w:val="en-US"/>
        </w:rPr>
        <w:t>Orange Cone EBSA/ Oranjemund</w:t>
      </w:r>
    </w:p>
    <w:p w14:paraId="68091F03" w14:textId="77777777" w:rsidR="00CF33D9" w:rsidRDefault="00E3332A">
      <w:pPr>
        <w:pStyle w:val="NormalWeb"/>
        <w:numPr>
          <w:ilvl w:val="0"/>
          <w:numId w:val="120"/>
        </w:numPr>
        <w:suppressAutoHyphens/>
        <w:spacing w:before="0" w:beforeAutospacing="0" w:after="0" w:afterAutospacing="0" w:line="220" w:lineRule="exact"/>
        <w:rPr>
          <w:rFonts w:ascii="Calibri" w:hAnsi="Calibri" w:cs="Calibri"/>
          <w:sz w:val="20"/>
          <w:szCs w:val="20"/>
          <w:lang w:val="en-US"/>
        </w:rPr>
      </w:pPr>
      <w:r>
        <w:rPr>
          <w:rFonts w:ascii="Calibri" w:hAnsi="Calibri" w:cs="Calibri"/>
          <w:sz w:val="20"/>
          <w:szCs w:val="20"/>
          <w:lang w:val="en-US"/>
        </w:rPr>
        <w:t>Namibe</w:t>
      </w:r>
    </w:p>
    <w:p w14:paraId="68091F04" w14:textId="77777777" w:rsidR="00CF33D9" w:rsidRDefault="00E3332A">
      <w:pPr>
        <w:pStyle w:val="NormalWeb"/>
        <w:spacing w:line="220" w:lineRule="exact"/>
        <w:textAlignment w:val="baseline"/>
        <w:rPr>
          <w:rFonts w:ascii="Calibri" w:hAnsi="Calibri" w:cs="Calibri"/>
          <w:color w:val="000000"/>
          <w:sz w:val="20"/>
          <w:szCs w:val="20"/>
          <w:lang w:val="en-US"/>
        </w:rPr>
      </w:pPr>
      <w:r>
        <w:rPr>
          <w:rFonts w:ascii="Calibri" w:hAnsi="Calibri" w:cs="Calibri"/>
          <w:color w:val="000000"/>
          <w:sz w:val="20"/>
          <w:szCs w:val="20"/>
          <w:lang w:val="en-US"/>
        </w:rPr>
        <w:t>The local communities from the above-mentioned sites will be consulted and informed about the commitment required in implementing sustainable community-based tourism for the communities and local government (Activity 1.2.1.1). This will sensitize the community and local government about the importance of sustainable tourism and its benefits to the environment. To help avoid the negative impacts on biodiversity, the project should:</w:t>
      </w:r>
    </w:p>
    <w:p w14:paraId="68091F05" w14:textId="77777777" w:rsidR="00CF33D9" w:rsidRDefault="00E3332A">
      <w:pPr>
        <w:pStyle w:val="NormalWeb"/>
        <w:numPr>
          <w:ilvl w:val="0"/>
          <w:numId w:val="121"/>
        </w:numPr>
        <w:suppressAutoHyphens/>
        <w:spacing w:before="0" w:beforeAutospacing="0" w:after="0" w:afterAutospacing="0" w:line="220" w:lineRule="exact"/>
        <w:textAlignment w:val="baseline"/>
        <w:rPr>
          <w:rFonts w:ascii="Calibri" w:hAnsi="Calibri" w:cs="Calibri"/>
          <w:color w:val="000000"/>
          <w:sz w:val="20"/>
          <w:szCs w:val="20"/>
          <w:lang w:val="en-US"/>
        </w:rPr>
      </w:pPr>
      <w:r>
        <w:rPr>
          <w:rFonts w:ascii="Calibri" w:hAnsi="Calibri" w:cs="Calibri"/>
          <w:color w:val="000000"/>
          <w:sz w:val="20"/>
          <w:szCs w:val="20"/>
          <w:lang w:val="en-US"/>
        </w:rPr>
        <w:t>Apply frameworks and best practices on biodiversity and ecosystem services</w:t>
      </w:r>
      <w:r>
        <w:rPr>
          <w:rStyle w:val="FootnoteReference"/>
          <w:rFonts w:ascii="Calibri" w:hAnsi="Calibri" w:cs="Calibri"/>
          <w:color w:val="000000"/>
          <w:sz w:val="20"/>
          <w:szCs w:val="20"/>
          <w:lang w:val="en-US"/>
        </w:rPr>
        <w:footnoteReference w:id="21"/>
      </w:r>
      <w:r>
        <w:rPr>
          <w:rFonts w:ascii="Calibri" w:hAnsi="Calibri" w:cs="Calibri"/>
          <w:color w:val="000000"/>
          <w:sz w:val="20"/>
          <w:szCs w:val="20"/>
          <w:lang w:val="en-US"/>
        </w:rPr>
        <w:t>, to tourism.</w:t>
      </w:r>
    </w:p>
    <w:p w14:paraId="68091F06" w14:textId="77777777" w:rsidR="00CF33D9" w:rsidRDefault="00E3332A">
      <w:pPr>
        <w:pStyle w:val="NormalWeb"/>
        <w:numPr>
          <w:ilvl w:val="0"/>
          <w:numId w:val="121"/>
        </w:numPr>
        <w:suppressAutoHyphens/>
        <w:spacing w:before="0" w:beforeAutospacing="0" w:after="0" w:afterAutospacing="0" w:line="220" w:lineRule="exact"/>
        <w:textAlignment w:val="baseline"/>
        <w:rPr>
          <w:rFonts w:ascii="Calibri" w:hAnsi="Calibri" w:cs="Calibri"/>
          <w:color w:val="000000"/>
          <w:sz w:val="20"/>
          <w:szCs w:val="20"/>
          <w:lang w:val="en-US"/>
        </w:rPr>
      </w:pPr>
      <w:r>
        <w:rPr>
          <w:rFonts w:ascii="Calibri" w:hAnsi="Calibri" w:cs="Calibri"/>
          <w:color w:val="000000"/>
          <w:sz w:val="20"/>
          <w:szCs w:val="20"/>
          <w:lang w:val="en-US"/>
        </w:rPr>
        <w:t xml:space="preserve">Integrate biodiversity considerations into planning and decision-making relating to tourism. </w:t>
      </w:r>
    </w:p>
    <w:p w14:paraId="68091F07" w14:textId="77777777" w:rsidR="00CF33D9" w:rsidRDefault="00CF33D9">
      <w:pPr>
        <w:spacing w:line="220" w:lineRule="exact"/>
        <w:jc w:val="both"/>
        <w:rPr>
          <w:rFonts w:ascii="Calibri" w:hAnsi="Calibri" w:cs="Calibri"/>
          <w:bCs/>
          <w:color w:val="000000"/>
          <w:sz w:val="20"/>
          <w:szCs w:val="20"/>
        </w:rPr>
      </w:pPr>
    </w:p>
    <w:p w14:paraId="68091F08" w14:textId="77777777" w:rsidR="00CF33D9" w:rsidRDefault="00E3332A">
      <w:pPr>
        <w:spacing w:line="220" w:lineRule="exact"/>
        <w:jc w:val="both"/>
        <w:rPr>
          <w:rFonts w:ascii="Calibri" w:hAnsi="Calibri" w:cs="Calibri"/>
          <w:bCs/>
          <w:color w:val="000000"/>
          <w:sz w:val="20"/>
          <w:szCs w:val="20"/>
        </w:rPr>
      </w:pPr>
      <w:r>
        <w:rPr>
          <w:rFonts w:ascii="Calibri" w:hAnsi="Calibri" w:cs="Calibri"/>
          <w:bCs/>
          <w:color w:val="000000"/>
          <w:sz w:val="20"/>
          <w:szCs w:val="20"/>
        </w:rPr>
        <w:t xml:space="preserve">The project is required to conduct a </w:t>
      </w:r>
      <w:r>
        <w:rPr>
          <w:rFonts w:ascii="Calibri" w:hAnsi="Calibri" w:cs="Calibri"/>
          <w:b/>
          <w:color w:val="000000"/>
          <w:sz w:val="20"/>
          <w:szCs w:val="20"/>
        </w:rPr>
        <w:t xml:space="preserve">scoped ESIA/ESMP (aligned with UNDP SES requirements) </w:t>
      </w:r>
      <w:r>
        <w:rPr>
          <w:rFonts w:ascii="Calibri" w:hAnsi="Calibri" w:cs="Calibri"/>
          <w:bCs/>
          <w:color w:val="000000"/>
          <w:sz w:val="20"/>
          <w:szCs w:val="20"/>
        </w:rPr>
        <w:t>as part of the environmental feasibility study in activity 1.2.1.2 (aligned with the national legislation). An outline for the ESIA and ESMP report is annexed to this document. The ESIA should include the following:</w:t>
      </w:r>
    </w:p>
    <w:p w14:paraId="68091F09" w14:textId="77777777" w:rsidR="00CF33D9" w:rsidRDefault="00E3332A">
      <w:pPr>
        <w:pStyle w:val="ListParagraph"/>
        <w:numPr>
          <w:ilvl w:val="0"/>
          <w:numId w:val="122"/>
        </w:numPr>
        <w:spacing w:line="220" w:lineRule="exact"/>
        <w:contextualSpacing/>
        <w:jc w:val="both"/>
        <w:rPr>
          <w:rFonts w:ascii="Calibri" w:hAnsi="Calibri" w:cs="Calibri"/>
          <w:bCs/>
          <w:color w:val="000000"/>
          <w:sz w:val="20"/>
          <w:szCs w:val="20"/>
        </w:rPr>
      </w:pPr>
      <w:r>
        <w:rPr>
          <w:rFonts w:ascii="Calibri" w:hAnsi="Calibri" w:cs="Calibri"/>
          <w:bCs/>
          <w:color w:val="000000"/>
          <w:sz w:val="20"/>
          <w:szCs w:val="20"/>
        </w:rPr>
        <w:t>Appropriate assessments regarding pollution and resource use based on a scoping study of project risks and impacts.</w:t>
      </w:r>
    </w:p>
    <w:p w14:paraId="68091F0A" w14:textId="77777777" w:rsidR="00CF33D9" w:rsidRDefault="00E3332A">
      <w:pPr>
        <w:pStyle w:val="ListParagraph"/>
        <w:numPr>
          <w:ilvl w:val="0"/>
          <w:numId w:val="122"/>
        </w:numPr>
        <w:spacing w:line="220" w:lineRule="exact"/>
        <w:contextualSpacing/>
        <w:jc w:val="both"/>
        <w:rPr>
          <w:rFonts w:ascii="Calibri" w:hAnsi="Calibri" w:cs="Calibri"/>
          <w:bCs/>
          <w:color w:val="000000"/>
          <w:sz w:val="20"/>
          <w:szCs w:val="20"/>
        </w:rPr>
      </w:pPr>
      <w:r>
        <w:rPr>
          <w:rFonts w:ascii="Calibri" w:hAnsi="Calibri" w:cs="Calibri"/>
          <w:bCs/>
          <w:color w:val="000000"/>
          <w:sz w:val="20"/>
          <w:szCs w:val="20"/>
        </w:rPr>
        <w:t>Solid waste management from sustainable tourism activities</w:t>
      </w:r>
    </w:p>
    <w:p w14:paraId="68091F0B" w14:textId="77777777" w:rsidR="00CF33D9" w:rsidRDefault="00E3332A">
      <w:pPr>
        <w:pStyle w:val="ListParagraph"/>
        <w:numPr>
          <w:ilvl w:val="0"/>
          <w:numId w:val="122"/>
        </w:numPr>
        <w:spacing w:line="220" w:lineRule="exact"/>
        <w:contextualSpacing/>
        <w:jc w:val="both"/>
        <w:rPr>
          <w:rFonts w:ascii="Calibri" w:hAnsi="Calibri" w:cs="Calibri"/>
          <w:bCs/>
          <w:color w:val="000000"/>
          <w:sz w:val="20"/>
          <w:szCs w:val="20"/>
        </w:rPr>
      </w:pPr>
      <w:r>
        <w:rPr>
          <w:rFonts w:ascii="Calibri" w:hAnsi="Calibri" w:cs="Calibri"/>
          <w:bCs/>
          <w:color w:val="000000"/>
          <w:sz w:val="20"/>
          <w:szCs w:val="20"/>
        </w:rPr>
        <w:t>Development of a framework for the appropriate enabling environment for community-based tourism.</w:t>
      </w:r>
    </w:p>
    <w:p w14:paraId="68091F0C" w14:textId="77777777" w:rsidR="00CF33D9" w:rsidRDefault="00E3332A">
      <w:pPr>
        <w:pStyle w:val="ListParagraph"/>
        <w:numPr>
          <w:ilvl w:val="0"/>
          <w:numId w:val="122"/>
        </w:numPr>
        <w:spacing w:line="220" w:lineRule="exact"/>
        <w:contextualSpacing/>
        <w:jc w:val="both"/>
        <w:rPr>
          <w:rFonts w:ascii="Calibri" w:hAnsi="Calibri" w:cs="Calibri"/>
          <w:bCs/>
          <w:color w:val="000000"/>
          <w:sz w:val="20"/>
          <w:szCs w:val="20"/>
        </w:rPr>
      </w:pPr>
      <w:r>
        <w:rPr>
          <w:rFonts w:ascii="Calibri" w:hAnsi="Calibri" w:cs="Calibri"/>
          <w:bCs/>
          <w:color w:val="000000"/>
          <w:sz w:val="20"/>
          <w:szCs w:val="20"/>
        </w:rPr>
        <w:t>Preventing and/or mitigating any environmental and social impacts resulting from activities under output 1.21.</w:t>
      </w:r>
    </w:p>
    <w:p w14:paraId="68091F0D" w14:textId="77777777" w:rsidR="00CF33D9" w:rsidRDefault="00E3332A">
      <w:pPr>
        <w:pStyle w:val="ListParagraph"/>
        <w:numPr>
          <w:ilvl w:val="0"/>
          <w:numId w:val="122"/>
        </w:numPr>
        <w:spacing w:line="220" w:lineRule="exact"/>
        <w:contextualSpacing/>
        <w:jc w:val="both"/>
        <w:rPr>
          <w:rFonts w:ascii="Calibri" w:hAnsi="Calibri" w:cs="Calibri"/>
          <w:bCs/>
          <w:color w:val="000000"/>
          <w:sz w:val="20"/>
          <w:szCs w:val="20"/>
        </w:rPr>
      </w:pPr>
      <w:r>
        <w:rPr>
          <w:rFonts w:ascii="Calibri" w:hAnsi="Calibri" w:cs="Calibri"/>
          <w:bCs/>
          <w:color w:val="000000"/>
          <w:sz w:val="20"/>
          <w:szCs w:val="20"/>
        </w:rPr>
        <w:t>Assess tourism’s current status and identify environmental and social impacts of the proposed community-based tourism (including climate change related impacts, Risk 7 of the SESP)</w:t>
      </w:r>
    </w:p>
    <w:p w14:paraId="68091F0E" w14:textId="77777777" w:rsidR="00CF33D9" w:rsidRDefault="00E3332A">
      <w:pPr>
        <w:pStyle w:val="ListParagraph"/>
        <w:numPr>
          <w:ilvl w:val="0"/>
          <w:numId w:val="122"/>
        </w:numPr>
        <w:spacing w:line="220" w:lineRule="exact"/>
        <w:contextualSpacing/>
        <w:jc w:val="both"/>
        <w:rPr>
          <w:rFonts w:ascii="Calibri" w:hAnsi="Calibri" w:cs="Calibri"/>
          <w:bCs/>
          <w:color w:val="000000"/>
          <w:sz w:val="20"/>
          <w:szCs w:val="20"/>
        </w:rPr>
      </w:pPr>
      <w:r>
        <w:rPr>
          <w:rFonts w:ascii="Calibri" w:hAnsi="Calibri" w:cs="Calibri"/>
          <w:bCs/>
          <w:color w:val="000000"/>
          <w:sz w:val="20"/>
          <w:szCs w:val="20"/>
        </w:rPr>
        <w:t>Develop suitable mitigation measures for the identified potential adverse social and environmental impacts and document them in an Environmental and Social Management Plan. (including mitigation measures for climate change related impacts)</w:t>
      </w:r>
    </w:p>
    <w:p w14:paraId="68091F0F" w14:textId="77777777" w:rsidR="00CF33D9" w:rsidRDefault="00CF33D9">
      <w:pPr>
        <w:spacing w:line="220" w:lineRule="exact"/>
        <w:jc w:val="both"/>
        <w:rPr>
          <w:rFonts w:ascii="Calibri" w:hAnsi="Calibri" w:cs="Calibri"/>
          <w:bCs/>
          <w:color w:val="000000"/>
          <w:sz w:val="20"/>
          <w:szCs w:val="20"/>
        </w:rPr>
      </w:pPr>
    </w:p>
    <w:p w14:paraId="68091F10" w14:textId="77777777" w:rsidR="00CF33D9" w:rsidRDefault="00E3332A">
      <w:pPr>
        <w:spacing w:line="220" w:lineRule="exact"/>
        <w:jc w:val="both"/>
        <w:rPr>
          <w:rFonts w:ascii="Calibri" w:hAnsi="Calibri" w:cs="Calibri"/>
          <w:bCs/>
          <w:color w:val="000000"/>
          <w:sz w:val="20"/>
          <w:szCs w:val="20"/>
        </w:rPr>
      </w:pPr>
      <w:r>
        <w:rPr>
          <w:rFonts w:ascii="Calibri" w:hAnsi="Calibri" w:cs="Calibri"/>
          <w:bCs/>
          <w:color w:val="000000"/>
          <w:sz w:val="20"/>
          <w:szCs w:val="20"/>
        </w:rPr>
        <w:t xml:space="preserve">The scoped ESIA will include specialized biodiversity studies to confirm the level of risk to biodiversity and ecosystem services in the KBAs, overlapping with areas where community-based tourism will be promoted. A specific </w:t>
      </w:r>
      <w:r>
        <w:rPr>
          <w:rFonts w:ascii="Calibri" w:hAnsi="Calibri" w:cs="Calibri"/>
          <w:b/>
          <w:color w:val="000000"/>
          <w:sz w:val="20"/>
          <w:szCs w:val="20"/>
        </w:rPr>
        <w:t xml:space="preserve">Biodiversity Action Plan </w:t>
      </w:r>
      <w:r>
        <w:rPr>
          <w:rFonts w:ascii="Calibri" w:hAnsi="Calibri" w:cs="Calibri"/>
          <w:bCs/>
          <w:color w:val="000000"/>
          <w:sz w:val="20"/>
          <w:szCs w:val="20"/>
        </w:rPr>
        <w:t>will be developed to establish the measures to manage the biodiversity risks in or near the protected areas and other critical habitats. Through this plan the project will:</w:t>
      </w:r>
    </w:p>
    <w:p w14:paraId="68091F11" w14:textId="77777777" w:rsidR="00CF33D9" w:rsidRDefault="00E3332A">
      <w:pPr>
        <w:pStyle w:val="ListParagraph"/>
        <w:numPr>
          <w:ilvl w:val="0"/>
          <w:numId w:val="123"/>
        </w:numPr>
        <w:spacing w:line="220" w:lineRule="exact"/>
        <w:contextualSpacing/>
        <w:jc w:val="both"/>
        <w:rPr>
          <w:rFonts w:ascii="Calibri" w:hAnsi="Calibri" w:cs="Calibri"/>
          <w:bCs/>
          <w:color w:val="000000"/>
          <w:sz w:val="20"/>
          <w:szCs w:val="20"/>
        </w:rPr>
      </w:pPr>
      <w:r>
        <w:rPr>
          <w:rFonts w:ascii="Calibri" w:hAnsi="Calibri" w:cs="Calibri"/>
          <w:bCs/>
          <w:color w:val="000000"/>
          <w:sz w:val="20"/>
          <w:szCs w:val="20"/>
        </w:rPr>
        <w:t>Ensure assessment of direct, indirect, cumulative adverse impacts to biodiversity, ecosystems, and ecosystem services, including consideration of habitat loss and degradation</w:t>
      </w:r>
    </w:p>
    <w:p w14:paraId="68091F12" w14:textId="77777777" w:rsidR="00CF33D9" w:rsidRDefault="00E3332A">
      <w:pPr>
        <w:pStyle w:val="ListParagraph"/>
        <w:numPr>
          <w:ilvl w:val="0"/>
          <w:numId w:val="123"/>
        </w:numPr>
        <w:spacing w:line="220" w:lineRule="exact"/>
        <w:contextualSpacing/>
        <w:jc w:val="both"/>
        <w:rPr>
          <w:rFonts w:ascii="Calibri" w:hAnsi="Calibri" w:cs="Calibri"/>
          <w:bCs/>
          <w:color w:val="000000"/>
          <w:sz w:val="20"/>
          <w:szCs w:val="20"/>
        </w:rPr>
      </w:pPr>
      <w:r>
        <w:rPr>
          <w:rFonts w:ascii="Calibri" w:hAnsi="Calibri" w:cs="Calibri"/>
          <w:bCs/>
          <w:color w:val="000000"/>
          <w:sz w:val="20"/>
          <w:szCs w:val="20"/>
        </w:rPr>
        <w:t xml:space="preserve">Ensure monitoring and reporting on all mitigation measures and biodiversity conservation actions. </w:t>
      </w:r>
    </w:p>
    <w:p w14:paraId="68091F13" w14:textId="77777777" w:rsidR="00CF33D9" w:rsidRDefault="00E3332A">
      <w:pPr>
        <w:pStyle w:val="ListParagraph"/>
        <w:numPr>
          <w:ilvl w:val="0"/>
          <w:numId w:val="123"/>
        </w:numPr>
        <w:spacing w:line="220" w:lineRule="exact"/>
        <w:contextualSpacing/>
        <w:jc w:val="both"/>
        <w:rPr>
          <w:rFonts w:ascii="Calibri" w:hAnsi="Calibri" w:cs="Calibri"/>
          <w:bCs/>
          <w:color w:val="000000"/>
          <w:sz w:val="20"/>
          <w:szCs w:val="20"/>
        </w:rPr>
      </w:pPr>
      <w:r>
        <w:rPr>
          <w:rFonts w:ascii="Calibri" w:hAnsi="Calibri" w:cs="Calibri"/>
          <w:bCs/>
          <w:color w:val="000000"/>
          <w:sz w:val="20"/>
          <w:szCs w:val="20"/>
        </w:rPr>
        <w:t xml:space="preserve">Ensure that activities near KBAs will be implemented according to the national legislation and in accordance with the provisions of the area management plans. </w:t>
      </w:r>
    </w:p>
    <w:p w14:paraId="68091F14" w14:textId="77777777" w:rsidR="00CF33D9" w:rsidRDefault="00CF33D9">
      <w:pPr>
        <w:spacing w:line="220" w:lineRule="exact"/>
        <w:jc w:val="both"/>
        <w:rPr>
          <w:rFonts w:ascii="Calibri" w:hAnsi="Calibri" w:cs="Calibri"/>
          <w:bCs/>
          <w:color w:val="000000"/>
          <w:sz w:val="20"/>
          <w:szCs w:val="20"/>
        </w:rPr>
      </w:pPr>
    </w:p>
    <w:p w14:paraId="68091F15" w14:textId="77777777" w:rsidR="00CF33D9" w:rsidRDefault="00E3332A">
      <w:pPr>
        <w:spacing w:line="220" w:lineRule="exact"/>
        <w:jc w:val="both"/>
        <w:rPr>
          <w:rFonts w:ascii="Calibri" w:hAnsi="Calibri" w:cs="Calibri"/>
          <w:bCs/>
          <w:color w:val="000000"/>
          <w:sz w:val="20"/>
          <w:szCs w:val="20"/>
        </w:rPr>
      </w:pPr>
      <w:r>
        <w:rPr>
          <w:rFonts w:ascii="Calibri" w:hAnsi="Calibri" w:cs="Calibri"/>
          <w:bCs/>
          <w:color w:val="000000"/>
          <w:sz w:val="20"/>
          <w:szCs w:val="20"/>
        </w:rPr>
        <w:t>In addition, for this activity the project will comply with UNDP SES Standard 8 requirements to anticipate, avoid, minimize and mitigate adverse impacts on human health and the environment by avoiding or minimizing pollution from project activities and promoting more sustainable use of resources. The project will:</w:t>
      </w:r>
    </w:p>
    <w:p w14:paraId="68091F16" w14:textId="77777777" w:rsidR="00CF33D9" w:rsidRDefault="00E3332A">
      <w:pPr>
        <w:pStyle w:val="ListParagraph"/>
        <w:numPr>
          <w:ilvl w:val="0"/>
          <w:numId w:val="124"/>
        </w:numPr>
        <w:spacing w:line="220" w:lineRule="exact"/>
        <w:contextualSpacing/>
        <w:jc w:val="both"/>
        <w:rPr>
          <w:rFonts w:ascii="Calibri" w:hAnsi="Calibri" w:cs="Calibri"/>
          <w:bCs/>
          <w:color w:val="000000"/>
          <w:sz w:val="20"/>
          <w:szCs w:val="20"/>
        </w:rPr>
      </w:pPr>
      <w:r>
        <w:rPr>
          <w:rFonts w:ascii="Calibri" w:hAnsi="Calibri" w:cs="Calibri"/>
          <w:bCs/>
          <w:color w:val="000000"/>
          <w:sz w:val="20"/>
          <w:szCs w:val="20"/>
        </w:rPr>
        <w:t xml:space="preserve">Consider, direct, indirect and potential cumulative specific risks and impacts regarding pollution and/or resource use from </w:t>
      </w:r>
      <w:r>
        <w:rPr>
          <w:rFonts w:ascii="Calibri" w:hAnsi="Calibri" w:cs="Calibri"/>
          <w:color w:val="000000"/>
          <w:sz w:val="20"/>
          <w:szCs w:val="20"/>
        </w:rPr>
        <w:t>activities under output 1.2.1. This may encompass the following, as relevant:</w:t>
      </w:r>
    </w:p>
    <w:p w14:paraId="68091F17" w14:textId="77777777" w:rsidR="00CF33D9" w:rsidRDefault="00E3332A">
      <w:pPr>
        <w:pStyle w:val="ListParagraph"/>
        <w:numPr>
          <w:ilvl w:val="0"/>
          <w:numId w:val="125"/>
        </w:numPr>
        <w:spacing w:line="220" w:lineRule="exact"/>
        <w:contextualSpacing/>
        <w:jc w:val="both"/>
        <w:rPr>
          <w:rFonts w:ascii="Calibri" w:hAnsi="Calibri" w:cs="Calibri"/>
          <w:bCs/>
          <w:color w:val="000000"/>
          <w:sz w:val="20"/>
          <w:szCs w:val="20"/>
        </w:rPr>
      </w:pPr>
      <w:r>
        <w:rPr>
          <w:rFonts w:ascii="Calibri" w:hAnsi="Calibri" w:cs="Calibri"/>
          <w:bCs/>
          <w:color w:val="000000"/>
          <w:sz w:val="20"/>
          <w:szCs w:val="20"/>
        </w:rPr>
        <w:t xml:space="preserve">Consider a range of factors in assessing adverse pollution impacts on existing ambient conditions (such as air, surface water, groundwater, and soils), including but not limited to the finite assimilative capacity of the environment. </w:t>
      </w:r>
    </w:p>
    <w:p w14:paraId="68091F18" w14:textId="77777777" w:rsidR="00CF33D9" w:rsidRDefault="00E3332A">
      <w:pPr>
        <w:pStyle w:val="ListParagraph"/>
        <w:numPr>
          <w:ilvl w:val="0"/>
          <w:numId w:val="125"/>
        </w:numPr>
        <w:spacing w:line="220" w:lineRule="exact"/>
        <w:contextualSpacing/>
        <w:jc w:val="both"/>
        <w:rPr>
          <w:rFonts w:ascii="Calibri" w:hAnsi="Calibri" w:cs="Calibri"/>
          <w:bCs/>
          <w:color w:val="000000"/>
          <w:sz w:val="20"/>
          <w:szCs w:val="20"/>
        </w:rPr>
      </w:pPr>
      <w:r>
        <w:rPr>
          <w:rFonts w:ascii="Calibri" w:hAnsi="Calibri" w:cs="Calibri"/>
          <w:bCs/>
          <w:color w:val="000000"/>
          <w:sz w:val="20"/>
          <w:szCs w:val="20"/>
        </w:rPr>
        <w:t>Consider project-related waste generation and disposal, including hazardous wastes.</w:t>
      </w:r>
    </w:p>
    <w:p w14:paraId="68091F19" w14:textId="77777777" w:rsidR="00CF33D9" w:rsidRDefault="00E3332A">
      <w:pPr>
        <w:pStyle w:val="ListParagraph"/>
        <w:numPr>
          <w:ilvl w:val="0"/>
          <w:numId w:val="124"/>
        </w:numPr>
        <w:spacing w:line="220" w:lineRule="exact"/>
        <w:contextualSpacing/>
        <w:jc w:val="both"/>
        <w:rPr>
          <w:rFonts w:ascii="Calibri" w:hAnsi="Calibri" w:cs="Calibri"/>
          <w:bCs/>
          <w:color w:val="000000"/>
          <w:sz w:val="20"/>
          <w:szCs w:val="20"/>
        </w:rPr>
      </w:pPr>
      <w:r>
        <w:rPr>
          <w:rFonts w:ascii="Calibri" w:hAnsi="Calibri" w:cs="Calibri"/>
          <w:bCs/>
          <w:color w:val="000000"/>
          <w:sz w:val="20"/>
          <w:szCs w:val="20"/>
        </w:rPr>
        <w:t>Engage qualified and experienced experts and ensure that the assessments of risks and impacts regarding pollution and/or resource use are based on good international practice, tailored to the specific project’s activities under output 1.2.1.</w:t>
      </w:r>
    </w:p>
    <w:p w14:paraId="68091F1A" w14:textId="77777777" w:rsidR="00CF33D9" w:rsidRDefault="00E3332A">
      <w:pPr>
        <w:pStyle w:val="ListParagraph"/>
        <w:numPr>
          <w:ilvl w:val="0"/>
          <w:numId w:val="124"/>
        </w:numPr>
        <w:spacing w:line="220" w:lineRule="exact"/>
        <w:contextualSpacing/>
        <w:jc w:val="both"/>
        <w:rPr>
          <w:rFonts w:ascii="Calibri" w:hAnsi="Calibri" w:cs="Calibri"/>
          <w:bCs/>
          <w:color w:val="000000"/>
          <w:sz w:val="20"/>
          <w:szCs w:val="20"/>
        </w:rPr>
      </w:pPr>
      <w:r>
        <w:rPr>
          <w:rFonts w:ascii="Calibri" w:hAnsi="Calibri" w:cs="Calibri"/>
          <w:bCs/>
          <w:color w:val="000000"/>
          <w:sz w:val="20"/>
          <w:szCs w:val="20"/>
        </w:rPr>
        <w:t xml:space="preserve">Ensure meaningful consultations, effective stakeholder consultations including relevant regulatory authorities and project-affected communities. </w:t>
      </w:r>
    </w:p>
    <w:p w14:paraId="68091F1B" w14:textId="77777777" w:rsidR="00CF33D9" w:rsidRDefault="00CF33D9">
      <w:pPr>
        <w:pStyle w:val="ListParagraph"/>
        <w:jc w:val="both"/>
        <w:rPr>
          <w:rFonts w:ascii="Calibri" w:hAnsi="Calibri" w:cs="Calibri"/>
          <w:bCs/>
          <w:color w:val="000000"/>
          <w:sz w:val="20"/>
          <w:szCs w:val="20"/>
        </w:rPr>
      </w:pPr>
    </w:p>
    <w:p w14:paraId="68091F1C" w14:textId="77777777" w:rsidR="00CF33D9" w:rsidRDefault="00E3332A">
      <w:pPr>
        <w:pStyle w:val="ListParagraph"/>
        <w:numPr>
          <w:ilvl w:val="0"/>
          <w:numId w:val="113"/>
        </w:numPr>
        <w:shd w:val="clear" w:color="auto" w:fill="DEEAF6" w:themeFill="accent1" w:themeFillTint="33"/>
        <w:jc w:val="both"/>
        <w:rPr>
          <w:rFonts w:ascii="Calibri" w:hAnsi="Calibri" w:cs="Calibri"/>
          <w:b/>
          <w:bCs/>
          <w:sz w:val="20"/>
          <w:szCs w:val="20"/>
          <w:u w:val="single"/>
        </w:rPr>
      </w:pPr>
      <w:r>
        <w:rPr>
          <w:rFonts w:ascii="Calibri" w:hAnsi="Calibri" w:cs="Calibri"/>
          <w:b/>
          <w:bCs/>
          <w:sz w:val="20"/>
          <w:szCs w:val="20"/>
          <w:u w:val="single"/>
        </w:rPr>
        <w:t xml:space="preserve">Scoped ESIA/ESMP for the enhanced management plans of selected MPAs  </w:t>
      </w:r>
    </w:p>
    <w:p w14:paraId="68091F1D" w14:textId="77777777" w:rsidR="00CF33D9" w:rsidRDefault="00CF33D9">
      <w:pPr>
        <w:rPr>
          <w:rFonts w:ascii="Calibri" w:hAnsi="Calibri" w:cs="Calibri"/>
          <w:bCs/>
          <w:color w:val="000000"/>
          <w:sz w:val="20"/>
          <w:szCs w:val="20"/>
        </w:rPr>
      </w:pPr>
    </w:p>
    <w:p w14:paraId="68091F1E" w14:textId="77777777" w:rsidR="00CF33D9" w:rsidRDefault="00E3332A">
      <w:pPr>
        <w:pStyle w:val="NormalWeb"/>
        <w:spacing w:line="220" w:lineRule="exact"/>
        <w:textAlignment w:val="baseline"/>
        <w:rPr>
          <w:rFonts w:ascii="Calibri" w:hAnsi="Calibri" w:cs="Calibri"/>
          <w:b/>
          <w:bCs/>
          <w:i/>
          <w:iCs/>
          <w:color w:val="000000"/>
          <w:sz w:val="20"/>
          <w:szCs w:val="20"/>
          <w:u w:val="single"/>
          <w:lang w:val="en-US"/>
        </w:rPr>
      </w:pPr>
      <w:r>
        <w:rPr>
          <w:rFonts w:ascii="Calibri" w:hAnsi="Calibri" w:cs="Calibri"/>
          <w:b/>
          <w:bCs/>
          <w:i/>
          <w:iCs/>
          <w:color w:val="000000"/>
          <w:sz w:val="20"/>
          <w:szCs w:val="20"/>
          <w:u w:val="single"/>
          <w:lang w:val="en-US"/>
        </w:rPr>
        <w:lastRenderedPageBreak/>
        <w:t>Activity 1.1.2.1: Identifying community-based climate-resilient management efforts for local economic development and benefits generation.</w:t>
      </w:r>
    </w:p>
    <w:p w14:paraId="68091F1F" w14:textId="77777777" w:rsidR="00CF33D9" w:rsidRDefault="00E3332A">
      <w:pPr>
        <w:pStyle w:val="NormalWeb"/>
        <w:spacing w:before="240" w:after="240" w:line="220" w:lineRule="exact"/>
        <w:rPr>
          <w:rFonts w:ascii="Calibri" w:hAnsi="Calibri" w:cs="Calibri"/>
          <w:sz w:val="20"/>
          <w:szCs w:val="20"/>
          <w:lang w:val="en-US"/>
        </w:rPr>
      </w:pPr>
      <w:r>
        <w:rPr>
          <w:rFonts w:ascii="Calibri" w:hAnsi="Calibri" w:cs="Calibri"/>
          <w:color w:val="000000"/>
          <w:sz w:val="20"/>
          <w:szCs w:val="20"/>
          <w:lang w:val="en-US"/>
        </w:rPr>
        <w:t xml:space="preserve">The identification of existing community-based climate-resilient management efforts carried by other projects in each target country such as the UNDP project </w:t>
      </w:r>
      <w:r>
        <w:rPr>
          <w:rFonts w:ascii="Calibri" w:hAnsi="Calibri" w:cs="Calibri"/>
          <w:i/>
          <w:iCs/>
          <w:color w:val="000000"/>
          <w:sz w:val="20"/>
          <w:szCs w:val="20"/>
          <w:lang w:val="en-US"/>
        </w:rPr>
        <w:t>Harnessing Coping Strategies via a Holistic Approach for Community Adaptation to Climate Change</w:t>
      </w:r>
      <w:r>
        <w:rPr>
          <w:rFonts w:ascii="Calibri" w:hAnsi="Calibri" w:cs="Calibri"/>
          <w:color w:val="000000"/>
          <w:sz w:val="20"/>
          <w:szCs w:val="20"/>
          <w:lang w:val="en-US"/>
        </w:rPr>
        <w:t xml:space="preserve"> in Namibia, the UN Environment Programme </w:t>
      </w:r>
      <w:r>
        <w:rPr>
          <w:rFonts w:ascii="Calibri" w:hAnsi="Calibri" w:cs="Calibri"/>
          <w:i/>
          <w:iCs/>
          <w:color w:val="000000"/>
          <w:sz w:val="20"/>
          <w:szCs w:val="20"/>
          <w:lang w:val="en-US"/>
        </w:rPr>
        <w:t>Addressing Urgent Coastal Adaptation Needs and Capacity Gaps</w:t>
      </w:r>
      <w:r>
        <w:rPr>
          <w:rFonts w:ascii="Calibri" w:hAnsi="Calibri" w:cs="Calibri"/>
          <w:color w:val="000000"/>
          <w:sz w:val="20"/>
          <w:szCs w:val="20"/>
          <w:lang w:val="en-US"/>
        </w:rPr>
        <w:t xml:space="preserve">, and the GEF project </w:t>
      </w:r>
      <w:r>
        <w:rPr>
          <w:rFonts w:ascii="Calibri" w:hAnsi="Calibri" w:cs="Calibri"/>
          <w:i/>
          <w:iCs/>
          <w:color w:val="000000"/>
          <w:sz w:val="20"/>
          <w:szCs w:val="20"/>
          <w:lang w:val="en-US"/>
        </w:rPr>
        <w:t>Strengthen Management and Climate Change Resilience in Angola's Conservation Areas for Sustainable Development</w:t>
      </w:r>
      <w:r>
        <w:rPr>
          <w:rFonts w:ascii="Calibri" w:hAnsi="Calibri" w:cs="Calibri"/>
          <w:color w:val="000000"/>
          <w:sz w:val="20"/>
          <w:szCs w:val="20"/>
          <w:lang w:val="en-US"/>
        </w:rPr>
        <w:t>. This activity will help to ensure that the management plans developed under Output 1.1.2 are tailored to the specific needs and context of each MPA and coastal ecosystem.</w:t>
      </w:r>
    </w:p>
    <w:p w14:paraId="68091F20" w14:textId="77777777" w:rsidR="00CF33D9" w:rsidRDefault="00E3332A">
      <w:pPr>
        <w:pStyle w:val="NormalWeb"/>
        <w:spacing w:line="220" w:lineRule="exact"/>
        <w:rPr>
          <w:rFonts w:ascii="Calibri" w:hAnsi="Calibri" w:cs="Calibri"/>
          <w:b/>
          <w:bCs/>
          <w:sz w:val="20"/>
          <w:szCs w:val="20"/>
          <w:u w:val="single"/>
          <w:lang w:val="en-US"/>
        </w:rPr>
      </w:pPr>
      <w:r>
        <w:rPr>
          <w:rFonts w:ascii="Calibri" w:hAnsi="Calibri" w:cs="Calibri"/>
          <w:b/>
          <w:bCs/>
          <w:i/>
          <w:iCs/>
          <w:color w:val="000000"/>
          <w:sz w:val="20"/>
          <w:szCs w:val="20"/>
          <w:u w:val="single"/>
          <w:lang w:val="en-US"/>
        </w:rPr>
        <w:t>Activity 1.1.2.3: Stakeholder consultation on management needs of their respective MPAs and coastal ecosystems and Output 1.1.2 analysis and identification of the best suitable option of management plans that include participatory, climate and gender approaches.</w:t>
      </w:r>
    </w:p>
    <w:p w14:paraId="68091F21" w14:textId="77777777" w:rsidR="00CF33D9" w:rsidRDefault="00CF33D9">
      <w:pPr>
        <w:spacing w:line="220" w:lineRule="exact"/>
        <w:rPr>
          <w:rFonts w:ascii="Calibri" w:hAnsi="Calibri" w:cs="Calibri"/>
          <w:bCs/>
          <w:color w:val="000000"/>
          <w:sz w:val="20"/>
          <w:szCs w:val="20"/>
        </w:rPr>
      </w:pPr>
    </w:p>
    <w:p w14:paraId="68091F22" w14:textId="77777777" w:rsidR="00CF33D9" w:rsidRDefault="00E3332A">
      <w:pPr>
        <w:pStyle w:val="NormalWeb"/>
        <w:spacing w:line="220" w:lineRule="exact"/>
        <w:rPr>
          <w:rFonts w:ascii="Calibri" w:hAnsi="Calibri" w:cs="Calibri"/>
          <w:sz w:val="20"/>
          <w:szCs w:val="20"/>
          <w:lang w:val="en-US"/>
        </w:rPr>
      </w:pPr>
      <w:r>
        <w:rPr>
          <w:rFonts w:ascii="Calibri" w:hAnsi="Calibri" w:cs="Calibri"/>
          <w:color w:val="000000"/>
          <w:sz w:val="20"/>
          <w:szCs w:val="20"/>
          <w:lang w:val="en-US"/>
        </w:rPr>
        <w:t>This Activity will first need to identify the existing stakeholders for each selected MPA and involve them in a consultation on the management needs of their respective MPAs and coastal ecosystems. It is crucial to ensure that the management plans developed under Output 1.1.2 are inclusive and reflect the views and needs of all relevant stakeholders, including the community based.</w:t>
      </w:r>
    </w:p>
    <w:p w14:paraId="68091F23" w14:textId="77777777" w:rsidR="00CF33D9" w:rsidRDefault="00CF33D9">
      <w:pPr>
        <w:pStyle w:val="NormalWeb"/>
        <w:spacing w:line="220" w:lineRule="exact"/>
        <w:rPr>
          <w:rFonts w:ascii="Calibri" w:hAnsi="Calibri" w:cs="Calibri"/>
          <w:color w:val="000000"/>
          <w:sz w:val="20"/>
          <w:szCs w:val="20"/>
          <w:lang w:val="en-US"/>
        </w:rPr>
      </w:pPr>
    </w:p>
    <w:p w14:paraId="68091F24" w14:textId="77777777" w:rsidR="00CF33D9" w:rsidRDefault="00E3332A">
      <w:pPr>
        <w:pStyle w:val="NormalWeb"/>
        <w:spacing w:line="220" w:lineRule="exact"/>
        <w:rPr>
          <w:rFonts w:ascii="Calibri" w:hAnsi="Calibri" w:cs="Calibri"/>
          <w:sz w:val="20"/>
          <w:szCs w:val="20"/>
          <w:lang w:val="en-US"/>
        </w:rPr>
      </w:pPr>
      <w:r>
        <w:rPr>
          <w:rFonts w:ascii="Calibri" w:hAnsi="Calibri" w:cs="Calibri"/>
          <w:color w:val="000000"/>
          <w:sz w:val="20"/>
          <w:szCs w:val="20"/>
          <w:lang w:val="en-US"/>
        </w:rPr>
        <w:t>The stakeholder consultation on the management plans and involvement in implementing the selected management plans. This activity will help to ensure that the management plans developed under Output 1.1.2 are implemented in a participatory and collaborative way.</w:t>
      </w:r>
    </w:p>
    <w:p w14:paraId="68091F25" w14:textId="77777777" w:rsidR="00CF33D9" w:rsidRDefault="00CF33D9">
      <w:pPr>
        <w:spacing w:line="220" w:lineRule="exact"/>
        <w:rPr>
          <w:rFonts w:ascii="Calibri" w:hAnsi="Calibri" w:cs="Calibri"/>
          <w:bCs/>
          <w:color w:val="000000"/>
          <w:sz w:val="20"/>
          <w:szCs w:val="20"/>
        </w:rPr>
      </w:pPr>
    </w:p>
    <w:p w14:paraId="68091F26" w14:textId="77777777" w:rsidR="00CF33D9" w:rsidRDefault="00E3332A">
      <w:pPr>
        <w:spacing w:line="220" w:lineRule="exact"/>
        <w:rPr>
          <w:rFonts w:ascii="Calibri" w:hAnsi="Calibri" w:cs="Calibri"/>
          <w:bCs/>
          <w:color w:val="000000"/>
          <w:sz w:val="20"/>
          <w:szCs w:val="20"/>
        </w:rPr>
      </w:pPr>
      <w:r>
        <w:rPr>
          <w:rFonts w:ascii="Calibri" w:hAnsi="Calibri" w:cs="Calibri"/>
          <w:bCs/>
          <w:color w:val="000000"/>
          <w:sz w:val="20"/>
          <w:szCs w:val="20"/>
        </w:rPr>
        <w:t>During the PPG phase a Stakeholder Engagement plan was developed, and it will be used to ensure full compliance with the SES requirements to ensure:</w:t>
      </w:r>
    </w:p>
    <w:p w14:paraId="68091F27" w14:textId="77777777" w:rsidR="00CF33D9" w:rsidRDefault="00E3332A">
      <w:pPr>
        <w:pStyle w:val="ListParagraph"/>
        <w:numPr>
          <w:ilvl w:val="0"/>
          <w:numId w:val="126"/>
        </w:numPr>
        <w:spacing w:line="220" w:lineRule="exact"/>
        <w:contextualSpacing/>
        <w:rPr>
          <w:rFonts w:ascii="Calibri" w:hAnsi="Calibri" w:cs="Calibri"/>
          <w:bCs/>
          <w:color w:val="000000"/>
          <w:sz w:val="20"/>
          <w:szCs w:val="20"/>
        </w:rPr>
      </w:pPr>
      <w:r>
        <w:rPr>
          <w:rFonts w:ascii="Calibri" w:hAnsi="Calibri" w:cs="Calibri"/>
          <w:bCs/>
          <w:color w:val="000000"/>
          <w:sz w:val="20"/>
          <w:szCs w:val="20"/>
        </w:rPr>
        <w:t>Meaningful, effective, informed participation of stakeholders in the formulation and implementation of each selected MPA .</w:t>
      </w:r>
    </w:p>
    <w:p w14:paraId="68091F28" w14:textId="77777777" w:rsidR="00CF33D9" w:rsidRDefault="00E3332A">
      <w:pPr>
        <w:pStyle w:val="ListParagraph"/>
        <w:numPr>
          <w:ilvl w:val="0"/>
          <w:numId w:val="126"/>
        </w:numPr>
        <w:spacing w:line="220" w:lineRule="exact"/>
        <w:contextualSpacing/>
        <w:rPr>
          <w:rFonts w:ascii="Calibri" w:hAnsi="Calibri" w:cs="Calibri"/>
          <w:bCs/>
          <w:color w:val="000000"/>
          <w:sz w:val="20"/>
          <w:szCs w:val="20"/>
        </w:rPr>
      </w:pPr>
      <w:r>
        <w:rPr>
          <w:rFonts w:ascii="Calibri" w:hAnsi="Calibri" w:cs="Calibri"/>
          <w:bCs/>
          <w:color w:val="000000"/>
          <w:sz w:val="20"/>
          <w:szCs w:val="20"/>
        </w:rPr>
        <w:t xml:space="preserve">Stakeholders who may be adversely affected by the enhanced management plans of selected MPAs can communicate their concerns and can participate with a climate and gender-sensitive approach. </w:t>
      </w:r>
    </w:p>
    <w:p w14:paraId="68091F29" w14:textId="77777777" w:rsidR="00CF33D9" w:rsidRDefault="00E3332A">
      <w:pPr>
        <w:pStyle w:val="TableParagraph"/>
        <w:spacing w:line="220" w:lineRule="exact"/>
        <w:jc w:val="both"/>
        <w:rPr>
          <w:sz w:val="20"/>
          <w:szCs w:val="20"/>
        </w:rPr>
      </w:pPr>
      <w:r>
        <w:rPr>
          <w:sz w:val="20"/>
          <w:szCs w:val="20"/>
        </w:rPr>
        <w:t>The project demonstration pilot sites in all the three countries are not in areas that are inhabited by Indigenous Peoples. As such, the Stakeholder Engagement Plan developed during the PPG phase doesn’t identify the presence of Indigenous Peoples in the proposed pilot sites. However, local communities in the respective demonstration pilot sites have been identified and their involvement in project activities will need to be further defined as part of project implementation. During the implementation phase a comprehensive Stakeholder Engagement Plan will be developed. An outline of a comprehensive Stakeholder Engagement Plan</w:t>
      </w:r>
      <w:r>
        <w:rPr>
          <w:rStyle w:val="FootnoteReference"/>
          <w:rFonts w:ascii="Calibri" w:hAnsi="Calibri"/>
          <w:sz w:val="20"/>
          <w:szCs w:val="20"/>
        </w:rPr>
        <w:footnoteReference w:id="22"/>
      </w:r>
      <w:r>
        <w:rPr>
          <w:sz w:val="20"/>
          <w:szCs w:val="20"/>
        </w:rPr>
        <w:t xml:space="preserve"> is included in the Annex of this document. </w:t>
      </w:r>
    </w:p>
    <w:p w14:paraId="68091F2A" w14:textId="77777777" w:rsidR="00CF33D9" w:rsidRDefault="00CF33D9">
      <w:pPr>
        <w:pStyle w:val="TableParagraph"/>
        <w:jc w:val="both"/>
        <w:rPr>
          <w:sz w:val="20"/>
          <w:szCs w:val="20"/>
        </w:rPr>
      </w:pPr>
    </w:p>
    <w:p w14:paraId="68091F2B" w14:textId="77777777" w:rsidR="00CF33D9" w:rsidRDefault="00E3332A">
      <w:pPr>
        <w:pStyle w:val="ListParagraph"/>
        <w:numPr>
          <w:ilvl w:val="0"/>
          <w:numId w:val="127"/>
        </w:numPr>
        <w:shd w:val="clear" w:color="auto" w:fill="DEEAF6" w:themeFill="accent1" w:themeFillTint="33"/>
        <w:jc w:val="both"/>
        <w:rPr>
          <w:rFonts w:ascii="Calibri" w:hAnsi="Calibri" w:cs="Calibri"/>
          <w:b/>
          <w:bCs/>
          <w:sz w:val="20"/>
          <w:szCs w:val="20"/>
          <w:u w:val="single"/>
        </w:rPr>
      </w:pPr>
      <w:r>
        <w:rPr>
          <w:rFonts w:ascii="Calibri" w:hAnsi="Calibri" w:cs="Calibri"/>
          <w:b/>
          <w:bCs/>
          <w:sz w:val="20"/>
          <w:szCs w:val="20"/>
          <w:u w:val="single"/>
        </w:rPr>
        <w:t>Scoped ESIA/ESMP for Pilot level community-based ecosystem-based management approaches to pollution reduction through demonstrations at pilot sites.</w:t>
      </w:r>
    </w:p>
    <w:p w14:paraId="68091F2C" w14:textId="77777777" w:rsidR="00CF33D9" w:rsidRDefault="00CF33D9">
      <w:pPr>
        <w:jc w:val="both"/>
        <w:rPr>
          <w:rFonts w:ascii="Calibri" w:hAnsi="Calibri" w:cs="Calibri"/>
          <w:b/>
          <w:bCs/>
          <w:i/>
          <w:iCs/>
          <w:sz w:val="20"/>
          <w:szCs w:val="20"/>
          <w:u w:val="single"/>
        </w:rPr>
      </w:pPr>
    </w:p>
    <w:p w14:paraId="68091F2D" w14:textId="77777777" w:rsidR="00CF33D9" w:rsidRDefault="00E3332A">
      <w:pPr>
        <w:spacing w:line="220" w:lineRule="exact"/>
        <w:jc w:val="both"/>
        <w:rPr>
          <w:rFonts w:ascii="Calibri" w:hAnsi="Calibri" w:cs="Calibri"/>
          <w:b/>
          <w:bCs/>
          <w:i/>
          <w:iCs/>
          <w:sz w:val="20"/>
          <w:szCs w:val="20"/>
          <w:u w:val="single"/>
        </w:rPr>
      </w:pPr>
      <w:r>
        <w:rPr>
          <w:rFonts w:ascii="Calibri" w:hAnsi="Calibri" w:cs="Calibri"/>
          <w:b/>
          <w:bCs/>
          <w:i/>
          <w:iCs/>
          <w:sz w:val="20"/>
          <w:szCs w:val="20"/>
          <w:u w:val="single"/>
        </w:rPr>
        <w:t>Activity 3.2.1.1: Confirm [one] coastal pilot projects based on the identified BCLME pollution hotspots</w:t>
      </w:r>
    </w:p>
    <w:p w14:paraId="68091F2E" w14:textId="77777777" w:rsidR="00CF33D9" w:rsidRDefault="00CF33D9">
      <w:pPr>
        <w:pStyle w:val="TableParagraph"/>
        <w:spacing w:line="220" w:lineRule="exact"/>
        <w:jc w:val="both"/>
        <w:rPr>
          <w:sz w:val="20"/>
          <w:szCs w:val="20"/>
        </w:rPr>
      </w:pPr>
    </w:p>
    <w:p w14:paraId="68091F2F" w14:textId="77777777" w:rsidR="00CF33D9" w:rsidRDefault="00E3332A">
      <w:pPr>
        <w:spacing w:line="220" w:lineRule="exact"/>
        <w:jc w:val="both"/>
        <w:rPr>
          <w:rFonts w:ascii="Calibri" w:hAnsi="Calibri" w:cs="Calibri"/>
          <w:sz w:val="20"/>
          <w:szCs w:val="20"/>
        </w:rPr>
      </w:pPr>
      <w:r>
        <w:rPr>
          <w:rFonts w:ascii="Calibri" w:hAnsi="Calibri" w:cs="Calibri"/>
          <w:sz w:val="20"/>
          <w:szCs w:val="20"/>
        </w:rPr>
        <w:t>The final decision on the selected sites and demonstration activities will be taken during the Inception Phase when each project will be analyzed and assessed</w:t>
      </w:r>
      <w:r>
        <w:rPr>
          <w:rFonts w:ascii="Calibri" w:hAnsi="Calibri" w:cs="Calibri"/>
          <w:sz w:val="20"/>
          <w:szCs w:val="20"/>
          <w:lang w:val="hr-HR"/>
        </w:rPr>
        <w:t xml:space="preserve">. </w:t>
      </w:r>
      <w:r>
        <w:rPr>
          <w:rFonts w:ascii="Calibri" w:hAnsi="Calibri" w:cs="Calibri"/>
          <w:sz w:val="20"/>
          <w:szCs w:val="20"/>
        </w:rPr>
        <w:t>The following criteria will be considered during the decision-making process:</w:t>
      </w:r>
    </w:p>
    <w:p w14:paraId="68091F30" w14:textId="77777777" w:rsidR="00CF33D9" w:rsidRDefault="00CF33D9">
      <w:pPr>
        <w:spacing w:line="220" w:lineRule="exact"/>
        <w:ind w:left="426" w:hanging="426"/>
        <w:jc w:val="both"/>
        <w:rPr>
          <w:rFonts w:ascii="Calibri" w:hAnsi="Calibri" w:cs="Calibri"/>
          <w:sz w:val="20"/>
          <w:szCs w:val="20"/>
        </w:rPr>
      </w:pPr>
    </w:p>
    <w:p w14:paraId="68091F31" w14:textId="77777777" w:rsidR="00CF33D9" w:rsidRDefault="00E3332A">
      <w:pPr>
        <w:pStyle w:val="ListParagraph"/>
        <w:numPr>
          <w:ilvl w:val="0"/>
          <w:numId w:val="126"/>
        </w:numPr>
        <w:spacing w:line="220" w:lineRule="exact"/>
        <w:contextualSpacing/>
        <w:rPr>
          <w:rFonts w:ascii="Calibri" w:hAnsi="Calibri" w:cs="Calibri"/>
          <w:bCs/>
          <w:color w:val="000000"/>
          <w:sz w:val="20"/>
          <w:szCs w:val="20"/>
        </w:rPr>
      </w:pPr>
      <w:r>
        <w:rPr>
          <w:rFonts w:ascii="Calibri" w:hAnsi="Calibri" w:cs="Calibri"/>
          <w:bCs/>
          <w:color w:val="000000"/>
          <w:sz w:val="20"/>
          <w:szCs w:val="20"/>
        </w:rPr>
        <w:t>Level of multi-stakeholder collaboration,</w:t>
      </w:r>
    </w:p>
    <w:p w14:paraId="68091F32" w14:textId="77777777" w:rsidR="00CF33D9" w:rsidRDefault="00E3332A">
      <w:pPr>
        <w:pStyle w:val="ListParagraph"/>
        <w:numPr>
          <w:ilvl w:val="0"/>
          <w:numId w:val="126"/>
        </w:numPr>
        <w:spacing w:line="220" w:lineRule="exact"/>
        <w:contextualSpacing/>
        <w:rPr>
          <w:rFonts w:ascii="Calibri" w:hAnsi="Calibri" w:cs="Calibri"/>
          <w:bCs/>
          <w:color w:val="000000"/>
          <w:sz w:val="20"/>
          <w:szCs w:val="20"/>
        </w:rPr>
      </w:pPr>
      <w:r>
        <w:rPr>
          <w:rFonts w:ascii="Calibri" w:hAnsi="Calibri" w:cs="Calibri"/>
          <w:bCs/>
          <w:color w:val="000000"/>
          <w:sz w:val="20"/>
          <w:szCs w:val="20"/>
        </w:rPr>
        <w:t>Opportunities for engaging local community and encouraging gender and youth participation, and improving livelihood of marginalized local communities,</w:t>
      </w:r>
    </w:p>
    <w:p w14:paraId="68091F33" w14:textId="77777777" w:rsidR="00CF33D9" w:rsidRDefault="00E3332A">
      <w:pPr>
        <w:pStyle w:val="ListParagraph"/>
        <w:numPr>
          <w:ilvl w:val="0"/>
          <w:numId w:val="126"/>
        </w:numPr>
        <w:spacing w:line="220" w:lineRule="exact"/>
        <w:contextualSpacing/>
        <w:rPr>
          <w:rFonts w:ascii="Calibri" w:hAnsi="Calibri" w:cs="Calibri"/>
          <w:bCs/>
          <w:color w:val="000000"/>
          <w:sz w:val="20"/>
          <w:szCs w:val="20"/>
        </w:rPr>
      </w:pPr>
      <w:r>
        <w:rPr>
          <w:rFonts w:ascii="Calibri" w:hAnsi="Calibri" w:cs="Calibri"/>
          <w:bCs/>
          <w:color w:val="000000"/>
          <w:sz w:val="20"/>
          <w:szCs w:val="20"/>
        </w:rPr>
        <w:lastRenderedPageBreak/>
        <w:t>Potential for participation of the private sector at the pilot site,</w:t>
      </w:r>
    </w:p>
    <w:p w14:paraId="68091F34" w14:textId="77777777" w:rsidR="00CF33D9" w:rsidRDefault="00E3332A">
      <w:pPr>
        <w:pStyle w:val="ListParagraph"/>
        <w:numPr>
          <w:ilvl w:val="0"/>
          <w:numId w:val="126"/>
        </w:numPr>
        <w:spacing w:line="220" w:lineRule="exact"/>
        <w:contextualSpacing/>
        <w:rPr>
          <w:rFonts w:ascii="Calibri" w:hAnsi="Calibri" w:cs="Calibri"/>
          <w:bCs/>
          <w:color w:val="000000"/>
          <w:sz w:val="20"/>
          <w:szCs w:val="20"/>
        </w:rPr>
      </w:pPr>
      <w:r>
        <w:rPr>
          <w:rFonts w:ascii="Calibri" w:hAnsi="Calibri" w:cs="Calibri"/>
          <w:bCs/>
          <w:color w:val="000000"/>
          <w:sz w:val="20"/>
          <w:szCs w:val="20"/>
        </w:rPr>
        <w:t>Compliance with national legislation (laws and regulations, SBE strategies, if any),</w:t>
      </w:r>
    </w:p>
    <w:p w14:paraId="68091F35" w14:textId="77777777" w:rsidR="00CF33D9" w:rsidRDefault="00E3332A">
      <w:pPr>
        <w:pStyle w:val="ListParagraph"/>
        <w:numPr>
          <w:ilvl w:val="0"/>
          <w:numId w:val="126"/>
        </w:numPr>
        <w:spacing w:line="220" w:lineRule="exact"/>
        <w:contextualSpacing/>
        <w:rPr>
          <w:rFonts w:ascii="Calibri" w:hAnsi="Calibri" w:cs="Calibri"/>
          <w:bCs/>
          <w:color w:val="000000"/>
          <w:sz w:val="20"/>
          <w:szCs w:val="20"/>
        </w:rPr>
      </w:pPr>
      <w:r>
        <w:rPr>
          <w:rFonts w:ascii="Calibri" w:hAnsi="Calibri" w:cs="Calibri"/>
          <w:bCs/>
          <w:color w:val="000000"/>
          <w:sz w:val="20"/>
          <w:szCs w:val="20"/>
        </w:rPr>
        <w:t>Compliance with project’s ESSF including environmental and social standards and mitigation,</w:t>
      </w:r>
    </w:p>
    <w:p w14:paraId="68091F36" w14:textId="77777777" w:rsidR="00CF33D9" w:rsidRDefault="00E3332A">
      <w:pPr>
        <w:pStyle w:val="ListParagraph"/>
        <w:numPr>
          <w:ilvl w:val="0"/>
          <w:numId w:val="126"/>
        </w:numPr>
        <w:spacing w:line="220" w:lineRule="exact"/>
        <w:contextualSpacing/>
        <w:rPr>
          <w:rFonts w:ascii="Calibri" w:hAnsi="Calibri" w:cs="Calibri"/>
          <w:bCs/>
          <w:color w:val="000000"/>
          <w:sz w:val="20"/>
          <w:szCs w:val="20"/>
        </w:rPr>
      </w:pPr>
      <w:r>
        <w:rPr>
          <w:rFonts w:ascii="Calibri" w:hAnsi="Calibri" w:cs="Calibri"/>
          <w:bCs/>
          <w:color w:val="000000"/>
          <w:sz w:val="20"/>
          <w:szCs w:val="20"/>
        </w:rPr>
        <w:t>Possibility of developing appropriate indicators to assess effectiveness and efficiency of the proposed sectoral and cross-sectoral measures implemented at the pilot site,</w:t>
      </w:r>
    </w:p>
    <w:p w14:paraId="68091F37" w14:textId="77777777" w:rsidR="00CF33D9" w:rsidRDefault="00E3332A">
      <w:pPr>
        <w:pStyle w:val="ListParagraph"/>
        <w:numPr>
          <w:ilvl w:val="0"/>
          <w:numId w:val="126"/>
        </w:numPr>
        <w:spacing w:line="220" w:lineRule="exact"/>
        <w:contextualSpacing/>
        <w:rPr>
          <w:rFonts w:ascii="Calibri" w:hAnsi="Calibri" w:cs="Calibri"/>
          <w:bCs/>
          <w:color w:val="000000"/>
          <w:sz w:val="20"/>
          <w:szCs w:val="20"/>
        </w:rPr>
      </w:pPr>
      <w:r>
        <w:rPr>
          <w:rFonts w:ascii="Calibri" w:hAnsi="Calibri" w:cs="Calibri"/>
          <w:bCs/>
          <w:color w:val="000000"/>
          <w:sz w:val="20"/>
          <w:szCs w:val="20"/>
        </w:rPr>
        <w:t>Addressing project key areas including ecosystem-based management and pollution reduction, and </w:t>
      </w:r>
    </w:p>
    <w:p w14:paraId="68091F38" w14:textId="77777777" w:rsidR="00CF33D9" w:rsidRDefault="00E3332A">
      <w:pPr>
        <w:pStyle w:val="ListParagraph"/>
        <w:numPr>
          <w:ilvl w:val="0"/>
          <w:numId w:val="126"/>
        </w:numPr>
        <w:spacing w:line="220" w:lineRule="exact"/>
        <w:contextualSpacing/>
        <w:rPr>
          <w:rFonts w:ascii="Calibri" w:hAnsi="Calibri" w:cs="Calibri"/>
          <w:bCs/>
          <w:color w:val="000000"/>
          <w:sz w:val="20"/>
          <w:szCs w:val="20"/>
        </w:rPr>
      </w:pPr>
      <w:r>
        <w:rPr>
          <w:rFonts w:ascii="Calibri" w:hAnsi="Calibri" w:cs="Calibri"/>
          <w:bCs/>
          <w:color w:val="000000"/>
          <w:sz w:val="20"/>
          <w:szCs w:val="20"/>
        </w:rPr>
        <w:t>Feasibility of implementation setup.</w:t>
      </w:r>
    </w:p>
    <w:p w14:paraId="68091F39" w14:textId="77777777" w:rsidR="00CF33D9" w:rsidRDefault="00CF33D9">
      <w:pPr>
        <w:spacing w:line="220" w:lineRule="exact"/>
        <w:ind w:left="426" w:hanging="426"/>
        <w:contextualSpacing/>
        <w:jc w:val="both"/>
        <w:rPr>
          <w:rFonts w:ascii="Calibri" w:hAnsi="Calibri" w:cs="Calibri"/>
          <w:color w:val="000000" w:themeColor="text1"/>
          <w:sz w:val="20"/>
          <w:szCs w:val="20"/>
        </w:rPr>
      </w:pPr>
    </w:p>
    <w:p w14:paraId="68091F3A" w14:textId="77777777" w:rsidR="00CF33D9" w:rsidRDefault="00E3332A">
      <w:pPr>
        <w:spacing w:line="220" w:lineRule="exact"/>
        <w:contextualSpacing/>
        <w:jc w:val="both"/>
        <w:rPr>
          <w:rFonts w:ascii="Calibri" w:hAnsi="Calibri" w:cs="Calibri"/>
          <w:color w:val="000000" w:themeColor="text1"/>
          <w:sz w:val="20"/>
          <w:szCs w:val="20"/>
        </w:rPr>
      </w:pPr>
      <w:r>
        <w:rPr>
          <w:rFonts w:ascii="Calibri" w:hAnsi="Calibri" w:cs="Calibri"/>
          <w:color w:val="000000" w:themeColor="text1"/>
          <w:sz w:val="20"/>
          <w:szCs w:val="20"/>
        </w:rPr>
        <w:t>Implementation feasibility will rely on five factors, based on which pilot projects will be given priority, as follows:</w:t>
      </w:r>
    </w:p>
    <w:p w14:paraId="68091F3B" w14:textId="77777777" w:rsidR="00CF33D9" w:rsidRDefault="00CF33D9">
      <w:pPr>
        <w:spacing w:line="220" w:lineRule="exact"/>
        <w:contextualSpacing/>
        <w:jc w:val="both"/>
        <w:rPr>
          <w:rFonts w:ascii="Calibri" w:hAnsi="Calibri" w:cs="Calibri"/>
          <w:color w:val="000000" w:themeColor="text1"/>
          <w:sz w:val="20"/>
          <w:szCs w:val="20"/>
        </w:rPr>
      </w:pPr>
    </w:p>
    <w:p w14:paraId="68091F3C" w14:textId="77777777" w:rsidR="00CF33D9" w:rsidRDefault="00E3332A">
      <w:pPr>
        <w:pStyle w:val="ListParagraph"/>
        <w:numPr>
          <w:ilvl w:val="0"/>
          <w:numId w:val="126"/>
        </w:numPr>
        <w:spacing w:line="220" w:lineRule="exact"/>
        <w:contextualSpacing/>
        <w:rPr>
          <w:rFonts w:ascii="Calibri" w:hAnsi="Calibri" w:cs="Calibri"/>
          <w:bCs/>
          <w:color w:val="000000"/>
          <w:sz w:val="20"/>
          <w:szCs w:val="20"/>
        </w:rPr>
      </w:pPr>
      <w:r>
        <w:rPr>
          <w:rFonts w:ascii="Calibri" w:hAnsi="Calibri" w:cs="Calibri"/>
          <w:bCs/>
          <w:color w:val="000000"/>
          <w:sz w:val="20"/>
          <w:szCs w:val="20"/>
        </w:rPr>
        <w:t>Impacts: Pilot project impacts will be assessed. The higher the impact is, the higher the priority. Projects with long-term and sustainability impacts will be given priority.</w:t>
      </w:r>
    </w:p>
    <w:p w14:paraId="68091F3D" w14:textId="77777777" w:rsidR="00CF33D9" w:rsidRDefault="00E3332A">
      <w:pPr>
        <w:pStyle w:val="ListParagraph"/>
        <w:numPr>
          <w:ilvl w:val="0"/>
          <w:numId w:val="126"/>
        </w:numPr>
        <w:contextualSpacing/>
        <w:rPr>
          <w:rFonts w:ascii="Calibri" w:hAnsi="Calibri" w:cs="Calibri"/>
          <w:bCs/>
          <w:color w:val="000000"/>
          <w:sz w:val="20"/>
          <w:szCs w:val="20"/>
        </w:rPr>
      </w:pPr>
      <w:r>
        <w:rPr>
          <w:rFonts w:ascii="Calibri" w:hAnsi="Calibri" w:cs="Calibri"/>
          <w:bCs/>
          <w:color w:val="000000"/>
          <w:sz w:val="20"/>
          <w:szCs w:val="20"/>
        </w:rPr>
        <w:t>Importance: Importance is assessed based on ecological and heritage assets and resources of each pilot project case. The more important the case is, the higher the priority it is given.</w:t>
      </w:r>
    </w:p>
    <w:p w14:paraId="68091F3E" w14:textId="77777777" w:rsidR="00CF33D9" w:rsidRDefault="00E3332A">
      <w:pPr>
        <w:pStyle w:val="ListParagraph"/>
        <w:numPr>
          <w:ilvl w:val="0"/>
          <w:numId w:val="126"/>
        </w:numPr>
        <w:spacing w:line="220" w:lineRule="exact"/>
        <w:contextualSpacing/>
        <w:rPr>
          <w:rFonts w:ascii="Calibri" w:hAnsi="Calibri" w:cs="Calibri"/>
          <w:bCs/>
          <w:color w:val="000000"/>
          <w:sz w:val="20"/>
          <w:szCs w:val="20"/>
        </w:rPr>
      </w:pPr>
      <w:r>
        <w:rPr>
          <w:rFonts w:ascii="Calibri" w:hAnsi="Calibri" w:cs="Calibri"/>
          <w:bCs/>
          <w:color w:val="000000"/>
          <w:sz w:val="20"/>
          <w:szCs w:val="20"/>
        </w:rPr>
        <w:t>Urgency: Urgency is a function of importance and impacts, the more impacts and importance a pilot project case has, the higher will be the priority.</w:t>
      </w:r>
    </w:p>
    <w:p w14:paraId="68091F3F" w14:textId="77777777" w:rsidR="00CF33D9" w:rsidRDefault="00CF33D9">
      <w:pPr>
        <w:spacing w:line="220" w:lineRule="exact"/>
        <w:rPr>
          <w:rFonts w:ascii="Calibri" w:hAnsi="Calibri" w:cs="Calibri"/>
          <w:bCs/>
          <w:color w:val="000000"/>
          <w:sz w:val="20"/>
          <w:szCs w:val="20"/>
        </w:rPr>
      </w:pPr>
    </w:p>
    <w:p w14:paraId="68091F40" w14:textId="77777777" w:rsidR="00CF33D9" w:rsidRDefault="00E3332A">
      <w:pPr>
        <w:spacing w:line="220" w:lineRule="exact"/>
        <w:jc w:val="both"/>
        <w:rPr>
          <w:rFonts w:ascii="Calibri" w:hAnsi="Calibri" w:cs="Calibri"/>
          <w:b/>
          <w:bCs/>
          <w:sz w:val="20"/>
          <w:szCs w:val="20"/>
          <w:u w:val="single"/>
        </w:rPr>
      </w:pPr>
      <w:r>
        <w:rPr>
          <w:rFonts w:ascii="Calibri" w:hAnsi="Calibri" w:cs="Calibri"/>
          <w:b/>
          <w:bCs/>
          <w:i/>
          <w:iCs/>
          <w:sz w:val="20"/>
          <w:szCs w:val="20"/>
          <w:u w:val="single"/>
        </w:rPr>
        <w:t>Activity 3.2.1.3: Opportunities for alternative livelihoods linked to pollution management activities identified and piloted at selected pilot sites.</w:t>
      </w:r>
    </w:p>
    <w:p w14:paraId="68091F41" w14:textId="77777777" w:rsidR="00CF33D9" w:rsidRDefault="00CF33D9">
      <w:pPr>
        <w:pStyle w:val="TableParagraph"/>
        <w:spacing w:line="220" w:lineRule="exact"/>
        <w:jc w:val="both"/>
        <w:rPr>
          <w:sz w:val="20"/>
          <w:szCs w:val="20"/>
        </w:rPr>
      </w:pPr>
    </w:p>
    <w:p w14:paraId="68091F42" w14:textId="77777777" w:rsidR="00CF33D9" w:rsidRDefault="00E3332A">
      <w:pPr>
        <w:spacing w:line="220" w:lineRule="exact"/>
        <w:jc w:val="both"/>
        <w:rPr>
          <w:rFonts w:ascii="Calibri" w:hAnsi="Calibri" w:cs="Calibri"/>
          <w:sz w:val="20"/>
          <w:szCs w:val="20"/>
          <w:lang w:val="en-CA"/>
        </w:rPr>
      </w:pPr>
      <w:r>
        <w:rPr>
          <w:rFonts w:ascii="Calibri" w:hAnsi="Calibri" w:cs="Calibri"/>
          <w:sz w:val="20"/>
          <w:szCs w:val="20"/>
          <w:lang w:val="en-CA"/>
        </w:rPr>
        <w:t>This Activity will support analysis to valorise the different waste streams in order to identify potential beneficial uses that can be monetised into business opportunities. Through a benchmarking of international experience, the project will support the establishment of community-based business activities.</w:t>
      </w:r>
    </w:p>
    <w:p w14:paraId="68091F43" w14:textId="77777777" w:rsidR="00CF33D9" w:rsidRDefault="00CF33D9">
      <w:pPr>
        <w:spacing w:line="220" w:lineRule="exact"/>
        <w:jc w:val="both"/>
        <w:rPr>
          <w:rFonts w:ascii="Calibri" w:hAnsi="Calibri" w:cs="Calibri"/>
          <w:sz w:val="20"/>
          <w:szCs w:val="20"/>
          <w:lang w:val="en-CA"/>
        </w:rPr>
      </w:pPr>
    </w:p>
    <w:p w14:paraId="68091F44" w14:textId="77777777" w:rsidR="00CF33D9" w:rsidRDefault="00E3332A">
      <w:pPr>
        <w:spacing w:line="220" w:lineRule="exact"/>
        <w:jc w:val="both"/>
        <w:rPr>
          <w:rFonts w:ascii="Calibri" w:hAnsi="Calibri" w:cs="Calibri"/>
          <w:sz w:val="20"/>
          <w:szCs w:val="20"/>
          <w:lang w:val="en-CA"/>
        </w:rPr>
      </w:pPr>
      <w:r>
        <w:rPr>
          <w:rFonts w:ascii="Calibri" w:hAnsi="Calibri" w:cs="Calibri"/>
          <w:sz w:val="20"/>
          <w:szCs w:val="20"/>
          <w:lang w:val="en-CA"/>
        </w:rPr>
        <w:t>The project demonstration pilot sites in all the three countries are not in areas that are inhabited by Indigenous Peoples. As such, the Stakeholder Engagement Plan developed during the PPG phase doesn’t identify the presence of Indigenous Peoples in the proposed pilot sites. However, local communities in the respective demonstration pilot sites have been identified and their involvement in project activities will need to be further defined as part of project implementation. During the initial screening it was identified as a potential risk that this activity could lead to impacting intangible cultural heritage by affecting traditional livelihoods of local communities. In order to mitigate this, the project should:</w:t>
      </w:r>
    </w:p>
    <w:p w14:paraId="68091F45" w14:textId="77777777" w:rsidR="00CF33D9" w:rsidRDefault="00E3332A">
      <w:pPr>
        <w:pStyle w:val="ListParagraph"/>
        <w:numPr>
          <w:ilvl w:val="0"/>
          <w:numId w:val="128"/>
        </w:numPr>
        <w:spacing w:line="220" w:lineRule="exact"/>
        <w:contextualSpacing/>
        <w:jc w:val="both"/>
        <w:rPr>
          <w:rFonts w:ascii="Calibri" w:hAnsi="Calibri" w:cs="Calibri"/>
          <w:sz w:val="20"/>
          <w:szCs w:val="20"/>
          <w:lang w:val="en-CA"/>
        </w:rPr>
      </w:pPr>
      <w:r>
        <w:rPr>
          <w:rFonts w:ascii="Calibri" w:hAnsi="Calibri" w:cs="Calibri"/>
          <w:sz w:val="20"/>
          <w:szCs w:val="20"/>
          <w:lang w:val="en-CA"/>
        </w:rPr>
        <w:t>Identify in the analysis to be developed (Activity 3.2.1.3) the intangible cultural heritage of stakeholders regarding current livelihoods and how they are managing pollution currently and understand the values and significance that stakeholders attach to it. This could include:</w:t>
      </w:r>
    </w:p>
    <w:p w14:paraId="68091F46" w14:textId="77777777" w:rsidR="00CF33D9" w:rsidRDefault="00E3332A">
      <w:pPr>
        <w:pStyle w:val="ListParagraph"/>
        <w:numPr>
          <w:ilvl w:val="0"/>
          <w:numId w:val="129"/>
        </w:numPr>
        <w:spacing w:line="220" w:lineRule="exact"/>
        <w:contextualSpacing/>
        <w:jc w:val="both"/>
        <w:rPr>
          <w:rFonts w:ascii="Calibri" w:hAnsi="Calibri" w:cs="Calibri"/>
          <w:sz w:val="20"/>
          <w:szCs w:val="20"/>
          <w:lang w:val="en-CA"/>
        </w:rPr>
      </w:pPr>
      <w:r>
        <w:rPr>
          <w:rFonts w:ascii="Calibri" w:hAnsi="Calibri" w:cs="Calibri"/>
          <w:sz w:val="20"/>
          <w:szCs w:val="20"/>
          <w:lang w:val="en-CA"/>
        </w:rPr>
        <w:t>Meaningful consultations with relevant stakeholders</w:t>
      </w:r>
    </w:p>
    <w:p w14:paraId="68091F47" w14:textId="77777777" w:rsidR="00CF33D9" w:rsidRDefault="00E3332A">
      <w:pPr>
        <w:pStyle w:val="ListParagraph"/>
        <w:numPr>
          <w:ilvl w:val="0"/>
          <w:numId w:val="129"/>
        </w:numPr>
        <w:spacing w:line="220" w:lineRule="exact"/>
        <w:contextualSpacing/>
        <w:jc w:val="both"/>
        <w:rPr>
          <w:rFonts w:ascii="Calibri" w:hAnsi="Calibri" w:cs="Calibri"/>
          <w:sz w:val="20"/>
          <w:szCs w:val="20"/>
          <w:lang w:val="en-CA"/>
        </w:rPr>
      </w:pPr>
      <w:r>
        <w:rPr>
          <w:rFonts w:ascii="Calibri" w:hAnsi="Calibri" w:cs="Calibri"/>
          <w:sz w:val="20"/>
          <w:szCs w:val="20"/>
          <w:lang w:val="en-CA"/>
        </w:rPr>
        <w:t>Identification of direct, indirect and cumulative project-impacts to intangible cultural heritage</w:t>
      </w:r>
    </w:p>
    <w:p w14:paraId="68091F48" w14:textId="77777777" w:rsidR="00CF33D9" w:rsidRDefault="00E3332A">
      <w:pPr>
        <w:pStyle w:val="ListParagraph"/>
        <w:numPr>
          <w:ilvl w:val="0"/>
          <w:numId w:val="129"/>
        </w:numPr>
        <w:spacing w:line="220" w:lineRule="exact"/>
        <w:contextualSpacing/>
        <w:jc w:val="both"/>
        <w:rPr>
          <w:rFonts w:ascii="Calibri" w:hAnsi="Calibri" w:cs="Calibri"/>
          <w:sz w:val="20"/>
          <w:szCs w:val="20"/>
          <w:lang w:val="en-CA"/>
        </w:rPr>
      </w:pPr>
      <w:r>
        <w:rPr>
          <w:rFonts w:ascii="Calibri" w:hAnsi="Calibri" w:cs="Calibri"/>
          <w:sz w:val="20"/>
          <w:szCs w:val="20"/>
          <w:lang w:val="en-CA"/>
        </w:rPr>
        <w:t xml:space="preserve">Adequate documentation by recording the intangible forms and collecting documents that relate to it. </w:t>
      </w:r>
    </w:p>
    <w:p w14:paraId="68091F49" w14:textId="77777777" w:rsidR="00CF33D9" w:rsidRDefault="00E3332A">
      <w:pPr>
        <w:pStyle w:val="ListParagraph"/>
        <w:numPr>
          <w:ilvl w:val="0"/>
          <w:numId w:val="128"/>
        </w:numPr>
        <w:spacing w:line="220" w:lineRule="exact"/>
        <w:contextualSpacing/>
        <w:jc w:val="both"/>
        <w:rPr>
          <w:rFonts w:ascii="Calibri" w:hAnsi="Calibri" w:cs="Calibri"/>
          <w:sz w:val="20"/>
          <w:szCs w:val="20"/>
          <w:lang w:val="en-CA"/>
        </w:rPr>
      </w:pPr>
      <w:r>
        <w:rPr>
          <w:rFonts w:ascii="Calibri" w:hAnsi="Calibri" w:cs="Calibri"/>
          <w:sz w:val="20"/>
          <w:szCs w:val="20"/>
          <w:lang w:val="en-CA"/>
        </w:rPr>
        <w:t>Engage qualified and experienced cultural heritage experts.</w:t>
      </w:r>
    </w:p>
    <w:p w14:paraId="68091F4A" w14:textId="77777777" w:rsidR="00CF33D9" w:rsidRDefault="00CF33D9">
      <w:pPr>
        <w:spacing w:line="220" w:lineRule="exact"/>
        <w:jc w:val="both"/>
        <w:rPr>
          <w:rFonts w:ascii="Calibri" w:hAnsi="Calibri" w:cs="Calibri"/>
          <w:sz w:val="20"/>
          <w:szCs w:val="20"/>
          <w:lang w:val="en-CA"/>
        </w:rPr>
      </w:pPr>
    </w:p>
    <w:p w14:paraId="68091F4B" w14:textId="77777777" w:rsidR="00CF33D9" w:rsidRDefault="00E3332A">
      <w:pPr>
        <w:spacing w:line="220" w:lineRule="exact"/>
        <w:jc w:val="both"/>
        <w:rPr>
          <w:rFonts w:ascii="Calibri" w:hAnsi="Calibri" w:cs="Calibri"/>
          <w:sz w:val="20"/>
          <w:szCs w:val="20"/>
          <w:lang w:val="en-CA"/>
        </w:rPr>
      </w:pPr>
      <w:r>
        <w:rPr>
          <w:rFonts w:ascii="Calibri" w:hAnsi="Calibri" w:cs="Calibri"/>
          <w:sz w:val="20"/>
          <w:szCs w:val="20"/>
          <w:lang w:val="en-CA"/>
        </w:rPr>
        <w:t xml:space="preserve">To understand and assess these potential impacts on the intangible cultural components further, an </w:t>
      </w:r>
      <w:r>
        <w:rPr>
          <w:rFonts w:ascii="Calibri" w:hAnsi="Calibri" w:cs="Calibri"/>
          <w:b/>
          <w:bCs/>
          <w:sz w:val="20"/>
          <w:szCs w:val="20"/>
          <w:lang w:val="en-CA"/>
        </w:rPr>
        <w:t xml:space="preserve">intangible Cultural Heritage Impact Assessment (CHIA) </w:t>
      </w:r>
      <w:r>
        <w:rPr>
          <w:rFonts w:ascii="Calibri" w:hAnsi="Calibri" w:cs="Calibri"/>
          <w:sz w:val="20"/>
          <w:szCs w:val="20"/>
          <w:lang w:val="en-CA"/>
        </w:rPr>
        <w:t xml:space="preserve">will be developed. The </w:t>
      </w:r>
      <w:r>
        <w:rPr>
          <w:rFonts w:ascii="Calibri" w:hAnsi="Calibri" w:cs="Calibri"/>
          <w:b/>
          <w:bCs/>
          <w:sz w:val="20"/>
          <w:szCs w:val="20"/>
          <w:lang w:val="en-CA"/>
        </w:rPr>
        <w:t xml:space="preserve">Cultural Heritage Management Plan (CHMP) </w:t>
      </w:r>
      <w:r>
        <w:rPr>
          <w:rFonts w:ascii="Calibri" w:hAnsi="Calibri" w:cs="Calibri"/>
          <w:sz w:val="20"/>
          <w:szCs w:val="20"/>
          <w:lang w:val="en-CA"/>
        </w:rPr>
        <w:t>will include the appropriate management measures. This plan will serve as an overarching plan that will stipulate how affected cultural heritage will be managed throughout the cycle of the project. This should:</w:t>
      </w:r>
    </w:p>
    <w:p w14:paraId="68091F4C" w14:textId="77777777" w:rsidR="00CF33D9" w:rsidRDefault="00E3332A">
      <w:pPr>
        <w:pStyle w:val="ListParagraph"/>
        <w:numPr>
          <w:ilvl w:val="0"/>
          <w:numId w:val="128"/>
        </w:numPr>
        <w:spacing w:line="220" w:lineRule="exact"/>
        <w:contextualSpacing/>
        <w:jc w:val="both"/>
        <w:rPr>
          <w:rFonts w:ascii="Calibri" w:hAnsi="Calibri" w:cs="Calibri"/>
          <w:sz w:val="20"/>
          <w:szCs w:val="20"/>
          <w:lang w:val="en-CA"/>
        </w:rPr>
      </w:pPr>
      <w:r>
        <w:rPr>
          <w:rFonts w:ascii="Calibri" w:hAnsi="Calibri" w:cs="Calibri"/>
          <w:sz w:val="20"/>
          <w:szCs w:val="20"/>
          <w:lang w:val="en-CA"/>
        </w:rPr>
        <w:t>Be developed in consultation with key stakeholders.</w:t>
      </w:r>
    </w:p>
    <w:p w14:paraId="68091F4D" w14:textId="77777777" w:rsidR="00CF33D9" w:rsidRDefault="00E3332A">
      <w:pPr>
        <w:pStyle w:val="ListParagraph"/>
        <w:numPr>
          <w:ilvl w:val="0"/>
          <w:numId w:val="128"/>
        </w:numPr>
        <w:spacing w:line="220" w:lineRule="exact"/>
        <w:contextualSpacing/>
        <w:jc w:val="both"/>
        <w:rPr>
          <w:rFonts w:ascii="Calibri" w:hAnsi="Calibri" w:cs="Calibri"/>
          <w:sz w:val="20"/>
          <w:szCs w:val="20"/>
          <w:lang w:val="en-CA"/>
        </w:rPr>
      </w:pPr>
      <w:r>
        <w:rPr>
          <w:rFonts w:ascii="Calibri" w:hAnsi="Calibri" w:cs="Calibri"/>
          <w:sz w:val="20"/>
          <w:szCs w:val="20"/>
          <w:lang w:val="en-CA"/>
        </w:rPr>
        <w:t>Contain a consolidated list of all cultural heritage potentially affected by the project’s activities.</w:t>
      </w:r>
    </w:p>
    <w:p w14:paraId="68091F4E" w14:textId="77777777" w:rsidR="00CF33D9" w:rsidRDefault="00E3332A">
      <w:pPr>
        <w:pStyle w:val="ListParagraph"/>
        <w:numPr>
          <w:ilvl w:val="0"/>
          <w:numId w:val="128"/>
        </w:numPr>
        <w:spacing w:line="220" w:lineRule="exact"/>
        <w:contextualSpacing/>
        <w:jc w:val="both"/>
        <w:rPr>
          <w:rFonts w:ascii="Calibri" w:hAnsi="Calibri" w:cs="Calibri"/>
          <w:sz w:val="20"/>
          <w:szCs w:val="20"/>
          <w:lang w:val="en-CA"/>
        </w:rPr>
      </w:pPr>
      <w:r>
        <w:rPr>
          <w:rFonts w:ascii="Calibri" w:hAnsi="Calibri" w:cs="Calibri"/>
          <w:sz w:val="20"/>
          <w:szCs w:val="20"/>
          <w:lang w:val="en-CA"/>
        </w:rPr>
        <w:t>Be culturally appropriate and acceptable to community and other local stakeholders, and respectful of local traditions and cultural norms.</w:t>
      </w:r>
    </w:p>
    <w:p w14:paraId="68091F4F" w14:textId="77777777" w:rsidR="00CF33D9" w:rsidRDefault="00E3332A">
      <w:pPr>
        <w:pStyle w:val="ListParagraph"/>
        <w:numPr>
          <w:ilvl w:val="0"/>
          <w:numId w:val="128"/>
        </w:numPr>
        <w:spacing w:line="220" w:lineRule="exact"/>
        <w:contextualSpacing/>
        <w:jc w:val="both"/>
        <w:rPr>
          <w:rFonts w:ascii="Calibri" w:hAnsi="Calibri" w:cs="Calibri"/>
          <w:sz w:val="20"/>
          <w:szCs w:val="20"/>
          <w:lang w:val="en-CA"/>
        </w:rPr>
      </w:pPr>
      <w:r>
        <w:rPr>
          <w:rFonts w:ascii="Calibri" w:hAnsi="Calibri" w:cs="Calibri"/>
          <w:sz w:val="20"/>
          <w:szCs w:val="20"/>
          <w:lang w:val="en-CA"/>
        </w:rPr>
        <w:t xml:space="preserve">Outline a specific engagement plan tat ensures the participation of affected communities and relevant local and national authorities/institutions. </w:t>
      </w:r>
    </w:p>
    <w:p w14:paraId="68091F50" w14:textId="77777777" w:rsidR="00CF33D9" w:rsidRDefault="00CF33D9">
      <w:pPr>
        <w:spacing w:line="220" w:lineRule="exact"/>
        <w:jc w:val="both"/>
        <w:rPr>
          <w:rFonts w:ascii="Calibri" w:hAnsi="Calibri" w:cs="Calibri"/>
          <w:sz w:val="20"/>
          <w:szCs w:val="20"/>
          <w:lang w:val="en-CA"/>
        </w:rPr>
      </w:pPr>
    </w:p>
    <w:p w14:paraId="68091F51" w14:textId="77777777" w:rsidR="00CF33D9" w:rsidRDefault="00E3332A">
      <w:pPr>
        <w:spacing w:line="220" w:lineRule="exact"/>
        <w:jc w:val="both"/>
        <w:rPr>
          <w:rFonts w:ascii="Calibri" w:hAnsi="Calibri" w:cs="Calibri"/>
          <w:sz w:val="20"/>
          <w:szCs w:val="20"/>
          <w:lang w:val="en-CA"/>
        </w:rPr>
      </w:pPr>
      <w:r>
        <w:rPr>
          <w:rFonts w:ascii="Calibri" w:hAnsi="Calibri" w:cs="Calibri"/>
          <w:sz w:val="20"/>
          <w:szCs w:val="20"/>
          <w:lang w:val="en-CA"/>
        </w:rPr>
        <w:t xml:space="preserve">The scoped ESIA for this activity should include the assessment of the potential risks and impacts to intangible cultural heritage. </w:t>
      </w:r>
    </w:p>
    <w:p w14:paraId="68091F52" w14:textId="77777777" w:rsidR="00CF33D9" w:rsidRDefault="00CF33D9">
      <w:pPr>
        <w:spacing w:line="220" w:lineRule="exact"/>
        <w:jc w:val="both"/>
        <w:rPr>
          <w:rFonts w:ascii="Calibri" w:hAnsi="Calibri" w:cs="Calibri"/>
          <w:sz w:val="20"/>
          <w:szCs w:val="20"/>
          <w:lang w:val="en-CA"/>
        </w:rPr>
      </w:pPr>
    </w:p>
    <w:p w14:paraId="68091F53" w14:textId="77777777" w:rsidR="00CF33D9" w:rsidRDefault="00E3332A">
      <w:pPr>
        <w:spacing w:line="220" w:lineRule="exact"/>
        <w:jc w:val="both"/>
        <w:rPr>
          <w:rFonts w:ascii="Calibri" w:hAnsi="Calibri" w:cs="Calibri"/>
          <w:sz w:val="20"/>
          <w:szCs w:val="20"/>
          <w:lang w:val="en-CA"/>
        </w:rPr>
      </w:pPr>
      <w:r>
        <w:rPr>
          <w:rFonts w:ascii="Calibri" w:hAnsi="Calibri" w:cs="Calibri"/>
          <w:sz w:val="20"/>
          <w:szCs w:val="20"/>
          <w:lang w:val="en-CA"/>
        </w:rPr>
        <w:t xml:space="preserve">The implementation of alternative livelihoods under this activity could cause </w:t>
      </w:r>
      <w:r>
        <w:rPr>
          <w:rFonts w:ascii="Calibri" w:hAnsi="Calibri" w:cs="Calibri"/>
          <w:b/>
          <w:bCs/>
          <w:sz w:val="20"/>
          <w:szCs w:val="20"/>
          <w:lang w:val="en-CA"/>
        </w:rPr>
        <w:t>economic displacement</w:t>
      </w:r>
      <w:r>
        <w:rPr>
          <w:rFonts w:ascii="Calibri" w:hAnsi="Calibri" w:cs="Calibri"/>
          <w:sz w:val="20"/>
          <w:szCs w:val="20"/>
          <w:lang w:val="en-CA"/>
        </w:rPr>
        <w:t xml:space="preserve">. Therefore, in cases where restrictions to access resources within MPA are planned, a </w:t>
      </w:r>
      <w:r>
        <w:rPr>
          <w:rFonts w:ascii="Calibri" w:hAnsi="Calibri" w:cs="Calibri"/>
          <w:b/>
          <w:bCs/>
          <w:sz w:val="20"/>
          <w:szCs w:val="20"/>
          <w:lang w:val="en-CA"/>
        </w:rPr>
        <w:t>Process Framework</w:t>
      </w:r>
      <w:r>
        <w:rPr>
          <w:rFonts w:ascii="Calibri" w:hAnsi="Calibri" w:cs="Calibri"/>
          <w:sz w:val="20"/>
          <w:szCs w:val="20"/>
          <w:lang w:val="en-CA"/>
        </w:rPr>
        <w:t xml:space="preserve"> will be implemented to establish dialogue and negotiation with local communities. The framework will lay the foundations of a resource management plan that identifies those activities which may be continued sustainably as distinct from those which </w:t>
      </w:r>
      <w:r>
        <w:rPr>
          <w:rFonts w:ascii="Calibri" w:hAnsi="Calibri" w:cs="Calibri"/>
          <w:sz w:val="20"/>
          <w:szCs w:val="20"/>
          <w:lang w:val="en-CA"/>
        </w:rPr>
        <w:lastRenderedPageBreak/>
        <w:t xml:space="preserve">must be restricted for biodiversity conservation and replaced with other income generating activities. It will include a description of the participatory processes by which potentially displaced persons will participate in determining potential access restrictions, mutually acceptable levels of resource use, identification of potential impacts, and management arrangements. It will outline eligibility criteria for measures to assist affected persons in improving and restoring livelihoods where affected. The PF will supplement the project’s environmental and social assessment with a participatory framework focused on the potential impacts of access restrictions and it will be the basis for preparing a </w:t>
      </w:r>
      <w:r>
        <w:rPr>
          <w:rFonts w:ascii="Calibri" w:hAnsi="Calibri" w:cs="Calibri"/>
          <w:b/>
          <w:bCs/>
          <w:sz w:val="20"/>
          <w:szCs w:val="20"/>
          <w:lang w:val="en-CA"/>
        </w:rPr>
        <w:t xml:space="preserve">Livelihood Action Plan (LAP) </w:t>
      </w:r>
      <w:r>
        <w:rPr>
          <w:rFonts w:ascii="Calibri" w:hAnsi="Calibri" w:cs="Calibri"/>
          <w:sz w:val="20"/>
          <w:szCs w:val="20"/>
          <w:lang w:val="en-CA"/>
        </w:rPr>
        <w:t xml:space="preserve">in compliance with UNDP Standard 5. </w:t>
      </w:r>
    </w:p>
    <w:p w14:paraId="68091F54" w14:textId="77777777" w:rsidR="00CF33D9" w:rsidRDefault="00CF33D9">
      <w:pPr>
        <w:spacing w:line="220" w:lineRule="exact"/>
        <w:jc w:val="both"/>
        <w:rPr>
          <w:rFonts w:ascii="Calibri" w:hAnsi="Calibri" w:cs="Calibri"/>
          <w:sz w:val="20"/>
          <w:szCs w:val="20"/>
          <w:lang w:val="en-CA"/>
        </w:rPr>
      </w:pPr>
    </w:p>
    <w:p w14:paraId="68091F55" w14:textId="77777777" w:rsidR="00CF33D9" w:rsidRDefault="00E3332A">
      <w:pPr>
        <w:spacing w:line="220" w:lineRule="exact"/>
        <w:jc w:val="both"/>
        <w:rPr>
          <w:rFonts w:ascii="Calibri" w:hAnsi="Calibri" w:cs="Calibri"/>
          <w:sz w:val="20"/>
          <w:szCs w:val="20"/>
          <w:lang w:val="en-CA"/>
        </w:rPr>
      </w:pPr>
      <w:r>
        <w:rPr>
          <w:rFonts w:ascii="Calibri" w:hAnsi="Calibri" w:cs="Calibri"/>
          <w:sz w:val="20"/>
          <w:szCs w:val="20"/>
          <w:lang w:val="en-CA"/>
        </w:rPr>
        <w:t>The LAP will detail the procedures and actions that will be undertaken in order to ensure that the capacity, production levels, and standards of living of economically displaced people are improved or at least restored, and that displaced people are compensated adequately.</w:t>
      </w:r>
    </w:p>
    <w:p w14:paraId="68091F56" w14:textId="77777777" w:rsidR="00CF33D9" w:rsidRDefault="00CF33D9">
      <w:pPr>
        <w:spacing w:line="220" w:lineRule="exact"/>
        <w:jc w:val="both"/>
        <w:rPr>
          <w:rFonts w:ascii="Calibri" w:hAnsi="Calibri" w:cs="Calibri"/>
          <w:sz w:val="20"/>
          <w:szCs w:val="20"/>
          <w:lang w:val="en-CA"/>
        </w:rPr>
      </w:pPr>
    </w:p>
    <w:p w14:paraId="68091F57" w14:textId="77777777" w:rsidR="00CF33D9" w:rsidRDefault="00E3332A">
      <w:pPr>
        <w:pStyle w:val="ListParagraph"/>
        <w:numPr>
          <w:ilvl w:val="0"/>
          <w:numId w:val="127"/>
        </w:numPr>
        <w:shd w:val="clear" w:color="auto" w:fill="DEEAF6" w:themeFill="accent1" w:themeFillTint="33"/>
        <w:jc w:val="both"/>
        <w:rPr>
          <w:rFonts w:ascii="Calibri" w:hAnsi="Calibri" w:cs="Calibri"/>
          <w:b/>
          <w:bCs/>
          <w:sz w:val="20"/>
          <w:szCs w:val="20"/>
          <w:u w:val="single"/>
        </w:rPr>
      </w:pPr>
      <w:r>
        <w:rPr>
          <w:rFonts w:ascii="Calibri" w:hAnsi="Calibri" w:cs="Calibri"/>
          <w:b/>
          <w:bCs/>
          <w:sz w:val="20"/>
          <w:szCs w:val="20"/>
          <w:u w:val="single"/>
        </w:rPr>
        <w:t xml:space="preserve">Capacity needs assessments </w:t>
      </w:r>
    </w:p>
    <w:p w14:paraId="68091F58" w14:textId="77777777" w:rsidR="00CF33D9" w:rsidRDefault="00E3332A">
      <w:pPr>
        <w:spacing w:before="360" w:line="220" w:lineRule="exact"/>
        <w:jc w:val="both"/>
        <w:rPr>
          <w:rFonts w:ascii="Calibri" w:hAnsi="Calibri" w:cs="Calibri"/>
          <w:b/>
          <w:bCs/>
          <w:i/>
          <w:iCs/>
          <w:sz w:val="20"/>
          <w:szCs w:val="20"/>
          <w:u w:val="single"/>
        </w:rPr>
      </w:pPr>
      <w:r>
        <w:rPr>
          <w:rFonts w:ascii="Calibri" w:hAnsi="Calibri" w:cs="Calibri"/>
          <w:b/>
          <w:bCs/>
          <w:i/>
          <w:iCs/>
          <w:sz w:val="20"/>
          <w:szCs w:val="20"/>
          <w:u w:val="single"/>
        </w:rPr>
        <w:t>Activity 3.1.1.1: Undertake a baseline study for pollution emanating from the fishing vessels to inform policy development.</w:t>
      </w:r>
    </w:p>
    <w:p w14:paraId="68091F59" w14:textId="77777777" w:rsidR="00CF33D9" w:rsidRDefault="00CF33D9">
      <w:pPr>
        <w:spacing w:line="220" w:lineRule="exact"/>
        <w:jc w:val="both"/>
        <w:rPr>
          <w:rFonts w:ascii="Calibri" w:hAnsi="Calibri" w:cs="Calibri"/>
          <w:bCs/>
          <w:color w:val="000000"/>
          <w:sz w:val="20"/>
          <w:szCs w:val="20"/>
        </w:rPr>
      </w:pPr>
    </w:p>
    <w:p w14:paraId="68091F5A" w14:textId="77777777" w:rsidR="00CF33D9" w:rsidRDefault="00E3332A">
      <w:pPr>
        <w:spacing w:line="220" w:lineRule="exact"/>
        <w:jc w:val="both"/>
        <w:rPr>
          <w:rFonts w:ascii="Calibri" w:hAnsi="Calibri" w:cs="Calibri"/>
          <w:b/>
          <w:bCs/>
          <w:sz w:val="20"/>
          <w:szCs w:val="20"/>
          <w:u w:val="single"/>
        </w:rPr>
      </w:pPr>
      <w:r>
        <w:rPr>
          <w:rFonts w:ascii="Calibri" w:hAnsi="Calibri" w:cs="Calibri"/>
          <w:b/>
          <w:bCs/>
          <w:i/>
          <w:iCs/>
          <w:sz w:val="20"/>
          <w:szCs w:val="20"/>
          <w:u w:val="single"/>
        </w:rPr>
        <w:t>Activity 3.1.1.2: Develop harmonized policy, legislation and institutional arrangement models supporting marine pollution prevention and control leading to more harmonized pollution control arrangements (to be in line with guidance from the IMO and relevant sector organisations such as the ISA).</w:t>
      </w:r>
    </w:p>
    <w:p w14:paraId="68091F5B" w14:textId="77777777" w:rsidR="00CF33D9" w:rsidRDefault="00CF33D9">
      <w:pPr>
        <w:spacing w:line="220" w:lineRule="exact"/>
        <w:jc w:val="both"/>
        <w:rPr>
          <w:rFonts w:ascii="Calibri" w:hAnsi="Calibri" w:cs="Calibri"/>
          <w:bCs/>
          <w:color w:val="000000"/>
          <w:sz w:val="20"/>
          <w:szCs w:val="20"/>
        </w:rPr>
      </w:pPr>
    </w:p>
    <w:p w14:paraId="68091F5C" w14:textId="77777777" w:rsidR="00CF33D9" w:rsidRDefault="00E3332A">
      <w:pPr>
        <w:spacing w:line="220" w:lineRule="exact"/>
        <w:jc w:val="both"/>
        <w:rPr>
          <w:rFonts w:ascii="Calibri" w:hAnsi="Calibri" w:cs="Calibri"/>
          <w:b/>
          <w:bCs/>
          <w:i/>
          <w:iCs/>
          <w:sz w:val="20"/>
          <w:szCs w:val="20"/>
          <w:u w:val="single"/>
        </w:rPr>
      </w:pPr>
      <w:r>
        <w:rPr>
          <w:rFonts w:ascii="Calibri" w:hAnsi="Calibri" w:cs="Calibri"/>
          <w:b/>
          <w:bCs/>
          <w:i/>
          <w:iCs/>
          <w:sz w:val="20"/>
          <w:szCs w:val="20"/>
          <w:u w:val="single"/>
        </w:rPr>
        <w:t>Activity 3.1.1.3: Develop new or update existing policy and legal frameworks relating to marine pollution control and management as needed.</w:t>
      </w:r>
    </w:p>
    <w:p w14:paraId="68091F5D" w14:textId="77777777" w:rsidR="00CF33D9" w:rsidRDefault="00CF33D9">
      <w:pPr>
        <w:spacing w:line="220" w:lineRule="exact"/>
        <w:jc w:val="both"/>
        <w:rPr>
          <w:rFonts w:ascii="Calibri" w:hAnsi="Calibri" w:cs="Calibri"/>
          <w:bCs/>
          <w:color w:val="000000"/>
          <w:sz w:val="20"/>
          <w:szCs w:val="20"/>
        </w:rPr>
      </w:pPr>
    </w:p>
    <w:p w14:paraId="68091F5E" w14:textId="77777777" w:rsidR="00CF33D9" w:rsidRDefault="00E3332A">
      <w:pPr>
        <w:spacing w:line="220" w:lineRule="exact"/>
        <w:jc w:val="both"/>
        <w:rPr>
          <w:rFonts w:ascii="Calibri" w:hAnsi="Calibri" w:cs="Calibri"/>
          <w:sz w:val="20"/>
          <w:szCs w:val="20"/>
        </w:rPr>
      </w:pPr>
      <w:r>
        <w:rPr>
          <w:rFonts w:ascii="Calibri" w:hAnsi="Calibri" w:cs="Calibri"/>
          <w:sz w:val="20"/>
          <w:szCs w:val="20"/>
        </w:rPr>
        <w:t>Through a comprehensive analysis of existing international instruments (activity 3.1.1.1.), the project will define a set of ‘model’ policy and legal instruments for countries to give effect to international commitments and to achieve effective control of all marine sources of pollution. Such model instruments will generally include the adoption and integration of important paradigms such as the “precautionary approach”, and the “adaptive management” and “polluter pays” principles.</w:t>
      </w:r>
    </w:p>
    <w:p w14:paraId="68091F5F" w14:textId="77777777" w:rsidR="00CF33D9" w:rsidRDefault="00CF33D9">
      <w:pPr>
        <w:spacing w:line="220" w:lineRule="exact"/>
        <w:jc w:val="both"/>
        <w:rPr>
          <w:rFonts w:ascii="Calibri" w:hAnsi="Calibri" w:cs="Calibri"/>
          <w:sz w:val="20"/>
          <w:szCs w:val="20"/>
        </w:rPr>
      </w:pPr>
    </w:p>
    <w:p w14:paraId="68091F60" w14:textId="77777777" w:rsidR="00CF33D9" w:rsidRDefault="00E3332A">
      <w:pPr>
        <w:spacing w:line="220" w:lineRule="exact"/>
        <w:jc w:val="both"/>
        <w:rPr>
          <w:rFonts w:ascii="Calibri" w:hAnsi="Calibri" w:cs="Calibri"/>
          <w:sz w:val="20"/>
          <w:szCs w:val="20"/>
        </w:rPr>
      </w:pPr>
      <w:r>
        <w:rPr>
          <w:rFonts w:ascii="Calibri" w:hAnsi="Calibri" w:cs="Calibri"/>
          <w:sz w:val="20"/>
          <w:szCs w:val="20"/>
        </w:rPr>
        <w:t xml:space="preserve">Specifically, such models will address, as a minimum </w:t>
      </w:r>
      <w:r>
        <w:rPr>
          <w:rFonts w:ascii="Calibri" w:hAnsi="Calibri" w:cs="Calibri"/>
          <w:i/>
          <w:iCs/>
          <w:sz w:val="20"/>
          <w:szCs w:val="20"/>
        </w:rPr>
        <w:t>inter alia</w:t>
      </w:r>
      <w:r>
        <w:rPr>
          <w:rFonts w:ascii="Calibri" w:hAnsi="Calibri" w:cs="Calibri"/>
          <w:sz w:val="20"/>
          <w:szCs w:val="20"/>
        </w:rPr>
        <w:t>:</w:t>
      </w:r>
    </w:p>
    <w:p w14:paraId="68091F61" w14:textId="77777777" w:rsidR="00CF33D9" w:rsidRDefault="00E3332A">
      <w:pPr>
        <w:pStyle w:val="ListParagraph"/>
        <w:numPr>
          <w:ilvl w:val="0"/>
          <w:numId w:val="128"/>
        </w:numPr>
        <w:spacing w:line="220" w:lineRule="exact"/>
        <w:contextualSpacing/>
        <w:jc w:val="both"/>
        <w:rPr>
          <w:rFonts w:ascii="Calibri" w:hAnsi="Calibri" w:cs="Calibri"/>
          <w:sz w:val="20"/>
          <w:szCs w:val="20"/>
          <w:lang w:val="en-CA"/>
        </w:rPr>
      </w:pPr>
      <w:r>
        <w:rPr>
          <w:rFonts w:ascii="Calibri" w:hAnsi="Calibri" w:cs="Calibri"/>
          <w:sz w:val="20"/>
          <w:szCs w:val="20"/>
          <w:lang w:val="en-CA"/>
        </w:rPr>
        <w:t>appropriate discharge quality standards in accordance with international best practice.</w:t>
      </w:r>
    </w:p>
    <w:p w14:paraId="68091F62" w14:textId="77777777" w:rsidR="00CF33D9" w:rsidRDefault="00E3332A">
      <w:pPr>
        <w:pStyle w:val="ListParagraph"/>
        <w:numPr>
          <w:ilvl w:val="0"/>
          <w:numId w:val="128"/>
        </w:numPr>
        <w:spacing w:line="220" w:lineRule="exact"/>
        <w:contextualSpacing/>
        <w:jc w:val="both"/>
        <w:rPr>
          <w:rFonts w:ascii="Calibri" w:hAnsi="Calibri" w:cs="Calibri"/>
          <w:sz w:val="20"/>
          <w:szCs w:val="20"/>
          <w:lang w:val="en-CA"/>
        </w:rPr>
      </w:pPr>
      <w:r>
        <w:rPr>
          <w:rFonts w:ascii="Calibri" w:hAnsi="Calibri" w:cs="Calibri"/>
          <w:sz w:val="20"/>
          <w:szCs w:val="20"/>
          <w:lang w:val="en-CA"/>
        </w:rPr>
        <w:t>appropriate atmospheric emissions standards including with regard to venting and flaring of associated gas.</w:t>
      </w:r>
    </w:p>
    <w:p w14:paraId="68091F63" w14:textId="77777777" w:rsidR="00CF33D9" w:rsidRDefault="00E3332A">
      <w:pPr>
        <w:pStyle w:val="ListParagraph"/>
        <w:numPr>
          <w:ilvl w:val="0"/>
          <w:numId w:val="128"/>
        </w:numPr>
        <w:spacing w:line="220" w:lineRule="exact"/>
        <w:contextualSpacing/>
        <w:jc w:val="both"/>
        <w:rPr>
          <w:rFonts w:ascii="Calibri" w:hAnsi="Calibri" w:cs="Calibri"/>
          <w:sz w:val="20"/>
          <w:szCs w:val="20"/>
          <w:lang w:val="en-CA"/>
        </w:rPr>
      </w:pPr>
      <w:r>
        <w:rPr>
          <w:rFonts w:ascii="Calibri" w:hAnsi="Calibri" w:cs="Calibri"/>
          <w:sz w:val="20"/>
          <w:szCs w:val="20"/>
          <w:lang w:val="en-CA"/>
        </w:rPr>
        <w:t>environmental management planning requirements including with respect to waste management.</w:t>
      </w:r>
    </w:p>
    <w:p w14:paraId="68091F64" w14:textId="77777777" w:rsidR="00CF33D9" w:rsidRDefault="00E3332A">
      <w:pPr>
        <w:pStyle w:val="ListParagraph"/>
        <w:numPr>
          <w:ilvl w:val="0"/>
          <w:numId w:val="128"/>
        </w:numPr>
        <w:spacing w:line="220" w:lineRule="exact"/>
        <w:contextualSpacing/>
        <w:jc w:val="both"/>
        <w:rPr>
          <w:rFonts w:ascii="Calibri" w:hAnsi="Calibri" w:cs="Calibri"/>
          <w:sz w:val="20"/>
          <w:szCs w:val="20"/>
          <w:lang w:val="en-CA"/>
        </w:rPr>
      </w:pPr>
      <w:r>
        <w:rPr>
          <w:rFonts w:ascii="Calibri" w:hAnsi="Calibri" w:cs="Calibri"/>
          <w:sz w:val="20"/>
          <w:szCs w:val="20"/>
          <w:lang w:val="en-CA"/>
        </w:rPr>
        <w:t>requirements for offshore installation (Tier 1) marine oil spill contingency plans.</w:t>
      </w:r>
    </w:p>
    <w:p w14:paraId="68091F65" w14:textId="77777777" w:rsidR="00CF33D9" w:rsidRDefault="00E3332A">
      <w:pPr>
        <w:pStyle w:val="ListParagraph"/>
        <w:numPr>
          <w:ilvl w:val="0"/>
          <w:numId w:val="128"/>
        </w:numPr>
        <w:spacing w:line="220" w:lineRule="exact"/>
        <w:contextualSpacing/>
        <w:jc w:val="both"/>
        <w:rPr>
          <w:rFonts w:ascii="Calibri" w:hAnsi="Calibri" w:cs="Calibri"/>
          <w:sz w:val="20"/>
          <w:szCs w:val="20"/>
          <w:lang w:val="en-CA"/>
        </w:rPr>
      </w:pPr>
      <w:r>
        <w:rPr>
          <w:rFonts w:ascii="Calibri" w:hAnsi="Calibri" w:cs="Calibri"/>
          <w:sz w:val="20"/>
          <w:szCs w:val="20"/>
          <w:lang w:val="en-CA"/>
        </w:rPr>
        <w:t>selection, use and management of hazardous substances; and</w:t>
      </w:r>
    </w:p>
    <w:p w14:paraId="68091F66" w14:textId="77777777" w:rsidR="00CF33D9" w:rsidRDefault="00E3332A">
      <w:pPr>
        <w:pStyle w:val="ListParagraph"/>
        <w:numPr>
          <w:ilvl w:val="0"/>
          <w:numId w:val="128"/>
        </w:numPr>
        <w:spacing w:line="220" w:lineRule="exact"/>
        <w:contextualSpacing/>
        <w:jc w:val="both"/>
        <w:rPr>
          <w:rFonts w:ascii="Calibri" w:hAnsi="Calibri" w:cs="Calibri"/>
          <w:sz w:val="20"/>
          <w:szCs w:val="20"/>
          <w:lang w:val="en-CA"/>
        </w:rPr>
      </w:pPr>
      <w:r>
        <w:rPr>
          <w:rFonts w:ascii="Calibri" w:hAnsi="Calibri" w:cs="Calibri"/>
          <w:sz w:val="20"/>
          <w:szCs w:val="20"/>
          <w:lang w:val="en-CA"/>
        </w:rPr>
        <w:t>requirements relating to conservation and protection of marine biodiversity.</w:t>
      </w:r>
    </w:p>
    <w:p w14:paraId="68091F67" w14:textId="77777777" w:rsidR="00CF33D9" w:rsidRDefault="00CF33D9">
      <w:pPr>
        <w:spacing w:line="220" w:lineRule="exact"/>
        <w:jc w:val="both"/>
        <w:rPr>
          <w:rFonts w:ascii="Calibri" w:hAnsi="Calibri" w:cs="Calibri"/>
          <w:sz w:val="20"/>
          <w:szCs w:val="20"/>
        </w:rPr>
      </w:pPr>
    </w:p>
    <w:p w14:paraId="68091F68" w14:textId="77777777" w:rsidR="00CF33D9" w:rsidRDefault="00E3332A">
      <w:pPr>
        <w:spacing w:line="220" w:lineRule="exact"/>
        <w:jc w:val="both"/>
        <w:rPr>
          <w:rFonts w:ascii="Calibri" w:hAnsi="Calibri" w:cs="Calibri"/>
          <w:sz w:val="20"/>
          <w:szCs w:val="20"/>
        </w:rPr>
      </w:pPr>
      <w:r>
        <w:rPr>
          <w:rFonts w:ascii="Calibri" w:hAnsi="Calibri" w:cs="Calibri"/>
          <w:sz w:val="20"/>
          <w:szCs w:val="20"/>
        </w:rPr>
        <w:t>Once the model instruments have been defined, the relevant national policy, legal and institutional arrangements will be reviewed and updated for each of the participating countries (Activity 3.1.1.3). To ensure that the implementing partners have the adequate capacity to expand the monitoring of coastal water quality, sediments and marine organisms in pollution hotspot the project will develop adequate capacity needs assessments to identify key institutional capacity gaps and design tailor made and targeted training to address those gaps.</w:t>
      </w:r>
    </w:p>
    <w:p w14:paraId="68091F69" w14:textId="77777777" w:rsidR="00CF33D9" w:rsidRDefault="00CF33D9">
      <w:pPr>
        <w:spacing w:line="220" w:lineRule="exact"/>
        <w:jc w:val="both"/>
        <w:rPr>
          <w:rFonts w:ascii="Calibri" w:hAnsi="Calibri" w:cs="Calibri"/>
          <w:sz w:val="20"/>
          <w:szCs w:val="20"/>
        </w:rPr>
      </w:pPr>
    </w:p>
    <w:p w14:paraId="68091F6A" w14:textId="77777777" w:rsidR="00CF33D9" w:rsidRDefault="00E3332A">
      <w:pPr>
        <w:spacing w:line="220" w:lineRule="exact"/>
        <w:jc w:val="both"/>
        <w:rPr>
          <w:rFonts w:ascii="Calibri" w:hAnsi="Calibri" w:cs="Calibri"/>
          <w:sz w:val="20"/>
          <w:szCs w:val="20"/>
        </w:rPr>
      </w:pPr>
      <w:r>
        <w:rPr>
          <w:rFonts w:ascii="Calibri" w:hAnsi="Calibri" w:cs="Calibri"/>
          <w:sz w:val="20"/>
          <w:szCs w:val="20"/>
        </w:rPr>
        <w:t>UNDP has developed a methodology for conducting capacity assessments that is systematic and rigorous yet flexible and adaptable. The methodology provides a structure for discussion about the scale, scope and process of a capacity assessment exercise. It consists of:</w:t>
      </w:r>
    </w:p>
    <w:p w14:paraId="68091F6B" w14:textId="77777777" w:rsidR="00CF33D9" w:rsidRDefault="00E3332A">
      <w:pPr>
        <w:pStyle w:val="ListParagraph"/>
        <w:numPr>
          <w:ilvl w:val="0"/>
          <w:numId w:val="130"/>
        </w:numPr>
        <w:spacing w:line="220" w:lineRule="exact"/>
        <w:contextualSpacing/>
        <w:jc w:val="both"/>
        <w:rPr>
          <w:rFonts w:ascii="Calibri" w:hAnsi="Calibri" w:cs="Calibri"/>
          <w:sz w:val="20"/>
          <w:szCs w:val="20"/>
        </w:rPr>
      </w:pPr>
      <w:r>
        <w:rPr>
          <w:rFonts w:ascii="Calibri" w:hAnsi="Calibri" w:cs="Calibri"/>
          <w:sz w:val="20"/>
          <w:szCs w:val="20"/>
        </w:rPr>
        <w:t>the UNDP Capacity Assessment Framework.</w:t>
      </w:r>
    </w:p>
    <w:p w14:paraId="68091F6C" w14:textId="77777777" w:rsidR="00CF33D9" w:rsidRDefault="00E3332A">
      <w:pPr>
        <w:pStyle w:val="ListParagraph"/>
        <w:numPr>
          <w:ilvl w:val="0"/>
          <w:numId w:val="130"/>
        </w:numPr>
        <w:spacing w:line="220" w:lineRule="exact"/>
        <w:contextualSpacing/>
        <w:jc w:val="both"/>
        <w:rPr>
          <w:rFonts w:ascii="Calibri" w:hAnsi="Calibri" w:cs="Calibri"/>
          <w:sz w:val="20"/>
          <w:szCs w:val="20"/>
        </w:rPr>
      </w:pPr>
      <w:r>
        <w:rPr>
          <w:rFonts w:ascii="Calibri" w:hAnsi="Calibri" w:cs="Calibri"/>
          <w:sz w:val="20"/>
          <w:szCs w:val="20"/>
        </w:rPr>
        <w:t>A process for conducting a capacity assessment.</w:t>
      </w:r>
    </w:p>
    <w:p w14:paraId="68091F6D" w14:textId="77777777" w:rsidR="00CF33D9" w:rsidRDefault="00E3332A">
      <w:pPr>
        <w:pStyle w:val="ListParagraph"/>
        <w:numPr>
          <w:ilvl w:val="0"/>
          <w:numId w:val="130"/>
        </w:numPr>
        <w:spacing w:line="220" w:lineRule="exact"/>
        <w:contextualSpacing/>
        <w:jc w:val="both"/>
        <w:rPr>
          <w:rFonts w:ascii="Calibri" w:hAnsi="Calibri" w:cs="Calibri"/>
          <w:sz w:val="20"/>
          <w:szCs w:val="20"/>
        </w:rPr>
      </w:pPr>
      <w:r>
        <w:rPr>
          <w:rFonts w:ascii="Calibri" w:hAnsi="Calibri" w:cs="Calibri"/>
          <w:sz w:val="20"/>
          <w:szCs w:val="20"/>
        </w:rPr>
        <w:t>Supporting tools.</w:t>
      </w:r>
    </w:p>
    <w:p w14:paraId="68091F6E" w14:textId="77777777" w:rsidR="00CF33D9" w:rsidRDefault="00CF33D9">
      <w:pPr>
        <w:jc w:val="both"/>
        <w:rPr>
          <w:rFonts w:ascii="Calibri" w:hAnsi="Calibri" w:cs="Calibri"/>
          <w:sz w:val="20"/>
          <w:szCs w:val="20"/>
        </w:rPr>
      </w:pPr>
    </w:p>
    <w:p w14:paraId="68091F6F" w14:textId="77777777" w:rsidR="00CF33D9" w:rsidRDefault="00E3332A">
      <w:pPr>
        <w:pStyle w:val="ListParagraph"/>
        <w:numPr>
          <w:ilvl w:val="0"/>
          <w:numId w:val="127"/>
        </w:numPr>
        <w:shd w:val="clear" w:color="auto" w:fill="DEEAF6" w:themeFill="accent1" w:themeFillTint="33"/>
        <w:jc w:val="both"/>
        <w:rPr>
          <w:rFonts w:ascii="Calibri" w:hAnsi="Calibri" w:cs="Calibri"/>
          <w:b/>
          <w:bCs/>
          <w:sz w:val="20"/>
          <w:szCs w:val="20"/>
          <w:u w:val="single"/>
        </w:rPr>
      </w:pPr>
      <w:r>
        <w:rPr>
          <w:rFonts w:ascii="Calibri" w:hAnsi="Calibri" w:cs="Calibri"/>
          <w:b/>
          <w:bCs/>
          <w:sz w:val="20"/>
          <w:szCs w:val="20"/>
          <w:u w:val="single"/>
        </w:rPr>
        <w:t>Free, Prior and Informed Consent</w:t>
      </w:r>
    </w:p>
    <w:p w14:paraId="68091F70" w14:textId="77777777" w:rsidR="00CF33D9" w:rsidRDefault="00E3332A">
      <w:pPr>
        <w:spacing w:line="220" w:lineRule="exact"/>
        <w:jc w:val="both"/>
        <w:rPr>
          <w:rFonts w:ascii="Calibri" w:hAnsi="Calibri" w:cs="Calibri"/>
          <w:sz w:val="20"/>
          <w:szCs w:val="20"/>
        </w:rPr>
      </w:pPr>
      <w:r>
        <w:rPr>
          <w:rFonts w:ascii="Calibri" w:hAnsi="Calibri" w:cs="Calibri"/>
          <w:sz w:val="20"/>
          <w:szCs w:val="20"/>
        </w:rPr>
        <w:t xml:space="preserve">According to UNDP’s SES 6, it is required that projects are design not only with the full, effective and meaningful participation of indigenous peoples, but also in a manner which aligns with their distinct vision and development priorities in order to build sustainable partnerships with indigenous peoples. Through the implementation of Standard 6, UNDP aims to avoid adverse impacts on indigenous peoples, their rights, their lands, territories and resources and ensure equitable and culturally appropriate benefit sharing with indigenous peoples. </w:t>
      </w:r>
    </w:p>
    <w:p w14:paraId="68091F71" w14:textId="77777777" w:rsidR="00CF33D9" w:rsidRDefault="00CF33D9">
      <w:pPr>
        <w:spacing w:line="220" w:lineRule="exact"/>
        <w:jc w:val="both"/>
        <w:rPr>
          <w:rFonts w:ascii="Calibri" w:hAnsi="Calibri" w:cs="Calibri"/>
          <w:sz w:val="20"/>
          <w:szCs w:val="20"/>
        </w:rPr>
      </w:pPr>
    </w:p>
    <w:p w14:paraId="68091F72" w14:textId="77777777" w:rsidR="00CF33D9" w:rsidRDefault="00E3332A">
      <w:pPr>
        <w:spacing w:line="220" w:lineRule="exact"/>
        <w:jc w:val="both"/>
        <w:rPr>
          <w:rFonts w:ascii="Calibri" w:hAnsi="Calibri" w:cs="Calibri"/>
          <w:sz w:val="20"/>
          <w:szCs w:val="20"/>
        </w:rPr>
      </w:pPr>
      <w:r>
        <w:rPr>
          <w:rFonts w:ascii="Calibri" w:hAnsi="Calibri" w:cs="Calibri"/>
          <w:sz w:val="20"/>
          <w:szCs w:val="20"/>
        </w:rPr>
        <w:t xml:space="preserve">This Standard has been triggered on a precautionary basis. Although no indigenous peoples were identified in the Stakeholder Analysis developed during the PPG, a deeper analysis will be carried out before the project’s inception. If Indigenous peoples are identified in the project’s area, in this analysis, an </w:t>
      </w:r>
      <w:r>
        <w:rPr>
          <w:rFonts w:ascii="Calibri" w:hAnsi="Calibri" w:cs="Calibri"/>
          <w:b/>
          <w:bCs/>
          <w:sz w:val="20"/>
          <w:szCs w:val="20"/>
        </w:rPr>
        <w:t xml:space="preserve">Indigenous Peoples Planning Framework (IPPF) and Indigenous Peoples Plan (IPP) </w:t>
      </w:r>
      <w:r>
        <w:rPr>
          <w:rFonts w:ascii="Calibri" w:hAnsi="Calibri" w:cs="Calibri"/>
          <w:sz w:val="20"/>
          <w:szCs w:val="20"/>
        </w:rPr>
        <w:t xml:space="preserve">will be developed outlining the procedures for FPIC implementation. The FPIC process should be well-documented in writing and reflected in the IPP/IPPF and made publicly available. The outcomes documentation should clarify if consent was provided or withheld and record whether the community provided consent through an oral contract. </w:t>
      </w:r>
    </w:p>
    <w:p w14:paraId="68091F73" w14:textId="77777777" w:rsidR="00CF33D9" w:rsidRDefault="00CF33D9">
      <w:pPr>
        <w:spacing w:line="220" w:lineRule="exact"/>
        <w:jc w:val="both"/>
        <w:rPr>
          <w:rFonts w:ascii="Calibri" w:hAnsi="Calibri" w:cs="Calibri"/>
          <w:sz w:val="20"/>
          <w:szCs w:val="20"/>
        </w:rPr>
      </w:pPr>
    </w:p>
    <w:p w14:paraId="68091F74" w14:textId="77777777" w:rsidR="00CF33D9" w:rsidRDefault="00E3332A">
      <w:pPr>
        <w:spacing w:line="220" w:lineRule="exact"/>
        <w:jc w:val="both"/>
        <w:rPr>
          <w:rFonts w:ascii="Calibri" w:hAnsi="Calibri" w:cs="Calibri"/>
          <w:sz w:val="20"/>
          <w:szCs w:val="20"/>
        </w:rPr>
      </w:pPr>
      <w:r>
        <w:rPr>
          <w:rFonts w:ascii="Calibri" w:hAnsi="Calibri" w:cs="Calibri"/>
          <w:sz w:val="20"/>
          <w:szCs w:val="20"/>
        </w:rPr>
        <w:t xml:space="preserve">The IPP needs to be in place and mitigation measures taken prior to the conduct of any activity that may cause adverse impacts on indigenous peoples, including the existence, value, use or enjoyment of their lands, resources, or territories. It will be conducted by qualified independent experts on indigenous peoples. </w:t>
      </w:r>
    </w:p>
    <w:p w14:paraId="68091F75" w14:textId="77777777" w:rsidR="00CF33D9" w:rsidRDefault="00CF33D9">
      <w:pPr>
        <w:spacing w:line="220" w:lineRule="exact"/>
        <w:jc w:val="both"/>
        <w:rPr>
          <w:rFonts w:ascii="Calibri" w:hAnsi="Calibri" w:cs="Calibri"/>
          <w:sz w:val="20"/>
          <w:szCs w:val="20"/>
        </w:rPr>
      </w:pPr>
    </w:p>
    <w:p w14:paraId="68091F76" w14:textId="77777777" w:rsidR="00CF33D9" w:rsidRDefault="00E3332A">
      <w:pPr>
        <w:pStyle w:val="ListParagraph"/>
        <w:numPr>
          <w:ilvl w:val="0"/>
          <w:numId w:val="127"/>
        </w:numPr>
        <w:shd w:val="clear" w:color="auto" w:fill="DEEAF6" w:themeFill="accent1" w:themeFillTint="33"/>
        <w:spacing w:line="220" w:lineRule="exact"/>
        <w:jc w:val="both"/>
        <w:rPr>
          <w:rFonts w:ascii="Calibri" w:hAnsi="Calibri" w:cs="Calibri"/>
          <w:b/>
          <w:bCs/>
          <w:sz w:val="20"/>
          <w:szCs w:val="20"/>
          <w:u w:val="single"/>
        </w:rPr>
      </w:pPr>
      <w:r>
        <w:rPr>
          <w:rFonts w:ascii="Calibri" w:hAnsi="Calibri" w:cs="Calibri"/>
          <w:b/>
          <w:bCs/>
          <w:sz w:val="20"/>
          <w:szCs w:val="20"/>
          <w:u w:val="single"/>
        </w:rPr>
        <w:t>Private sector engagement</w:t>
      </w:r>
    </w:p>
    <w:p w14:paraId="68091F77" w14:textId="77777777" w:rsidR="00CF33D9" w:rsidRDefault="00CF33D9">
      <w:pPr>
        <w:spacing w:line="220" w:lineRule="exact"/>
        <w:jc w:val="both"/>
        <w:rPr>
          <w:rFonts w:ascii="Calibri" w:hAnsi="Calibri" w:cs="Calibri"/>
          <w:sz w:val="20"/>
          <w:szCs w:val="20"/>
        </w:rPr>
      </w:pPr>
    </w:p>
    <w:p w14:paraId="68091F78" w14:textId="77777777" w:rsidR="00CF33D9" w:rsidRDefault="00E3332A">
      <w:pPr>
        <w:spacing w:line="220" w:lineRule="exact"/>
        <w:jc w:val="both"/>
        <w:rPr>
          <w:rFonts w:ascii="Calibri" w:hAnsi="Calibri" w:cs="Calibri"/>
          <w:b/>
          <w:bCs/>
          <w:i/>
          <w:iCs/>
          <w:sz w:val="20"/>
          <w:szCs w:val="20"/>
          <w:u w:val="single"/>
        </w:rPr>
      </w:pPr>
      <w:r>
        <w:rPr>
          <w:rFonts w:ascii="Calibri" w:hAnsi="Calibri" w:cs="Calibri"/>
          <w:b/>
          <w:bCs/>
          <w:i/>
          <w:iCs/>
          <w:sz w:val="20"/>
          <w:szCs w:val="20"/>
          <w:u w:val="single"/>
        </w:rPr>
        <w:t>Activity 1.4.2.4. Develop and adopt, at pilot scale and in partnership with selected industry partners, an industry self-regulation, monitoring and reporting process across relevant extractive industries by [end of year 3] to achieve stress reduction within selected pilot sites.</w:t>
      </w:r>
    </w:p>
    <w:p w14:paraId="68091F79" w14:textId="77777777" w:rsidR="00CF33D9" w:rsidRDefault="00CF33D9">
      <w:pPr>
        <w:spacing w:line="220" w:lineRule="exact"/>
        <w:jc w:val="both"/>
        <w:rPr>
          <w:rFonts w:ascii="Calibri" w:hAnsi="Calibri" w:cs="Calibri"/>
          <w:sz w:val="20"/>
          <w:szCs w:val="20"/>
        </w:rPr>
      </w:pPr>
    </w:p>
    <w:p w14:paraId="68091F7A" w14:textId="77777777" w:rsidR="00CF33D9" w:rsidRDefault="00E3332A">
      <w:pPr>
        <w:spacing w:line="220" w:lineRule="exact"/>
        <w:jc w:val="both"/>
        <w:rPr>
          <w:rFonts w:ascii="Calibri" w:hAnsi="Calibri" w:cs="Calibri"/>
          <w:sz w:val="20"/>
          <w:szCs w:val="20"/>
        </w:rPr>
      </w:pPr>
      <w:r>
        <w:rPr>
          <w:rFonts w:ascii="Calibri" w:hAnsi="Calibri" w:cs="Calibri"/>
          <w:sz w:val="20"/>
          <w:szCs w:val="20"/>
        </w:rPr>
        <w:t>The activity is closely linked to Outputs 1.4.1 and 3.3.1 and will provide an opportunity to pilot new regulatory requirements relating to those adopted performance-based approaches that rely on operators to identify environmental risks and defines strategies to minimize or avoid those risks. Under this activity [two] operators [one for oil and gas and one for mining] will be identified to collaborate with the relevant stakeholder committees to trial the implementation.</w:t>
      </w:r>
    </w:p>
    <w:p w14:paraId="68091F7B" w14:textId="77777777" w:rsidR="00CF33D9" w:rsidRDefault="00CF33D9">
      <w:pPr>
        <w:spacing w:line="220" w:lineRule="exact"/>
        <w:jc w:val="both"/>
        <w:rPr>
          <w:rFonts w:ascii="Calibri" w:hAnsi="Calibri" w:cs="Calibri"/>
          <w:sz w:val="20"/>
          <w:szCs w:val="20"/>
        </w:rPr>
      </w:pPr>
    </w:p>
    <w:p w14:paraId="68091F7C" w14:textId="77777777" w:rsidR="00CF33D9" w:rsidRDefault="00E3332A">
      <w:pPr>
        <w:spacing w:line="220" w:lineRule="exact"/>
        <w:jc w:val="both"/>
        <w:rPr>
          <w:rFonts w:ascii="Calibri" w:hAnsi="Calibri" w:cs="Calibri"/>
          <w:sz w:val="20"/>
          <w:szCs w:val="20"/>
        </w:rPr>
      </w:pPr>
      <w:r>
        <w:rPr>
          <w:rFonts w:ascii="Calibri" w:hAnsi="Calibri" w:cs="Calibri"/>
          <w:sz w:val="20"/>
          <w:szCs w:val="20"/>
        </w:rPr>
        <w:t xml:space="preserve">The project will ensure that the selected industry partners are compliant with </w:t>
      </w:r>
      <w:hyperlink r:id="rId96" w:history="1">
        <w:r>
          <w:rPr>
            <w:rStyle w:val="Hyperlink"/>
            <w:rFonts w:ascii="Calibri" w:hAnsi="Calibri" w:cs="Calibri"/>
            <w:sz w:val="20"/>
            <w:szCs w:val="20"/>
          </w:rPr>
          <w:t>UNDP Policy on Due Diligence and Partnerships with the Private Sector</w:t>
        </w:r>
      </w:hyperlink>
      <w:r>
        <w:rPr>
          <w:rFonts w:ascii="Calibri" w:hAnsi="Calibri" w:cs="Calibri"/>
          <w:sz w:val="20"/>
          <w:szCs w:val="20"/>
        </w:rPr>
        <w:t xml:space="preserve"> and UNDP’s Social and Environmental Safeguards requirements. </w:t>
      </w:r>
    </w:p>
    <w:p w14:paraId="68091F7D" w14:textId="77777777" w:rsidR="00CF33D9" w:rsidRDefault="00CF33D9">
      <w:pPr>
        <w:spacing w:line="220" w:lineRule="exact"/>
        <w:jc w:val="both"/>
        <w:rPr>
          <w:rFonts w:ascii="Calibri" w:hAnsi="Calibri" w:cs="Calibri"/>
          <w:sz w:val="20"/>
          <w:szCs w:val="20"/>
        </w:rPr>
      </w:pPr>
    </w:p>
    <w:p w14:paraId="68091F7E" w14:textId="77777777" w:rsidR="00CF33D9" w:rsidRDefault="00E3332A">
      <w:pPr>
        <w:spacing w:line="220" w:lineRule="exact"/>
        <w:jc w:val="both"/>
        <w:rPr>
          <w:rFonts w:ascii="Calibri" w:hAnsi="Calibri" w:cs="Calibri"/>
          <w:sz w:val="20"/>
          <w:szCs w:val="20"/>
        </w:rPr>
      </w:pPr>
      <w:r>
        <w:rPr>
          <w:rFonts w:ascii="Calibri" w:hAnsi="Calibri" w:cs="Calibri"/>
          <w:sz w:val="20"/>
          <w:szCs w:val="20"/>
        </w:rPr>
        <w:t xml:space="preserve">The project will conduct a Risk Assessment as part of the Due Diligence which is a mandatory requirement for any type of partnership between UNDP and a private sector entity. Special attention is paid to complete it well in advance of the planned partnership. The level of due diligence applied will be influenced by the type of partnership and the sector of activity. In addition, the private sector entity will be screened against a UNDP defined set of exclusionary criteria outlining those business practices considered unacceptable to the organization.  </w:t>
      </w:r>
    </w:p>
    <w:p w14:paraId="68091F7F" w14:textId="77777777" w:rsidR="00CF33D9" w:rsidRDefault="00CF33D9">
      <w:pPr>
        <w:spacing w:line="220" w:lineRule="exact"/>
        <w:jc w:val="both"/>
        <w:rPr>
          <w:rFonts w:ascii="Calibri" w:hAnsi="Calibri" w:cs="Calibri"/>
          <w:sz w:val="20"/>
          <w:szCs w:val="20"/>
        </w:rPr>
      </w:pPr>
    </w:p>
    <w:p w14:paraId="68091F80" w14:textId="77777777" w:rsidR="00CF33D9" w:rsidRDefault="00E3332A">
      <w:pPr>
        <w:pStyle w:val="ListParagraph"/>
        <w:numPr>
          <w:ilvl w:val="0"/>
          <w:numId w:val="127"/>
        </w:numPr>
        <w:shd w:val="clear" w:color="auto" w:fill="DEEAF6" w:themeFill="accent1" w:themeFillTint="33"/>
        <w:spacing w:line="220" w:lineRule="exact"/>
        <w:jc w:val="both"/>
        <w:rPr>
          <w:rFonts w:ascii="Calibri" w:hAnsi="Calibri" w:cs="Calibri"/>
          <w:b/>
          <w:bCs/>
          <w:sz w:val="20"/>
          <w:szCs w:val="20"/>
          <w:u w:val="single"/>
        </w:rPr>
      </w:pPr>
      <w:r>
        <w:rPr>
          <w:rFonts w:ascii="Calibri" w:hAnsi="Calibri" w:cs="Calibri"/>
          <w:b/>
          <w:bCs/>
          <w:sz w:val="20"/>
          <w:szCs w:val="20"/>
          <w:u w:val="single"/>
        </w:rPr>
        <w:t>Identification of financial resources for community-based climate-resilient ecosystem restoration</w:t>
      </w:r>
    </w:p>
    <w:p w14:paraId="68091F81" w14:textId="77777777" w:rsidR="00CF33D9" w:rsidRDefault="00CF33D9">
      <w:pPr>
        <w:spacing w:line="220" w:lineRule="exact"/>
        <w:jc w:val="both"/>
        <w:rPr>
          <w:rFonts w:ascii="Calibri" w:hAnsi="Calibri" w:cs="Calibri"/>
          <w:sz w:val="20"/>
          <w:szCs w:val="20"/>
        </w:rPr>
      </w:pPr>
    </w:p>
    <w:p w14:paraId="68091F82" w14:textId="77777777" w:rsidR="00CF33D9" w:rsidRDefault="00E3332A">
      <w:pPr>
        <w:spacing w:line="220" w:lineRule="exact"/>
        <w:jc w:val="both"/>
        <w:rPr>
          <w:rFonts w:ascii="Calibri" w:hAnsi="Calibri" w:cs="Calibri"/>
          <w:b/>
          <w:bCs/>
          <w:i/>
          <w:iCs/>
          <w:sz w:val="20"/>
          <w:szCs w:val="20"/>
          <w:u w:val="single"/>
        </w:rPr>
      </w:pPr>
      <w:r>
        <w:rPr>
          <w:rFonts w:ascii="Calibri" w:hAnsi="Calibri" w:cs="Calibri"/>
          <w:b/>
          <w:bCs/>
          <w:i/>
          <w:iCs/>
          <w:sz w:val="20"/>
          <w:szCs w:val="20"/>
          <w:u w:val="single"/>
        </w:rPr>
        <w:t>Activity 1.2.2.4. Identify and access available financial resources to cover the costs of community-based climate-resilient ecosystem restoration implementations.</w:t>
      </w:r>
    </w:p>
    <w:p w14:paraId="68091F83" w14:textId="77777777" w:rsidR="00CF33D9" w:rsidRDefault="00CF33D9">
      <w:pPr>
        <w:spacing w:line="220" w:lineRule="exact"/>
        <w:jc w:val="both"/>
        <w:rPr>
          <w:rFonts w:ascii="Calibri" w:hAnsi="Calibri" w:cs="Calibri"/>
          <w:b/>
          <w:bCs/>
          <w:i/>
          <w:iCs/>
          <w:sz w:val="20"/>
          <w:szCs w:val="20"/>
          <w:u w:val="single"/>
        </w:rPr>
      </w:pPr>
    </w:p>
    <w:p w14:paraId="68091F84" w14:textId="77777777" w:rsidR="00CF33D9" w:rsidRDefault="00E3332A">
      <w:pPr>
        <w:spacing w:line="220" w:lineRule="exact"/>
        <w:jc w:val="both"/>
        <w:rPr>
          <w:rFonts w:ascii="Calibri" w:hAnsi="Calibri" w:cs="Calibri"/>
          <w:sz w:val="20"/>
          <w:szCs w:val="20"/>
        </w:rPr>
      </w:pPr>
      <w:r>
        <w:rPr>
          <w:rFonts w:ascii="Calibri" w:hAnsi="Calibri" w:cs="Calibri"/>
          <w:sz w:val="20"/>
          <w:szCs w:val="20"/>
        </w:rPr>
        <w:t xml:space="preserve">The successful implementation of community-based restoration must have an adequate financial support. This activity involves identifying and accessing available funding sources to cover those costs. If this funding is not secured, the high expectation created in communities could lead to conflict with the project. Therefore, the project will conduct a targeted assessment to analyze the current climate resilient ecosystem status in the selected MPAs and coastal ecosystems (Activity 1.2.2.2) and the guidelines for consultation in the Stakeholder Engagement Plan developed during the PPG phase will support the consultations and the participatory and tailored development of such restoration plans. A feasibility study should be considered before raising expectations of community members. A fundraising/ financial strategy will be developed to ensure the project will be able to secure the financial resources needed. </w:t>
      </w:r>
    </w:p>
    <w:p w14:paraId="68091F85" w14:textId="77777777" w:rsidR="00CF33D9" w:rsidRDefault="00CF33D9">
      <w:pPr>
        <w:spacing w:line="220" w:lineRule="exact"/>
        <w:jc w:val="both"/>
        <w:rPr>
          <w:rFonts w:ascii="Calibri" w:hAnsi="Calibri" w:cs="Calibri"/>
          <w:sz w:val="20"/>
          <w:szCs w:val="20"/>
        </w:rPr>
      </w:pPr>
    </w:p>
    <w:p w14:paraId="68091F86" w14:textId="77777777" w:rsidR="00CF33D9" w:rsidRDefault="00E3332A">
      <w:pPr>
        <w:pStyle w:val="ListParagraph"/>
        <w:numPr>
          <w:ilvl w:val="0"/>
          <w:numId w:val="127"/>
        </w:numPr>
        <w:shd w:val="clear" w:color="auto" w:fill="DEEAF6" w:themeFill="accent1" w:themeFillTint="33"/>
        <w:jc w:val="both"/>
        <w:rPr>
          <w:rFonts w:ascii="Calibri" w:hAnsi="Calibri" w:cs="Calibri"/>
          <w:b/>
          <w:bCs/>
          <w:sz w:val="20"/>
          <w:szCs w:val="20"/>
          <w:u w:val="single"/>
        </w:rPr>
      </w:pPr>
      <w:r>
        <w:rPr>
          <w:rFonts w:ascii="Calibri" w:hAnsi="Calibri" w:cs="Calibri"/>
          <w:b/>
          <w:bCs/>
          <w:sz w:val="20"/>
          <w:szCs w:val="20"/>
          <w:u w:val="single"/>
        </w:rPr>
        <w:t>Overall project SESP updates</w:t>
      </w:r>
    </w:p>
    <w:p w14:paraId="68091F87" w14:textId="77777777" w:rsidR="00CF33D9" w:rsidRDefault="00E3332A">
      <w:pPr>
        <w:spacing w:line="220" w:lineRule="exact"/>
        <w:rPr>
          <w:rFonts w:ascii="Calibri" w:eastAsia="SimSun" w:hAnsi="Calibri" w:cs="Calibri"/>
          <w:color w:val="000000"/>
          <w:sz w:val="20"/>
          <w:szCs w:val="20"/>
        </w:rPr>
      </w:pPr>
      <w:r>
        <w:rPr>
          <w:rFonts w:ascii="Calibri" w:eastAsia="SimSun" w:hAnsi="Calibri" w:cs="Calibri"/>
          <w:sz w:val="20"/>
          <w:szCs w:val="20"/>
        </w:rPr>
        <w:t xml:space="preserve">During implementation, the project will be re-screened with the UNDP SESP: </w:t>
      </w:r>
    </w:p>
    <w:p w14:paraId="68091F88" w14:textId="77777777" w:rsidR="00CF33D9" w:rsidRDefault="00E3332A">
      <w:pPr>
        <w:numPr>
          <w:ilvl w:val="0"/>
          <w:numId w:val="131"/>
        </w:numPr>
        <w:spacing w:line="220" w:lineRule="exact"/>
        <w:ind w:left="720"/>
        <w:jc w:val="both"/>
        <w:rPr>
          <w:rFonts w:ascii="Calibri" w:eastAsia="SimSun" w:hAnsi="Calibri" w:cs="Calibri"/>
          <w:color w:val="000000"/>
          <w:sz w:val="20"/>
          <w:szCs w:val="20"/>
        </w:rPr>
      </w:pPr>
      <w:r>
        <w:rPr>
          <w:rFonts w:ascii="Calibri" w:eastAsia="SimSun" w:hAnsi="Calibri" w:cs="Calibri"/>
          <w:sz w:val="20"/>
          <w:szCs w:val="20"/>
        </w:rPr>
        <w:t>as prescribed by the project’s SESA, ESIA/ESMP and screening procedures and management plans (as relevant)</w:t>
      </w:r>
    </w:p>
    <w:p w14:paraId="68091F89" w14:textId="77777777" w:rsidR="00CF33D9" w:rsidRDefault="00E3332A">
      <w:pPr>
        <w:numPr>
          <w:ilvl w:val="0"/>
          <w:numId w:val="131"/>
        </w:numPr>
        <w:spacing w:line="220" w:lineRule="exact"/>
        <w:ind w:left="720"/>
        <w:jc w:val="both"/>
        <w:rPr>
          <w:rFonts w:ascii="Calibri" w:eastAsia="SimSun" w:hAnsi="Calibri" w:cs="Calibri"/>
          <w:color w:val="000000"/>
          <w:sz w:val="20"/>
          <w:szCs w:val="20"/>
        </w:rPr>
      </w:pPr>
      <w:r>
        <w:rPr>
          <w:rFonts w:ascii="Calibri" w:eastAsia="SimSun" w:hAnsi="Calibri" w:cs="Calibri"/>
          <w:sz w:val="20"/>
          <w:szCs w:val="20"/>
        </w:rPr>
        <w:t xml:space="preserve">when determined necessary by the Project Manager (after consideration of the advice from PMU staff with responsibility for safeguards), the Project Board, or UNDP; and/or </w:t>
      </w:r>
    </w:p>
    <w:p w14:paraId="68091F8A" w14:textId="77777777" w:rsidR="00CF33D9" w:rsidRDefault="00E3332A">
      <w:pPr>
        <w:numPr>
          <w:ilvl w:val="0"/>
          <w:numId w:val="131"/>
        </w:numPr>
        <w:spacing w:line="220" w:lineRule="exact"/>
        <w:ind w:left="720"/>
        <w:jc w:val="both"/>
        <w:rPr>
          <w:rFonts w:ascii="Calibri" w:eastAsia="SimSun" w:hAnsi="Calibri" w:cs="Calibri"/>
          <w:color w:val="000000"/>
          <w:sz w:val="20"/>
          <w:szCs w:val="20"/>
        </w:rPr>
      </w:pPr>
      <w:r>
        <w:rPr>
          <w:rFonts w:ascii="Calibri" w:eastAsia="SimSun" w:hAnsi="Calibri" w:cs="Calibri"/>
          <w:sz w:val="20"/>
          <w:szCs w:val="20"/>
        </w:rPr>
        <w:t xml:space="preserve">when project circumstances change in a substantive or relevant way. </w:t>
      </w:r>
    </w:p>
    <w:p w14:paraId="68091F8B" w14:textId="77777777" w:rsidR="00CF33D9" w:rsidRDefault="00CF33D9">
      <w:pPr>
        <w:jc w:val="both"/>
        <w:rPr>
          <w:rFonts w:ascii="Calibri" w:hAnsi="Calibri" w:cs="Calibri"/>
          <w:sz w:val="20"/>
          <w:szCs w:val="20"/>
        </w:rPr>
      </w:pPr>
    </w:p>
    <w:p w14:paraId="68091F8C" w14:textId="77777777" w:rsidR="00CF33D9" w:rsidRDefault="00E3332A">
      <w:pPr>
        <w:spacing w:line="220" w:lineRule="exact"/>
        <w:rPr>
          <w:rFonts w:ascii="Calibri" w:hAnsi="Calibri" w:cs="Calibri"/>
          <w:b/>
          <w:bCs/>
          <w:sz w:val="20"/>
          <w:szCs w:val="20"/>
          <w:u w:val="single"/>
        </w:rPr>
      </w:pPr>
      <w:r>
        <w:rPr>
          <w:rFonts w:ascii="Calibri" w:hAnsi="Calibri" w:cs="Calibri"/>
          <w:b/>
          <w:bCs/>
          <w:sz w:val="20"/>
          <w:szCs w:val="20"/>
          <w:u w:val="single"/>
        </w:rPr>
        <w:t xml:space="preserve">Findings of the Preliminary Screening of the PPG expert team </w:t>
      </w:r>
    </w:p>
    <w:p w14:paraId="68091F8D" w14:textId="77777777" w:rsidR="00CF33D9" w:rsidRDefault="00CF33D9">
      <w:pPr>
        <w:spacing w:line="220" w:lineRule="exact"/>
        <w:jc w:val="both"/>
        <w:rPr>
          <w:rFonts w:ascii="Calibri" w:hAnsi="Calibri" w:cs="Calibri"/>
          <w:bCs/>
          <w:color w:val="000000"/>
          <w:sz w:val="20"/>
          <w:szCs w:val="20"/>
        </w:rPr>
      </w:pPr>
    </w:p>
    <w:p w14:paraId="68091F8E" w14:textId="77777777" w:rsidR="00CF33D9" w:rsidRDefault="00E3332A">
      <w:pPr>
        <w:spacing w:line="220" w:lineRule="exact"/>
        <w:jc w:val="both"/>
        <w:rPr>
          <w:rFonts w:ascii="Calibri" w:hAnsi="Calibri" w:cs="Calibri"/>
          <w:bCs/>
          <w:color w:val="000000"/>
          <w:sz w:val="20"/>
          <w:szCs w:val="20"/>
        </w:rPr>
      </w:pPr>
      <w:r>
        <w:rPr>
          <w:rFonts w:ascii="Calibri" w:hAnsi="Calibri" w:cs="Calibri"/>
          <w:bCs/>
          <w:color w:val="000000"/>
          <w:sz w:val="20"/>
          <w:szCs w:val="20"/>
        </w:rPr>
        <w:t xml:space="preserve">The PPG expert team concluded that there is no presence of Indigenous peoples in the identified/proposed demonstration sites. </w:t>
      </w:r>
    </w:p>
    <w:p w14:paraId="68091F8F" w14:textId="77777777" w:rsidR="00CF33D9" w:rsidRDefault="00E3332A">
      <w:pPr>
        <w:spacing w:line="220" w:lineRule="exact"/>
        <w:jc w:val="both"/>
        <w:rPr>
          <w:rFonts w:ascii="Calibri" w:hAnsi="Calibri" w:cs="Calibri"/>
          <w:bCs/>
          <w:color w:val="000000"/>
          <w:sz w:val="20"/>
          <w:szCs w:val="20"/>
        </w:rPr>
      </w:pPr>
      <w:r>
        <w:rPr>
          <w:rFonts w:ascii="Calibri" w:hAnsi="Calibri" w:cs="Calibri"/>
          <w:bCs/>
          <w:color w:val="000000"/>
          <w:sz w:val="20"/>
          <w:szCs w:val="20"/>
        </w:rPr>
        <w:t xml:space="preserve">The PPG expert team concluded that the project will certainly not cause economic displacement but will instead enhance or assist in the creation of economic opportunities. The intention with value addition on seafood waste is to reduce wastage and create opportunities for local communities to make use of products that were otherwise deemed as waste. In Namibia and South Africa, such waste is common in the fish processing industry as it is more mechanized. The intention therefore to join efforts with organizations such as Namibian Ocean Cluster (South Africa doesn’t have one as yet) that will then obtain this waste and employ locals to add value and repackage such products for local use (hence job and economic opportunities). Angola, their fishing industry is not as industrialized. Thus, the aim would be local capacity building for safe handling, processing to increase shelf life (drying, smoking, etc.) A lot of women are involved in this industry, and it will be a good opportunity to enhance gender inclusivity. </w:t>
      </w:r>
    </w:p>
    <w:p w14:paraId="68091F90" w14:textId="77777777" w:rsidR="00CF33D9" w:rsidRDefault="00CF33D9">
      <w:pPr>
        <w:spacing w:line="220" w:lineRule="exact"/>
        <w:jc w:val="both"/>
        <w:rPr>
          <w:rFonts w:ascii="Calibri" w:hAnsi="Calibri" w:cs="Calibri"/>
          <w:bCs/>
          <w:color w:val="000000"/>
          <w:sz w:val="20"/>
          <w:szCs w:val="20"/>
        </w:rPr>
      </w:pPr>
    </w:p>
    <w:p w14:paraId="68091F91" w14:textId="77777777" w:rsidR="00CF33D9" w:rsidRDefault="00E3332A">
      <w:pPr>
        <w:spacing w:line="220" w:lineRule="exact"/>
        <w:jc w:val="both"/>
        <w:rPr>
          <w:rFonts w:ascii="Calibri" w:hAnsi="Calibri" w:cs="Calibri"/>
          <w:b/>
          <w:bCs/>
          <w:sz w:val="20"/>
          <w:szCs w:val="20"/>
          <w:u w:val="single"/>
        </w:rPr>
      </w:pPr>
      <w:r>
        <w:rPr>
          <w:rFonts w:ascii="Calibri" w:hAnsi="Calibri" w:cs="Calibri"/>
          <w:b/>
          <w:bCs/>
          <w:sz w:val="20"/>
          <w:szCs w:val="20"/>
          <w:u w:val="single"/>
        </w:rPr>
        <w:t>Conclusions</w:t>
      </w:r>
    </w:p>
    <w:p w14:paraId="68091F92" w14:textId="77777777" w:rsidR="00CF33D9" w:rsidRDefault="00CF33D9">
      <w:pPr>
        <w:spacing w:line="220" w:lineRule="exact"/>
        <w:jc w:val="both"/>
        <w:rPr>
          <w:rFonts w:ascii="Calibri" w:hAnsi="Calibri" w:cs="Calibri"/>
          <w:b/>
          <w:bCs/>
          <w:sz w:val="20"/>
          <w:szCs w:val="20"/>
          <w:u w:val="single"/>
        </w:rPr>
      </w:pPr>
    </w:p>
    <w:p w14:paraId="68091F93" w14:textId="77777777" w:rsidR="00CF33D9" w:rsidRDefault="00E3332A">
      <w:pPr>
        <w:spacing w:line="220" w:lineRule="exact"/>
        <w:jc w:val="both"/>
        <w:rPr>
          <w:rFonts w:ascii="Calibri" w:hAnsi="Calibri" w:cs="Calibri"/>
          <w:sz w:val="20"/>
          <w:szCs w:val="20"/>
        </w:rPr>
      </w:pPr>
      <w:r>
        <w:rPr>
          <w:rFonts w:ascii="Calibri" w:hAnsi="Calibri" w:cs="Calibri"/>
          <w:sz w:val="20"/>
          <w:szCs w:val="20"/>
        </w:rPr>
        <w:t xml:space="preserve">The procedures above are based on the broad scope of project activities, outputs, and outcomes.  The management strategies are therefore designed to manage those impacts in their broadest sense, and the allocated significance ratings (of High, Substantial and Moderate) are based on a precautionary approach.  The relevance of these risks may vary across sites, and the significance or likelihood of associated risks or impacts is not necessarily uniform across at all locations.  </w:t>
      </w:r>
    </w:p>
    <w:p w14:paraId="68091F94" w14:textId="77777777" w:rsidR="00CF33D9" w:rsidRDefault="00CF33D9">
      <w:pPr>
        <w:spacing w:line="220" w:lineRule="exact"/>
        <w:jc w:val="both"/>
        <w:rPr>
          <w:rFonts w:ascii="Calibri" w:hAnsi="Calibri" w:cs="Calibri"/>
          <w:bCs/>
          <w:color w:val="000000"/>
          <w:sz w:val="20"/>
          <w:szCs w:val="20"/>
        </w:rPr>
      </w:pPr>
    </w:p>
    <w:p w14:paraId="68091F95" w14:textId="77777777" w:rsidR="00CF33D9" w:rsidRDefault="00E3332A">
      <w:pPr>
        <w:spacing w:line="220" w:lineRule="exact"/>
        <w:ind w:left="720"/>
        <w:jc w:val="both"/>
        <w:rPr>
          <w:rFonts w:ascii="Calibri" w:hAnsi="Calibri" w:cs="Calibri"/>
          <w:sz w:val="20"/>
          <w:szCs w:val="20"/>
        </w:rPr>
      </w:pPr>
      <w:r>
        <w:rPr>
          <w:rFonts w:ascii="Calibri" w:hAnsi="Calibri" w:cs="Calibri"/>
          <w:b/>
          <w:sz w:val="20"/>
          <w:szCs w:val="20"/>
          <w:u w:val="single"/>
        </w:rPr>
        <w:t xml:space="preserve">Screening </w:t>
      </w:r>
      <w:r>
        <w:rPr>
          <w:rFonts w:ascii="Calibri" w:hAnsi="Calibri" w:cs="Calibri"/>
          <w:sz w:val="20"/>
          <w:szCs w:val="20"/>
        </w:rPr>
        <w:t xml:space="preserve">of project activities at the demonstration pilot sites using existing SESP, will take place in order to validate and rigorously assess PPG findings. </w:t>
      </w:r>
    </w:p>
    <w:p w14:paraId="68091F96" w14:textId="77777777" w:rsidR="00CF33D9" w:rsidRDefault="00E3332A">
      <w:pPr>
        <w:spacing w:line="220" w:lineRule="exact"/>
        <w:ind w:left="720"/>
        <w:jc w:val="both"/>
        <w:rPr>
          <w:rFonts w:ascii="Calibri" w:hAnsi="Calibri" w:cs="Calibri"/>
          <w:sz w:val="20"/>
          <w:szCs w:val="20"/>
        </w:rPr>
      </w:pPr>
      <w:r>
        <w:rPr>
          <w:rFonts w:ascii="Calibri" w:hAnsi="Calibri" w:cs="Calibri"/>
          <w:sz w:val="20"/>
          <w:szCs w:val="20"/>
        </w:rPr>
        <w:t xml:space="preserve">The Safeguards Expert will be hired by the project to conduct the assessments, develop SESA and ESIA, full feasibility study and support the screening at project sites for undefined activities. The Project manager will ensure the development and implementation of SESA and ESIAs and will be supported by technical/support staff. Technical inputs will be provided by the  project’s qualified experts. </w:t>
      </w:r>
    </w:p>
    <w:p w14:paraId="68091F97" w14:textId="77777777" w:rsidR="00CF33D9" w:rsidRDefault="00CF33D9">
      <w:pPr>
        <w:spacing w:line="220" w:lineRule="exact"/>
        <w:ind w:left="720"/>
        <w:jc w:val="both"/>
        <w:rPr>
          <w:rFonts w:ascii="Calibri" w:hAnsi="Calibri" w:cs="Calibri"/>
          <w:sz w:val="20"/>
          <w:szCs w:val="20"/>
        </w:rPr>
      </w:pPr>
    </w:p>
    <w:p w14:paraId="68091F98" w14:textId="77777777" w:rsidR="00CF33D9" w:rsidRDefault="00E3332A">
      <w:pPr>
        <w:spacing w:line="220" w:lineRule="exact"/>
        <w:ind w:left="720"/>
        <w:jc w:val="both"/>
        <w:rPr>
          <w:rFonts w:ascii="Calibri" w:hAnsi="Calibri" w:cs="Calibri"/>
          <w:sz w:val="20"/>
          <w:szCs w:val="20"/>
        </w:rPr>
      </w:pPr>
      <w:r>
        <w:rPr>
          <w:rFonts w:ascii="Calibri" w:hAnsi="Calibri" w:cs="Calibri"/>
          <w:sz w:val="20"/>
          <w:szCs w:val="20"/>
        </w:rPr>
        <w:t xml:space="preserve">The first step after the project inception will be to leverage stakeholders’ engagements, start the implementation of participatory inclusive consultations and validate all the selected areas during the PPG. </w:t>
      </w:r>
    </w:p>
    <w:p w14:paraId="68091F99" w14:textId="77777777" w:rsidR="00CF33D9" w:rsidRDefault="00E3332A">
      <w:pPr>
        <w:spacing w:line="220" w:lineRule="exact"/>
        <w:ind w:left="720"/>
        <w:jc w:val="both"/>
        <w:rPr>
          <w:rFonts w:ascii="Calibri" w:hAnsi="Calibri" w:cs="Calibri"/>
          <w:sz w:val="20"/>
          <w:szCs w:val="20"/>
        </w:rPr>
      </w:pPr>
      <w:r>
        <w:rPr>
          <w:rFonts w:ascii="Calibri" w:hAnsi="Calibri" w:cs="Calibri"/>
          <w:sz w:val="20"/>
          <w:szCs w:val="20"/>
        </w:rPr>
        <w:t>The screening will start during the first year of the project implementation.</w:t>
      </w:r>
    </w:p>
    <w:p w14:paraId="68091F9A" w14:textId="77777777" w:rsidR="00CF33D9" w:rsidRDefault="00CF33D9">
      <w:pPr>
        <w:spacing w:line="220" w:lineRule="exact"/>
        <w:ind w:left="720"/>
        <w:jc w:val="both"/>
        <w:rPr>
          <w:rFonts w:ascii="Calibri" w:hAnsi="Calibri" w:cs="Calibri"/>
          <w:sz w:val="20"/>
          <w:szCs w:val="20"/>
        </w:rPr>
      </w:pPr>
    </w:p>
    <w:p w14:paraId="68091F9B" w14:textId="77777777" w:rsidR="00CF33D9" w:rsidRDefault="00E3332A">
      <w:pPr>
        <w:spacing w:line="220" w:lineRule="exact"/>
        <w:ind w:left="720"/>
        <w:jc w:val="both"/>
        <w:rPr>
          <w:rFonts w:ascii="Calibri" w:hAnsi="Calibri" w:cs="Calibri"/>
          <w:sz w:val="20"/>
          <w:szCs w:val="20"/>
        </w:rPr>
      </w:pPr>
      <w:r>
        <w:rPr>
          <w:rFonts w:ascii="Calibri" w:hAnsi="Calibri" w:cs="Calibri"/>
          <w:b/>
          <w:sz w:val="20"/>
          <w:szCs w:val="20"/>
          <w:u w:val="single"/>
        </w:rPr>
        <w:t>Assessment</w:t>
      </w:r>
      <w:r>
        <w:rPr>
          <w:rFonts w:ascii="Calibri" w:hAnsi="Calibri" w:cs="Calibri"/>
          <w:sz w:val="20"/>
          <w:szCs w:val="20"/>
        </w:rPr>
        <w:t xml:space="preserve"> of activities will be based on SES requirements and commensurate with the magnitude of the envisaged risk, and targeted specifically at the risk, especially considering risks to vulnerable or marginalized communities and individuals. The appropriate level of stakeholder consultation will be required at all stages.</w:t>
      </w:r>
    </w:p>
    <w:p w14:paraId="68091F9C" w14:textId="77777777" w:rsidR="00CF33D9" w:rsidRDefault="00CF33D9">
      <w:pPr>
        <w:spacing w:line="220" w:lineRule="exact"/>
        <w:ind w:left="720"/>
        <w:jc w:val="both"/>
        <w:rPr>
          <w:rFonts w:ascii="Calibri" w:hAnsi="Calibri" w:cs="Calibri"/>
          <w:b/>
          <w:sz w:val="20"/>
          <w:szCs w:val="20"/>
          <w:u w:val="single"/>
        </w:rPr>
      </w:pPr>
    </w:p>
    <w:p w14:paraId="68091F9D" w14:textId="77777777" w:rsidR="00CF33D9" w:rsidRDefault="00E3332A">
      <w:pPr>
        <w:spacing w:line="220" w:lineRule="exact"/>
        <w:ind w:left="720"/>
        <w:jc w:val="both"/>
        <w:rPr>
          <w:rFonts w:ascii="Calibri" w:hAnsi="Calibri" w:cs="Calibri"/>
          <w:sz w:val="20"/>
          <w:szCs w:val="20"/>
        </w:rPr>
      </w:pPr>
      <w:r>
        <w:rPr>
          <w:rFonts w:ascii="Calibri" w:hAnsi="Calibri" w:cs="Calibri"/>
          <w:b/>
          <w:sz w:val="20"/>
          <w:szCs w:val="20"/>
          <w:u w:val="single"/>
        </w:rPr>
        <w:t>Management</w:t>
      </w:r>
      <w:r>
        <w:rPr>
          <w:rFonts w:ascii="Calibri" w:hAnsi="Calibri" w:cs="Calibri"/>
          <w:sz w:val="20"/>
          <w:szCs w:val="20"/>
        </w:rPr>
        <w:t xml:space="preserve"> of identified risks will follow the “mitigation hierarchy” model, described above.  Management of additional site-specific activities will be captured in management plans. Where required, additional stand-alone plans for the activity may be developed, or a site-specific addition to the Gender Action Plan. The management plan is dynamic and may require subsequent amendments as new project activities are identified, screened, assessed, and implemented.  Additional required mitigation and impact management measures must be integrated into management plans</w:t>
      </w:r>
      <w:bookmarkStart w:id="63" w:name="_Toc35458663"/>
      <w:bookmarkStart w:id="64" w:name="_Toc35458664"/>
      <w:bookmarkStart w:id="65" w:name="_Toc35458665"/>
      <w:bookmarkStart w:id="66" w:name="_Toc35458666"/>
      <w:bookmarkStart w:id="67" w:name="_Toc26097151"/>
      <w:bookmarkStart w:id="68" w:name="_Toc26097346"/>
      <w:bookmarkStart w:id="69" w:name="_Toc26097152"/>
      <w:bookmarkStart w:id="70" w:name="_Toc26097347"/>
      <w:bookmarkStart w:id="71" w:name="_Toc26097368"/>
      <w:bookmarkStart w:id="72" w:name="_Toc26097156"/>
      <w:bookmarkStart w:id="73" w:name="_Toc26097174"/>
      <w:bookmarkStart w:id="74" w:name="_Toc26169352"/>
      <w:bookmarkStart w:id="75" w:name="_Toc26097155"/>
      <w:bookmarkStart w:id="76" w:name="_Toc26097173"/>
      <w:bookmarkStart w:id="77" w:name="_Toc26111954"/>
      <w:bookmarkStart w:id="78" w:name="_Toc26097370"/>
      <w:bookmarkStart w:id="79" w:name="_Toc26097351"/>
      <w:bookmarkStart w:id="80" w:name="_Toc26169353"/>
      <w:bookmarkStart w:id="81" w:name="_Toc26097176"/>
      <w:bookmarkStart w:id="82" w:name="_Toc26097369"/>
      <w:bookmarkStart w:id="83" w:name="_Toc26169350"/>
      <w:bookmarkStart w:id="84" w:name="_Toc26111955"/>
      <w:bookmarkStart w:id="85" w:name="_Toc26097350"/>
      <w:bookmarkStart w:id="86" w:name="_Toc26097158"/>
      <w:bookmarkStart w:id="87" w:name="_Toc26097348"/>
      <w:bookmarkStart w:id="88" w:name="_Toc26097353"/>
      <w:bookmarkStart w:id="89" w:name="_Toc26097349"/>
      <w:bookmarkStart w:id="90" w:name="_Toc26111953"/>
      <w:bookmarkStart w:id="91" w:name="_Toc26169351"/>
      <w:bookmarkStart w:id="92" w:name="_Toc26097175"/>
      <w:bookmarkStart w:id="93" w:name="_Toc26097371"/>
      <w:bookmarkStart w:id="94" w:name="_Toc26097153"/>
      <w:bookmarkStart w:id="95" w:name="_Toc26097154"/>
      <w:bookmarkStart w:id="96" w:name="_Toc26097352"/>
      <w:bookmarkStart w:id="97" w:name="_Toc26111952"/>
      <w:bookmarkStart w:id="98" w:name="_Toc26097157"/>
      <w:bookmarkStart w:id="99" w:name="_Toc26097159"/>
      <w:bookmarkStart w:id="100" w:name="_Toc26097354"/>
      <w:bookmarkStart w:id="101" w:name="_Toc26097172"/>
      <w:bookmarkStart w:id="102" w:name="_Toc26097367"/>
      <w:bookmarkStart w:id="103" w:name="_Toc26111962"/>
      <w:bookmarkStart w:id="104" w:name="_Toc26097183"/>
      <w:bookmarkStart w:id="105" w:name="_Toc26097378"/>
      <w:bookmarkStart w:id="106" w:name="_Toc26097181"/>
      <w:bookmarkStart w:id="107" w:name="_Toc26111963"/>
      <w:bookmarkStart w:id="108" w:name="_Toc26097375"/>
      <w:bookmarkStart w:id="109" w:name="_Toc26111959"/>
      <w:bookmarkStart w:id="110" w:name="_Toc26169361"/>
      <w:bookmarkStart w:id="111" w:name="_Toc26097184"/>
      <w:bookmarkStart w:id="112" w:name="_Toc26097379"/>
      <w:bookmarkStart w:id="113" w:name="_Toc26169360"/>
      <w:bookmarkStart w:id="114" w:name="_Toc26097373"/>
      <w:bookmarkStart w:id="115" w:name="_Toc26097374"/>
      <w:bookmarkStart w:id="116" w:name="_Toc26169354"/>
      <w:bookmarkStart w:id="117" w:name="_Toc26097372"/>
      <w:bookmarkStart w:id="118" w:name="_Toc26097178"/>
      <w:bookmarkStart w:id="119" w:name="_Toc26169358"/>
      <w:bookmarkStart w:id="120" w:name="_Toc26097179"/>
      <w:bookmarkStart w:id="121" w:name="_Toc26111961"/>
      <w:bookmarkStart w:id="122" w:name="_Toc26097376"/>
      <w:bookmarkStart w:id="123" w:name="_Toc26169355"/>
      <w:bookmarkStart w:id="124" w:name="_Toc26111958"/>
      <w:bookmarkStart w:id="125" w:name="_Toc26169359"/>
      <w:bookmarkStart w:id="126" w:name="_Toc26111957"/>
      <w:bookmarkStart w:id="127" w:name="_Toc26111956"/>
      <w:bookmarkStart w:id="128" w:name="_Toc26097182"/>
      <w:bookmarkStart w:id="129" w:name="_Toc26169356"/>
      <w:bookmarkStart w:id="130" w:name="_Toc26169357"/>
      <w:bookmarkStart w:id="131" w:name="_Toc26097180"/>
      <w:bookmarkStart w:id="132" w:name="_Toc26097177"/>
      <w:bookmarkStart w:id="133" w:name="_Toc26111960"/>
      <w:bookmarkStart w:id="134" w:name="_Toc26097377"/>
      <w:bookmarkStart w:id="135" w:name="_Toc26097384"/>
      <w:bookmarkStart w:id="136" w:name="_Toc26169363"/>
      <w:bookmarkStart w:id="137" w:name="_Toc26169366"/>
      <w:bookmarkStart w:id="138" w:name="_Toc26169367"/>
      <w:bookmarkStart w:id="139" w:name="_Toc26097186"/>
      <w:bookmarkStart w:id="140" w:name="_Toc26111969"/>
      <w:bookmarkStart w:id="141" w:name="_Toc26111967"/>
      <w:bookmarkStart w:id="142" w:name="_Toc26111965"/>
      <w:bookmarkStart w:id="143" w:name="_Toc26111968"/>
      <w:bookmarkStart w:id="144" w:name="_Toc26097189"/>
      <w:bookmarkStart w:id="145" w:name="_Toc26097185"/>
      <w:bookmarkStart w:id="146" w:name="_Toc26111970"/>
      <w:bookmarkStart w:id="147" w:name="_Toc26169368"/>
      <w:bookmarkStart w:id="148" w:name="_Toc26169364"/>
      <w:bookmarkStart w:id="149" w:name="_Toc26111964"/>
      <w:bookmarkStart w:id="150" w:name="_Toc26097188"/>
      <w:bookmarkStart w:id="151" w:name="_Toc26097380"/>
      <w:bookmarkStart w:id="152" w:name="_Toc26169362"/>
      <w:bookmarkStart w:id="153" w:name="_Toc26111966"/>
      <w:bookmarkStart w:id="154" w:name="_Toc26097382"/>
      <w:bookmarkStart w:id="155" w:name="_Toc26097187"/>
      <w:bookmarkStart w:id="156" w:name="_Toc26169365"/>
      <w:bookmarkStart w:id="157" w:name="_Toc26097381"/>
      <w:bookmarkStart w:id="158" w:name="_Toc26097383"/>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Fonts w:ascii="Calibri" w:hAnsi="Calibri" w:cs="Calibri"/>
          <w:sz w:val="20"/>
          <w:szCs w:val="20"/>
        </w:rPr>
        <w:t xml:space="preserve"> with the technical inputs of specialized project experts. </w:t>
      </w:r>
    </w:p>
    <w:p w14:paraId="68091F9E" w14:textId="77777777" w:rsidR="00CF33D9" w:rsidRDefault="00CF33D9">
      <w:pPr>
        <w:spacing w:line="220" w:lineRule="exact"/>
        <w:jc w:val="both"/>
        <w:rPr>
          <w:rFonts w:ascii="Calibri" w:hAnsi="Calibri" w:cs="Calibri"/>
          <w:sz w:val="20"/>
          <w:szCs w:val="20"/>
        </w:rPr>
      </w:pPr>
    </w:p>
    <w:p w14:paraId="68091F9F" w14:textId="77777777" w:rsidR="00CF33D9" w:rsidRDefault="00E3332A">
      <w:pPr>
        <w:spacing w:line="220" w:lineRule="exact"/>
        <w:jc w:val="both"/>
        <w:rPr>
          <w:rFonts w:ascii="Calibri" w:hAnsi="Calibri" w:cs="Calibri"/>
          <w:sz w:val="20"/>
          <w:szCs w:val="20"/>
        </w:rPr>
      </w:pPr>
      <w:r>
        <w:rPr>
          <w:rFonts w:ascii="Calibri" w:hAnsi="Calibri" w:cs="Calibri"/>
          <w:sz w:val="20"/>
          <w:szCs w:val="20"/>
        </w:rPr>
        <w:t xml:space="preserve">Throughout all safeguards procedures, the project’s Stakeholders Engagement and Gender Action Plan (GAP) will be followed and updated as needed based on the screenings, assessments and management plans. </w:t>
      </w:r>
    </w:p>
    <w:p w14:paraId="68091FA0" w14:textId="77777777" w:rsidR="00CF33D9" w:rsidRDefault="00CF33D9">
      <w:pPr>
        <w:spacing w:line="220" w:lineRule="exact"/>
        <w:jc w:val="both"/>
        <w:rPr>
          <w:rFonts w:ascii="Calibri" w:hAnsi="Calibri" w:cs="Calibri"/>
          <w:bCs/>
          <w:color w:val="000000"/>
          <w:sz w:val="20"/>
          <w:szCs w:val="20"/>
        </w:rPr>
      </w:pPr>
    </w:p>
    <w:p w14:paraId="68091FA1" w14:textId="77777777" w:rsidR="00CF33D9" w:rsidRDefault="00E3332A">
      <w:pPr>
        <w:spacing w:line="220" w:lineRule="exact"/>
        <w:jc w:val="both"/>
        <w:rPr>
          <w:rFonts w:ascii="Calibri" w:hAnsi="Calibri" w:cs="Calibri"/>
          <w:sz w:val="20"/>
          <w:szCs w:val="20"/>
        </w:rPr>
      </w:pPr>
      <w:r>
        <w:rPr>
          <w:rFonts w:ascii="Calibri" w:hAnsi="Calibri" w:cs="Calibri"/>
          <w:sz w:val="20"/>
          <w:szCs w:val="20"/>
          <w:u w:val="single"/>
        </w:rPr>
        <w:t>Stakeholder Engagement Plan (</w:t>
      </w:r>
      <w:r>
        <w:rPr>
          <w:rFonts w:ascii="Calibri" w:hAnsi="Calibri" w:cs="Calibri"/>
          <w:b/>
          <w:bCs/>
          <w:sz w:val="20"/>
          <w:szCs w:val="20"/>
          <w:u w:val="single"/>
        </w:rPr>
        <w:t>Annex 9</w:t>
      </w:r>
      <w:r>
        <w:rPr>
          <w:rFonts w:ascii="Calibri" w:hAnsi="Calibri" w:cs="Calibri"/>
          <w:sz w:val="20"/>
          <w:szCs w:val="20"/>
          <w:u w:val="single"/>
        </w:rPr>
        <w:t xml:space="preserve"> Project Document):</w:t>
      </w:r>
      <w:r>
        <w:rPr>
          <w:rFonts w:ascii="Calibri" w:hAnsi="Calibri" w:cs="Calibri"/>
          <w:sz w:val="20"/>
          <w:szCs w:val="20"/>
        </w:rPr>
        <w:t xml:space="preserve"> Fair, inclusive and gender-responsive stakeholder engagement will be essential for ensuring equitable involvement and inclusion of women, men, youth, other vulnerable groups. The Stakeholder Engagement Plan will enable project staff to ensure that selection is carried out in synergy with the related legal and policy governance structure and that the implementation and selection procedures meet the required norms and standards. The plan will specifically consider how to engage marginalized and vulnerable groups equitably and meaningfully within the project intervention sites. The plan will also provide terms of reference and modalities for managing stakeholder engagement in project activities at each site and with each community. </w:t>
      </w:r>
    </w:p>
    <w:p w14:paraId="68091FA2" w14:textId="77777777" w:rsidR="00CF33D9" w:rsidRDefault="00CF33D9">
      <w:pPr>
        <w:spacing w:line="220" w:lineRule="exact"/>
        <w:rPr>
          <w:rFonts w:ascii="Calibri" w:hAnsi="Calibri" w:cs="Calibri"/>
          <w:bCs/>
          <w:color w:val="000000"/>
          <w:sz w:val="20"/>
          <w:szCs w:val="20"/>
        </w:rPr>
      </w:pPr>
    </w:p>
    <w:p w14:paraId="68091FA3" w14:textId="77777777" w:rsidR="00CF33D9" w:rsidRDefault="00E3332A">
      <w:pPr>
        <w:spacing w:line="220" w:lineRule="exact"/>
        <w:jc w:val="both"/>
        <w:rPr>
          <w:rFonts w:ascii="Calibri" w:hAnsi="Calibri" w:cs="Calibri"/>
          <w:sz w:val="20"/>
          <w:szCs w:val="20"/>
        </w:rPr>
      </w:pPr>
      <w:r>
        <w:rPr>
          <w:rFonts w:ascii="Calibri" w:hAnsi="Calibri" w:cs="Calibri"/>
          <w:sz w:val="20"/>
          <w:szCs w:val="20"/>
          <w:u w:val="single"/>
        </w:rPr>
        <w:lastRenderedPageBreak/>
        <w:t xml:space="preserve">Gender Analysis and Action Plan (GAAP – </w:t>
      </w:r>
      <w:r>
        <w:rPr>
          <w:rFonts w:ascii="Calibri" w:hAnsi="Calibri" w:cs="Calibri"/>
          <w:b/>
          <w:bCs/>
          <w:sz w:val="20"/>
          <w:szCs w:val="20"/>
          <w:u w:val="single"/>
        </w:rPr>
        <w:t>Annex 11</w:t>
      </w:r>
      <w:r>
        <w:rPr>
          <w:rFonts w:ascii="Calibri" w:hAnsi="Calibri" w:cs="Calibri"/>
          <w:sz w:val="20"/>
          <w:szCs w:val="20"/>
          <w:u w:val="single"/>
        </w:rPr>
        <w:t xml:space="preserve"> Project Document) :</w:t>
      </w:r>
      <w:r>
        <w:rPr>
          <w:rFonts w:ascii="Calibri" w:hAnsi="Calibri" w:cs="Calibri"/>
          <w:sz w:val="20"/>
          <w:szCs w:val="20"/>
        </w:rPr>
        <w:t xml:space="preserve"> The purpose of the GAP is to promote the sustainable use of the BCLME to provide environmental and socio-economic benefits articulated in the Benguela Current Convention. Women are actively involved in the fishing industry and are responsible for activities such as fish processing, marketing and trading. They also play a critical role in the food security and livelihoods of households and communities. The BCLME III project has identified the critical role of women in fish value chains and has recognized the need to empower women in the sector. Therefore, Output 2.2.2 seeks to develop capacities for sustainable and climate resilient value chains with a gender sensitive approach. </w:t>
      </w:r>
    </w:p>
    <w:p w14:paraId="68091FA4" w14:textId="77777777" w:rsidR="00CF33D9" w:rsidRDefault="00CF33D9">
      <w:pPr>
        <w:spacing w:line="220" w:lineRule="exact"/>
        <w:jc w:val="both"/>
        <w:rPr>
          <w:rFonts w:ascii="Calibri" w:hAnsi="Calibri" w:cs="Calibri"/>
          <w:sz w:val="20"/>
          <w:szCs w:val="20"/>
        </w:rPr>
      </w:pPr>
    </w:p>
    <w:p w14:paraId="68091FA5" w14:textId="77777777" w:rsidR="00CF33D9" w:rsidRDefault="00E3332A">
      <w:pPr>
        <w:spacing w:line="220" w:lineRule="exact"/>
        <w:jc w:val="both"/>
        <w:rPr>
          <w:rFonts w:ascii="Calibri" w:hAnsi="Calibri" w:cs="Calibri"/>
          <w:sz w:val="20"/>
          <w:szCs w:val="20"/>
        </w:rPr>
      </w:pPr>
      <w:r>
        <w:rPr>
          <w:rFonts w:ascii="Calibri" w:hAnsi="Calibri" w:cs="Calibri"/>
          <w:sz w:val="20"/>
          <w:szCs w:val="20"/>
        </w:rPr>
        <w:t>Addressing gender gaps and inequalities is necessary for women in the pilot demonstration sites to live in a safe environment and enjoy equal rights and opportunities for the sustainable development of the blue economy. The GAP proposes sensitive activities to address the unequal access to and control over natural resources; unbalanced participation and involvement in decision making environmental planning and management at all levels and unequal access to socio economic benefits and services. The project will work towards gender mainstreaming and empowerment through a series of actions, including but not limited to the following actions:</w:t>
      </w:r>
    </w:p>
    <w:p w14:paraId="68091FA6" w14:textId="77777777" w:rsidR="00CF33D9" w:rsidRDefault="00E3332A">
      <w:pPr>
        <w:pStyle w:val="ListParagraph"/>
        <w:numPr>
          <w:ilvl w:val="0"/>
          <w:numId w:val="132"/>
        </w:numPr>
        <w:spacing w:line="220" w:lineRule="exact"/>
        <w:ind w:left="714" w:hanging="357"/>
        <w:contextualSpacing/>
        <w:jc w:val="both"/>
        <w:rPr>
          <w:rFonts w:ascii="Calibri" w:hAnsi="Calibri" w:cs="Calibri"/>
          <w:sz w:val="20"/>
          <w:szCs w:val="20"/>
        </w:rPr>
      </w:pPr>
      <w:r>
        <w:rPr>
          <w:rFonts w:ascii="Calibri" w:hAnsi="Calibri" w:cs="Calibri"/>
          <w:sz w:val="20"/>
          <w:szCs w:val="20"/>
        </w:rPr>
        <w:t>Ensure equitable participation of women in fisheries management committees and decision-making processes related to marine resources.</w:t>
      </w:r>
    </w:p>
    <w:p w14:paraId="68091FA7" w14:textId="77777777" w:rsidR="00CF33D9" w:rsidRDefault="00E3332A">
      <w:pPr>
        <w:pStyle w:val="ListParagraph"/>
        <w:numPr>
          <w:ilvl w:val="0"/>
          <w:numId w:val="132"/>
        </w:numPr>
        <w:spacing w:line="220" w:lineRule="exact"/>
        <w:ind w:left="714" w:hanging="357"/>
        <w:contextualSpacing/>
        <w:jc w:val="both"/>
        <w:rPr>
          <w:rFonts w:ascii="Calibri" w:hAnsi="Calibri" w:cs="Calibri"/>
          <w:sz w:val="20"/>
          <w:szCs w:val="20"/>
        </w:rPr>
      </w:pPr>
      <w:r>
        <w:rPr>
          <w:rFonts w:ascii="Calibri" w:hAnsi="Calibri" w:cs="Calibri"/>
          <w:sz w:val="20"/>
          <w:szCs w:val="20"/>
        </w:rPr>
        <w:t>Promote access to finance for women involved in fishing activities and value chains to enhance their livelihoods.</w:t>
      </w:r>
    </w:p>
    <w:p w14:paraId="68091FA8" w14:textId="77777777" w:rsidR="00CF33D9" w:rsidRDefault="00E3332A">
      <w:pPr>
        <w:pStyle w:val="ListParagraph"/>
        <w:numPr>
          <w:ilvl w:val="0"/>
          <w:numId w:val="132"/>
        </w:numPr>
        <w:spacing w:line="220" w:lineRule="exact"/>
        <w:ind w:left="714" w:hanging="357"/>
        <w:contextualSpacing/>
        <w:jc w:val="both"/>
        <w:rPr>
          <w:rFonts w:ascii="Calibri" w:hAnsi="Calibri" w:cs="Calibri"/>
          <w:sz w:val="20"/>
          <w:szCs w:val="20"/>
        </w:rPr>
      </w:pPr>
      <w:r>
        <w:rPr>
          <w:rFonts w:ascii="Calibri" w:hAnsi="Calibri" w:cs="Calibri"/>
          <w:sz w:val="20"/>
          <w:szCs w:val="20"/>
        </w:rPr>
        <w:t>Develop gender sensitive policies and legislative frameworks to address the specific needs and vulnerabilities of women in the sector.</w:t>
      </w:r>
    </w:p>
    <w:p w14:paraId="68091FA9" w14:textId="77777777" w:rsidR="00CF33D9" w:rsidRDefault="00E3332A">
      <w:pPr>
        <w:pStyle w:val="ListParagraph"/>
        <w:numPr>
          <w:ilvl w:val="0"/>
          <w:numId w:val="132"/>
        </w:numPr>
        <w:spacing w:line="220" w:lineRule="exact"/>
        <w:ind w:left="714" w:hanging="357"/>
        <w:contextualSpacing/>
        <w:jc w:val="both"/>
        <w:rPr>
          <w:rFonts w:ascii="Calibri" w:hAnsi="Calibri" w:cs="Calibri"/>
          <w:sz w:val="20"/>
          <w:szCs w:val="20"/>
        </w:rPr>
      </w:pPr>
      <w:r>
        <w:rPr>
          <w:rFonts w:ascii="Calibri" w:hAnsi="Calibri" w:cs="Calibri"/>
          <w:sz w:val="20"/>
          <w:szCs w:val="20"/>
        </w:rPr>
        <w:t>Ensure meaningful participation of women in the development and implementation of Marine Spatial Plans and Coastal Zone Management Plans.</w:t>
      </w:r>
    </w:p>
    <w:p w14:paraId="68091FAA" w14:textId="77777777" w:rsidR="00CF33D9" w:rsidRDefault="00E3332A">
      <w:pPr>
        <w:pStyle w:val="ListParagraph"/>
        <w:numPr>
          <w:ilvl w:val="0"/>
          <w:numId w:val="132"/>
        </w:numPr>
        <w:spacing w:line="220" w:lineRule="exact"/>
        <w:ind w:left="714" w:hanging="357"/>
        <w:contextualSpacing/>
        <w:jc w:val="both"/>
        <w:rPr>
          <w:rFonts w:ascii="Calibri" w:hAnsi="Calibri" w:cs="Calibri"/>
          <w:sz w:val="20"/>
          <w:szCs w:val="20"/>
        </w:rPr>
      </w:pPr>
      <w:r>
        <w:rPr>
          <w:rFonts w:ascii="Calibri" w:hAnsi="Calibri" w:cs="Calibri"/>
          <w:sz w:val="20"/>
          <w:szCs w:val="20"/>
        </w:rPr>
        <w:t>Promote capacity building for women in the tourism and mariculture sectors to enhance their entrepreneurship skills and opportunities for economic empowerment.</w:t>
      </w:r>
    </w:p>
    <w:p w14:paraId="68091FAB" w14:textId="77777777" w:rsidR="00CF33D9" w:rsidRDefault="00E3332A">
      <w:pPr>
        <w:pStyle w:val="ListParagraph"/>
        <w:numPr>
          <w:ilvl w:val="0"/>
          <w:numId w:val="132"/>
        </w:numPr>
        <w:spacing w:line="220" w:lineRule="exact"/>
        <w:ind w:left="714" w:hanging="357"/>
        <w:contextualSpacing/>
        <w:jc w:val="both"/>
        <w:rPr>
          <w:rFonts w:ascii="Calibri" w:hAnsi="Calibri" w:cs="Calibri"/>
          <w:sz w:val="20"/>
          <w:szCs w:val="20"/>
        </w:rPr>
      </w:pPr>
      <w:r>
        <w:rPr>
          <w:rFonts w:ascii="Calibri" w:hAnsi="Calibri" w:cs="Calibri"/>
          <w:sz w:val="20"/>
          <w:szCs w:val="20"/>
        </w:rPr>
        <w:t xml:space="preserve">Develop awareness-raising campaigns to promote women’s participation and leadership in sustainable blue/ocean economy development and growth. </w:t>
      </w:r>
    </w:p>
    <w:p w14:paraId="68091FAC" w14:textId="77777777" w:rsidR="00CF33D9" w:rsidRDefault="00CF33D9">
      <w:pPr>
        <w:spacing w:line="220" w:lineRule="exact"/>
        <w:jc w:val="both"/>
        <w:rPr>
          <w:rFonts w:ascii="Calibri" w:hAnsi="Calibri" w:cs="Calibri"/>
          <w:sz w:val="20"/>
          <w:szCs w:val="20"/>
        </w:rPr>
      </w:pPr>
    </w:p>
    <w:p w14:paraId="68091FAD" w14:textId="77777777" w:rsidR="00CF33D9" w:rsidRDefault="00E3332A">
      <w:pPr>
        <w:spacing w:line="220" w:lineRule="exact"/>
        <w:jc w:val="both"/>
        <w:rPr>
          <w:rFonts w:ascii="Calibri" w:hAnsi="Calibri" w:cs="Calibri"/>
          <w:sz w:val="20"/>
          <w:szCs w:val="20"/>
        </w:rPr>
      </w:pPr>
      <w:r>
        <w:rPr>
          <w:rFonts w:ascii="Calibri" w:hAnsi="Calibri" w:cs="Calibri"/>
          <w:sz w:val="20"/>
          <w:szCs w:val="20"/>
          <w:u w:val="single"/>
        </w:rPr>
        <w:t xml:space="preserve">Environmental and Social Management Plan (ESMP): </w:t>
      </w:r>
      <w:r>
        <w:rPr>
          <w:rFonts w:ascii="Calibri" w:hAnsi="Calibri" w:cs="Calibri"/>
          <w:sz w:val="20"/>
          <w:szCs w:val="20"/>
        </w:rPr>
        <w:t xml:space="preserve">The ESMP will provide a set of avoidance, mitigation, monitoring, and institutional measures – as well as actions needed to implement these measures – to achieve the desired social and environmental sustainability outcomes. Complementing what has already been identified in the ProDoc, the ESMP will further identify project activities that cannot take place until the relevant mitigation measures are approved and put in place. The measures will be adopted and integrated into project activities, monitoring and reporting framework and budget. </w:t>
      </w:r>
    </w:p>
    <w:p w14:paraId="68091FAE" w14:textId="77777777" w:rsidR="00CF33D9" w:rsidRDefault="00CF33D9">
      <w:pPr>
        <w:spacing w:line="220" w:lineRule="exact"/>
        <w:jc w:val="both"/>
        <w:rPr>
          <w:rFonts w:ascii="Calibri" w:hAnsi="Calibri" w:cs="Calibri"/>
          <w:sz w:val="20"/>
          <w:szCs w:val="20"/>
        </w:rPr>
      </w:pPr>
    </w:p>
    <w:p w14:paraId="68091FAF" w14:textId="77777777" w:rsidR="00CF33D9" w:rsidRDefault="00E3332A">
      <w:pPr>
        <w:spacing w:line="220" w:lineRule="exact"/>
        <w:jc w:val="both"/>
        <w:rPr>
          <w:rFonts w:ascii="Calibri" w:hAnsi="Calibri" w:cs="Calibri"/>
          <w:sz w:val="20"/>
          <w:szCs w:val="20"/>
        </w:rPr>
      </w:pPr>
      <w:r>
        <w:rPr>
          <w:rFonts w:ascii="Calibri" w:hAnsi="Calibri" w:cs="Calibri"/>
          <w:sz w:val="20"/>
          <w:szCs w:val="20"/>
        </w:rPr>
        <w:t xml:space="preserve">The ESMP will be the output of the ESIA. Both the Social and Environmental Screening Procedure (SESP) and the Environmental and Social Management Framework (ESMF) completed during the PPG phase will be used as the basis for the ESMP. An ESMP template is included in the annexes. </w:t>
      </w:r>
    </w:p>
    <w:p w14:paraId="68091FB0" w14:textId="77777777" w:rsidR="00CF33D9" w:rsidRDefault="00CF33D9">
      <w:pPr>
        <w:jc w:val="both"/>
        <w:rPr>
          <w:rFonts w:ascii="Calibri" w:hAnsi="Calibri" w:cs="Calibri"/>
          <w:sz w:val="20"/>
          <w:szCs w:val="20"/>
          <w:u w:val="single"/>
        </w:rPr>
      </w:pPr>
    </w:p>
    <w:p w14:paraId="68091FB1" w14:textId="77777777" w:rsidR="00CF33D9" w:rsidRDefault="00E3332A">
      <w:pPr>
        <w:rPr>
          <w:rFonts w:ascii="Calibri" w:hAnsi="Calibri" w:cs="Calibri"/>
          <w:sz w:val="20"/>
          <w:szCs w:val="20"/>
        </w:rPr>
      </w:pPr>
      <w:r>
        <w:rPr>
          <w:rFonts w:ascii="Calibri" w:hAnsi="Calibri" w:cs="Calibri"/>
          <w:sz w:val="20"/>
          <w:szCs w:val="20"/>
        </w:rPr>
        <w:t>4.4</w:t>
      </w:r>
      <w:r>
        <w:rPr>
          <w:rFonts w:ascii="Calibri" w:hAnsi="Calibri" w:cs="Calibri"/>
          <w:sz w:val="20"/>
          <w:szCs w:val="20"/>
        </w:rPr>
        <w:tab/>
        <w:t>Activities linked to co-financing arrangements</w:t>
      </w:r>
    </w:p>
    <w:p w14:paraId="68091FB2" w14:textId="77777777" w:rsidR="00CF33D9" w:rsidRDefault="00CF33D9">
      <w:pPr>
        <w:spacing w:line="220" w:lineRule="exact"/>
        <w:rPr>
          <w:rFonts w:ascii="Calibri" w:hAnsi="Calibri" w:cs="Calibri"/>
          <w:sz w:val="20"/>
          <w:szCs w:val="20"/>
        </w:rPr>
      </w:pPr>
    </w:p>
    <w:p w14:paraId="68091FB3" w14:textId="77777777" w:rsidR="00CF33D9" w:rsidRDefault="00E3332A">
      <w:pPr>
        <w:spacing w:line="220" w:lineRule="exact"/>
        <w:jc w:val="both"/>
        <w:rPr>
          <w:rFonts w:ascii="Calibri" w:hAnsi="Calibri" w:cs="Calibri"/>
          <w:sz w:val="20"/>
          <w:szCs w:val="20"/>
        </w:rPr>
      </w:pPr>
      <w:r>
        <w:rPr>
          <w:rFonts w:ascii="Calibri" w:hAnsi="Calibri" w:cs="Calibri"/>
          <w:sz w:val="20"/>
          <w:szCs w:val="20"/>
        </w:rPr>
        <w:t>Co-financing partners will be required to ensure either adherence or consistency with UNDP safeguards. Two cases may arise in this project framework:</w:t>
      </w:r>
    </w:p>
    <w:p w14:paraId="68091FB4" w14:textId="77777777" w:rsidR="00CF33D9" w:rsidRDefault="00E3332A">
      <w:pPr>
        <w:pStyle w:val="ListParagraph"/>
        <w:numPr>
          <w:ilvl w:val="0"/>
          <w:numId w:val="133"/>
        </w:numPr>
        <w:suppressAutoHyphens/>
        <w:spacing w:line="220" w:lineRule="exact"/>
        <w:contextualSpacing/>
        <w:jc w:val="both"/>
        <w:rPr>
          <w:rFonts w:ascii="Calibri" w:hAnsi="Calibri" w:cs="Calibri"/>
          <w:sz w:val="20"/>
          <w:szCs w:val="20"/>
        </w:rPr>
      </w:pPr>
      <w:r>
        <w:rPr>
          <w:rFonts w:ascii="Calibri" w:hAnsi="Calibri" w:cs="Calibri"/>
          <w:sz w:val="20"/>
          <w:szCs w:val="20"/>
        </w:rPr>
        <w:t xml:space="preserve">Funds are channelled through UNDP: UNDP </w:t>
      </w:r>
      <w:r>
        <w:rPr>
          <w:rFonts w:ascii="Calibri" w:hAnsi="Calibri" w:cs="Calibri"/>
          <w:b/>
          <w:bCs/>
          <w:sz w:val="20"/>
          <w:szCs w:val="20"/>
          <w:u w:val="single"/>
        </w:rPr>
        <w:t xml:space="preserve">ensures adherence </w:t>
      </w:r>
      <w:r>
        <w:rPr>
          <w:rFonts w:ascii="Calibri" w:hAnsi="Calibri" w:cs="Calibri"/>
          <w:sz w:val="20"/>
          <w:szCs w:val="20"/>
        </w:rPr>
        <w:t xml:space="preserve">to the SES for programming activities implemented using </w:t>
      </w:r>
      <w:r>
        <w:rPr>
          <w:rFonts w:ascii="Calibri" w:hAnsi="Calibri" w:cs="Calibri"/>
          <w:b/>
          <w:bCs/>
          <w:sz w:val="20"/>
          <w:szCs w:val="20"/>
          <w:u w:val="single"/>
        </w:rPr>
        <w:t>funds channeled through UNDP’s accounts</w:t>
      </w:r>
      <w:r>
        <w:rPr>
          <w:rFonts w:ascii="Calibri" w:hAnsi="Calibri" w:cs="Calibri"/>
          <w:sz w:val="20"/>
          <w:szCs w:val="20"/>
        </w:rPr>
        <w:t>.</w:t>
      </w:r>
    </w:p>
    <w:p w14:paraId="68091FB5" w14:textId="77777777" w:rsidR="00CF33D9" w:rsidRDefault="00E3332A">
      <w:pPr>
        <w:spacing w:line="220" w:lineRule="exact"/>
        <w:rPr>
          <w:rFonts w:ascii="Calibri" w:hAnsi="Calibri" w:cs="Calibri"/>
          <w:sz w:val="20"/>
          <w:szCs w:val="20"/>
        </w:rPr>
      </w:pPr>
      <w:r>
        <w:rPr>
          <w:rFonts w:ascii="Calibri" w:hAnsi="Calibri" w:cs="Calibri"/>
          <w:sz w:val="20"/>
          <w:szCs w:val="20"/>
        </w:rPr>
        <w:t xml:space="preserve">Partners contribute directly to the project (in-kind or parallel funding): partners that contribute in-kind resources or parallel funding and apply their own policies and procedures to achieve </w:t>
      </w:r>
      <w:r>
        <w:rPr>
          <w:rFonts w:ascii="Calibri" w:hAnsi="Calibri" w:cs="Calibri"/>
          <w:sz w:val="20"/>
          <w:szCs w:val="20"/>
          <w:u w:val="single"/>
        </w:rPr>
        <w:t>common objectives</w:t>
      </w:r>
      <w:r>
        <w:rPr>
          <w:rFonts w:ascii="Calibri" w:hAnsi="Calibri" w:cs="Calibri"/>
          <w:sz w:val="20"/>
          <w:szCs w:val="20"/>
        </w:rPr>
        <w:t xml:space="preserve">. Therefore, while UNDP does not ensure compliance with the SES beyond those activities funded through UNDP’s accounts, the </w:t>
      </w:r>
      <w:r>
        <w:rPr>
          <w:rFonts w:ascii="Calibri" w:hAnsi="Calibri" w:cs="Calibri"/>
          <w:b/>
          <w:bCs/>
          <w:sz w:val="20"/>
          <w:szCs w:val="20"/>
          <w:u w:val="single"/>
        </w:rPr>
        <w:t xml:space="preserve">entire programme or project </w:t>
      </w:r>
      <w:r>
        <w:rPr>
          <w:rFonts w:ascii="Calibri" w:hAnsi="Calibri" w:cs="Calibri"/>
          <w:sz w:val="20"/>
          <w:szCs w:val="20"/>
          <w:u w:val="single"/>
        </w:rPr>
        <w:t xml:space="preserve">is </w:t>
      </w:r>
      <w:r>
        <w:rPr>
          <w:rFonts w:ascii="Calibri" w:hAnsi="Calibri" w:cs="Calibri"/>
          <w:b/>
          <w:bCs/>
          <w:sz w:val="20"/>
          <w:szCs w:val="20"/>
          <w:u w:val="single"/>
        </w:rPr>
        <w:t xml:space="preserve">reviewed for consistency </w:t>
      </w:r>
      <w:r>
        <w:rPr>
          <w:rFonts w:ascii="Calibri" w:hAnsi="Calibri" w:cs="Calibri"/>
          <w:sz w:val="20"/>
          <w:szCs w:val="20"/>
          <w:u w:val="single"/>
        </w:rPr>
        <w:t xml:space="preserve">with the requirements of the SES. </w:t>
      </w:r>
    </w:p>
    <w:p w14:paraId="68091FB6" w14:textId="77777777" w:rsidR="00CF33D9" w:rsidRDefault="00CF33D9">
      <w:pPr>
        <w:rPr>
          <w:rFonts w:ascii="Calibri" w:hAnsi="Calibri" w:cs="Calibri"/>
          <w:sz w:val="20"/>
          <w:szCs w:val="20"/>
        </w:rPr>
      </w:pPr>
    </w:p>
    <w:p w14:paraId="68091FB7" w14:textId="77777777" w:rsidR="00CF33D9" w:rsidRDefault="00E3332A">
      <w:pPr>
        <w:rPr>
          <w:rFonts w:ascii="Calibri" w:hAnsi="Calibri" w:cs="Calibri"/>
          <w:sz w:val="20"/>
          <w:szCs w:val="20"/>
        </w:rPr>
      </w:pPr>
      <w:bookmarkStart w:id="159" w:name="_Toc163750614"/>
      <w:r>
        <w:rPr>
          <w:rFonts w:ascii="Calibri" w:hAnsi="Calibri" w:cs="Calibri"/>
          <w:sz w:val="20"/>
          <w:szCs w:val="20"/>
        </w:rPr>
        <w:t>5.</w:t>
      </w:r>
      <w:r>
        <w:rPr>
          <w:rFonts w:ascii="Calibri" w:hAnsi="Calibri" w:cs="Calibri"/>
          <w:sz w:val="20"/>
          <w:szCs w:val="20"/>
        </w:rPr>
        <w:tab/>
        <w:t>Stakeholder Engagement</w:t>
      </w:r>
      <w:bookmarkEnd w:id="159"/>
      <w:r>
        <w:rPr>
          <w:rFonts w:ascii="Calibri" w:hAnsi="Calibri" w:cs="Calibri"/>
          <w:sz w:val="20"/>
          <w:szCs w:val="20"/>
        </w:rPr>
        <w:t xml:space="preserve"> and Information Disclosure</w:t>
      </w:r>
    </w:p>
    <w:p w14:paraId="68091FB8" w14:textId="77777777" w:rsidR="00CF33D9" w:rsidRDefault="00CF33D9">
      <w:pPr>
        <w:spacing w:line="220" w:lineRule="exact"/>
        <w:rPr>
          <w:rFonts w:ascii="Calibri" w:hAnsi="Calibri" w:cs="Calibri"/>
          <w:sz w:val="20"/>
          <w:szCs w:val="20"/>
        </w:rPr>
      </w:pPr>
    </w:p>
    <w:p w14:paraId="68091FB9" w14:textId="77777777" w:rsidR="00CF33D9" w:rsidRDefault="00E3332A">
      <w:pPr>
        <w:spacing w:line="220" w:lineRule="exact"/>
        <w:jc w:val="both"/>
        <w:rPr>
          <w:rFonts w:ascii="Calibri" w:hAnsi="Calibri" w:cs="Calibri"/>
          <w:sz w:val="20"/>
          <w:szCs w:val="20"/>
        </w:rPr>
      </w:pPr>
      <w:r>
        <w:rPr>
          <w:rFonts w:ascii="Calibri" w:hAnsi="Calibri" w:cs="Calibri"/>
          <w:sz w:val="20"/>
          <w:szCs w:val="20"/>
        </w:rPr>
        <w:t>National Workshops and meetings with project stakeholders in Angola, Namibia and South Africa were conducted during the PPG phase.  A list of the stakeholders that were engaged in these consultations has been included in the Stakeholders Engagement Plan (</w:t>
      </w:r>
      <w:r>
        <w:rPr>
          <w:rFonts w:ascii="Calibri" w:hAnsi="Calibri" w:cs="Calibri"/>
          <w:b/>
          <w:bCs/>
          <w:sz w:val="20"/>
          <w:szCs w:val="20"/>
        </w:rPr>
        <w:t>Annex 9</w:t>
      </w:r>
      <w:r>
        <w:rPr>
          <w:rFonts w:ascii="Calibri" w:hAnsi="Calibri" w:cs="Calibri"/>
          <w:sz w:val="20"/>
          <w:szCs w:val="20"/>
        </w:rPr>
        <w:t>: Stakeholders consulted during project development).  The project has an individual Stakeholder Engagement Plan (including a template for the Process Framework) and Gender Action Plan, which is annexed to the Project Document (</w:t>
      </w:r>
      <w:r>
        <w:rPr>
          <w:rFonts w:ascii="Calibri" w:hAnsi="Calibri" w:cs="Calibri"/>
          <w:b/>
          <w:bCs/>
          <w:sz w:val="20"/>
          <w:szCs w:val="20"/>
        </w:rPr>
        <w:t>Annex 9</w:t>
      </w:r>
      <w:r>
        <w:rPr>
          <w:rFonts w:ascii="Calibri" w:hAnsi="Calibri" w:cs="Calibri"/>
          <w:sz w:val="20"/>
          <w:szCs w:val="20"/>
        </w:rPr>
        <w:t xml:space="preserve">: Stakeholders Engagement Plan and </w:t>
      </w:r>
      <w:r>
        <w:rPr>
          <w:rFonts w:ascii="Calibri" w:hAnsi="Calibri" w:cs="Calibri"/>
          <w:b/>
          <w:bCs/>
          <w:sz w:val="20"/>
          <w:szCs w:val="20"/>
        </w:rPr>
        <w:t>Annex 11</w:t>
      </w:r>
      <w:r>
        <w:rPr>
          <w:rFonts w:ascii="Calibri" w:hAnsi="Calibri" w:cs="Calibri"/>
          <w:sz w:val="20"/>
          <w:szCs w:val="20"/>
        </w:rPr>
        <w:t xml:space="preserve">: Gender Analysis and Gender Action Plan). These Plans will be followed to ensure that stakeholders are engaged in project implementation and particularly in the further assessment of social and environmental impacts and the </w:t>
      </w:r>
      <w:r>
        <w:rPr>
          <w:rFonts w:ascii="Calibri" w:hAnsi="Calibri" w:cs="Calibri"/>
          <w:sz w:val="20"/>
          <w:szCs w:val="20"/>
        </w:rPr>
        <w:lastRenderedPageBreak/>
        <w:t>development of appropriate management measures. Project Stakeholder Engagement Plan will be updated during project implementation based on the assessments and management plans conducted in line with this ESMF, as needed. Potentially affected stakeholders will be engaged during the implementation of this ESMF.</w:t>
      </w:r>
    </w:p>
    <w:p w14:paraId="68091FBA" w14:textId="77777777" w:rsidR="00CF33D9" w:rsidRDefault="00E3332A">
      <w:pPr>
        <w:jc w:val="both"/>
        <w:rPr>
          <w:rFonts w:ascii="Calibri" w:hAnsi="Calibri" w:cs="Calibri"/>
          <w:sz w:val="20"/>
          <w:szCs w:val="20"/>
        </w:rPr>
      </w:pPr>
      <w:r>
        <w:rPr>
          <w:rFonts w:ascii="Calibri" w:hAnsi="Calibri" w:cs="Calibri"/>
          <w:sz w:val="20"/>
          <w:szCs w:val="20"/>
        </w:rPr>
        <w:t xml:space="preserve"> </w:t>
      </w:r>
    </w:p>
    <w:p w14:paraId="68091FBB" w14:textId="77777777" w:rsidR="00CF33D9" w:rsidRDefault="00E3332A">
      <w:pPr>
        <w:spacing w:line="220" w:lineRule="exact"/>
        <w:jc w:val="both"/>
        <w:rPr>
          <w:rFonts w:ascii="Calibri" w:hAnsi="Calibri" w:cs="Calibri"/>
          <w:sz w:val="20"/>
          <w:szCs w:val="20"/>
        </w:rPr>
      </w:pPr>
      <w:r>
        <w:rPr>
          <w:rFonts w:ascii="Calibri" w:hAnsi="Calibri" w:cs="Calibri"/>
          <w:sz w:val="20"/>
          <w:szCs w:val="20"/>
        </w:rPr>
        <w:t>As part of the stakeholder engagement process, UNDP’s SES require that project stakeholders have access to relevant information.  Specifically, the SES stipulates that, among other disclosures specified by UNDP’s policies and procedures, UNDP will ensure that the following information be made available:</w:t>
      </w:r>
    </w:p>
    <w:p w14:paraId="68091FBC" w14:textId="77777777" w:rsidR="00CF33D9" w:rsidRDefault="00CF33D9">
      <w:pPr>
        <w:spacing w:line="220" w:lineRule="exact"/>
        <w:jc w:val="both"/>
        <w:rPr>
          <w:rFonts w:ascii="Calibri" w:hAnsi="Calibri" w:cs="Calibri"/>
          <w:sz w:val="20"/>
          <w:szCs w:val="20"/>
        </w:rPr>
      </w:pPr>
    </w:p>
    <w:p w14:paraId="68091FBD" w14:textId="77777777" w:rsidR="00CF33D9" w:rsidRDefault="00E3332A">
      <w:pPr>
        <w:pStyle w:val="ListParagraph"/>
        <w:numPr>
          <w:ilvl w:val="0"/>
          <w:numId w:val="134"/>
        </w:numPr>
        <w:spacing w:line="220" w:lineRule="exact"/>
        <w:jc w:val="both"/>
        <w:rPr>
          <w:rFonts w:ascii="Calibri" w:hAnsi="Calibri" w:cs="Calibri"/>
          <w:sz w:val="20"/>
          <w:szCs w:val="20"/>
        </w:rPr>
      </w:pPr>
      <w:r>
        <w:rPr>
          <w:rFonts w:ascii="Calibri" w:hAnsi="Calibri" w:cs="Calibri"/>
          <w:sz w:val="20"/>
          <w:szCs w:val="20"/>
        </w:rPr>
        <w:t>Stakeholder engagement plans and summary reports of stakeholder consultations</w:t>
      </w:r>
    </w:p>
    <w:p w14:paraId="68091FBE" w14:textId="77777777" w:rsidR="00CF33D9" w:rsidRDefault="00E3332A">
      <w:pPr>
        <w:pStyle w:val="ListParagraph"/>
        <w:numPr>
          <w:ilvl w:val="0"/>
          <w:numId w:val="134"/>
        </w:numPr>
        <w:spacing w:line="220" w:lineRule="exact"/>
        <w:jc w:val="both"/>
        <w:rPr>
          <w:rFonts w:ascii="Calibri" w:hAnsi="Calibri" w:cs="Calibri"/>
          <w:sz w:val="20"/>
          <w:szCs w:val="20"/>
        </w:rPr>
      </w:pPr>
      <w:r>
        <w:rPr>
          <w:rFonts w:ascii="Calibri" w:hAnsi="Calibri" w:cs="Calibri"/>
          <w:sz w:val="20"/>
          <w:szCs w:val="20"/>
        </w:rPr>
        <w:t>Social and environmental screening reports with project documentation</w:t>
      </w:r>
    </w:p>
    <w:p w14:paraId="68091FBF" w14:textId="77777777" w:rsidR="00CF33D9" w:rsidRDefault="00E3332A">
      <w:pPr>
        <w:pStyle w:val="ListParagraph"/>
        <w:numPr>
          <w:ilvl w:val="0"/>
          <w:numId w:val="134"/>
        </w:numPr>
        <w:spacing w:line="220" w:lineRule="exact"/>
        <w:jc w:val="both"/>
        <w:rPr>
          <w:rFonts w:ascii="Calibri" w:hAnsi="Calibri" w:cs="Calibri"/>
          <w:sz w:val="20"/>
          <w:szCs w:val="20"/>
        </w:rPr>
      </w:pPr>
      <w:r>
        <w:rPr>
          <w:rFonts w:ascii="Calibri" w:hAnsi="Calibri" w:cs="Calibri"/>
          <w:sz w:val="20"/>
          <w:szCs w:val="20"/>
        </w:rPr>
        <w:t>Draft social and environmental assessments, including any draft management plans</w:t>
      </w:r>
    </w:p>
    <w:p w14:paraId="68091FC0" w14:textId="77777777" w:rsidR="00CF33D9" w:rsidRDefault="00E3332A">
      <w:pPr>
        <w:pStyle w:val="ListParagraph"/>
        <w:numPr>
          <w:ilvl w:val="0"/>
          <w:numId w:val="134"/>
        </w:numPr>
        <w:spacing w:line="220" w:lineRule="exact"/>
        <w:jc w:val="both"/>
        <w:rPr>
          <w:rFonts w:ascii="Calibri" w:hAnsi="Calibri" w:cs="Calibri"/>
          <w:sz w:val="20"/>
          <w:szCs w:val="20"/>
        </w:rPr>
      </w:pPr>
      <w:r>
        <w:rPr>
          <w:rFonts w:ascii="Calibri" w:hAnsi="Calibri" w:cs="Calibri"/>
          <w:sz w:val="20"/>
          <w:szCs w:val="20"/>
        </w:rPr>
        <w:t>Final social and environmental assessments and associated management plans</w:t>
      </w:r>
    </w:p>
    <w:p w14:paraId="68091FC1" w14:textId="77777777" w:rsidR="00CF33D9" w:rsidRDefault="00E3332A">
      <w:pPr>
        <w:pStyle w:val="ListParagraph"/>
        <w:numPr>
          <w:ilvl w:val="0"/>
          <w:numId w:val="134"/>
        </w:numPr>
        <w:spacing w:line="220" w:lineRule="exact"/>
        <w:jc w:val="both"/>
        <w:rPr>
          <w:rFonts w:ascii="Calibri" w:hAnsi="Calibri" w:cs="Calibri"/>
          <w:sz w:val="20"/>
          <w:szCs w:val="20"/>
        </w:rPr>
      </w:pPr>
      <w:r>
        <w:rPr>
          <w:rFonts w:ascii="Calibri" w:hAnsi="Calibri" w:cs="Calibri"/>
          <w:sz w:val="20"/>
          <w:szCs w:val="20"/>
        </w:rPr>
        <w:t>Any required social and environmental monitoring reports.</w:t>
      </w:r>
    </w:p>
    <w:p w14:paraId="68091FC2" w14:textId="77777777" w:rsidR="00CF33D9" w:rsidRDefault="00CF33D9">
      <w:pPr>
        <w:spacing w:line="220" w:lineRule="exact"/>
        <w:jc w:val="both"/>
        <w:rPr>
          <w:rFonts w:ascii="Calibri" w:hAnsi="Calibri" w:cs="Calibri"/>
          <w:sz w:val="20"/>
          <w:szCs w:val="20"/>
        </w:rPr>
      </w:pPr>
    </w:p>
    <w:p w14:paraId="68091FC3" w14:textId="77777777" w:rsidR="00CF33D9" w:rsidRDefault="00E3332A">
      <w:pPr>
        <w:spacing w:line="220" w:lineRule="exact"/>
        <w:jc w:val="both"/>
        <w:rPr>
          <w:rFonts w:ascii="Calibri" w:hAnsi="Calibri" w:cs="Calibri"/>
          <w:sz w:val="20"/>
          <w:szCs w:val="20"/>
        </w:rPr>
      </w:pPr>
      <w:r>
        <w:rPr>
          <w:rFonts w:ascii="Calibri" w:hAnsi="Calibri" w:cs="Calibri"/>
          <w:sz w:val="20"/>
          <w:szCs w:val="20"/>
        </w:rPr>
        <w:t>As outlined in the SES and UNDP’s Social and Environmental Screening Procedure (SESP), the type and timing of assessments and management plans vary depending on the level of social and environmental risk associated with a project as well as timing of the social and environmental assessment.</w:t>
      </w:r>
    </w:p>
    <w:p w14:paraId="68091FC4" w14:textId="77777777" w:rsidR="00CF33D9" w:rsidRDefault="00E3332A">
      <w:pPr>
        <w:spacing w:line="220" w:lineRule="exact"/>
        <w:jc w:val="both"/>
        <w:rPr>
          <w:rFonts w:ascii="Calibri" w:hAnsi="Calibri" w:cs="Calibri"/>
          <w:sz w:val="20"/>
          <w:szCs w:val="20"/>
        </w:rPr>
      </w:pPr>
      <w:r>
        <w:rPr>
          <w:rFonts w:ascii="Calibri" w:hAnsi="Calibri" w:cs="Calibri"/>
          <w:sz w:val="20"/>
          <w:szCs w:val="20"/>
        </w:rPr>
        <w:t>This ESMF (and the project SESP) will be disclosed via the UNDP website in accordance with UNDP SES policy. The subsequent project ESMPs or stand-alone management plan(s) will also be publicly disclosed via the UNDP website once drafted and finalized and adopted only after the required time period for disclosure has elapsed.</w:t>
      </w:r>
    </w:p>
    <w:p w14:paraId="68091FC5" w14:textId="77777777" w:rsidR="00CF33D9" w:rsidRDefault="00E3332A">
      <w:pPr>
        <w:spacing w:line="220" w:lineRule="exact"/>
        <w:jc w:val="both"/>
        <w:rPr>
          <w:rFonts w:ascii="Calibri" w:hAnsi="Calibri" w:cs="Calibri"/>
          <w:sz w:val="20"/>
          <w:szCs w:val="20"/>
        </w:rPr>
      </w:pPr>
      <w:r>
        <w:rPr>
          <w:rFonts w:ascii="Calibri" w:hAnsi="Calibri" w:cs="Calibri"/>
          <w:sz w:val="20"/>
          <w:szCs w:val="20"/>
        </w:rPr>
        <w:t xml:space="preserve">These requirements for stakeholder engagement and disclosure will be adhered to during the implementation of this ESMF, and the subsequent implementation of the resulting ESMPs and any stand-alone management plans. </w:t>
      </w:r>
    </w:p>
    <w:p w14:paraId="68091FC6" w14:textId="77777777" w:rsidR="00CF33D9" w:rsidRDefault="00CF33D9">
      <w:pPr>
        <w:rPr>
          <w:rFonts w:ascii="Calibri" w:hAnsi="Calibri" w:cs="Calibri"/>
          <w:sz w:val="20"/>
          <w:szCs w:val="20"/>
        </w:rPr>
      </w:pPr>
    </w:p>
    <w:p w14:paraId="68091FC7" w14:textId="77777777" w:rsidR="00CF33D9" w:rsidRDefault="00E3332A">
      <w:pPr>
        <w:rPr>
          <w:rFonts w:ascii="Calibri" w:hAnsi="Calibri" w:cs="Calibri"/>
          <w:sz w:val="20"/>
          <w:szCs w:val="20"/>
        </w:rPr>
      </w:pPr>
      <w:r>
        <w:rPr>
          <w:rFonts w:ascii="Calibri" w:hAnsi="Calibri" w:cs="Calibri"/>
          <w:sz w:val="20"/>
          <w:szCs w:val="20"/>
        </w:rPr>
        <w:t>5.1</w:t>
      </w:r>
      <w:r>
        <w:rPr>
          <w:rFonts w:ascii="Calibri" w:hAnsi="Calibri" w:cs="Calibri"/>
          <w:sz w:val="20"/>
          <w:szCs w:val="20"/>
        </w:rPr>
        <w:tab/>
        <w:t>UNDP’s Accountability Mechanisms</w:t>
      </w:r>
    </w:p>
    <w:p w14:paraId="68091FC8" w14:textId="77777777" w:rsidR="00CF33D9" w:rsidRDefault="00CF33D9">
      <w:pPr>
        <w:jc w:val="both"/>
        <w:rPr>
          <w:rFonts w:ascii="Calibri" w:hAnsi="Calibri" w:cs="Calibri"/>
          <w:sz w:val="20"/>
          <w:szCs w:val="20"/>
        </w:rPr>
      </w:pPr>
    </w:p>
    <w:p w14:paraId="68091FC9" w14:textId="77777777" w:rsidR="00CF33D9" w:rsidRDefault="00E3332A">
      <w:pPr>
        <w:spacing w:line="220" w:lineRule="exact"/>
        <w:rPr>
          <w:rFonts w:ascii="Calibri" w:hAnsi="Calibri" w:cs="Calibri"/>
          <w:sz w:val="20"/>
          <w:szCs w:val="20"/>
        </w:rPr>
      </w:pPr>
      <w:r>
        <w:rPr>
          <w:rFonts w:ascii="Calibri" w:hAnsi="Calibri" w:cs="Calibri"/>
          <w:sz w:val="20"/>
          <w:szCs w:val="20"/>
        </w:rPr>
        <w:t>UNDP’s SES recognize that even with strong planning and stakeholder engagement, unanticipated issues can still arise. Therefore, the SES are underpinned by an Accountability Mechanism with two key components:</w:t>
      </w:r>
    </w:p>
    <w:p w14:paraId="68091FCA" w14:textId="77777777" w:rsidR="00CF33D9" w:rsidRDefault="00E3332A">
      <w:pPr>
        <w:pStyle w:val="ListParagraph"/>
        <w:numPr>
          <w:ilvl w:val="0"/>
          <w:numId w:val="135"/>
        </w:numPr>
        <w:spacing w:before="120" w:after="120" w:line="220" w:lineRule="exact"/>
        <w:jc w:val="both"/>
        <w:rPr>
          <w:rFonts w:ascii="Calibri" w:hAnsi="Calibri" w:cs="Calibri"/>
          <w:sz w:val="20"/>
          <w:szCs w:val="20"/>
        </w:rPr>
      </w:pPr>
      <w:r>
        <w:rPr>
          <w:rFonts w:ascii="Calibri" w:hAnsi="Calibri" w:cs="Calibri"/>
          <w:sz w:val="20"/>
          <w:szCs w:val="20"/>
        </w:rPr>
        <w:t>A Social and Environmental Compliance Review Unit (SECU) to respond to claims that UNDP is not in compliance with applicable environmental and social policies; and</w:t>
      </w:r>
    </w:p>
    <w:p w14:paraId="68091FCB" w14:textId="77777777" w:rsidR="00CF33D9" w:rsidRDefault="00E3332A">
      <w:pPr>
        <w:pStyle w:val="ListParagraph"/>
        <w:numPr>
          <w:ilvl w:val="0"/>
          <w:numId w:val="135"/>
        </w:numPr>
        <w:spacing w:before="120" w:after="120" w:line="220" w:lineRule="exact"/>
        <w:jc w:val="both"/>
        <w:rPr>
          <w:rFonts w:ascii="Calibri" w:hAnsi="Calibri" w:cs="Calibri"/>
          <w:sz w:val="20"/>
          <w:szCs w:val="20"/>
        </w:rPr>
      </w:pPr>
      <w:r>
        <w:rPr>
          <w:rFonts w:ascii="Calibri" w:hAnsi="Calibri" w:cs="Calibri"/>
          <w:sz w:val="20"/>
          <w:szCs w:val="20"/>
        </w:rPr>
        <w:t>A Stakeholder Response Mechanism (SRM) that ensures individuals, peoples, and communities affected by projects have access to appropriate grievance resolution procedures for hearing and addressing project-related complaints and disputes.</w:t>
      </w:r>
    </w:p>
    <w:p w14:paraId="68091FCC" w14:textId="77777777" w:rsidR="00CF33D9" w:rsidRDefault="00E3332A">
      <w:pPr>
        <w:spacing w:line="220" w:lineRule="exact"/>
        <w:rPr>
          <w:rFonts w:ascii="Calibri" w:hAnsi="Calibri" w:cs="Calibri"/>
          <w:sz w:val="20"/>
          <w:szCs w:val="20"/>
        </w:rPr>
      </w:pPr>
      <w:r>
        <w:rPr>
          <w:rFonts w:ascii="Calibri" w:hAnsi="Calibri" w:cs="Calibri"/>
          <w:sz w:val="20"/>
          <w:szCs w:val="20"/>
        </w:rPr>
        <w:t>UNDP’s Accountability Mechanism is available to all of UNDP’s project stakeholders.</w:t>
      </w:r>
    </w:p>
    <w:p w14:paraId="68091FCD" w14:textId="77777777" w:rsidR="00CF33D9" w:rsidRDefault="00E3332A">
      <w:pPr>
        <w:spacing w:line="220" w:lineRule="exact"/>
        <w:rPr>
          <w:rFonts w:ascii="Calibri" w:hAnsi="Calibri" w:cs="Calibri"/>
          <w:sz w:val="20"/>
          <w:szCs w:val="20"/>
        </w:rPr>
      </w:pPr>
      <w:r>
        <w:rPr>
          <w:rFonts w:ascii="Calibri" w:hAnsi="Calibri" w:cs="Calibri"/>
          <w:sz w:val="20"/>
          <w:szCs w:val="20"/>
        </w:rPr>
        <w:t>The Social and Environmental Compliance Unit (SECU) investigates concerns about non-compliance with UNDP’s Social and Environmental Standards and Screening Procedure raised by project-affected stakeholders and recommends measures to address findings of non-compliance.</w:t>
      </w:r>
    </w:p>
    <w:p w14:paraId="68091FCE" w14:textId="77777777" w:rsidR="00CF33D9" w:rsidRDefault="00E3332A">
      <w:pPr>
        <w:spacing w:line="220" w:lineRule="exact"/>
        <w:rPr>
          <w:rFonts w:ascii="Calibri" w:hAnsi="Calibri" w:cs="Calibri"/>
          <w:sz w:val="20"/>
          <w:szCs w:val="20"/>
        </w:rPr>
      </w:pPr>
      <w:r>
        <w:rPr>
          <w:rFonts w:ascii="Calibri" w:hAnsi="Calibri" w:cs="Calibri"/>
          <w:sz w:val="20"/>
          <w:szCs w:val="20"/>
        </w:rPr>
        <w:t>The Stakeholder Response Mechanism helps project-affected stakeholders, UNDP’s partners (governments, NGOs, businesses) and others jointly address grievances or disputes related to the social and/or environmental impacts of UNDP-supported projects.</w:t>
      </w:r>
    </w:p>
    <w:p w14:paraId="68091FCF" w14:textId="77777777" w:rsidR="00CF33D9" w:rsidRDefault="00CF33D9">
      <w:pPr>
        <w:rPr>
          <w:rFonts w:ascii="Calibri" w:hAnsi="Calibri" w:cs="Calibri"/>
          <w:sz w:val="20"/>
          <w:szCs w:val="20"/>
        </w:rPr>
      </w:pPr>
    </w:p>
    <w:p w14:paraId="68091FD0" w14:textId="77777777" w:rsidR="00CF33D9" w:rsidRDefault="00E3332A">
      <w:pPr>
        <w:jc w:val="both"/>
        <w:rPr>
          <w:rFonts w:ascii="Calibri" w:hAnsi="Calibri" w:cs="Calibri"/>
          <w:sz w:val="20"/>
          <w:szCs w:val="20"/>
        </w:rPr>
      </w:pPr>
      <w:r>
        <w:rPr>
          <w:rFonts w:ascii="Calibri" w:hAnsi="Calibri" w:cs="Calibri"/>
          <w:sz w:val="20"/>
          <w:szCs w:val="20"/>
        </w:rPr>
        <w:t>SECU and SRM requests can be submitted via:</w:t>
      </w:r>
    </w:p>
    <w:p w14:paraId="68091FD1" w14:textId="77777777" w:rsidR="00CF33D9" w:rsidRDefault="00E3332A">
      <w:pPr>
        <w:pStyle w:val="ListParagraph"/>
        <w:numPr>
          <w:ilvl w:val="0"/>
          <w:numId w:val="136"/>
        </w:numPr>
        <w:contextualSpacing/>
        <w:jc w:val="both"/>
        <w:rPr>
          <w:rFonts w:ascii="Calibri" w:hAnsi="Calibri" w:cs="Calibri"/>
          <w:sz w:val="20"/>
          <w:szCs w:val="20"/>
        </w:rPr>
      </w:pPr>
      <w:r>
        <w:rPr>
          <w:rFonts w:ascii="Calibri" w:hAnsi="Calibri" w:cs="Calibri"/>
          <w:sz w:val="20"/>
          <w:szCs w:val="20"/>
        </w:rPr>
        <w:t xml:space="preserve">An online webform: </w:t>
      </w:r>
      <w:hyperlink r:id="rId97" w:history="1">
        <w:r>
          <w:rPr>
            <w:rStyle w:val="Hyperlink"/>
            <w:rFonts w:ascii="Calibri" w:hAnsi="Calibri" w:cs="Calibri"/>
            <w:sz w:val="20"/>
            <w:szCs w:val="20"/>
          </w:rPr>
          <w:t>https://secure.ethicspoint.eu/domain/media/en/gui/104895/index.html</w:t>
        </w:r>
      </w:hyperlink>
      <w:r>
        <w:rPr>
          <w:rFonts w:ascii="Calibri" w:hAnsi="Calibri" w:cs="Calibri"/>
          <w:sz w:val="20"/>
          <w:szCs w:val="20"/>
        </w:rPr>
        <w:t xml:space="preserve"> </w:t>
      </w:r>
    </w:p>
    <w:p w14:paraId="68091FD2" w14:textId="77777777" w:rsidR="00CF33D9" w:rsidRDefault="00E3332A">
      <w:pPr>
        <w:pStyle w:val="ListParagraph"/>
        <w:numPr>
          <w:ilvl w:val="0"/>
          <w:numId w:val="136"/>
        </w:numPr>
        <w:contextualSpacing/>
        <w:jc w:val="both"/>
        <w:rPr>
          <w:rFonts w:ascii="Calibri" w:hAnsi="Calibri" w:cs="Calibri"/>
          <w:sz w:val="20"/>
          <w:szCs w:val="20"/>
        </w:rPr>
      </w:pPr>
      <w:r>
        <w:rPr>
          <w:rFonts w:ascii="Calibri" w:hAnsi="Calibri" w:cs="Calibri"/>
          <w:sz w:val="20"/>
          <w:szCs w:val="20"/>
        </w:rPr>
        <w:t xml:space="preserve">Via email at </w:t>
      </w:r>
      <w:hyperlink r:id="rId98" w:history="1">
        <w:r>
          <w:rPr>
            <w:rStyle w:val="Hyperlink"/>
            <w:rFonts w:ascii="Calibri" w:hAnsi="Calibri" w:cs="Calibri"/>
            <w:sz w:val="20"/>
            <w:szCs w:val="20"/>
          </w:rPr>
          <w:t>project.concerns@undp.org</w:t>
        </w:r>
      </w:hyperlink>
      <w:r>
        <w:rPr>
          <w:rFonts w:ascii="Calibri" w:hAnsi="Calibri" w:cs="Calibri"/>
          <w:color w:val="333333"/>
          <w:sz w:val="20"/>
          <w:szCs w:val="20"/>
        </w:rPr>
        <w:t xml:space="preserve"> </w:t>
      </w:r>
    </w:p>
    <w:p w14:paraId="68091FD3" w14:textId="77777777" w:rsidR="00CF33D9" w:rsidRDefault="00E3332A">
      <w:pPr>
        <w:pStyle w:val="ListParagraph"/>
        <w:numPr>
          <w:ilvl w:val="0"/>
          <w:numId w:val="136"/>
        </w:numPr>
        <w:contextualSpacing/>
        <w:jc w:val="both"/>
        <w:rPr>
          <w:rFonts w:ascii="Calibri" w:hAnsi="Calibri" w:cs="Calibri"/>
          <w:sz w:val="20"/>
          <w:szCs w:val="20"/>
        </w:rPr>
      </w:pPr>
      <w:r>
        <w:rPr>
          <w:rFonts w:ascii="Calibri" w:hAnsi="Calibri" w:cs="Calibri"/>
          <w:color w:val="333333"/>
          <w:sz w:val="20"/>
          <w:szCs w:val="20"/>
        </w:rPr>
        <w:t>Via phone at 844-928-0197</w:t>
      </w:r>
    </w:p>
    <w:p w14:paraId="68091FD4" w14:textId="77777777" w:rsidR="00CF33D9" w:rsidRDefault="00CF33D9">
      <w:pPr>
        <w:jc w:val="both"/>
        <w:rPr>
          <w:rFonts w:ascii="Calibri" w:hAnsi="Calibri" w:cs="Calibri"/>
          <w:sz w:val="20"/>
          <w:szCs w:val="20"/>
        </w:rPr>
      </w:pPr>
    </w:p>
    <w:p w14:paraId="68091FD5" w14:textId="77777777" w:rsidR="00CF33D9" w:rsidRDefault="00E3332A">
      <w:pPr>
        <w:spacing w:line="220" w:lineRule="exact"/>
        <w:jc w:val="both"/>
        <w:rPr>
          <w:rFonts w:ascii="Calibri" w:hAnsi="Calibri" w:cs="Calibri"/>
          <w:sz w:val="20"/>
          <w:szCs w:val="20"/>
        </w:rPr>
      </w:pPr>
      <w:r>
        <w:rPr>
          <w:rFonts w:ascii="Calibri" w:hAnsi="Calibri" w:cs="Calibri"/>
          <w:sz w:val="20"/>
          <w:szCs w:val="20"/>
        </w:rPr>
        <w:t>UNDP’s Accountability Mechanism is available to all UNDP’s project stakeholders. Complaints should be as specific as possible, describing current or potential adverse impacts that have a plausible causal link to a UNDP-supported project/programme and, if possible, the UNDP social and environmental standards/commitments that are believed to have been violated.</w:t>
      </w:r>
    </w:p>
    <w:p w14:paraId="68091FD6" w14:textId="77777777" w:rsidR="00CF33D9" w:rsidRDefault="00CF33D9">
      <w:pPr>
        <w:spacing w:line="220" w:lineRule="exact"/>
        <w:rPr>
          <w:rFonts w:ascii="Calibri" w:hAnsi="Calibri" w:cs="Calibri"/>
          <w:sz w:val="20"/>
          <w:szCs w:val="20"/>
        </w:rPr>
      </w:pPr>
    </w:p>
    <w:p w14:paraId="68091FD7" w14:textId="77777777" w:rsidR="00CF33D9" w:rsidRDefault="00E3332A">
      <w:pPr>
        <w:spacing w:line="220" w:lineRule="exact"/>
        <w:jc w:val="both"/>
        <w:rPr>
          <w:rFonts w:ascii="Calibri" w:hAnsi="Calibri" w:cs="Calibri"/>
          <w:sz w:val="20"/>
          <w:szCs w:val="20"/>
        </w:rPr>
      </w:pPr>
      <w:r>
        <w:rPr>
          <w:rFonts w:ascii="Calibri" w:hAnsi="Calibri" w:cs="Calibri"/>
          <w:sz w:val="20"/>
          <w:szCs w:val="20"/>
        </w:rPr>
        <w:t>While there are no strict format or language requirements, it is helpful if the complaint includes the following information:</w:t>
      </w:r>
    </w:p>
    <w:p w14:paraId="68091FD8" w14:textId="77777777" w:rsidR="00CF33D9" w:rsidRDefault="00E3332A">
      <w:pPr>
        <w:pStyle w:val="ListParagraph"/>
        <w:numPr>
          <w:ilvl w:val="0"/>
          <w:numId w:val="137"/>
        </w:numPr>
        <w:spacing w:line="220" w:lineRule="exact"/>
        <w:contextualSpacing/>
        <w:jc w:val="both"/>
        <w:rPr>
          <w:rFonts w:ascii="Calibri" w:hAnsi="Calibri" w:cs="Calibri"/>
          <w:sz w:val="20"/>
          <w:szCs w:val="20"/>
        </w:rPr>
      </w:pPr>
      <w:r>
        <w:rPr>
          <w:rFonts w:ascii="Calibri" w:hAnsi="Calibri" w:cs="Calibri"/>
          <w:sz w:val="20"/>
          <w:szCs w:val="20"/>
        </w:rPr>
        <w:t>Name, address, telephone number, and other contact information.</w:t>
      </w:r>
    </w:p>
    <w:p w14:paraId="68091FD9" w14:textId="77777777" w:rsidR="00CF33D9" w:rsidRDefault="00E3332A">
      <w:pPr>
        <w:pStyle w:val="ListParagraph"/>
        <w:numPr>
          <w:ilvl w:val="0"/>
          <w:numId w:val="137"/>
        </w:numPr>
        <w:spacing w:line="220" w:lineRule="exact"/>
        <w:contextualSpacing/>
        <w:jc w:val="both"/>
        <w:rPr>
          <w:rFonts w:ascii="Calibri" w:hAnsi="Calibri" w:cs="Calibri"/>
          <w:sz w:val="20"/>
          <w:szCs w:val="20"/>
        </w:rPr>
      </w:pPr>
      <w:r>
        <w:rPr>
          <w:rFonts w:ascii="Calibri" w:hAnsi="Calibri" w:cs="Calibri"/>
          <w:sz w:val="20"/>
          <w:szCs w:val="20"/>
        </w:rPr>
        <w:t>Whether the Complainant(s) wish to keep their identity confidential, and if so, why.</w:t>
      </w:r>
    </w:p>
    <w:p w14:paraId="68091FDA" w14:textId="77777777" w:rsidR="00CF33D9" w:rsidRDefault="00E3332A">
      <w:pPr>
        <w:pStyle w:val="ListParagraph"/>
        <w:numPr>
          <w:ilvl w:val="0"/>
          <w:numId w:val="137"/>
        </w:numPr>
        <w:spacing w:line="220" w:lineRule="exact"/>
        <w:contextualSpacing/>
        <w:jc w:val="both"/>
        <w:rPr>
          <w:rFonts w:ascii="Calibri" w:hAnsi="Calibri" w:cs="Calibri"/>
          <w:sz w:val="20"/>
          <w:szCs w:val="20"/>
        </w:rPr>
      </w:pPr>
      <w:r>
        <w:rPr>
          <w:rFonts w:ascii="Calibri" w:hAnsi="Calibri" w:cs="Calibri"/>
          <w:sz w:val="20"/>
          <w:szCs w:val="20"/>
        </w:rPr>
        <w:t>Name, location, and nature of the UNDP project or programme (if known).</w:t>
      </w:r>
    </w:p>
    <w:p w14:paraId="68091FDB" w14:textId="77777777" w:rsidR="00CF33D9" w:rsidRDefault="00E3332A">
      <w:pPr>
        <w:pStyle w:val="ListParagraph"/>
        <w:numPr>
          <w:ilvl w:val="0"/>
          <w:numId w:val="137"/>
        </w:numPr>
        <w:spacing w:line="220" w:lineRule="exact"/>
        <w:contextualSpacing/>
        <w:jc w:val="both"/>
        <w:rPr>
          <w:rFonts w:ascii="Calibri" w:hAnsi="Calibri" w:cs="Calibri"/>
          <w:sz w:val="20"/>
          <w:szCs w:val="20"/>
        </w:rPr>
      </w:pPr>
      <w:r>
        <w:rPr>
          <w:rFonts w:ascii="Calibri" w:hAnsi="Calibri" w:cs="Calibri"/>
          <w:sz w:val="20"/>
          <w:szCs w:val="20"/>
        </w:rPr>
        <w:lastRenderedPageBreak/>
        <w:t>How the Complainant(s) believe they have been, or are likely to be, adversely affected by UNDP-supported project or programme.</w:t>
      </w:r>
    </w:p>
    <w:p w14:paraId="68091FDC" w14:textId="77777777" w:rsidR="00CF33D9" w:rsidRDefault="00E3332A">
      <w:pPr>
        <w:pStyle w:val="ListParagraph"/>
        <w:numPr>
          <w:ilvl w:val="0"/>
          <w:numId w:val="137"/>
        </w:numPr>
        <w:spacing w:line="220" w:lineRule="exact"/>
        <w:contextualSpacing/>
        <w:jc w:val="both"/>
        <w:rPr>
          <w:rFonts w:ascii="Calibri" w:hAnsi="Calibri" w:cs="Calibri"/>
          <w:sz w:val="20"/>
          <w:szCs w:val="20"/>
        </w:rPr>
      </w:pPr>
      <w:r>
        <w:rPr>
          <w:rFonts w:ascii="Calibri" w:hAnsi="Calibri" w:cs="Calibri"/>
          <w:sz w:val="20"/>
          <w:szCs w:val="20"/>
        </w:rPr>
        <w:t>If a third party, such as a civil society organization, is filling a complaint on behalf of an affected individual or community, the complaint should include evidence the third party is working on behalf of the individual or community.</w:t>
      </w:r>
    </w:p>
    <w:p w14:paraId="68091FDD" w14:textId="77777777" w:rsidR="00CF33D9" w:rsidRDefault="00E3332A">
      <w:pPr>
        <w:pStyle w:val="ListParagraph"/>
        <w:numPr>
          <w:ilvl w:val="0"/>
          <w:numId w:val="137"/>
        </w:numPr>
        <w:spacing w:line="220" w:lineRule="exact"/>
        <w:contextualSpacing/>
        <w:jc w:val="both"/>
        <w:rPr>
          <w:rFonts w:ascii="Calibri" w:hAnsi="Calibri" w:cs="Calibri"/>
          <w:sz w:val="20"/>
          <w:szCs w:val="20"/>
        </w:rPr>
      </w:pPr>
      <w:r>
        <w:rPr>
          <w:rFonts w:ascii="Calibri" w:hAnsi="Calibri" w:cs="Calibri"/>
          <w:sz w:val="20"/>
          <w:szCs w:val="20"/>
        </w:rPr>
        <w:t>Although helpful, it is not necessary to cite to specific UNDP standards or policies (such as the UNDP’s Social and Environmental Standards).</w:t>
      </w:r>
    </w:p>
    <w:p w14:paraId="68091FDE" w14:textId="77777777" w:rsidR="00CF33D9" w:rsidRDefault="00CF33D9">
      <w:pPr>
        <w:spacing w:line="220" w:lineRule="exact"/>
        <w:rPr>
          <w:rFonts w:ascii="Calibri" w:hAnsi="Calibri" w:cs="Calibri"/>
          <w:sz w:val="20"/>
          <w:szCs w:val="20"/>
        </w:rPr>
      </w:pPr>
    </w:p>
    <w:p w14:paraId="68091FDF" w14:textId="77777777" w:rsidR="00CF33D9" w:rsidRDefault="00E3332A">
      <w:pPr>
        <w:spacing w:line="220" w:lineRule="exact"/>
        <w:rPr>
          <w:rFonts w:ascii="Calibri" w:hAnsi="Calibri" w:cs="Calibri"/>
          <w:sz w:val="20"/>
          <w:szCs w:val="20"/>
        </w:rPr>
      </w:pPr>
      <w:r>
        <w:rPr>
          <w:rFonts w:ascii="Calibri" w:hAnsi="Calibri" w:cs="Calibri"/>
          <w:sz w:val="20"/>
          <w:szCs w:val="20"/>
        </w:rPr>
        <w:t xml:space="preserve">Further information, including how to submit a request to SECU or SRM, is found on the UNDP website at: </w:t>
      </w:r>
      <w:hyperlink r:id="rId99" w:history="1">
        <w:r>
          <w:rPr>
            <w:rStyle w:val="Hyperlink"/>
            <w:rFonts w:ascii="Calibri" w:hAnsi="Calibri" w:cs="Calibri"/>
            <w:sz w:val="20"/>
            <w:szCs w:val="20"/>
          </w:rPr>
          <w:t>http://www.undp.org/content/undp/en/home/operations/accountability/secu-srm/</w:t>
        </w:r>
      </w:hyperlink>
    </w:p>
    <w:p w14:paraId="68091FE0" w14:textId="77777777" w:rsidR="00CF33D9" w:rsidRDefault="00CF33D9">
      <w:pPr>
        <w:spacing w:line="220" w:lineRule="exact"/>
        <w:jc w:val="both"/>
        <w:rPr>
          <w:rFonts w:ascii="Calibri" w:hAnsi="Calibri" w:cs="Calibri"/>
          <w:sz w:val="20"/>
          <w:szCs w:val="20"/>
        </w:rPr>
      </w:pPr>
    </w:p>
    <w:p w14:paraId="68091FE1" w14:textId="77777777" w:rsidR="00CF33D9" w:rsidRDefault="00E3332A">
      <w:pPr>
        <w:rPr>
          <w:rFonts w:ascii="Calibri" w:hAnsi="Calibri" w:cs="Calibri"/>
          <w:sz w:val="20"/>
          <w:szCs w:val="20"/>
        </w:rPr>
      </w:pPr>
      <w:bookmarkStart w:id="160" w:name="_Toc163750616"/>
      <w:r>
        <w:rPr>
          <w:rFonts w:ascii="Calibri" w:hAnsi="Calibri" w:cs="Calibri"/>
          <w:sz w:val="20"/>
          <w:szCs w:val="20"/>
        </w:rPr>
        <w:t>6.</w:t>
      </w:r>
      <w:r>
        <w:rPr>
          <w:rFonts w:ascii="Calibri" w:hAnsi="Calibri" w:cs="Calibri"/>
          <w:sz w:val="20"/>
          <w:szCs w:val="20"/>
        </w:rPr>
        <w:tab/>
        <w:t>Grievance Mechanism</w:t>
      </w:r>
      <w:bookmarkEnd w:id="160"/>
      <w:r>
        <w:rPr>
          <w:rFonts w:ascii="Calibri" w:hAnsi="Calibri" w:cs="Calibri"/>
          <w:sz w:val="20"/>
          <w:szCs w:val="20"/>
        </w:rPr>
        <w:t xml:space="preserve"> </w:t>
      </w:r>
    </w:p>
    <w:p w14:paraId="68091FE2" w14:textId="77777777" w:rsidR="00CF33D9" w:rsidRDefault="00CF33D9">
      <w:pPr>
        <w:jc w:val="both"/>
        <w:rPr>
          <w:rFonts w:ascii="Calibri" w:hAnsi="Calibri" w:cs="Calibri"/>
          <w:sz w:val="20"/>
          <w:szCs w:val="20"/>
        </w:rPr>
      </w:pPr>
    </w:p>
    <w:p w14:paraId="68091FE3" w14:textId="77777777" w:rsidR="00CF33D9" w:rsidRDefault="00E3332A">
      <w:pPr>
        <w:spacing w:line="220" w:lineRule="exact"/>
        <w:rPr>
          <w:rFonts w:ascii="Calibri" w:hAnsi="Calibri" w:cs="Calibri"/>
          <w:sz w:val="20"/>
          <w:szCs w:val="20"/>
        </w:rPr>
      </w:pPr>
      <w:r>
        <w:rPr>
          <w:rFonts w:ascii="Calibri" w:hAnsi="Calibri" w:cs="Calibri"/>
          <w:sz w:val="20"/>
          <w:szCs w:val="20"/>
        </w:rPr>
        <w:t xml:space="preserve">The Implementing Partner/ Responsible Party will establish and implement, as described in the Project Document, a transparent, fair, and free-to-access project-level Grievance Redress Mechanism (GRM), approved by stakeholders, which will be put in place at the start of implementation.  Interested stakeholders may raise a grievance at any time to the Project Management Office, the Executing Agency, Implementing Agency (UNDP), or the GEF.  The Implementing Partner/Responsible Party  together with UNDP  will establish the Project Board responsibilities for the development and oversight of the GRM, including reporting on the work of the GRM to all stakeholders. </w:t>
      </w:r>
    </w:p>
    <w:p w14:paraId="68091FE4" w14:textId="77777777" w:rsidR="00CF33D9" w:rsidRDefault="00CF33D9">
      <w:pPr>
        <w:autoSpaceDE w:val="0"/>
        <w:autoSpaceDN w:val="0"/>
        <w:adjustRightInd w:val="0"/>
        <w:spacing w:line="220" w:lineRule="exact"/>
        <w:rPr>
          <w:rFonts w:ascii="Calibri" w:hAnsi="Calibri" w:cs="Calibri"/>
          <w:color w:val="000000"/>
          <w:sz w:val="20"/>
          <w:szCs w:val="20"/>
        </w:rPr>
      </w:pPr>
    </w:p>
    <w:p w14:paraId="68091FE5" w14:textId="77777777" w:rsidR="00CF33D9" w:rsidRDefault="00E3332A">
      <w:pPr>
        <w:autoSpaceDE w:val="0"/>
        <w:autoSpaceDN w:val="0"/>
        <w:adjustRightInd w:val="0"/>
        <w:spacing w:line="220" w:lineRule="exact"/>
        <w:rPr>
          <w:rFonts w:ascii="Calibri" w:hAnsi="Calibri" w:cs="Calibri"/>
          <w:color w:val="000000"/>
          <w:sz w:val="20"/>
          <w:szCs w:val="20"/>
        </w:rPr>
      </w:pPr>
      <w:r>
        <w:rPr>
          <w:rFonts w:ascii="Calibri" w:hAnsi="Calibri" w:cs="Calibri"/>
          <w:b/>
          <w:color w:val="000000"/>
          <w:sz w:val="20"/>
          <w:szCs w:val="20"/>
        </w:rPr>
        <w:t>The mandate</w:t>
      </w:r>
      <w:r>
        <w:rPr>
          <w:rFonts w:ascii="Calibri" w:hAnsi="Calibri" w:cs="Calibri"/>
          <w:color w:val="000000"/>
          <w:sz w:val="20"/>
          <w:szCs w:val="20"/>
        </w:rPr>
        <w:t xml:space="preserve"> of the GRM will be to: </w:t>
      </w:r>
    </w:p>
    <w:p w14:paraId="68091FE6" w14:textId="77777777" w:rsidR="00CF33D9" w:rsidRDefault="00CF33D9">
      <w:pPr>
        <w:autoSpaceDE w:val="0"/>
        <w:autoSpaceDN w:val="0"/>
        <w:adjustRightInd w:val="0"/>
        <w:spacing w:line="220" w:lineRule="exact"/>
        <w:rPr>
          <w:rFonts w:ascii="Calibri" w:hAnsi="Calibri" w:cs="Calibri"/>
          <w:color w:val="000000"/>
          <w:sz w:val="20"/>
          <w:szCs w:val="20"/>
        </w:rPr>
      </w:pPr>
    </w:p>
    <w:p w14:paraId="68091FE7" w14:textId="77777777" w:rsidR="00CF33D9" w:rsidRDefault="00E3332A">
      <w:pPr>
        <w:autoSpaceDE w:val="0"/>
        <w:autoSpaceDN w:val="0"/>
        <w:adjustRightInd w:val="0"/>
        <w:spacing w:line="220" w:lineRule="exact"/>
        <w:ind w:left="720" w:hanging="720"/>
        <w:rPr>
          <w:rFonts w:ascii="Calibri" w:hAnsi="Calibri" w:cs="Calibri"/>
          <w:color w:val="000000"/>
          <w:sz w:val="20"/>
          <w:szCs w:val="20"/>
        </w:rPr>
      </w:pPr>
      <w:r>
        <w:rPr>
          <w:rFonts w:ascii="Calibri" w:hAnsi="Calibri" w:cs="Calibri"/>
          <w:color w:val="000000"/>
          <w:sz w:val="20"/>
          <w:szCs w:val="20"/>
        </w:rPr>
        <w:t xml:space="preserve">(i) </w:t>
      </w:r>
      <w:r>
        <w:rPr>
          <w:rFonts w:ascii="Calibri" w:hAnsi="Calibri" w:cs="Calibri"/>
          <w:color w:val="000000"/>
          <w:sz w:val="20"/>
          <w:szCs w:val="20"/>
        </w:rPr>
        <w:tab/>
        <w:t>receive and address any concerns, complaints, notices of emerging conflicts, or grievances (collectively “</w:t>
      </w:r>
      <w:r>
        <w:rPr>
          <w:rFonts w:ascii="Calibri" w:hAnsi="Calibri" w:cs="Calibri"/>
          <w:i/>
          <w:iCs/>
          <w:color w:val="000000"/>
          <w:sz w:val="20"/>
          <w:szCs w:val="20"/>
        </w:rPr>
        <w:t>Grievance</w:t>
      </w:r>
      <w:r>
        <w:rPr>
          <w:rFonts w:ascii="Calibri" w:hAnsi="Calibri" w:cs="Calibri"/>
          <w:color w:val="000000"/>
          <w:sz w:val="20"/>
          <w:szCs w:val="20"/>
        </w:rPr>
        <w:t>”) alleging actual or potential harm to affected person(s) (the “</w:t>
      </w:r>
      <w:r>
        <w:rPr>
          <w:rFonts w:ascii="Calibri" w:hAnsi="Calibri" w:cs="Calibri"/>
          <w:i/>
          <w:iCs/>
          <w:color w:val="000000"/>
          <w:sz w:val="20"/>
          <w:szCs w:val="20"/>
        </w:rPr>
        <w:t>Claimant(s)</w:t>
      </w:r>
      <w:r>
        <w:rPr>
          <w:rFonts w:ascii="Calibri" w:hAnsi="Calibri" w:cs="Calibri"/>
          <w:color w:val="000000"/>
          <w:sz w:val="20"/>
          <w:szCs w:val="20"/>
        </w:rPr>
        <w:t xml:space="preserve">”) arising from Project. </w:t>
      </w:r>
    </w:p>
    <w:p w14:paraId="68091FE8" w14:textId="77777777" w:rsidR="00CF33D9" w:rsidRDefault="00E3332A">
      <w:pPr>
        <w:autoSpaceDE w:val="0"/>
        <w:autoSpaceDN w:val="0"/>
        <w:adjustRightInd w:val="0"/>
        <w:spacing w:line="220" w:lineRule="exact"/>
        <w:ind w:left="720" w:hanging="720"/>
        <w:rPr>
          <w:rFonts w:ascii="Calibri" w:hAnsi="Calibri" w:cs="Calibri"/>
          <w:color w:val="000000"/>
          <w:sz w:val="20"/>
          <w:szCs w:val="20"/>
        </w:rPr>
      </w:pPr>
      <w:r>
        <w:rPr>
          <w:rFonts w:ascii="Calibri" w:hAnsi="Calibri" w:cs="Calibri"/>
          <w:color w:val="000000"/>
          <w:sz w:val="20"/>
          <w:szCs w:val="20"/>
        </w:rPr>
        <w:t xml:space="preserve">(ii) </w:t>
      </w:r>
      <w:r>
        <w:rPr>
          <w:rFonts w:ascii="Calibri" w:hAnsi="Calibri" w:cs="Calibri"/>
          <w:color w:val="000000"/>
          <w:sz w:val="20"/>
          <w:szCs w:val="20"/>
        </w:rPr>
        <w:tab/>
        <w:t>assist in resolution of Grievances between and among Project Stakeholders; as well as the various government ministries, agencies, and commissions, CSOs and NGOs, and others (collectively, the “</w:t>
      </w:r>
      <w:r>
        <w:rPr>
          <w:rFonts w:ascii="Calibri" w:hAnsi="Calibri" w:cs="Calibri"/>
          <w:i/>
          <w:iCs/>
          <w:color w:val="000000"/>
          <w:sz w:val="20"/>
          <w:szCs w:val="20"/>
        </w:rPr>
        <w:t>Stakeholders</w:t>
      </w:r>
      <w:r>
        <w:rPr>
          <w:rFonts w:ascii="Calibri" w:hAnsi="Calibri" w:cs="Calibri"/>
          <w:color w:val="000000"/>
          <w:sz w:val="20"/>
          <w:szCs w:val="20"/>
        </w:rPr>
        <w:t xml:space="preserve">”) in the context of the Project. </w:t>
      </w:r>
    </w:p>
    <w:p w14:paraId="68091FE9" w14:textId="77777777" w:rsidR="00CF33D9" w:rsidRDefault="00E3332A">
      <w:pPr>
        <w:autoSpaceDE w:val="0"/>
        <w:autoSpaceDN w:val="0"/>
        <w:adjustRightInd w:val="0"/>
        <w:spacing w:line="220" w:lineRule="exact"/>
        <w:ind w:left="720" w:hanging="720"/>
        <w:rPr>
          <w:rFonts w:ascii="Calibri" w:hAnsi="Calibri" w:cs="Calibri"/>
          <w:color w:val="000000"/>
          <w:sz w:val="20"/>
          <w:szCs w:val="20"/>
        </w:rPr>
      </w:pPr>
      <w:r>
        <w:rPr>
          <w:rFonts w:ascii="Calibri" w:hAnsi="Calibri" w:cs="Calibri"/>
          <w:color w:val="000000"/>
          <w:sz w:val="20"/>
          <w:szCs w:val="20"/>
        </w:rPr>
        <w:t xml:space="preserve">(iii) </w:t>
      </w:r>
      <w:r>
        <w:rPr>
          <w:rFonts w:ascii="Calibri" w:hAnsi="Calibri" w:cs="Calibri"/>
          <w:color w:val="000000"/>
          <w:sz w:val="20"/>
          <w:szCs w:val="20"/>
        </w:rPr>
        <w:tab/>
        <w:t xml:space="preserve">Conduct itself at all times in a flexible, collaborative, and transparent manner aimed at problem solving and consensus building. </w:t>
      </w:r>
    </w:p>
    <w:p w14:paraId="68091FEA" w14:textId="77777777" w:rsidR="00CF33D9" w:rsidRDefault="00CF33D9">
      <w:pPr>
        <w:autoSpaceDE w:val="0"/>
        <w:autoSpaceDN w:val="0"/>
        <w:adjustRightInd w:val="0"/>
        <w:spacing w:line="220" w:lineRule="exact"/>
        <w:rPr>
          <w:rFonts w:ascii="Calibri" w:hAnsi="Calibri" w:cs="Calibri"/>
          <w:color w:val="000000"/>
          <w:sz w:val="20"/>
          <w:szCs w:val="20"/>
        </w:rPr>
      </w:pPr>
    </w:p>
    <w:p w14:paraId="68091FEB" w14:textId="77777777" w:rsidR="00CF33D9" w:rsidRDefault="00E3332A">
      <w:pPr>
        <w:autoSpaceDE w:val="0"/>
        <w:autoSpaceDN w:val="0"/>
        <w:adjustRightInd w:val="0"/>
        <w:spacing w:line="220" w:lineRule="exact"/>
        <w:rPr>
          <w:rFonts w:ascii="Calibri" w:hAnsi="Calibri" w:cs="Calibri"/>
          <w:color w:val="000000"/>
          <w:sz w:val="20"/>
          <w:szCs w:val="20"/>
        </w:rPr>
      </w:pPr>
      <w:r>
        <w:rPr>
          <w:rFonts w:ascii="Calibri" w:hAnsi="Calibri" w:cs="Calibri"/>
          <w:b/>
          <w:color w:val="000000"/>
          <w:sz w:val="20"/>
          <w:szCs w:val="20"/>
        </w:rPr>
        <w:t>The functions</w:t>
      </w:r>
      <w:r>
        <w:rPr>
          <w:rFonts w:ascii="Calibri" w:hAnsi="Calibri" w:cs="Calibri"/>
          <w:color w:val="000000"/>
          <w:sz w:val="20"/>
          <w:szCs w:val="20"/>
        </w:rPr>
        <w:t xml:space="preserve"> of the GRM will be to: </w:t>
      </w:r>
    </w:p>
    <w:p w14:paraId="68091FEC" w14:textId="77777777" w:rsidR="00CF33D9" w:rsidRDefault="00CF33D9">
      <w:pPr>
        <w:autoSpaceDE w:val="0"/>
        <w:autoSpaceDN w:val="0"/>
        <w:adjustRightInd w:val="0"/>
        <w:spacing w:line="220" w:lineRule="exact"/>
        <w:rPr>
          <w:rFonts w:ascii="Calibri" w:hAnsi="Calibri" w:cs="Calibri"/>
          <w:color w:val="000000"/>
          <w:sz w:val="20"/>
          <w:szCs w:val="20"/>
        </w:rPr>
      </w:pPr>
    </w:p>
    <w:p w14:paraId="68091FED" w14:textId="77777777" w:rsidR="00CF33D9" w:rsidRDefault="00E3332A">
      <w:pPr>
        <w:autoSpaceDE w:val="0"/>
        <w:autoSpaceDN w:val="0"/>
        <w:adjustRightInd w:val="0"/>
        <w:spacing w:line="220" w:lineRule="exact"/>
        <w:rPr>
          <w:rFonts w:ascii="Calibri" w:hAnsi="Calibri" w:cs="Calibri"/>
          <w:color w:val="000000"/>
          <w:sz w:val="20"/>
          <w:szCs w:val="20"/>
        </w:rPr>
      </w:pPr>
      <w:r>
        <w:rPr>
          <w:rFonts w:ascii="Calibri" w:hAnsi="Calibri" w:cs="Calibri"/>
          <w:color w:val="000000"/>
          <w:sz w:val="20"/>
          <w:szCs w:val="20"/>
        </w:rPr>
        <w:t xml:space="preserve">(i) </w:t>
      </w:r>
      <w:r>
        <w:rPr>
          <w:rFonts w:ascii="Calibri" w:hAnsi="Calibri" w:cs="Calibri"/>
          <w:color w:val="000000"/>
          <w:sz w:val="20"/>
          <w:szCs w:val="20"/>
        </w:rPr>
        <w:tab/>
        <w:t xml:space="preserve">Receive, Log and Track all Grievances received. </w:t>
      </w:r>
    </w:p>
    <w:p w14:paraId="68091FEE" w14:textId="77777777" w:rsidR="00CF33D9" w:rsidRDefault="00E3332A">
      <w:pPr>
        <w:autoSpaceDE w:val="0"/>
        <w:autoSpaceDN w:val="0"/>
        <w:adjustRightInd w:val="0"/>
        <w:spacing w:line="220" w:lineRule="exact"/>
        <w:ind w:left="720" w:hanging="720"/>
        <w:rPr>
          <w:rFonts w:ascii="Calibri" w:hAnsi="Calibri" w:cs="Calibri"/>
          <w:color w:val="000000"/>
          <w:sz w:val="20"/>
          <w:szCs w:val="20"/>
        </w:rPr>
      </w:pPr>
      <w:r>
        <w:rPr>
          <w:rFonts w:ascii="Calibri" w:hAnsi="Calibri" w:cs="Calibri"/>
          <w:color w:val="000000"/>
          <w:sz w:val="20"/>
          <w:szCs w:val="20"/>
        </w:rPr>
        <w:t xml:space="preserve">(ii) </w:t>
      </w:r>
      <w:r>
        <w:rPr>
          <w:rFonts w:ascii="Calibri" w:hAnsi="Calibri" w:cs="Calibri"/>
          <w:color w:val="000000"/>
          <w:sz w:val="20"/>
          <w:szCs w:val="20"/>
        </w:rPr>
        <w:tab/>
        <w:t xml:space="preserve">Provide regular status updates on Grievances to Claimants, Project Board (PB) members and other relevant Stakeholders, as applicable. </w:t>
      </w:r>
    </w:p>
    <w:p w14:paraId="68091FEF" w14:textId="77777777" w:rsidR="00CF33D9" w:rsidRDefault="00E3332A">
      <w:pPr>
        <w:autoSpaceDE w:val="0"/>
        <w:autoSpaceDN w:val="0"/>
        <w:adjustRightInd w:val="0"/>
        <w:spacing w:line="220" w:lineRule="exact"/>
        <w:ind w:left="720" w:hanging="720"/>
        <w:rPr>
          <w:rFonts w:ascii="Calibri" w:hAnsi="Calibri" w:cs="Calibri"/>
          <w:color w:val="000000"/>
          <w:sz w:val="20"/>
          <w:szCs w:val="20"/>
        </w:rPr>
      </w:pPr>
      <w:r>
        <w:rPr>
          <w:rFonts w:ascii="Calibri" w:hAnsi="Calibri" w:cs="Calibri"/>
          <w:color w:val="000000"/>
          <w:sz w:val="20"/>
          <w:szCs w:val="20"/>
        </w:rPr>
        <w:t xml:space="preserve">(iii) </w:t>
      </w:r>
      <w:r>
        <w:rPr>
          <w:rFonts w:ascii="Calibri" w:hAnsi="Calibri" w:cs="Calibri"/>
          <w:color w:val="000000"/>
          <w:sz w:val="20"/>
          <w:szCs w:val="20"/>
        </w:rPr>
        <w:tab/>
        <w:t xml:space="preserve">Engage the PB members, Government institutions and other relevant Stakeholders in Grievance resolution. </w:t>
      </w:r>
    </w:p>
    <w:p w14:paraId="68091FF0" w14:textId="77777777" w:rsidR="00CF33D9" w:rsidRDefault="00E3332A">
      <w:pPr>
        <w:autoSpaceDE w:val="0"/>
        <w:autoSpaceDN w:val="0"/>
        <w:adjustRightInd w:val="0"/>
        <w:spacing w:line="220" w:lineRule="exact"/>
        <w:ind w:left="720" w:hanging="720"/>
        <w:rPr>
          <w:rFonts w:ascii="Calibri" w:hAnsi="Calibri" w:cs="Calibri"/>
          <w:color w:val="000000"/>
          <w:sz w:val="20"/>
          <w:szCs w:val="20"/>
        </w:rPr>
      </w:pPr>
      <w:r>
        <w:rPr>
          <w:rFonts w:ascii="Calibri" w:hAnsi="Calibri" w:cs="Calibri"/>
          <w:color w:val="000000"/>
          <w:sz w:val="20"/>
          <w:szCs w:val="20"/>
        </w:rPr>
        <w:t xml:space="preserve">(iv) </w:t>
      </w:r>
      <w:r>
        <w:rPr>
          <w:rFonts w:ascii="Calibri" w:hAnsi="Calibri" w:cs="Calibri"/>
          <w:color w:val="000000"/>
          <w:sz w:val="20"/>
          <w:szCs w:val="20"/>
        </w:rPr>
        <w:tab/>
        <w:t xml:space="preserve">Process and propose solutions and ways forward related to specific Grievances </w:t>
      </w:r>
      <w:r>
        <w:rPr>
          <w:rFonts w:ascii="Calibri" w:hAnsi="Calibri" w:cs="Calibri"/>
          <w:i/>
          <w:iCs/>
          <w:color w:val="000000"/>
          <w:sz w:val="20"/>
          <w:szCs w:val="20"/>
        </w:rPr>
        <w:t xml:space="preserve">within a period not to exceed sixty (60) days </w:t>
      </w:r>
      <w:r>
        <w:rPr>
          <w:rFonts w:ascii="Calibri" w:hAnsi="Calibri" w:cs="Calibri"/>
          <w:color w:val="000000"/>
          <w:sz w:val="20"/>
          <w:szCs w:val="20"/>
        </w:rPr>
        <w:t xml:space="preserve">from receipt of the Grievance. </w:t>
      </w:r>
    </w:p>
    <w:p w14:paraId="68091FF1" w14:textId="77777777" w:rsidR="00CF33D9" w:rsidRDefault="00E3332A">
      <w:pPr>
        <w:autoSpaceDE w:val="0"/>
        <w:autoSpaceDN w:val="0"/>
        <w:adjustRightInd w:val="0"/>
        <w:spacing w:line="220" w:lineRule="exact"/>
        <w:rPr>
          <w:rFonts w:ascii="Calibri" w:hAnsi="Calibri" w:cs="Calibri"/>
          <w:color w:val="000000"/>
          <w:sz w:val="20"/>
          <w:szCs w:val="20"/>
        </w:rPr>
      </w:pPr>
      <w:r>
        <w:rPr>
          <w:rFonts w:ascii="Calibri" w:hAnsi="Calibri" w:cs="Calibri"/>
          <w:color w:val="000000"/>
          <w:sz w:val="20"/>
          <w:szCs w:val="20"/>
        </w:rPr>
        <w:t xml:space="preserve">(v) </w:t>
      </w:r>
      <w:r>
        <w:rPr>
          <w:rFonts w:ascii="Calibri" w:hAnsi="Calibri" w:cs="Calibri"/>
          <w:color w:val="000000"/>
          <w:sz w:val="20"/>
          <w:szCs w:val="20"/>
        </w:rPr>
        <w:tab/>
        <w:t xml:space="preserve">Identify growing trends in Grievances and recommend possible measures to avoid the same. </w:t>
      </w:r>
    </w:p>
    <w:p w14:paraId="68091FF2" w14:textId="77777777" w:rsidR="00CF33D9" w:rsidRDefault="00E3332A">
      <w:pPr>
        <w:autoSpaceDE w:val="0"/>
        <w:autoSpaceDN w:val="0"/>
        <w:adjustRightInd w:val="0"/>
        <w:spacing w:line="220" w:lineRule="exact"/>
        <w:rPr>
          <w:rFonts w:ascii="Calibri" w:hAnsi="Calibri" w:cs="Calibri"/>
          <w:color w:val="000000"/>
          <w:sz w:val="20"/>
          <w:szCs w:val="20"/>
        </w:rPr>
      </w:pPr>
      <w:r>
        <w:rPr>
          <w:rFonts w:ascii="Calibri" w:hAnsi="Calibri" w:cs="Calibri"/>
          <w:color w:val="000000"/>
          <w:sz w:val="20"/>
          <w:szCs w:val="20"/>
        </w:rPr>
        <w:t xml:space="preserve">(vi) </w:t>
      </w:r>
      <w:r>
        <w:rPr>
          <w:rFonts w:ascii="Calibri" w:hAnsi="Calibri" w:cs="Calibri"/>
          <w:color w:val="000000"/>
          <w:sz w:val="20"/>
          <w:szCs w:val="20"/>
        </w:rPr>
        <w:tab/>
        <w:t xml:space="preserve">Receive and service requests for, and suggest the use of, mediation or facilitation. </w:t>
      </w:r>
    </w:p>
    <w:p w14:paraId="68091FF3" w14:textId="77777777" w:rsidR="00CF33D9" w:rsidRDefault="00E3332A">
      <w:pPr>
        <w:autoSpaceDE w:val="0"/>
        <w:autoSpaceDN w:val="0"/>
        <w:adjustRightInd w:val="0"/>
        <w:spacing w:line="220" w:lineRule="exact"/>
        <w:ind w:left="720" w:hanging="720"/>
        <w:rPr>
          <w:rFonts w:ascii="Calibri" w:hAnsi="Calibri" w:cs="Calibri"/>
          <w:color w:val="000000"/>
          <w:sz w:val="20"/>
          <w:szCs w:val="20"/>
        </w:rPr>
      </w:pPr>
      <w:r>
        <w:rPr>
          <w:rFonts w:ascii="Calibri" w:hAnsi="Calibri" w:cs="Calibri"/>
          <w:color w:val="000000"/>
          <w:sz w:val="20"/>
          <w:szCs w:val="20"/>
        </w:rPr>
        <w:t xml:space="preserve">(vii) </w:t>
      </w:r>
      <w:r>
        <w:rPr>
          <w:rFonts w:ascii="Calibri" w:hAnsi="Calibri" w:cs="Calibri"/>
          <w:color w:val="000000"/>
          <w:sz w:val="20"/>
          <w:szCs w:val="20"/>
        </w:rPr>
        <w:tab/>
        <w:t xml:space="preserve">Elaborate bi-annual reports, make said reports available to the public, and more generally work to maximize the disclosure of its work (including its reports, findings, and outcomes). </w:t>
      </w:r>
    </w:p>
    <w:p w14:paraId="68091FF4" w14:textId="77777777" w:rsidR="00CF33D9" w:rsidRDefault="00E3332A">
      <w:pPr>
        <w:autoSpaceDE w:val="0"/>
        <w:autoSpaceDN w:val="0"/>
        <w:adjustRightInd w:val="0"/>
        <w:spacing w:line="220" w:lineRule="exact"/>
        <w:ind w:left="720" w:hanging="720"/>
        <w:rPr>
          <w:rFonts w:ascii="Calibri" w:hAnsi="Calibri" w:cs="Calibri"/>
          <w:color w:val="000000"/>
          <w:sz w:val="20"/>
          <w:szCs w:val="20"/>
        </w:rPr>
      </w:pPr>
      <w:r>
        <w:rPr>
          <w:rFonts w:ascii="Calibri" w:hAnsi="Calibri" w:cs="Calibri"/>
          <w:color w:val="000000"/>
          <w:sz w:val="20"/>
          <w:szCs w:val="20"/>
        </w:rPr>
        <w:t xml:space="preserve">(viii) </w:t>
      </w:r>
      <w:r>
        <w:rPr>
          <w:rFonts w:ascii="Calibri" w:hAnsi="Calibri" w:cs="Calibri"/>
          <w:color w:val="000000"/>
          <w:sz w:val="20"/>
          <w:szCs w:val="20"/>
        </w:rPr>
        <w:tab/>
        <w:t xml:space="preserve">Ensure increased awareness, accessibility, predictability, transparency, legitimacy, and credibility of the GRM process. </w:t>
      </w:r>
    </w:p>
    <w:p w14:paraId="68091FF5" w14:textId="77777777" w:rsidR="00CF33D9" w:rsidRDefault="00E3332A">
      <w:pPr>
        <w:autoSpaceDE w:val="0"/>
        <w:autoSpaceDN w:val="0"/>
        <w:adjustRightInd w:val="0"/>
        <w:spacing w:line="220" w:lineRule="exact"/>
        <w:ind w:left="720" w:hanging="720"/>
        <w:rPr>
          <w:rFonts w:ascii="Calibri" w:hAnsi="Calibri" w:cs="Calibri"/>
          <w:color w:val="000000"/>
          <w:sz w:val="20"/>
          <w:szCs w:val="20"/>
        </w:rPr>
      </w:pPr>
      <w:r>
        <w:rPr>
          <w:rFonts w:ascii="Calibri" w:hAnsi="Calibri" w:cs="Calibri"/>
          <w:color w:val="000000"/>
          <w:sz w:val="20"/>
          <w:szCs w:val="20"/>
        </w:rPr>
        <w:t xml:space="preserve">(ix) </w:t>
      </w:r>
      <w:r>
        <w:rPr>
          <w:rFonts w:ascii="Calibri" w:hAnsi="Calibri" w:cs="Calibri"/>
          <w:color w:val="000000"/>
          <w:sz w:val="20"/>
          <w:szCs w:val="20"/>
        </w:rPr>
        <w:tab/>
        <w:t xml:space="preserve">Collaborate with Partner Institutions and other NGOs, CSOs and other entities to conduct outreach initiatives to increase awareness among Stakeholders as to the existence of the GRM and how its services can be accessed. </w:t>
      </w:r>
    </w:p>
    <w:p w14:paraId="68091FF6" w14:textId="77777777" w:rsidR="00CF33D9" w:rsidRDefault="00E3332A">
      <w:pPr>
        <w:autoSpaceDE w:val="0"/>
        <w:autoSpaceDN w:val="0"/>
        <w:adjustRightInd w:val="0"/>
        <w:spacing w:line="220" w:lineRule="exact"/>
        <w:ind w:left="720" w:hanging="720"/>
        <w:rPr>
          <w:rFonts w:ascii="Calibri" w:hAnsi="Calibri" w:cs="Calibri"/>
          <w:color w:val="000000"/>
          <w:sz w:val="20"/>
          <w:szCs w:val="20"/>
        </w:rPr>
      </w:pPr>
      <w:r>
        <w:rPr>
          <w:rFonts w:ascii="Calibri" w:hAnsi="Calibri" w:cs="Calibri"/>
          <w:color w:val="000000"/>
          <w:sz w:val="20"/>
          <w:szCs w:val="20"/>
        </w:rPr>
        <w:t xml:space="preserve">(x) </w:t>
      </w:r>
      <w:r>
        <w:rPr>
          <w:rFonts w:ascii="Calibri" w:hAnsi="Calibri" w:cs="Calibri"/>
          <w:color w:val="000000"/>
          <w:sz w:val="20"/>
          <w:szCs w:val="20"/>
        </w:rPr>
        <w:tab/>
        <w:t xml:space="preserve">Ensure continuing education of PB members and their respective institutions about the relevant laws and policies that they will need to be aware of to participate in the development of effective resolutions to Grievances likely to come before the GRM. </w:t>
      </w:r>
    </w:p>
    <w:p w14:paraId="68091FF7" w14:textId="77777777" w:rsidR="00CF33D9" w:rsidRDefault="00E3332A">
      <w:pPr>
        <w:autoSpaceDE w:val="0"/>
        <w:autoSpaceDN w:val="0"/>
        <w:adjustRightInd w:val="0"/>
        <w:spacing w:line="220" w:lineRule="exact"/>
        <w:rPr>
          <w:rFonts w:ascii="Calibri" w:hAnsi="Calibri" w:cs="Calibri"/>
          <w:color w:val="000000"/>
          <w:sz w:val="20"/>
          <w:szCs w:val="20"/>
        </w:rPr>
      </w:pPr>
      <w:r>
        <w:rPr>
          <w:rFonts w:ascii="Calibri" w:hAnsi="Calibri" w:cs="Calibri"/>
          <w:color w:val="000000"/>
          <w:sz w:val="20"/>
          <w:szCs w:val="20"/>
        </w:rPr>
        <w:t xml:space="preserve">(xi) </w:t>
      </w:r>
      <w:r>
        <w:rPr>
          <w:rFonts w:ascii="Calibri" w:hAnsi="Calibri" w:cs="Calibri"/>
          <w:color w:val="000000"/>
          <w:sz w:val="20"/>
          <w:szCs w:val="20"/>
        </w:rPr>
        <w:tab/>
        <w:t xml:space="preserve">Monitor follow up to Grievance resolutions, as appropriate. </w:t>
      </w:r>
    </w:p>
    <w:p w14:paraId="68091FF8" w14:textId="77777777" w:rsidR="00CF33D9" w:rsidRDefault="00CF33D9">
      <w:pPr>
        <w:spacing w:line="220" w:lineRule="exact"/>
        <w:jc w:val="both"/>
        <w:rPr>
          <w:rFonts w:ascii="Calibri" w:hAnsi="Calibri" w:cs="Calibri"/>
          <w:sz w:val="20"/>
          <w:szCs w:val="20"/>
        </w:rPr>
      </w:pPr>
    </w:p>
    <w:p w14:paraId="68091FF9" w14:textId="77777777" w:rsidR="00CF33D9" w:rsidRDefault="00E3332A">
      <w:pPr>
        <w:spacing w:line="220" w:lineRule="exact"/>
        <w:jc w:val="both"/>
        <w:rPr>
          <w:rFonts w:ascii="Calibri" w:hAnsi="Calibri" w:cs="Calibri"/>
          <w:sz w:val="20"/>
          <w:szCs w:val="20"/>
        </w:rPr>
      </w:pPr>
      <w:r>
        <w:rPr>
          <w:rFonts w:ascii="Calibri" w:hAnsi="Calibri" w:cs="Calibri"/>
          <w:sz w:val="20"/>
          <w:szCs w:val="20"/>
        </w:rPr>
        <w:t xml:space="preserve">Interested stakeholders may raise a grievance at any time to the Project Management Office or the Implementing Agency (UNDP). </w:t>
      </w:r>
    </w:p>
    <w:p w14:paraId="68091FFA" w14:textId="77777777" w:rsidR="00CF33D9" w:rsidRDefault="00CF33D9">
      <w:pPr>
        <w:jc w:val="both"/>
        <w:rPr>
          <w:rFonts w:ascii="Calibri" w:hAnsi="Calibri" w:cs="Calibri"/>
          <w:sz w:val="20"/>
          <w:szCs w:val="20"/>
        </w:rPr>
      </w:pPr>
    </w:p>
    <w:p w14:paraId="68091FFB" w14:textId="77777777" w:rsidR="00CF33D9" w:rsidRDefault="00E3332A">
      <w:pPr>
        <w:rPr>
          <w:rFonts w:ascii="Calibri" w:hAnsi="Calibri" w:cs="Calibri"/>
          <w:sz w:val="20"/>
          <w:szCs w:val="20"/>
        </w:rPr>
      </w:pPr>
      <w:bookmarkStart w:id="161" w:name="_Toc163750608"/>
      <w:r>
        <w:rPr>
          <w:rFonts w:ascii="Calibri" w:hAnsi="Calibri" w:cs="Calibri"/>
          <w:sz w:val="20"/>
          <w:szCs w:val="20"/>
        </w:rPr>
        <w:lastRenderedPageBreak/>
        <w:t>7</w:t>
      </w:r>
      <w:r>
        <w:rPr>
          <w:rFonts w:ascii="Calibri" w:hAnsi="Calibri" w:cs="Calibri"/>
          <w:sz w:val="20"/>
          <w:szCs w:val="20"/>
        </w:rPr>
        <w:tab/>
        <w:t>Institutional Arrangements and Capacity Building</w:t>
      </w:r>
      <w:bookmarkEnd w:id="161"/>
    </w:p>
    <w:p w14:paraId="68091FFC" w14:textId="77777777" w:rsidR="00CF33D9" w:rsidRDefault="00CF33D9">
      <w:pPr>
        <w:rPr>
          <w:rFonts w:ascii="Calibri" w:hAnsi="Calibri" w:cs="Calibri"/>
          <w:sz w:val="20"/>
          <w:szCs w:val="20"/>
        </w:rPr>
      </w:pPr>
    </w:p>
    <w:p w14:paraId="68091FFD" w14:textId="77777777" w:rsidR="00CF33D9" w:rsidRDefault="00E3332A">
      <w:pPr>
        <w:spacing w:line="220" w:lineRule="exact"/>
        <w:jc w:val="both"/>
        <w:rPr>
          <w:rFonts w:ascii="Calibri" w:hAnsi="Calibri" w:cs="Calibri"/>
          <w:sz w:val="20"/>
          <w:szCs w:val="20"/>
        </w:rPr>
      </w:pPr>
      <w:r>
        <w:rPr>
          <w:rFonts w:ascii="Calibri" w:hAnsi="Calibri" w:cs="Calibri"/>
          <w:sz w:val="20"/>
          <w:szCs w:val="20"/>
        </w:rPr>
        <w:t>This section describes the institutional arrangements to implement the ESMF, from the screening of activities, the preparation of their safeguard instruments, and review and clearance of activities through to the monitoring of implementation.</w:t>
      </w:r>
    </w:p>
    <w:p w14:paraId="68091FFE" w14:textId="77777777" w:rsidR="00CF33D9" w:rsidRDefault="00CF33D9">
      <w:pPr>
        <w:spacing w:line="220" w:lineRule="exact"/>
        <w:jc w:val="both"/>
        <w:rPr>
          <w:rFonts w:ascii="Calibri" w:hAnsi="Calibri" w:cs="Calibri"/>
          <w:sz w:val="20"/>
          <w:szCs w:val="20"/>
        </w:rPr>
      </w:pPr>
    </w:p>
    <w:p w14:paraId="68091FFF" w14:textId="77777777" w:rsidR="00CF33D9" w:rsidRDefault="00E3332A">
      <w:pPr>
        <w:rPr>
          <w:rFonts w:ascii="Calibri" w:hAnsi="Calibri" w:cs="Calibri"/>
          <w:sz w:val="20"/>
          <w:szCs w:val="20"/>
        </w:rPr>
      </w:pPr>
      <w:bookmarkStart w:id="162" w:name="_Toc163750611"/>
      <w:r>
        <w:rPr>
          <w:rFonts w:ascii="Calibri" w:hAnsi="Calibri" w:cs="Calibri"/>
          <w:sz w:val="20"/>
          <w:szCs w:val="20"/>
        </w:rPr>
        <w:t>7.1</w:t>
      </w:r>
      <w:r>
        <w:rPr>
          <w:rFonts w:ascii="Calibri" w:hAnsi="Calibri" w:cs="Calibri"/>
          <w:sz w:val="20"/>
          <w:szCs w:val="20"/>
        </w:rPr>
        <w:tab/>
        <w:t>Roles and Responsibilities in ESMF Implementation</w:t>
      </w:r>
      <w:bookmarkEnd w:id="162"/>
      <w:r>
        <w:rPr>
          <w:rFonts w:ascii="Calibri" w:hAnsi="Calibri" w:cs="Calibri"/>
          <w:sz w:val="20"/>
          <w:szCs w:val="20"/>
        </w:rPr>
        <w:t xml:space="preserve"> </w:t>
      </w:r>
    </w:p>
    <w:p w14:paraId="68092000" w14:textId="77777777" w:rsidR="00CF33D9" w:rsidRDefault="00CF33D9">
      <w:pPr>
        <w:spacing w:line="220" w:lineRule="exact"/>
        <w:jc w:val="both"/>
        <w:rPr>
          <w:rFonts w:ascii="Calibri" w:hAnsi="Calibri" w:cs="Calibri"/>
          <w:sz w:val="20"/>
          <w:szCs w:val="20"/>
        </w:rPr>
      </w:pPr>
    </w:p>
    <w:p w14:paraId="68092001" w14:textId="77777777" w:rsidR="00CF33D9" w:rsidRDefault="00E3332A">
      <w:pPr>
        <w:spacing w:line="220" w:lineRule="exact"/>
        <w:jc w:val="both"/>
        <w:rPr>
          <w:rFonts w:ascii="Calibri" w:hAnsi="Calibri" w:cs="Calibri"/>
          <w:sz w:val="20"/>
          <w:szCs w:val="20"/>
        </w:rPr>
      </w:pPr>
      <w:r>
        <w:rPr>
          <w:rFonts w:ascii="Calibri" w:hAnsi="Calibri" w:cs="Calibri"/>
          <w:sz w:val="20"/>
          <w:szCs w:val="20"/>
        </w:rPr>
        <w:t xml:space="preserve">The roles and responsibilities of project staff and associated agencies in implementation of this ESMF is as follows. This ESMF does not cover the roles and responsibilities associated with implementation of the subsequent ESMP and stand-alone management plans; those will be defined in subsequent management plan that is developed in the implementation phase. </w:t>
      </w:r>
    </w:p>
    <w:p w14:paraId="68092002" w14:textId="77777777" w:rsidR="00CF33D9" w:rsidRDefault="00CF33D9">
      <w:pPr>
        <w:spacing w:line="220" w:lineRule="exact"/>
        <w:rPr>
          <w:rFonts w:ascii="Calibri" w:hAnsi="Calibri" w:cs="Calibri"/>
          <w:sz w:val="20"/>
          <w:szCs w:val="20"/>
        </w:rPr>
      </w:pPr>
    </w:p>
    <w:p w14:paraId="68092003" w14:textId="77777777" w:rsidR="00CF33D9" w:rsidRDefault="00E3332A">
      <w:pPr>
        <w:spacing w:line="220" w:lineRule="exact"/>
        <w:rPr>
          <w:rFonts w:ascii="Calibri" w:hAnsi="Calibri" w:cs="Calibri"/>
          <w:b/>
          <w:bCs/>
          <w:sz w:val="20"/>
          <w:szCs w:val="20"/>
        </w:rPr>
      </w:pPr>
      <w:r>
        <w:rPr>
          <w:rFonts w:ascii="Calibri" w:hAnsi="Calibri" w:cs="Calibri"/>
          <w:b/>
          <w:bCs/>
          <w:sz w:val="20"/>
          <w:szCs w:val="20"/>
        </w:rPr>
        <w:t>Implementing Partner</w:t>
      </w:r>
    </w:p>
    <w:p w14:paraId="68092004" w14:textId="77777777" w:rsidR="00CF33D9" w:rsidRDefault="00E3332A">
      <w:pPr>
        <w:spacing w:line="220" w:lineRule="exact"/>
        <w:jc w:val="both"/>
        <w:rPr>
          <w:rFonts w:ascii="Calibri" w:hAnsi="Calibri" w:cs="Calibri"/>
          <w:sz w:val="20"/>
          <w:szCs w:val="20"/>
        </w:rPr>
      </w:pPr>
      <w:r>
        <w:rPr>
          <w:rFonts w:ascii="Calibri" w:hAnsi="Calibri" w:cs="Calibri"/>
          <w:sz w:val="20"/>
          <w:szCs w:val="20"/>
        </w:rPr>
        <w:t xml:space="preserve">The implementing Partner for this project is the </w:t>
      </w:r>
      <w:r>
        <w:rPr>
          <w:rFonts w:ascii="Calibri" w:hAnsi="Calibri" w:cs="Calibri"/>
          <w:b/>
          <w:bCs/>
          <w:sz w:val="20"/>
          <w:szCs w:val="20"/>
        </w:rPr>
        <w:t xml:space="preserve">Benguela Current Convention Secretariat. </w:t>
      </w:r>
      <w:r>
        <w:rPr>
          <w:rFonts w:ascii="Calibri" w:hAnsi="Calibri" w:cs="Calibri"/>
          <w:sz w:val="20"/>
          <w:szCs w:val="20"/>
        </w:rPr>
        <w:t xml:space="preserve">The implementing Partner is the entity to which the UNDP Administrator has entrusted the implementation of UNDP assistance specified in this signed project document along with the assumption of full responsibility and accountability for the effective use of UNDP resources and the delivery of outputs, as set forth in this document. The responsibilities of the </w:t>
      </w:r>
      <w:r>
        <w:rPr>
          <w:rFonts w:ascii="Calibri" w:hAnsi="Calibri" w:cs="Calibri"/>
          <w:b/>
          <w:bCs/>
          <w:sz w:val="20"/>
          <w:szCs w:val="20"/>
        </w:rPr>
        <w:t>Benguela Current Convention Secretariat will</w:t>
      </w:r>
      <w:r>
        <w:rPr>
          <w:rFonts w:ascii="Calibri" w:hAnsi="Calibri" w:cs="Calibri"/>
          <w:sz w:val="20"/>
          <w:szCs w:val="20"/>
        </w:rPr>
        <w:t xml:space="preserve"> include:</w:t>
      </w:r>
    </w:p>
    <w:p w14:paraId="68092005" w14:textId="77777777" w:rsidR="00CF33D9" w:rsidRDefault="00E3332A">
      <w:pPr>
        <w:pStyle w:val="ListParagraph"/>
        <w:numPr>
          <w:ilvl w:val="0"/>
          <w:numId w:val="138"/>
        </w:numPr>
        <w:spacing w:line="220" w:lineRule="exact"/>
        <w:contextualSpacing/>
        <w:jc w:val="both"/>
        <w:rPr>
          <w:rFonts w:ascii="Calibri" w:hAnsi="Calibri" w:cs="Calibri"/>
          <w:sz w:val="20"/>
          <w:szCs w:val="20"/>
        </w:rPr>
      </w:pPr>
      <w:r>
        <w:rPr>
          <w:rFonts w:ascii="Calibri" w:hAnsi="Calibri" w:cs="Calibri"/>
          <w:sz w:val="20"/>
          <w:szCs w:val="20"/>
        </w:rPr>
        <w:t>Project planning, coordination, management, monitoring, evaluation and reporting. This includes providing all required information and data necessary for timely, comprehensive and evidence-based project reporting, including results and financial data, as necessary. The Implementing Partner will strive to ensure project-level M&amp;E is undertaken by national institutes and is aligned with national systems so that the data used and generated by the project supports national systems.</w:t>
      </w:r>
    </w:p>
    <w:p w14:paraId="68092006" w14:textId="77777777" w:rsidR="00CF33D9" w:rsidRDefault="00E3332A">
      <w:pPr>
        <w:pStyle w:val="ListParagraph"/>
        <w:numPr>
          <w:ilvl w:val="0"/>
          <w:numId w:val="138"/>
        </w:numPr>
        <w:spacing w:line="220" w:lineRule="exact"/>
        <w:contextualSpacing/>
        <w:jc w:val="both"/>
        <w:rPr>
          <w:rFonts w:ascii="Calibri" w:hAnsi="Calibri" w:cs="Calibri"/>
          <w:sz w:val="20"/>
          <w:szCs w:val="20"/>
        </w:rPr>
      </w:pPr>
      <w:r>
        <w:rPr>
          <w:rFonts w:ascii="Calibri" w:hAnsi="Calibri" w:cs="Calibri"/>
          <w:sz w:val="20"/>
          <w:szCs w:val="20"/>
        </w:rPr>
        <w:t>Chairing the Project Board meetings.</w:t>
      </w:r>
    </w:p>
    <w:p w14:paraId="68092007" w14:textId="77777777" w:rsidR="00CF33D9" w:rsidRDefault="00E3332A">
      <w:pPr>
        <w:pStyle w:val="ListParagraph"/>
        <w:numPr>
          <w:ilvl w:val="0"/>
          <w:numId w:val="138"/>
        </w:numPr>
        <w:spacing w:line="220" w:lineRule="exact"/>
        <w:contextualSpacing/>
        <w:jc w:val="both"/>
        <w:rPr>
          <w:rFonts w:ascii="Calibri" w:hAnsi="Calibri" w:cs="Calibri"/>
          <w:sz w:val="20"/>
          <w:szCs w:val="20"/>
        </w:rPr>
      </w:pPr>
      <w:r>
        <w:rPr>
          <w:rFonts w:ascii="Calibri" w:hAnsi="Calibri" w:cs="Calibri"/>
          <w:sz w:val="20"/>
          <w:szCs w:val="20"/>
        </w:rPr>
        <w:t>Monitoring the progress of the project at strategic level, towards the achievement of the development outcomes.</w:t>
      </w:r>
    </w:p>
    <w:p w14:paraId="68092008" w14:textId="77777777" w:rsidR="00CF33D9" w:rsidRDefault="00E3332A">
      <w:pPr>
        <w:pStyle w:val="ListParagraph"/>
        <w:numPr>
          <w:ilvl w:val="0"/>
          <w:numId w:val="138"/>
        </w:numPr>
        <w:spacing w:line="220" w:lineRule="exact"/>
        <w:contextualSpacing/>
        <w:jc w:val="both"/>
        <w:rPr>
          <w:rFonts w:ascii="Calibri" w:hAnsi="Calibri" w:cs="Calibri"/>
          <w:sz w:val="20"/>
          <w:szCs w:val="20"/>
        </w:rPr>
      </w:pPr>
      <w:r>
        <w:rPr>
          <w:rFonts w:ascii="Calibri" w:hAnsi="Calibri" w:cs="Calibri"/>
          <w:sz w:val="20"/>
          <w:szCs w:val="20"/>
        </w:rPr>
        <w:t>Ensuring effective Risk and Safeguards management as outlined in this Project Document.</w:t>
      </w:r>
    </w:p>
    <w:p w14:paraId="68092009" w14:textId="77777777" w:rsidR="00CF33D9" w:rsidRDefault="00E3332A">
      <w:pPr>
        <w:pStyle w:val="ListParagraph"/>
        <w:numPr>
          <w:ilvl w:val="0"/>
          <w:numId w:val="138"/>
        </w:numPr>
        <w:spacing w:line="220" w:lineRule="exact"/>
        <w:contextualSpacing/>
        <w:jc w:val="both"/>
        <w:rPr>
          <w:rFonts w:ascii="Calibri" w:hAnsi="Calibri" w:cs="Calibri"/>
          <w:sz w:val="20"/>
          <w:szCs w:val="20"/>
        </w:rPr>
      </w:pPr>
      <w:r>
        <w:rPr>
          <w:rFonts w:ascii="Calibri" w:hAnsi="Calibri" w:cs="Calibri"/>
          <w:sz w:val="20"/>
          <w:szCs w:val="20"/>
        </w:rPr>
        <w:t>Ensuring that the project partners will deliver the pledged co-financing.</w:t>
      </w:r>
    </w:p>
    <w:p w14:paraId="6809200A" w14:textId="77777777" w:rsidR="00CF33D9" w:rsidRDefault="00E3332A">
      <w:pPr>
        <w:pStyle w:val="ListParagraph"/>
        <w:numPr>
          <w:ilvl w:val="0"/>
          <w:numId w:val="138"/>
        </w:numPr>
        <w:spacing w:line="220" w:lineRule="exact"/>
        <w:contextualSpacing/>
        <w:jc w:val="both"/>
        <w:rPr>
          <w:rFonts w:ascii="Calibri" w:hAnsi="Calibri" w:cs="Calibri"/>
          <w:sz w:val="20"/>
          <w:szCs w:val="20"/>
        </w:rPr>
      </w:pPr>
      <w:r>
        <w:rPr>
          <w:rFonts w:ascii="Calibri" w:hAnsi="Calibri" w:cs="Calibri"/>
          <w:sz w:val="20"/>
          <w:szCs w:val="20"/>
        </w:rPr>
        <w:t>Ensuring that there is a coherent project organization structure and logical set of work plans.</w:t>
      </w:r>
    </w:p>
    <w:p w14:paraId="6809200B" w14:textId="77777777" w:rsidR="00CF33D9" w:rsidRDefault="00E3332A">
      <w:pPr>
        <w:pStyle w:val="ListParagraph"/>
        <w:numPr>
          <w:ilvl w:val="0"/>
          <w:numId w:val="138"/>
        </w:numPr>
        <w:spacing w:line="220" w:lineRule="exact"/>
        <w:contextualSpacing/>
        <w:jc w:val="both"/>
        <w:rPr>
          <w:rFonts w:ascii="Calibri" w:hAnsi="Calibri" w:cs="Calibri"/>
          <w:sz w:val="20"/>
          <w:szCs w:val="20"/>
        </w:rPr>
      </w:pPr>
      <w:r>
        <w:rPr>
          <w:rFonts w:ascii="Calibri" w:hAnsi="Calibri" w:cs="Calibri"/>
          <w:sz w:val="20"/>
          <w:szCs w:val="20"/>
        </w:rPr>
        <w:t>Financial management, including overseeing financial expenditures against project budgets.</w:t>
      </w:r>
    </w:p>
    <w:p w14:paraId="6809200C" w14:textId="77777777" w:rsidR="00CF33D9" w:rsidRDefault="00E3332A">
      <w:pPr>
        <w:pStyle w:val="ListParagraph"/>
        <w:numPr>
          <w:ilvl w:val="0"/>
          <w:numId w:val="138"/>
        </w:numPr>
        <w:spacing w:line="220" w:lineRule="exact"/>
        <w:contextualSpacing/>
        <w:jc w:val="both"/>
        <w:rPr>
          <w:rFonts w:ascii="Calibri" w:hAnsi="Calibri" w:cs="Calibri"/>
          <w:sz w:val="20"/>
          <w:szCs w:val="20"/>
        </w:rPr>
      </w:pPr>
      <w:r>
        <w:rPr>
          <w:rFonts w:ascii="Calibri" w:hAnsi="Calibri" w:cs="Calibri"/>
          <w:sz w:val="20"/>
          <w:szCs w:val="20"/>
        </w:rPr>
        <w:t>Approving and signing the delivery report at the end of the year.</w:t>
      </w:r>
    </w:p>
    <w:p w14:paraId="6809200D" w14:textId="77777777" w:rsidR="00CF33D9" w:rsidRDefault="00CF33D9">
      <w:pPr>
        <w:spacing w:line="276" w:lineRule="auto"/>
        <w:rPr>
          <w:rFonts w:ascii="Calibri" w:hAnsi="Calibri" w:cs="Calibri"/>
          <w:sz w:val="20"/>
          <w:szCs w:val="20"/>
        </w:rPr>
      </w:pPr>
    </w:p>
    <w:p w14:paraId="6809200E" w14:textId="77777777" w:rsidR="00CF33D9" w:rsidRDefault="00E3332A">
      <w:pPr>
        <w:pStyle w:val="ListParagraph"/>
        <w:spacing w:line="220" w:lineRule="exact"/>
        <w:ind w:left="0"/>
        <w:rPr>
          <w:rFonts w:ascii="Calibri" w:hAnsi="Calibri" w:cs="Calibri"/>
          <w:sz w:val="20"/>
          <w:szCs w:val="20"/>
        </w:rPr>
      </w:pPr>
      <w:r>
        <w:rPr>
          <w:rFonts w:ascii="Calibri" w:hAnsi="Calibri" w:cs="Calibri"/>
          <w:sz w:val="20"/>
          <w:szCs w:val="20"/>
        </w:rPr>
        <w:t>The IP and the Project manager will:</w:t>
      </w:r>
    </w:p>
    <w:p w14:paraId="6809200F" w14:textId="77777777" w:rsidR="00CF33D9" w:rsidRDefault="00E3332A">
      <w:pPr>
        <w:pStyle w:val="ListParagraph"/>
        <w:numPr>
          <w:ilvl w:val="0"/>
          <w:numId w:val="139"/>
        </w:numPr>
        <w:spacing w:line="220" w:lineRule="exact"/>
        <w:jc w:val="both"/>
        <w:rPr>
          <w:rFonts w:ascii="Calibri" w:hAnsi="Calibri" w:cs="Calibri"/>
          <w:color w:val="000000"/>
          <w:sz w:val="20"/>
          <w:szCs w:val="20"/>
        </w:rPr>
      </w:pPr>
      <w:r>
        <w:rPr>
          <w:rFonts w:ascii="Calibri" w:hAnsi="Calibri" w:cs="Calibri"/>
          <w:sz w:val="20"/>
          <w:szCs w:val="20"/>
        </w:rPr>
        <w:t xml:space="preserve">Ensure that all the </w:t>
      </w:r>
      <w:r>
        <w:rPr>
          <w:rFonts w:ascii="Calibri" w:hAnsi="Calibri" w:cs="Calibri"/>
          <w:color w:val="000000"/>
          <w:sz w:val="20"/>
          <w:szCs w:val="20"/>
        </w:rPr>
        <w:t>required assessments (targeted assessment, SESA, ESIA etc.), assessment reports and the required management plan(s) (an ESMP and/or stand-alone management plans), are developed, disclosed for public consultation, and approved, and management measures are adopted and integrated during project implementation.</w:t>
      </w:r>
    </w:p>
    <w:p w14:paraId="68092010" w14:textId="77777777" w:rsidR="00CF33D9" w:rsidRDefault="00E3332A">
      <w:pPr>
        <w:numPr>
          <w:ilvl w:val="0"/>
          <w:numId w:val="140"/>
        </w:numPr>
        <w:autoSpaceDE w:val="0"/>
        <w:autoSpaceDN w:val="0"/>
        <w:adjustRightInd w:val="0"/>
        <w:spacing w:line="220" w:lineRule="exact"/>
        <w:contextualSpacing/>
        <w:jc w:val="both"/>
        <w:rPr>
          <w:rFonts w:ascii="Calibri" w:hAnsi="Calibri" w:cs="Calibri"/>
          <w:sz w:val="20"/>
          <w:szCs w:val="20"/>
        </w:rPr>
      </w:pPr>
      <w:r>
        <w:rPr>
          <w:rFonts w:ascii="Calibri" w:hAnsi="Calibri" w:cs="Calibri"/>
          <w:sz w:val="20"/>
          <w:szCs w:val="20"/>
        </w:rPr>
        <w:t>Ensuring all requirements of UNDP’s SES and national regulatory/policy frameworks and relevant international standards have been addressed (e.g. mitigation of identified adverse social and environmental impacts).</w:t>
      </w:r>
    </w:p>
    <w:p w14:paraId="68092011" w14:textId="77777777" w:rsidR="00CF33D9" w:rsidRDefault="00E3332A">
      <w:pPr>
        <w:numPr>
          <w:ilvl w:val="0"/>
          <w:numId w:val="140"/>
        </w:numPr>
        <w:autoSpaceDE w:val="0"/>
        <w:autoSpaceDN w:val="0"/>
        <w:adjustRightInd w:val="0"/>
        <w:spacing w:line="220" w:lineRule="exact"/>
        <w:contextualSpacing/>
        <w:jc w:val="both"/>
        <w:rPr>
          <w:rFonts w:ascii="Calibri" w:hAnsi="Calibri" w:cs="Calibri"/>
          <w:sz w:val="20"/>
          <w:szCs w:val="20"/>
        </w:rPr>
      </w:pPr>
      <w:r>
        <w:rPr>
          <w:rFonts w:ascii="Calibri" w:hAnsi="Calibri" w:cs="Calibri"/>
          <w:sz w:val="20"/>
          <w:szCs w:val="20"/>
        </w:rPr>
        <w:t xml:space="preserve">Providing all required information and data necessary for timely, comprehensive, and evidence-based project reporting, including results and financial data, as necessary. This will include ensuring that project-level M&amp;E is undertaken by national institutes and is aligned with national systems so that the data used and generated by the project, supports national systems. </w:t>
      </w:r>
    </w:p>
    <w:p w14:paraId="68092012" w14:textId="77777777" w:rsidR="00CF33D9" w:rsidRDefault="00E3332A">
      <w:pPr>
        <w:numPr>
          <w:ilvl w:val="0"/>
          <w:numId w:val="140"/>
        </w:numPr>
        <w:autoSpaceDE w:val="0"/>
        <w:autoSpaceDN w:val="0"/>
        <w:adjustRightInd w:val="0"/>
        <w:spacing w:line="220" w:lineRule="exact"/>
        <w:contextualSpacing/>
        <w:jc w:val="both"/>
        <w:rPr>
          <w:rFonts w:ascii="Calibri" w:hAnsi="Calibri" w:cs="Calibri"/>
          <w:sz w:val="20"/>
          <w:szCs w:val="20"/>
        </w:rPr>
      </w:pPr>
      <w:r>
        <w:rPr>
          <w:rFonts w:ascii="Calibri" w:hAnsi="Calibri" w:cs="Calibri"/>
          <w:sz w:val="20"/>
          <w:szCs w:val="20"/>
        </w:rPr>
        <w:t xml:space="preserve">Risk management with respect to Social and Environmental Standards, as outlined in the respective ESMPs. </w:t>
      </w:r>
    </w:p>
    <w:p w14:paraId="68092013" w14:textId="77777777" w:rsidR="00CF33D9" w:rsidRDefault="00E3332A">
      <w:pPr>
        <w:numPr>
          <w:ilvl w:val="0"/>
          <w:numId w:val="140"/>
        </w:numPr>
        <w:autoSpaceDE w:val="0"/>
        <w:autoSpaceDN w:val="0"/>
        <w:adjustRightInd w:val="0"/>
        <w:spacing w:line="220" w:lineRule="exact"/>
        <w:contextualSpacing/>
        <w:jc w:val="both"/>
        <w:rPr>
          <w:rFonts w:ascii="Calibri" w:hAnsi="Calibri" w:cs="Calibri"/>
          <w:sz w:val="20"/>
          <w:szCs w:val="20"/>
        </w:rPr>
      </w:pPr>
      <w:r>
        <w:rPr>
          <w:rFonts w:ascii="Calibri" w:hAnsi="Calibri" w:cs="Calibri"/>
          <w:sz w:val="20"/>
          <w:szCs w:val="20"/>
        </w:rPr>
        <w:t>Procurement of goods and services, including human resources.</w:t>
      </w:r>
    </w:p>
    <w:p w14:paraId="68092014" w14:textId="77777777" w:rsidR="00CF33D9" w:rsidRDefault="00E3332A">
      <w:pPr>
        <w:numPr>
          <w:ilvl w:val="0"/>
          <w:numId w:val="140"/>
        </w:numPr>
        <w:autoSpaceDE w:val="0"/>
        <w:autoSpaceDN w:val="0"/>
        <w:adjustRightInd w:val="0"/>
        <w:spacing w:line="220" w:lineRule="exact"/>
        <w:contextualSpacing/>
        <w:jc w:val="both"/>
        <w:rPr>
          <w:rFonts w:ascii="Calibri" w:hAnsi="Calibri" w:cs="Calibri"/>
          <w:sz w:val="20"/>
          <w:szCs w:val="20"/>
        </w:rPr>
      </w:pPr>
      <w:r>
        <w:rPr>
          <w:rFonts w:ascii="Calibri" w:hAnsi="Calibri" w:cs="Calibri"/>
          <w:sz w:val="20"/>
          <w:szCs w:val="20"/>
        </w:rPr>
        <w:t>Financial management, including overseeing financial expenditures against project budgets.</w:t>
      </w:r>
    </w:p>
    <w:p w14:paraId="68092015" w14:textId="77777777" w:rsidR="00CF33D9" w:rsidRDefault="00E3332A">
      <w:pPr>
        <w:numPr>
          <w:ilvl w:val="0"/>
          <w:numId w:val="140"/>
        </w:numPr>
        <w:autoSpaceDE w:val="0"/>
        <w:autoSpaceDN w:val="0"/>
        <w:adjustRightInd w:val="0"/>
        <w:spacing w:line="220" w:lineRule="exact"/>
        <w:contextualSpacing/>
        <w:jc w:val="both"/>
        <w:rPr>
          <w:rFonts w:ascii="Calibri" w:hAnsi="Calibri" w:cs="Calibri"/>
          <w:sz w:val="20"/>
          <w:szCs w:val="20"/>
        </w:rPr>
      </w:pPr>
      <w:r>
        <w:rPr>
          <w:rFonts w:ascii="Calibri" w:hAnsi="Calibri" w:cs="Calibri"/>
          <w:sz w:val="20"/>
          <w:szCs w:val="20"/>
        </w:rPr>
        <w:t xml:space="preserve">Holds responsibility and accountability to UNDP for overall management of the project, including compliance with UNDP SES and the EIA/SEA legislation as applicable. </w:t>
      </w:r>
    </w:p>
    <w:p w14:paraId="68092016" w14:textId="77777777" w:rsidR="00CF33D9" w:rsidRDefault="00CF33D9">
      <w:pPr>
        <w:spacing w:line="220" w:lineRule="exact"/>
        <w:rPr>
          <w:rFonts w:ascii="Calibri" w:hAnsi="Calibri" w:cs="Calibri"/>
          <w:sz w:val="20"/>
          <w:szCs w:val="20"/>
        </w:rPr>
      </w:pPr>
    </w:p>
    <w:p w14:paraId="68092017" w14:textId="77777777" w:rsidR="00CF33D9" w:rsidRDefault="00E3332A">
      <w:pPr>
        <w:rPr>
          <w:rFonts w:ascii="Calibri" w:hAnsi="Calibri" w:cs="Calibri"/>
          <w:b/>
          <w:bCs/>
          <w:sz w:val="20"/>
          <w:szCs w:val="20"/>
        </w:rPr>
      </w:pPr>
      <w:r>
        <w:rPr>
          <w:rFonts w:ascii="Calibri" w:hAnsi="Calibri" w:cs="Calibri"/>
          <w:b/>
          <w:bCs/>
          <w:sz w:val="20"/>
          <w:szCs w:val="20"/>
        </w:rPr>
        <w:t>Project Steering Committee</w:t>
      </w:r>
    </w:p>
    <w:p w14:paraId="68092018" w14:textId="77777777" w:rsidR="00CF33D9" w:rsidRDefault="00E3332A">
      <w:pPr>
        <w:pStyle w:val="ListParagraph"/>
        <w:numPr>
          <w:ilvl w:val="0"/>
          <w:numId w:val="141"/>
        </w:numPr>
        <w:spacing w:line="220" w:lineRule="exact"/>
        <w:contextualSpacing/>
        <w:jc w:val="both"/>
        <w:rPr>
          <w:rFonts w:ascii="Calibri" w:hAnsi="Calibri" w:cs="Calibri"/>
          <w:b/>
          <w:bCs/>
          <w:sz w:val="20"/>
          <w:szCs w:val="20"/>
        </w:rPr>
      </w:pPr>
      <w:r>
        <w:rPr>
          <w:rFonts w:ascii="Calibri" w:hAnsi="Calibri" w:cs="Calibri"/>
          <w:sz w:val="20"/>
          <w:szCs w:val="20"/>
        </w:rPr>
        <w:t>Monitor implementation of this ESMF and compliance with national and international regulations, and UNDP social and environmental standards.</w:t>
      </w:r>
    </w:p>
    <w:p w14:paraId="68092019" w14:textId="77777777" w:rsidR="00CF33D9" w:rsidRDefault="00E3332A">
      <w:pPr>
        <w:pStyle w:val="ListParagraph"/>
        <w:numPr>
          <w:ilvl w:val="0"/>
          <w:numId w:val="141"/>
        </w:numPr>
        <w:spacing w:line="220" w:lineRule="exact"/>
        <w:contextualSpacing/>
        <w:jc w:val="both"/>
        <w:rPr>
          <w:rFonts w:ascii="Calibri" w:hAnsi="Calibri" w:cs="Calibri"/>
          <w:b/>
          <w:bCs/>
          <w:sz w:val="20"/>
          <w:szCs w:val="20"/>
        </w:rPr>
      </w:pPr>
      <w:r>
        <w:rPr>
          <w:rFonts w:ascii="Calibri" w:hAnsi="Calibri" w:cs="Calibri"/>
          <w:sz w:val="20"/>
          <w:szCs w:val="20"/>
        </w:rPr>
        <w:t>Decision-making for the adoption of necessary measures, including full integration of management measures within project outputs and annual work plans.</w:t>
      </w:r>
    </w:p>
    <w:p w14:paraId="6809201A" w14:textId="77777777" w:rsidR="00CF33D9" w:rsidRDefault="00E3332A">
      <w:pPr>
        <w:pStyle w:val="ListParagraph"/>
        <w:numPr>
          <w:ilvl w:val="0"/>
          <w:numId w:val="141"/>
        </w:numPr>
        <w:spacing w:line="220" w:lineRule="exact"/>
        <w:contextualSpacing/>
        <w:jc w:val="both"/>
        <w:rPr>
          <w:rFonts w:ascii="Calibri" w:hAnsi="Calibri" w:cs="Calibri"/>
          <w:b/>
          <w:bCs/>
          <w:sz w:val="20"/>
          <w:szCs w:val="20"/>
        </w:rPr>
      </w:pPr>
      <w:r>
        <w:rPr>
          <w:rFonts w:ascii="Calibri" w:hAnsi="Calibri" w:cs="Calibri"/>
          <w:sz w:val="20"/>
          <w:szCs w:val="20"/>
        </w:rPr>
        <w:t>Establish and support GRM to address any grievances; and</w:t>
      </w:r>
    </w:p>
    <w:p w14:paraId="6809201B" w14:textId="77777777" w:rsidR="00CF33D9" w:rsidRDefault="00E3332A">
      <w:pPr>
        <w:pStyle w:val="ListParagraph"/>
        <w:numPr>
          <w:ilvl w:val="0"/>
          <w:numId w:val="141"/>
        </w:numPr>
        <w:spacing w:line="220" w:lineRule="exact"/>
        <w:contextualSpacing/>
        <w:jc w:val="both"/>
        <w:rPr>
          <w:rFonts w:ascii="Calibri" w:hAnsi="Calibri" w:cs="Calibri"/>
          <w:b/>
          <w:bCs/>
          <w:sz w:val="20"/>
          <w:szCs w:val="20"/>
        </w:rPr>
      </w:pPr>
      <w:r>
        <w:rPr>
          <w:rFonts w:ascii="Calibri" w:hAnsi="Calibri" w:cs="Calibri"/>
          <w:sz w:val="20"/>
          <w:szCs w:val="20"/>
        </w:rPr>
        <w:lastRenderedPageBreak/>
        <w:t>Provide strategic guidance to the implementation of the programme, including oversight for safeguards and the implementation of this ESMF.</w:t>
      </w:r>
    </w:p>
    <w:p w14:paraId="6809201C" w14:textId="77777777" w:rsidR="00CF33D9" w:rsidRDefault="00CF33D9">
      <w:pPr>
        <w:spacing w:line="220" w:lineRule="exact"/>
        <w:jc w:val="both"/>
        <w:rPr>
          <w:rFonts w:ascii="Calibri" w:hAnsi="Calibri" w:cs="Calibri"/>
          <w:sz w:val="20"/>
          <w:szCs w:val="20"/>
        </w:rPr>
      </w:pPr>
    </w:p>
    <w:p w14:paraId="6809201D" w14:textId="77777777" w:rsidR="00CF33D9" w:rsidRDefault="00E3332A">
      <w:pPr>
        <w:spacing w:after="60" w:line="220" w:lineRule="exact"/>
        <w:jc w:val="both"/>
        <w:rPr>
          <w:rFonts w:ascii="Calibri" w:eastAsia="SimSun" w:hAnsi="Calibri" w:cs="Calibri"/>
          <w:b/>
          <w:sz w:val="20"/>
          <w:szCs w:val="20"/>
        </w:rPr>
      </w:pPr>
      <w:r>
        <w:rPr>
          <w:rFonts w:ascii="Calibri" w:eastAsia="SimSun" w:hAnsi="Calibri" w:cs="Calibri"/>
          <w:b/>
          <w:sz w:val="20"/>
          <w:szCs w:val="20"/>
        </w:rPr>
        <w:t xml:space="preserve">Project stakeholders and target groups:  </w:t>
      </w:r>
      <w:r>
        <w:rPr>
          <w:rFonts w:ascii="Calibri" w:hAnsi="Calibri" w:cs="Calibri"/>
          <w:sz w:val="20"/>
          <w:szCs w:val="20"/>
        </w:rPr>
        <w:t>The project will work with existing multi-stakeholder partnership mechanisms and establish new partnerships where necessary to ensure project target groups are involved in the design, implementation, and monitoring &amp; evaluation of the activities in their communities. Local government units having jurisdiction over the project landscapes will designate project-level focal points. The focal points will be seconded through part-time arrangements and funded through government co-financing contributions, providing support for project activities at the local levels.</w:t>
      </w:r>
    </w:p>
    <w:p w14:paraId="6809201E" w14:textId="77777777" w:rsidR="00CF33D9" w:rsidRDefault="00E3332A">
      <w:pPr>
        <w:spacing w:line="220" w:lineRule="exact"/>
        <w:jc w:val="both"/>
        <w:rPr>
          <w:rFonts w:ascii="Calibri" w:eastAsia="SimSun" w:hAnsi="Calibri" w:cs="Calibri"/>
          <w:b/>
          <w:sz w:val="20"/>
          <w:szCs w:val="20"/>
        </w:rPr>
      </w:pPr>
      <w:r>
        <w:rPr>
          <w:rFonts w:ascii="Calibri" w:eastAsia="SimSun" w:hAnsi="Calibri" w:cs="Calibri"/>
          <w:b/>
          <w:sz w:val="20"/>
          <w:szCs w:val="20"/>
        </w:rPr>
        <w:t xml:space="preserve">UNDP: </w:t>
      </w:r>
      <w:r>
        <w:rPr>
          <w:rFonts w:ascii="Calibri" w:eastAsia="SimSun" w:hAnsi="Calibri" w:cs="Calibri"/>
          <w:sz w:val="20"/>
          <w:szCs w:val="20"/>
        </w:rPr>
        <w:t xml:space="preserve">UNDP is accountable to the GEF for the implementation of this project. This includes oversight of project execution to ensure that the project is being carried out in accordance with agreed standards and provisions. UNDP is responsible for delivering GEF project cycle management services comprising project approval and start-up, project supervision and oversight, and project completion and evaluation. UNDP is also responsible for the Project Assurance role of the Project Board/Steering Committee. UNDP’s role includes: </w:t>
      </w:r>
    </w:p>
    <w:p w14:paraId="6809201F" w14:textId="77777777" w:rsidR="00CF33D9" w:rsidRDefault="00CF33D9">
      <w:pPr>
        <w:spacing w:line="220" w:lineRule="exact"/>
        <w:jc w:val="both"/>
        <w:rPr>
          <w:rFonts w:ascii="Calibri" w:eastAsia="SimSun" w:hAnsi="Calibri" w:cs="Calibri"/>
          <w:sz w:val="20"/>
          <w:szCs w:val="20"/>
        </w:rPr>
      </w:pPr>
    </w:p>
    <w:p w14:paraId="68092020" w14:textId="77777777" w:rsidR="00CF33D9" w:rsidRDefault="00E3332A">
      <w:pPr>
        <w:pStyle w:val="ListParagraph"/>
        <w:numPr>
          <w:ilvl w:val="0"/>
          <w:numId w:val="142"/>
        </w:numPr>
        <w:autoSpaceDE w:val="0"/>
        <w:autoSpaceDN w:val="0"/>
        <w:adjustRightInd w:val="0"/>
        <w:spacing w:line="220" w:lineRule="exact"/>
        <w:contextualSpacing/>
        <w:jc w:val="both"/>
        <w:rPr>
          <w:rFonts w:ascii="Calibri" w:hAnsi="Calibri" w:cs="Calibri"/>
          <w:color w:val="000000"/>
          <w:sz w:val="20"/>
          <w:szCs w:val="20"/>
        </w:rPr>
      </w:pPr>
      <w:r>
        <w:rPr>
          <w:rFonts w:ascii="Calibri" w:hAnsi="Calibri" w:cs="Calibri"/>
          <w:color w:val="000000"/>
          <w:sz w:val="20"/>
          <w:szCs w:val="20"/>
        </w:rPr>
        <w:t>provision of oversight on all matters related to safeguards.</w:t>
      </w:r>
    </w:p>
    <w:p w14:paraId="68092021" w14:textId="77777777" w:rsidR="00CF33D9" w:rsidRDefault="00E3332A">
      <w:pPr>
        <w:pStyle w:val="ListParagraph"/>
        <w:numPr>
          <w:ilvl w:val="0"/>
          <w:numId w:val="142"/>
        </w:numPr>
        <w:autoSpaceDE w:val="0"/>
        <w:autoSpaceDN w:val="0"/>
        <w:adjustRightInd w:val="0"/>
        <w:spacing w:line="220" w:lineRule="exact"/>
        <w:contextualSpacing/>
        <w:jc w:val="both"/>
        <w:rPr>
          <w:rFonts w:ascii="Calibri" w:hAnsi="Calibri" w:cs="Calibri"/>
          <w:color w:val="000000"/>
          <w:sz w:val="20"/>
          <w:szCs w:val="20"/>
        </w:rPr>
      </w:pPr>
      <w:r>
        <w:rPr>
          <w:rFonts w:ascii="Calibri" w:hAnsi="Calibri" w:cs="Calibri"/>
          <w:color w:val="000000"/>
          <w:sz w:val="20"/>
          <w:szCs w:val="20"/>
        </w:rPr>
        <w:t>informing all the stakeholders and right-holders involved in, or potentially impacted, positively or negatively, by the GEF-financed projects, about the UNDP’s corporate Accountability Mechanism (described below).</w:t>
      </w:r>
    </w:p>
    <w:p w14:paraId="68092022" w14:textId="77777777" w:rsidR="00CF33D9" w:rsidRDefault="00E3332A">
      <w:pPr>
        <w:pStyle w:val="ListParagraph"/>
        <w:numPr>
          <w:ilvl w:val="0"/>
          <w:numId w:val="142"/>
        </w:numPr>
        <w:autoSpaceDE w:val="0"/>
        <w:autoSpaceDN w:val="0"/>
        <w:adjustRightInd w:val="0"/>
        <w:spacing w:line="220" w:lineRule="exact"/>
        <w:contextualSpacing/>
        <w:jc w:val="both"/>
        <w:rPr>
          <w:rFonts w:ascii="Calibri" w:hAnsi="Calibri" w:cs="Calibri"/>
          <w:color w:val="000000"/>
          <w:sz w:val="20"/>
          <w:szCs w:val="20"/>
        </w:rPr>
      </w:pPr>
      <w:r>
        <w:rPr>
          <w:rFonts w:ascii="Calibri" w:hAnsi="Calibri" w:cs="Calibri"/>
          <w:color w:val="000000"/>
          <w:sz w:val="20"/>
          <w:szCs w:val="20"/>
        </w:rPr>
        <w:t>ensuring that the Compliance Review and the Stakeholder Response Mechanisms are operational during the lifetime of the projects.</w:t>
      </w:r>
    </w:p>
    <w:p w14:paraId="68092023" w14:textId="77777777" w:rsidR="00CF33D9" w:rsidRDefault="00E3332A">
      <w:pPr>
        <w:pStyle w:val="ListParagraph"/>
        <w:numPr>
          <w:ilvl w:val="0"/>
          <w:numId w:val="142"/>
        </w:numPr>
        <w:autoSpaceDE w:val="0"/>
        <w:autoSpaceDN w:val="0"/>
        <w:adjustRightInd w:val="0"/>
        <w:spacing w:line="220" w:lineRule="exact"/>
        <w:contextualSpacing/>
        <w:jc w:val="both"/>
        <w:rPr>
          <w:rFonts w:ascii="Calibri" w:hAnsi="Calibri" w:cs="Calibri"/>
          <w:color w:val="000000"/>
          <w:sz w:val="20"/>
          <w:szCs w:val="20"/>
        </w:rPr>
      </w:pPr>
      <w:r>
        <w:rPr>
          <w:rFonts w:ascii="Calibri" w:hAnsi="Calibri" w:cs="Calibri"/>
          <w:color w:val="000000"/>
          <w:sz w:val="20"/>
          <w:szCs w:val="20"/>
        </w:rPr>
        <w:t>ensuring adherence to the SES for project activities implemented using funds channelled through UNDP’s accounts and undertake appropriate measures to address any shortcomings.</w:t>
      </w:r>
    </w:p>
    <w:p w14:paraId="68092024" w14:textId="77777777" w:rsidR="00CF33D9" w:rsidRDefault="00E3332A">
      <w:pPr>
        <w:pStyle w:val="ListParagraph"/>
        <w:numPr>
          <w:ilvl w:val="0"/>
          <w:numId w:val="142"/>
        </w:numPr>
        <w:autoSpaceDE w:val="0"/>
        <w:autoSpaceDN w:val="0"/>
        <w:adjustRightInd w:val="0"/>
        <w:spacing w:line="220" w:lineRule="exact"/>
        <w:contextualSpacing/>
        <w:jc w:val="both"/>
        <w:rPr>
          <w:rFonts w:ascii="Calibri" w:hAnsi="Calibri" w:cs="Calibri"/>
          <w:color w:val="000000"/>
          <w:sz w:val="20"/>
          <w:szCs w:val="20"/>
        </w:rPr>
      </w:pPr>
      <w:r>
        <w:rPr>
          <w:rFonts w:ascii="Calibri" w:hAnsi="Calibri" w:cs="Calibri"/>
          <w:color w:val="000000"/>
          <w:sz w:val="20"/>
          <w:szCs w:val="20"/>
        </w:rPr>
        <w:t>Verifying and documenting that all UNDP SES requirements have been addressed.</w:t>
      </w:r>
    </w:p>
    <w:p w14:paraId="68092025" w14:textId="77777777" w:rsidR="00CF33D9" w:rsidRDefault="00E3332A">
      <w:pPr>
        <w:pStyle w:val="ListParagraph"/>
        <w:numPr>
          <w:ilvl w:val="0"/>
          <w:numId w:val="142"/>
        </w:numPr>
        <w:autoSpaceDE w:val="0"/>
        <w:autoSpaceDN w:val="0"/>
        <w:adjustRightInd w:val="0"/>
        <w:spacing w:line="220" w:lineRule="exact"/>
        <w:contextualSpacing/>
        <w:jc w:val="both"/>
        <w:rPr>
          <w:rFonts w:ascii="Calibri" w:hAnsi="Calibri" w:cs="Calibri"/>
          <w:sz w:val="20"/>
          <w:szCs w:val="20"/>
        </w:rPr>
      </w:pPr>
      <w:r>
        <w:rPr>
          <w:rFonts w:ascii="Calibri" w:hAnsi="Calibri" w:cs="Calibri"/>
          <w:sz w:val="20"/>
          <w:szCs w:val="20"/>
        </w:rPr>
        <w:t>Providing technical guidance on implementation of this ESMF and administrative assistance in recruiting and contracting expert safeguards services (as required), and monitoring adherence of each project to the ESMF and UNDP policies and procedures.</w:t>
      </w:r>
    </w:p>
    <w:p w14:paraId="68092026" w14:textId="77777777" w:rsidR="00CF33D9" w:rsidRDefault="00CF33D9">
      <w:pPr>
        <w:jc w:val="both"/>
        <w:rPr>
          <w:rFonts w:ascii="Calibri" w:hAnsi="Calibri" w:cs="Calibri"/>
          <w:sz w:val="20"/>
          <w:szCs w:val="20"/>
        </w:rPr>
      </w:pPr>
    </w:p>
    <w:p w14:paraId="68092027" w14:textId="77777777" w:rsidR="00CF33D9" w:rsidRDefault="00E3332A">
      <w:pPr>
        <w:spacing w:after="60" w:line="220" w:lineRule="exact"/>
        <w:rPr>
          <w:rFonts w:ascii="Calibri" w:hAnsi="Calibri" w:cs="Calibri"/>
          <w:b/>
          <w:sz w:val="20"/>
          <w:szCs w:val="20"/>
          <w:lang w:eastAsia="zh-CN"/>
        </w:rPr>
      </w:pPr>
      <w:r>
        <w:rPr>
          <w:rFonts w:ascii="Calibri" w:hAnsi="Calibri" w:cs="Calibri"/>
          <w:b/>
          <w:sz w:val="20"/>
          <w:szCs w:val="20"/>
          <w:lang w:eastAsia="zh-CN"/>
        </w:rPr>
        <w:t>Project organisation structure:</w:t>
      </w:r>
    </w:p>
    <w:p w14:paraId="68092028" w14:textId="77777777" w:rsidR="00CF33D9" w:rsidRDefault="00E3332A">
      <w:pPr>
        <w:spacing w:line="220" w:lineRule="exact"/>
        <w:jc w:val="both"/>
        <w:rPr>
          <w:rFonts w:ascii="Calibri" w:hAnsi="Calibri" w:cs="Calibri"/>
          <w:iCs/>
          <w:sz w:val="20"/>
          <w:szCs w:val="20"/>
        </w:rPr>
      </w:pPr>
      <w:r>
        <w:rPr>
          <w:rFonts w:ascii="Calibri" w:hAnsi="Calibri" w:cs="Calibri"/>
          <w:sz w:val="20"/>
          <w:szCs w:val="20"/>
          <w:u w:val="single"/>
          <w:lang w:eastAsia="zh-CN"/>
        </w:rPr>
        <w:t>Project Board</w:t>
      </w:r>
      <w:r>
        <w:rPr>
          <w:rFonts w:ascii="Calibri" w:hAnsi="Calibri" w:cs="Calibri"/>
          <w:sz w:val="20"/>
          <w:szCs w:val="20"/>
          <w:lang w:eastAsia="zh-CN"/>
        </w:rPr>
        <w:t xml:space="preserve">:  The Project Board (also called Project Steering Committee) is responsible for taking </w:t>
      </w:r>
      <w:r>
        <w:rPr>
          <w:rFonts w:ascii="Calibri" w:hAnsi="Calibri" w:cs="Calibri"/>
          <w:sz w:val="20"/>
          <w:szCs w:val="20"/>
        </w:rPr>
        <w:t xml:space="preserve">corrective action as needed to ensure the project achieves the desired results. </w:t>
      </w:r>
      <w:r>
        <w:rPr>
          <w:rFonts w:ascii="Calibri" w:hAnsi="Calibri" w:cs="Calibri"/>
          <w:sz w:val="20"/>
          <w:szCs w:val="20"/>
          <w:lang w:eastAsia="zh-CN"/>
        </w:rPr>
        <w:t>In order to ensure UNDP’s ultimate accountability, Project Board decisions should be made in accordance with standards that shall ensure management for development results, best value money, fairness, integrity, transparency and effective international competition.</w:t>
      </w:r>
    </w:p>
    <w:p w14:paraId="68092029" w14:textId="77777777" w:rsidR="00CF33D9" w:rsidRDefault="00E3332A">
      <w:pPr>
        <w:numPr>
          <w:ilvl w:val="0"/>
          <w:numId w:val="143"/>
        </w:numPr>
        <w:spacing w:line="220" w:lineRule="exact"/>
        <w:jc w:val="both"/>
        <w:rPr>
          <w:rFonts w:ascii="Calibri" w:eastAsia="SimSun" w:hAnsi="Calibri" w:cs="Calibri"/>
          <w:sz w:val="20"/>
          <w:szCs w:val="20"/>
        </w:rPr>
      </w:pPr>
      <w:r>
        <w:rPr>
          <w:rFonts w:ascii="Calibri" w:eastAsia="SimSun" w:hAnsi="Calibri" w:cs="Calibri"/>
          <w:sz w:val="20"/>
          <w:szCs w:val="20"/>
        </w:rPr>
        <w:t>Provide overall guidance and direction to the project, ensuring it remains within any specified constraints.</w:t>
      </w:r>
    </w:p>
    <w:p w14:paraId="6809202A" w14:textId="77777777" w:rsidR="00CF33D9" w:rsidRDefault="00E3332A">
      <w:pPr>
        <w:numPr>
          <w:ilvl w:val="0"/>
          <w:numId w:val="143"/>
        </w:numPr>
        <w:spacing w:line="220" w:lineRule="exact"/>
        <w:jc w:val="both"/>
        <w:rPr>
          <w:rFonts w:ascii="Calibri" w:eastAsia="SimSun" w:hAnsi="Calibri" w:cs="Calibri"/>
          <w:sz w:val="20"/>
          <w:szCs w:val="20"/>
        </w:rPr>
      </w:pPr>
      <w:r>
        <w:rPr>
          <w:rFonts w:ascii="Calibri" w:eastAsia="SimSun" w:hAnsi="Calibri" w:cs="Calibri"/>
          <w:sz w:val="20"/>
          <w:szCs w:val="20"/>
        </w:rPr>
        <w:t>Address project issues as raised by the Project Coordinator.</w:t>
      </w:r>
    </w:p>
    <w:p w14:paraId="6809202B" w14:textId="77777777" w:rsidR="00CF33D9" w:rsidRDefault="00E3332A">
      <w:pPr>
        <w:numPr>
          <w:ilvl w:val="0"/>
          <w:numId w:val="143"/>
        </w:numPr>
        <w:spacing w:line="220" w:lineRule="exact"/>
        <w:jc w:val="both"/>
        <w:rPr>
          <w:rFonts w:ascii="Calibri" w:eastAsia="SimSun" w:hAnsi="Calibri" w:cs="Calibri"/>
          <w:sz w:val="20"/>
          <w:szCs w:val="20"/>
        </w:rPr>
      </w:pPr>
      <w:r>
        <w:rPr>
          <w:rFonts w:ascii="Calibri" w:eastAsia="SimSun" w:hAnsi="Calibri" w:cs="Calibri"/>
          <w:sz w:val="20"/>
          <w:szCs w:val="20"/>
        </w:rPr>
        <w:t xml:space="preserve">Provide guidance on new project risks and agree on possible mitigation and management actions to address specific risks. </w:t>
      </w:r>
    </w:p>
    <w:p w14:paraId="6809202C" w14:textId="77777777" w:rsidR="00CF33D9" w:rsidRDefault="00E3332A">
      <w:pPr>
        <w:numPr>
          <w:ilvl w:val="0"/>
          <w:numId w:val="143"/>
        </w:numPr>
        <w:spacing w:line="220" w:lineRule="exact"/>
        <w:jc w:val="both"/>
        <w:rPr>
          <w:rFonts w:ascii="Calibri" w:eastAsia="SimSun" w:hAnsi="Calibri" w:cs="Calibri"/>
          <w:sz w:val="20"/>
          <w:szCs w:val="20"/>
        </w:rPr>
      </w:pPr>
      <w:r>
        <w:rPr>
          <w:rFonts w:ascii="Calibri" w:eastAsia="SimSun" w:hAnsi="Calibri" w:cs="Calibri"/>
          <w:sz w:val="20"/>
          <w:szCs w:val="20"/>
        </w:rPr>
        <w:t>Advise on major and minor amendments to the project within the parameters set by UNDP-GEF.</w:t>
      </w:r>
    </w:p>
    <w:p w14:paraId="6809202D" w14:textId="77777777" w:rsidR="00CF33D9" w:rsidRDefault="00E3332A">
      <w:pPr>
        <w:numPr>
          <w:ilvl w:val="0"/>
          <w:numId w:val="143"/>
        </w:numPr>
        <w:spacing w:line="220" w:lineRule="exact"/>
        <w:jc w:val="both"/>
        <w:rPr>
          <w:rFonts w:ascii="Calibri" w:eastAsia="SimSun" w:hAnsi="Calibri" w:cs="Calibri"/>
          <w:sz w:val="20"/>
          <w:szCs w:val="20"/>
        </w:rPr>
      </w:pPr>
      <w:r>
        <w:rPr>
          <w:rFonts w:ascii="Calibri" w:eastAsia="SimSun" w:hAnsi="Calibri" w:cs="Calibri"/>
          <w:sz w:val="20"/>
          <w:szCs w:val="20"/>
        </w:rPr>
        <w:t xml:space="preserve">Ensure coordination with various government agencies and their participation in project activities. </w:t>
      </w:r>
    </w:p>
    <w:p w14:paraId="6809202E" w14:textId="77777777" w:rsidR="00CF33D9" w:rsidRDefault="00E3332A">
      <w:pPr>
        <w:numPr>
          <w:ilvl w:val="0"/>
          <w:numId w:val="143"/>
        </w:numPr>
        <w:spacing w:line="220" w:lineRule="exact"/>
        <w:jc w:val="both"/>
        <w:rPr>
          <w:rFonts w:ascii="Calibri" w:hAnsi="Calibri" w:cs="Calibri"/>
          <w:color w:val="000000"/>
          <w:sz w:val="20"/>
          <w:szCs w:val="20"/>
        </w:rPr>
      </w:pPr>
      <w:r>
        <w:rPr>
          <w:rFonts w:ascii="Calibri" w:hAnsi="Calibri" w:cs="Calibri"/>
          <w:color w:val="000000"/>
          <w:sz w:val="20"/>
          <w:szCs w:val="20"/>
        </w:rPr>
        <w:t>Review combined delivery reports prior to certification by the implementing partner.</w:t>
      </w:r>
    </w:p>
    <w:p w14:paraId="6809202F" w14:textId="77777777" w:rsidR="00CF33D9" w:rsidRDefault="00E3332A">
      <w:pPr>
        <w:numPr>
          <w:ilvl w:val="0"/>
          <w:numId w:val="143"/>
        </w:numPr>
        <w:spacing w:line="220" w:lineRule="exact"/>
        <w:jc w:val="both"/>
        <w:rPr>
          <w:rFonts w:ascii="Calibri" w:eastAsia="SimSun" w:hAnsi="Calibri" w:cs="Calibri"/>
          <w:sz w:val="20"/>
          <w:szCs w:val="20"/>
        </w:rPr>
      </w:pPr>
      <w:r>
        <w:rPr>
          <w:rFonts w:ascii="Calibri" w:eastAsia="SimSun" w:hAnsi="Calibri" w:cs="Calibri"/>
          <w:sz w:val="20"/>
          <w:szCs w:val="20"/>
        </w:rPr>
        <w:t>Address project-level grievances.</w:t>
      </w:r>
    </w:p>
    <w:p w14:paraId="68092030" w14:textId="77777777" w:rsidR="00CF33D9" w:rsidRDefault="00E3332A">
      <w:pPr>
        <w:numPr>
          <w:ilvl w:val="0"/>
          <w:numId w:val="143"/>
        </w:numPr>
        <w:spacing w:line="220" w:lineRule="exact"/>
        <w:jc w:val="both"/>
        <w:rPr>
          <w:rFonts w:ascii="Calibri" w:eastAsia="SimSun" w:hAnsi="Calibri" w:cs="Calibri"/>
          <w:sz w:val="20"/>
          <w:szCs w:val="20"/>
        </w:rPr>
      </w:pPr>
      <w:r>
        <w:rPr>
          <w:rFonts w:ascii="Calibri" w:eastAsia="SimSun" w:hAnsi="Calibri" w:cs="Calibri"/>
          <w:sz w:val="20"/>
          <w:szCs w:val="20"/>
        </w:rPr>
        <w:t xml:space="preserve">Review the final project report package during an end-of-project review meeting to discuss lessons learned and opportunities for scaling up/replication.    </w:t>
      </w:r>
    </w:p>
    <w:p w14:paraId="68092031" w14:textId="77777777" w:rsidR="00CF33D9" w:rsidRDefault="00E3332A">
      <w:pPr>
        <w:numPr>
          <w:ilvl w:val="0"/>
          <w:numId w:val="143"/>
        </w:numPr>
        <w:spacing w:line="220" w:lineRule="exact"/>
        <w:jc w:val="both"/>
        <w:rPr>
          <w:rFonts w:ascii="Calibri" w:eastAsia="SimSun" w:hAnsi="Calibri" w:cs="Calibri"/>
          <w:sz w:val="20"/>
          <w:szCs w:val="20"/>
        </w:rPr>
      </w:pPr>
      <w:r>
        <w:rPr>
          <w:rFonts w:ascii="Calibri" w:eastAsia="SimSun" w:hAnsi="Calibri" w:cs="Calibri"/>
          <w:sz w:val="20"/>
          <w:szCs w:val="20"/>
        </w:rPr>
        <w:t xml:space="preserve">Monitor implementation of this ESMF and compliance with national and international regulations, and UNDP social and environmental standards. </w:t>
      </w:r>
    </w:p>
    <w:p w14:paraId="68092032" w14:textId="77777777" w:rsidR="00CF33D9" w:rsidRDefault="00E3332A">
      <w:pPr>
        <w:numPr>
          <w:ilvl w:val="0"/>
          <w:numId w:val="143"/>
        </w:numPr>
        <w:spacing w:line="220" w:lineRule="exact"/>
        <w:jc w:val="both"/>
        <w:rPr>
          <w:rFonts w:ascii="Calibri" w:eastAsia="SimSun" w:hAnsi="Calibri" w:cs="Calibri"/>
          <w:sz w:val="20"/>
          <w:szCs w:val="20"/>
        </w:rPr>
      </w:pPr>
      <w:r>
        <w:rPr>
          <w:rFonts w:ascii="Calibri" w:eastAsia="SimSun" w:hAnsi="Calibri" w:cs="Calibri"/>
          <w:sz w:val="20"/>
          <w:szCs w:val="20"/>
        </w:rPr>
        <w:t>Decision making for the adoption of necessary measures including full integration of management measures including SES requirements and any management plans such as ESMP, any standalone plans, within project Outputs and annual work plans.</w:t>
      </w:r>
    </w:p>
    <w:p w14:paraId="68092033" w14:textId="77777777" w:rsidR="00CF33D9" w:rsidRDefault="00E3332A">
      <w:pPr>
        <w:numPr>
          <w:ilvl w:val="0"/>
          <w:numId w:val="143"/>
        </w:numPr>
        <w:spacing w:line="220" w:lineRule="exact"/>
        <w:jc w:val="both"/>
        <w:rPr>
          <w:rFonts w:ascii="Calibri" w:eastAsia="SimSun" w:hAnsi="Calibri" w:cs="Calibri"/>
          <w:sz w:val="20"/>
          <w:szCs w:val="20"/>
        </w:rPr>
      </w:pPr>
      <w:r>
        <w:rPr>
          <w:rFonts w:ascii="Calibri" w:eastAsia="SimSun" w:hAnsi="Calibri" w:cs="Calibri"/>
          <w:sz w:val="20"/>
          <w:szCs w:val="20"/>
        </w:rPr>
        <w:t>Establish and support GRM mechanism to address any grievances.</w:t>
      </w:r>
    </w:p>
    <w:p w14:paraId="68092034" w14:textId="77777777" w:rsidR="00CF33D9" w:rsidRDefault="00CF33D9">
      <w:pPr>
        <w:jc w:val="both"/>
        <w:rPr>
          <w:rFonts w:ascii="Calibri" w:eastAsia="SimSun" w:hAnsi="Calibri" w:cs="Calibri"/>
          <w:sz w:val="20"/>
          <w:szCs w:val="20"/>
        </w:rPr>
      </w:pPr>
    </w:p>
    <w:p w14:paraId="68092035" w14:textId="77777777" w:rsidR="00CF33D9" w:rsidRDefault="00E3332A">
      <w:pPr>
        <w:rPr>
          <w:rFonts w:ascii="Calibri" w:hAnsi="Calibri" w:cs="Calibri"/>
          <w:sz w:val="20"/>
          <w:szCs w:val="20"/>
        </w:rPr>
      </w:pPr>
      <w:r>
        <w:rPr>
          <w:rFonts w:ascii="Calibri" w:hAnsi="Calibri" w:cs="Calibri"/>
          <w:sz w:val="20"/>
          <w:szCs w:val="20"/>
        </w:rPr>
        <w:t>7.2</w:t>
      </w:r>
      <w:r>
        <w:rPr>
          <w:rFonts w:ascii="Calibri" w:hAnsi="Calibri" w:cs="Calibri"/>
          <w:sz w:val="20"/>
          <w:szCs w:val="20"/>
        </w:rPr>
        <w:tab/>
        <w:t xml:space="preserve">Capacity-Building </w:t>
      </w:r>
    </w:p>
    <w:p w14:paraId="68092036" w14:textId="77777777" w:rsidR="00CF33D9" w:rsidRDefault="00CF33D9">
      <w:pPr>
        <w:rPr>
          <w:rFonts w:ascii="Calibri" w:hAnsi="Calibri" w:cs="Calibri"/>
          <w:sz w:val="20"/>
          <w:szCs w:val="20"/>
        </w:rPr>
      </w:pPr>
    </w:p>
    <w:p w14:paraId="68092037" w14:textId="77777777" w:rsidR="00CF33D9" w:rsidRDefault="00E3332A">
      <w:pPr>
        <w:spacing w:line="220" w:lineRule="exact"/>
        <w:jc w:val="both"/>
        <w:rPr>
          <w:rFonts w:ascii="Calibri" w:hAnsi="Calibri" w:cs="Calibri"/>
          <w:sz w:val="20"/>
          <w:szCs w:val="20"/>
        </w:rPr>
      </w:pPr>
      <w:r>
        <w:rPr>
          <w:rFonts w:ascii="Calibri" w:hAnsi="Calibri" w:cs="Calibri"/>
          <w:sz w:val="20"/>
          <w:szCs w:val="20"/>
        </w:rPr>
        <w:t xml:space="preserve">Specialists with relevant expertise in social and environmental safeguards will be engaged to support the completion of the ESIAs and targeted assessment, as appropriate. External expertise will also be sought to define the subsequent development of ESMPs and any stand-alone management plans: These experts will offer a training session to all relevant stakeholders on safeguards policies and implementation. </w:t>
      </w:r>
    </w:p>
    <w:p w14:paraId="68092038" w14:textId="77777777" w:rsidR="00CF33D9" w:rsidRDefault="00CF33D9">
      <w:pPr>
        <w:spacing w:line="220" w:lineRule="exact"/>
        <w:jc w:val="both"/>
        <w:rPr>
          <w:rFonts w:ascii="Calibri" w:hAnsi="Calibri" w:cs="Calibri"/>
          <w:sz w:val="20"/>
          <w:szCs w:val="20"/>
        </w:rPr>
      </w:pPr>
    </w:p>
    <w:p w14:paraId="68092039" w14:textId="77777777" w:rsidR="00CF33D9" w:rsidRDefault="00E3332A">
      <w:pPr>
        <w:spacing w:line="220" w:lineRule="exact"/>
        <w:jc w:val="both"/>
        <w:rPr>
          <w:rFonts w:ascii="Calibri" w:hAnsi="Calibri" w:cs="Calibri"/>
          <w:sz w:val="20"/>
          <w:szCs w:val="20"/>
        </w:rPr>
      </w:pPr>
      <w:r>
        <w:rPr>
          <w:rFonts w:ascii="Calibri" w:hAnsi="Calibri" w:cs="Calibri"/>
          <w:sz w:val="20"/>
          <w:szCs w:val="20"/>
        </w:rPr>
        <w:t>The UNDP-GEF Unit will provide advice to project teams as needed to support the implementation of this ESMF and the preparation, implementation, and monitoring of social and environmental management plans/measures.</w:t>
      </w:r>
    </w:p>
    <w:p w14:paraId="6809203A" w14:textId="77777777" w:rsidR="00CF33D9" w:rsidRDefault="00CF33D9">
      <w:pPr>
        <w:spacing w:line="220" w:lineRule="exact"/>
        <w:jc w:val="both"/>
        <w:rPr>
          <w:rFonts w:ascii="Calibri" w:hAnsi="Calibri" w:cs="Calibri"/>
          <w:sz w:val="20"/>
          <w:szCs w:val="20"/>
        </w:rPr>
      </w:pPr>
    </w:p>
    <w:p w14:paraId="6809203B" w14:textId="77777777" w:rsidR="00CF33D9" w:rsidRDefault="00E3332A">
      <w:pPr>
        <w:spacing w:line="220" w:lineRule="exact"/>
        <w:jc w:val="both"/>
        <w:rPr>
          <w:rFonts w:ascii="Calibri" w:hAnsi="Calibri" w:cs="Calibri"/>
          <w:sz w:val="20"/>
          <w:szCs w:val="20"/>
        </w:rPr>
      </w:pPr>
      <w:r>
        <w:rPr>
          <w:rFonts w:ascii="Calibri" w:hAnsi="Calibri" w:cs="Calibri"/>
          <w:sz w:val="20"/>
          <w:szCs w:val="20"/>
        </w:rPr>
        <w:t>The Project Steering Committee will have the final responsibility for the integration of ESMP/ stand-alone management plan(s) in the execution of the project. The integration of those plans will need to consider institutional needs within the implementation framework for application of the ESMP, including a review of the required budget allocations for each measure, as well as the authority and capability of institutions at different administrative levels (e.g. local, regional, and national), and their capacity to manage and monitor ESMP implementation. Where necessary, capacity-building, and technical assistance activities will be included to enable proper implementation of the ESMP.</w:t>
      </w:r>
    </w:p>
    <w:p w14:paraId="6809203C" w14:textId="77777777" w:rsidR="00CF33D9" w:rsidRDefault="00CF33D9">
      <w:pPr>
        <w:jc w:val="both"/>
        <w:rPr>
          <w:rFonts w:ascii="Calibri" w:hAnsi="Calibri" w:cs="Calibri"/>
          <w:sz w:val="20"/>
          <w:szCs w:val="20"/>
        </w:rPr>
      </w:pPr>
    </w:p>
    <w:p w14:paraId="6809203D" w14:textId="77777777" w:rsidR="00CF33D9" w:rsidRDefault="00E3332A">
      <w:pPr>
        <w:rPr>
          <w:rFonts w:ascii="Calibri" w:hAnsi="Calibri" w:cs="Calibri"/>
          <w:sz w:val="20"/>
          <w:szCs w:val="20"/>
        </w:rPr>
      </w:pPr>
      <w:r>
        <w:rPr>
          <w:rFonts w:ascii="Calibri" w:hAnsi="Calibri" w:cs="Calibri"/>
          <w:sz w:val="20"/>
          <w:szCs w:val="20"/>
        </w:rPr>
        <w:t>8.</w:t>
      </w:r>
      <w:r>
        <w:rPr>
          <w:rFonts w:ascii="Calibri" w:hAnsi="Calibri" w:cs="Calibri"/>
          <w:sz w:val="20"/>
          <w:szCs w:val="20"/>
        </w:rPr>
        <w:tab/>
        <w:t xml:space="preserve">Budget for ESMF Implementation </w:t>
      </w:r>
    </w:p>
    <w:p w14:paraId="6809203E" w14:textId="77777777" w:rsidR="00CF33D9" w:rsidRDefault="00CF33D9">
      <w:pPr>
        <w:jc w:val="both"/>
        <w:rPr>
          <w:rFonts w:ascii="Calibri" w:hAnsi="Calibri" w:cs="Calibri"/>
          <w:sz w:val="20"/>
          <w:szCs w:val="20"/>
        </w:rPr>
      </w:pPr>
    </w:p>
    <w:p w14:paraId="6809203F" w14:textId="77777777" w:rsidR="00CF33D9" w:rsidRDefault="00E3332A">
      <w:pPr>
        <w:spacing w:line="220" w:lineRule="exact"/>
        <w:jc w:val="both"/>
        <w:rPr>
          <w:rFonts w:ascii="Calibri" w:hAnsi="Calibri" w:cs="Calibri"/>
          <w:sz w:val="20"/>
          <w:szCs w:val="20"/>
        </w:rPr>
      </w:pPr>
      <w:r>
        <w:rPr>
          <w:rFonts w:ascii="Calibri" w:hAnsi="Calibri" w:cs="Calibri"/>
          <w:sz w:val="20"/>
          <w:szCs w:val="20"/>
        </w:rPr>
        <w:t>Funding for implementation of the ESMF is included in the Project budget. The estimated costs are indicated below. Costs associated with the time of Project Management Unit coordinating the development and implementation of this ESMF and UNDP Co support are not shown.</w:t>
      </w:r>
    </w:p>
    <w:p w14:paraId="68092040" w14:textId="77777777" w:rsidR="00CF33D9" w:rsidRDefault="00CF33D9">
      <w:pPr>
        <w:rPr>
          <w:rFonts w:ascii="Calibri" w:hAnsi="Calibri" w:cs="Calibri"/>
          <w:b/>
          <w:bCs/>
          <w:i/>
          <w:iCs/>
          <w:sz w:val="20"/>
          <w:szCs w:val="20"/>
        </w:rPr>
      </w:pPr>
      <w:bookmarkStart w:id="163" w:name="_Toc40331581"/>
      <w:bookmarkStart w:id="164" w:name="_Toc31578686"/>
    </w:p>
    <w:p w14:paraId="68092041" w14:textId="77777777" w:rsidR="00CF33D9" w:rsidRDefault="00CF33D9">
      <w:pPr>
        <w:rPr>
          <w:rFonts w:ascii="Calibri" w:hAnsi="Calibri" w:cs="Calibri"/>
          <w:b/>
          <w:bCs/>
          <w:i/>
          <w:iCs/>
          <w:sz w:val="20"/>
          <w:szCs w:val="20"/>
        </w:rPr>
      </w:pPr>
    </w:p>
    <w:p w14:paraId="68092042" w14:textId="77777777" w:rsidR="00CF33D9" w:rsidRDefault="00CF33D9">
      <w:pPr>
        <w:rPr>
          <w:rFonts w:ascii="Calibri" w:hAnsi="Calibri" w:cs="Calibri"/>
          <w:b/>
          <w:bCs/>
          <w:i/>
          <w:iCs/>
          <w:sz w:val="20"/>
          <w:szCs w:val="20"/>
        </w:rPr>
      </w:pPr>
    </w:p>
    <w:p w14:paraId="68092043" w14:textId="77777777" w:rsidR="00CF33D9" w:rsidRDefault="00CF33D9">
      <w:pPr>
        <w:rPr>
          <w:rFonts w:ascii="Calibri" w:hAnsi="Calibri" w:cs="Calibri"/>
          <w:b/>
          <w:bCs/>
          <w:i/>
          <w:iCs/>
          <w:sz w:val="20"/>
          <w:szCs w:val="20"/>
        </w:rPr>
      </w:pPr>
    </w:p>
    <w:p w14:paraId="68092044" w14:textId="77777777" w:rsidR="00CF33D9" w:rsidRDefault="00E3332A">
      <w:pPr>
        <w:rPr>
          <w:rFonts w:ascii="Calibri" w:hAnsi="Calibri" w:cs="Calibri"/>
          <w:i/>
          <w:iCs/>
          <w:sz w:val="20"/>
          <w:szCs w:val="20"/>
        </w:rPr>
      </w:pPr>
      <w:r>
        <w:rPr>
          <w:rFonts w:ascii="Calibri" w:hAnsi="Calibri" w:cs="Calibri"/>
          <w:b/>
          <w:bCs/>
          <w:i/>
          <w:iCs/>
          <w:sz w:val="20"/>
          <w:szCs w:val="20"/>
        </w:rPr>
        <w:t>Table 6</w:t>
      </w:r>
      <w:r>
        <w:rPr>
          <w:rFonts w:ascii="Calibri" w:hAnsi="Calibri" w:cs="Calibri"/>
          <w:i/>
          <w:iCs/>
          <w:sz w:val="20"/>
          <w:szCs w:val="20"/>
        </w:rPr>
        <w:t>: Breakdown of project level costs for ESMF implementation</w:t>
      </w:r>
      <w:bookmarkEnd w:id="163"/>
      <w:bookmarkEnd w:id="164"/>
    </w:p>
    <w:tbl>
      <w:tblPr>
        <w:tblW w:w="9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485"/>
        <w:gridCol w:w="1530"/>
      </w:tblGrid>
      <w:tr w:rsidR="00CF33D9" w14:paraId="68092047" w14:textId="77777777">
        <w:trPr>
          <w:trHeight w:val="300"/>
        </w:trPr>
        <w:tc>
          <w:tcPr>
            <w:tcW w:w="7485" w:type="dxa"/>
            <w:shd w:val="clear" w:color="auto" w:fill="EAEDF1" w:themeFill="text2" w:themeFillTint="1A"/>
            <w:noWrap/>
            <w:tcMar>
              <w:top w:w="15" w:type="dxa"/>
              <w:left w:w="15" w:type="dxa"/>
              <w:bottom w:w="0" w:type="dxa"/>
              <w:right w:w="15" w:type="dxa"/>
            </w:tcMar>
            <w:vAlign w:val="center"/>
          </w:tcPr>
          <w:p w14:paraId="68092045" w14:textId="77777777" w:rsidR="00CF33D9" w:rsidRDefault="00E3332A">
            <w:pPr>
              <w:spacing w:line="200" w:lineRule="exact"/>
              <w:jc w:val="center"/>
              <w:rPr>
                <w:rFonts w:ascii="Calibri" w:hAnsi="Calibri" w:cs="Calibri"/>
                <w:b/>
                <w:bCs/>
                <w:color w:val="000000"/>
                <w:sz w:val="20"/>
                <w:szCs w:val="20"/>
              </w:rPr>
            </w:pPr>
            <w:r>
              <w:rPr>
                <w:rFonts w:ascii="Calibri" w:hAnsi="Calibri" w:cs="Calibri"/>
                <w:b/>
                <w:bCs/>
                <w:color w:val="000000"/>
                <w:sz w:val="20"/>
                <w:szCs w:val="20"/>
              </w:rPr>
              <w:t>Description</w:t>
            </w:r>
          </w:p>
        </w:tc>
        <w:tc>
          <w:tcPr>
            <w:tcW w:w="1530" w:type="dxa"/>
            <w:shd w:val="clear" w:color="auto" w:fill="EAEDF1" w:themeFill="text2" w:themeFillTint="1A"/>
            <w:noWrap/>
            <w:tcMar>
              <w:top w:w="15" w:type="dxa"/>
              <w:left w:w="15" w:type="dxa"/>
              <w:bottom w:w="0" w:type="dxa"/>
              <w:right w:w="15" w:type="dxa"/>
            </w:tcMar>
            <w:vAlign w:val="center"/>
          </w:tcPr>
          <w:p w14:paraId="68092046" w14:textId="77777777" w:rsidR="00CF33D9" w:rsidRDefault="00E3332A">
            <w:pPr>
              <w:spacing w:line="200" w:lineRule="exact"/>
              <w:jc w:val="center"/>
              <w:rPr>
                <w:rFonts w:ascii="Calibri" w:hAnsi="Calibri" w:cs="Calibri"/>
                <w:b/>
                <w:bCs/>
                <w:color w:val="000000"/>
                <w:sz w:val="20"/>
                <w:szCs w:val="20"/>
              </w:rPr>
            </w:pPr>
            <w:r>
              <w:rPr>
                <w:rFonts w:ascii="Calibri" w:hAnsi="Calibri" w:cs="Calibri"/>
                <w:b/>
                <w:bCs/>
                <w:color w:val="000000"/>
                <w:sz w:val="20"/>
                <w:szCs w:val="20"/>
              </w:rPr>
              <w:t>Cost in USD</w:t>
            </w:r>
          </w:p>
        </w:tc>
      </w:tr>
      <w:tr w:rsidR="00CF33D9" w14:paraId="6809204A" w14:textId="77777777">
        <w:trPr>
          <w:trHeight w:val="300"/>
        </w:trPr>
        <w:tc>
          <w:tcPr>
            <w:tcW w:w="7485" w:type="dxa"/>
            <w:shd w:val="clear" w:color="auto" w:fill="CBD3DE" w:themeFill="text2" w:themeFillTint="40"/>
            <w:noWrap/>
            <w:tcMar>
              <w:top w:w="15" w:type="dxa"/>
              <w:left w:w="15" w:type="dxa"/>
              <w:bottom w:w="0" w:type="dxa"/>
              <w:right w:w="15" w:type="dxa"/>
            </w:tcMar>
            <w:vAlign w:val="center"/>
          </w:tcPr>
          <w:p w14:paraId="68092048" w14:textId="77777777" w:rsidR="00CF33D9" w:rsidRDefault="00E3332A">
            <w:pPr>
              <w:spacing w:line="200" w:lineRule="exact"/>
              <w:rPr>
                <w:rFonts w:ascii="Calibri" w:hAnsi="Calibri" w:cs="Calibri"/>
                <w:b/>
                <w:bCs/>
                <w:color w:val="000000"/>
                <w:sz w:val="20"/>
                <w:szCs w:val="20"/>
              </w:rPr>
            </w:pPr>
            <w:r>
              <w:rPr>
                <w:rFonts w:ascii="Calibri" w:hAnsi="Calibri" w:cs="Calibri"/>
                <w:b/>
                <w:bCs/>
                <w:color w:val="000000"/>
                <w:sz w:val="20"/>
                <w:szCs w:val="20"/>
              </w:rPr>
              <w:t>Carrying out SESA, ESIA and screening/ targeted assessments</w:t>
            </w:r>
          </w:p>
        </w:tc>
        <w:tc>
          <w:tcPr>
            <w:tcW w:w="1530" w:type="dxa"/>
            <w:shd w:val="clear" w:color="auto" w:fill="CBD3DE" w:themeFill="text2" w:themeFillTint="40"/>
            <w:vAlign w:val="center"/>
          </w:tcPr>
          <w:p w14:paraId="68092049" w14:textId="77777777" w:rsidR="00CF33D9" w:rsidRDefault="00CF33D9">
            <w:pPr>
              <w:spacing w:line="200" w:lineRule="exact"/>
              <w:rPr>
                <w:rFonts w:ascii="Calibri" w:hAnsi="Calibri" w:cs="Calibri"/>
                <w:b/>
                <w:bCs/>
                <w:color w:val="000000"/>
                <w:sz w:val="20"/>
                <w:szCs w:val="20"/>
              </w:rPr>
            </w:pPr>
          </w:p>
        </w:tc>
      </w:tr>
      <w:tr w:rsidR="00CF33D9" w14:paraId="6809204D" w14:textId="77777777">
        <w:trPr>
          <w:trHeight w:val="300"/>
        </w:trPr>
        <w:tc>
          <w:tcPr>
            <w:tcW w:w="7485" w:type="dxa"/>
            <w:shd w:val="clear" w:color="auto" w:fill="auto"/>
            <w:noWrap/>
            <w:tcMar>
              <w:top w:w="15" w:type="dxa"/>
              <w:left w:w="15" w:type="dxa"/>
              <w:bottom w:w="0" w:type="dxa"/>
              <w:right w:w="15" w:type="dxa"/>
            </w:tcMar>
            <w:vAlign w:val="center"/>
          </w:tcPr>
          <w:p w14:paraId="6809204B" w14:textId="77777777" w:rsidR="00CF33D9" w:rsidRDefault="00E3332A">
            <w:pPr>
              <w:spacing w:line="200" w:lineRule="exact"/>
              <w:rPr>
                <w:rFonts w:ascii="Calibri" w:hAnsi="Calibri" w:cs="Calibri"/>
                <w:color w:val="000000"/>
                <w:sz w:val="20"/>
                <w:szCs w:val="20"/>
              </w:rPr>
            </w:pPr>
            <w:r>
              <w:rPr>
                <w:rFonts w:ascii="Calibri" w:hAnsi="Calibri" w:cs="Calibri"/>
                <w:color w:val="000000"/>
                <w:sz w:val="20"/>
                <w:szCs w:val="20"/>
              </w:rPr>
              <w:t>Contractual services (carry out SESA and ESIAs; develop ESMP, LAP, and other plans as needed)</w:t>
            </w:r>
          </w:p>
        </w:tc>
        <w:tc>
          <w:tcPr>
            <w:tcW w:w="1530" w:type="dxa"/>
            <w:shd w:val="clear" w:color="auto" w:fill="auto"/>
            <w:noWrap/>
            <w:tcMar>
              <w:top w:w="15" w:type="dxa"/>
              <w:left w:w="15" w:type="dxa"/>
              <w:bottom w:w="0" w:type="dxa"/>
              <w:right w:w="15" w:type="dxa"/>
            </w:tcMar>
            <w:vAlign w:val="center"/>
          </w:tcPr>
          <w:p w14:paraId="6809204C" w14:textId="77777777" w:rsidR="00CF33D9" w:rsidRDefault="00E3332A">
            <w:pPr>
              <w:spacing w:line="200" w:lineRule="exact"/>
              <w:jc w:val="right"/>
              <w:rPr>
                <w:rFonts w:ascii="Calibri" w:hAnsi="Calibri" w:cs="Calibri"/>
                <w:color w:val="000000"/>
                <w:sz w:val="20"/>
                <w:szCs w:val="20"/>
              </w:rPr>
            </w:pPr>
            <w:r>
              <w:rPr>
                <w:rFonts w:ascii="Calibri" w:hAnsi="Calibri" w:cs="Calibri"/>
                <w:color w:val="000000"/>
                <w:sz w:val="20"/>
                <w:szCs w:val="20"/>
              </w:rPr>
              <w:t>130,000</w:t>
            </w:r>
          </w:p>
        </w:tc>
      </w:tr>
      <w:tr w:rsidR="00CF33D9" w14:paraId="68092050" w14:textId="77777777">
        <w:trPr>
          <w:trHeight w:val="300"/>
        </w:trPr>
        <w:tc>
          <w:tcPr>
            <w:tcW w:w="7485" w:type="dxa"/>
            <w:shd w:val="clear" w:color="auto" w:fill="auto"/>
            <w:noWrap/>
            <w:tcMar>
              <w:top w:w="15" w:type="dxa"/>
              <w:left w:w="15" w:type="dxa"/>
              <w:bottom w:w="0" w:type="dxa"/>
              <w:right w:w="15" w:type="dxa"/>
            </w:tcMar>
            <w:vAlign w:val="center"/>
          </w:tcPr>
          <w:p w14:paraId="6809204E" w14:textId="77777777" w:rsidR="00CF33D9" w:rsidRDefault="00E3332A">
            <w:pPr>
              <w:spacing w:line="200" w:lineRule="exact"/>
              <w:rPr>
                <w:rFonts w:ascii="Calibri" w:hAnsi="Calibri" w:cs="Calibri"/>
                <w:color w:val="000000"/>
                <w:sz w:val="20"/>
                <w:szCs w:val="20"/>
              </w:rPr>
            </w:pPr>
            <w:r>
              <w:rPr>
                <w:rFonts w:ascii="Calibri" w:hAnsi="Calibri" w:cs="Calibri"/>
                <w:color w:val="000000"/>
                <w:sz w:val="20"/>
                <w:szCs w:val="20"/>
              </w:rPr>
              <w:t>Indigenous Peoples Consultant</w:t>
            </w:r>
          </w:p>
        </w:tc>
        <w:tc>
          <w:tcPr>
            <w:tcW w:w="1530" w:type="dxa"/>
            <w:shd w:val="clear" w:color="auto" w:fill="auto"/>
            <w:noWrap/>
            <w:tcMar>
              <w:top w:w="15" w:type="dxa"/>
              <w:left w:w="15" w:type="dxa"/>
              <w:bottom w:w="0" w:type="dxa"/>
              <w:right w:w="15" w:type="dxa"/>
            </w:tcMar>
            <w:vAlign w:val="center"/>
          </w:tcPr>
          <w:p w14:paraId="6809204F" w14:textId="77777777" w:rsidR="00CF33D9" w:rsidRDefault="00E3332A">
            <w:pPr>
              <w:spacing w:line="200" w:lineRule="exact"/>
              <w:jc w:val="right"/>
              <w:rPr>
                <w:rFonts w:ascii="Calibri" w:hAnsi="Calibri" w:cs="Calibri"/>
                <w:color w:val="000000"/>
                <w:sz w:val="20"/>
                <w:szCs w:val="20"/>
              </w:rPr>
            </w:pPr>
            <w:r>
              <w:rPr>
                <w:rFonts w:ascii="Calibri" w:hAnsi="Calibri" w:cs="Calibri"/>
                <w:color w:val="000000"/>
                <w:sz w:val="20"/>
                <w:szCs w:val="20"/>
              </w:rPr>
              <w:t>10,000</w:t>
            </w:r>
          </w:p>
        </w:tc>
      </w:tr>
      <w:tr w:rsidR="00CF33D9" w14:paraId="68092053" w14:textId="77777777">
        <w:trPr>
          <w:trHeight w:val="300"/>
        </w:trPr>
        <w:tc>
          <w:tcPr>
            <w:tcW w:w="7485" w:type="dxa"/>
            <w:shd w:val="clear" w:color="auto" w:fill="auto"/>
            <w:noWrap/>
            <w:tcMar>
              <w:top w:w="15" w:type="dxa"/>
              <w:left w:w="15" w:type="dxa"/>
              <w:bottom w:w="0" w:type="dxa"/>
              <w:right w:w="15" w:type="dxa"/>
            </w:tcMar>
            <w:vAlign w:val="center"/>
          </w:tcPr>
          <w:p w14:paraId="68092051" w14:textId="77777777" w:rsidR="00CF33D9" w:rsidRDefault="00E3332A">
            <w:pPr>
              <w:spacing w:line="200" w:lineRule="exact"/>
              <w:rPr>
                <w:rFonts w:ascii="Calibri" w:hAnsi="Calibri" w:cs="Calibri"/>
                <w:color w:val="000000"/>
                <w:sz w:val="20"/>
                <w:szCs w:val="20"/>
              </w:rPr>
            </w:pPr>
            <w:r>
              <w:rPr>
                <w:rFonts w:ascii="Calibri" w:hAnsi="Calibri" w:cs="Calibri"/>
                <w:color w:val="000000"/>
                <w:sz w:val="20"/>
                <w:szCs w:val="20"/>
              </w:rPr>
              <w:t>Gender Consultant</w:t>
            </w:r>
          </w:p>
        </w:tc>
        <w:tc>
          <w:tcPr>
            <w:tcW w:w="1530" w:type="dxa"/>
            <w:shd w:val="clear" w:color="auto" w:fill="auto"/>
            <w:noWrap/>
            <w:tcMar>
              <w:top w:w="15" w:type="dxa"/>
              <w:left w:w="15" w:type="dxa"/>
              <w:bottom w:w="0" w:type="dxa"/>
              <w:right w:w="15" w:type="dxa"/>
            </w:tcMar>
            <w:vAlign w:val="center"/>
          </w:tcPr>
          <w:p w14:paraId="68092052" w14:textId="77777777" w:rsidR="00CF33D9" w:rsidRDefault="00E3332A">
            <w:pPr>
              <w:spacing w:line="200" w:lineRule="exact"/>
              <w:jc w:val="right"/>
              <w:rPr>
                <w:rFonts w:ascii="Calibri" w:hAnsi="Calibri" w:cs="Calibri"/>
                <w:color w:val="000000"/>
                <w:sz w:val="20"/>
                <w:szCs w:val="20"/>
              </w:rPr>
            </w:pPr>
            <w:r>
              <w:rPr>
                <w:rFonts w:ascii="Calibri" w:hAnsi="Calibri" w:cs="Calibri"/>
                <w:color w:val="000000"/>
                <w:sz w:val="20"/>
                <w:szCs w:val="20"/>
              </w:rPr>
              <w:t>15,000</w:t>
            </w:r>
          </w:p>
        </w:tc>
      </w:tr>
      <w:tr w:rsidR="00CF33D9" w14:paraId="68092056" w14:textId="77777777">
        <w:trPr>
          <w:trHeight w:val="300"/>
        </w:trPr>
        <w:tc>
          <w:tcPr>
            <w:tcW w:w="7485" w:type="dxa"/>
            <w:shd w:val="clear" w:color="auto" w:fill="auto"/>
            <w:noWrap/>
            <w:tcMar>
              <w:top w:w="15" w:type="dxa"/>
              <w:left w:w="15" w:type="dxa"/>
              <w:bottom w:w="0" w:type="dxa"/>
              <w:right w:w="15" w:type="dxa"/>
            </w:tcMar>
            <w:vAlign w:val="center"/>
          </w:tcPr>
          <w:p w14:paraId="68092054" w14:textId="77777777" w:rsidR="00CF33D9" w:rsidRDefault="00E3332A">
            <w:pPr>
              <w:spacing w:line="200" w:lineRule="exact"/>
              <w:rPr>
                <w:rFonts w:ascii="Calibri" w:hAnsi="Calibri" w:cs="Calibri"/>
                <w:color w:val="000000"/>
                <w:sz w:val="20"/>
                <w:szCs w:val="20"/>
              </w:rPr>
            </w:pPr>
            <w:r>
              <w:rPr>
                <w:rFonts w:ascii="Calibri" w:hAnsi="Calibri" w:cs="Calibri"/>
                <w:color w:val="000000"/>
                <w:sz w:val="20"/>
                <w:szCs w:val="20"/>
              </w:rPr>
              <w:t xml:space="preserve">Travel expenses </w:t>
            </w:r>
          </w:p>
        </w:tc>
        <w:tc>
          <w:tcPr>
            <w:tcW w:w="1530" w:type="dxa"/>
            <w:shd w:val="clear" w:color="auto" w:fill="auto"/>
            <w:noWrap/>
            <w:tcMar>
              <w:top w:w="15" w:type="dxa"/>
              <w:left w:w="15" w:type="dxa"/>
              <w:bottom w:w="0" w:type="dxa"/>
              <w:right w:w="15" w:type="dxa"/>
            </w:tcMar>
            <w:vAlign w:val="center"/>
          </w:tcPr>
          <w:p w14:paraId="68092055" w14:textId="77777777" w:rsidR="00CF33D9" w:rsidRDefault="00E3332A">
            <w:pPr>
              <w:spacing w:line="200" w:lineRule="exact"/>
              <w:jc w:val="right"/>
              <w:rPr>
                <w:rFonts w:ascii="Calibri" w:hAnsi="Calibri" w:cs="Calibri"/>
                <w:color w:val="000000"/>
                <w:sz w:val="20"/>
                <w:szCs w:val="20"/>
              </w:rPr>
            </w:pPr>
            <w:r>
              <w:rPr>
                <w:rFonts w:ascii="Calibri" w:hAnsi="Calibri" w:cs="Calibri"/>
                <w:color w:val="000000"/>
                <w:sz w:val="20"/>
                <w:szCs w:val="20"/>
              </w:rPr>
              <w:t>8,000</w:t>
            </w:r>
          </w:p>
        </w:tc>
      </w:tr>
      <w:tr w:rsidR="00CF33D9" w14:paraId="68092059" w14:textId="77777777">
        <w:trPr>
          <w:trHeight w:val="300"/>
        </w:trPr>
        <w:tc>
          <w:tcPr>
            <w:tcW w:w="7485" w:type="dxa"/>
            <w:shd w:val="clear" w:color="auto" w:fill="auto"/>
            <w:noWrap/>
            <w:tcMar>
              <w:top w:w="15" w:type="dxa"/>
              <w:left w:w="15" w:type="dxa"/>
              <w:bottom w:w="0" w:type="dxa"/>
              <w:right w:w="15" w:type="dxa"/>
            </w:tcMar>
            <w:vAlign w:val="center"/>
          </w:tcPr>
          <w:p w14:paraId="68092057" w14:textId="77777777" w:rsidR="00CF33D9" w:rsidRDefault="00E3332A">
            <w:pPr>
              <w:spacing w:line="200" w:lineRule="exact"/>
              <w:rPr>
                <w:rFonts w:ascii="Calibri" w:hAnsi="Calibri" w:cs="Calibri"/>
                <w:color w:val="000000"/>
                <w:sz w:val="20"/>
                <w:szCs w:val="20"/>
              </w:rPr>
            </w:pPr>
            <w:r>
              <w:rPr>
                <w:rFonts w:ascii="Calibri" w:hAnsi="Calibri" w:cs="Calibri"/>
                <w:color w:val="000000"/>
                <w:sz w:val="20"/>
                <w:szCs w:val="20"/>
              </w:rPr>
              <w:t>Audio-visual and print production (for communicating ESMP issues)</w:t>
            </w:r>
          </w:p>
        </w:tc>
        <w:tc>
          <w:tcPr>
            <w:tcW w:w="1530" w:type="dxa"/>
            <w:shd w:val="clear" w:color="auto" w:fill="auto"/>
            <w:noWrap/>
            <w:tcMar>
              <w:top w:w="15" w:type="dxa"/>
              <w:left w:w="15" w:type="dxa"/>
              <w:bottom w:w="0" w:type="dxa"/>
              <w:right w:w="15" w:type="dxa"/>
            </w:tcMar>
            <w:vAlign w:val="center"/>
          </w:tcPr>
          <w:p w14:paraId="68092058" w14:textId="77777777" w:rsidR="00CF33D9" w:rsidRDefault="00E3332A">
            <w:pPr>
              <w:spacing w:line="200" w:lineRule="exact"/>
              <w:jc w:val="right"/>
              <w:rPr>
                <w:rFonts w:ascii="Calibri" w:hAnsi="Calibri" w:cs="Calibri"/>
                <w:color w:val="000000"/>
                <w:sz w:val="20"/>
                <w:szCs w:val="20"/>
              </w:rPr>
            </w:pPr>
            <w:r>
              <w:rPr>
                <w:rFonts w:ascii="Calibri" w:hAnsi="Calibri" w:cs="Calibri"/>
                <w:color w:val="000000"/>
                <w:sz w:val="20"/>
                <w:szCs w:val="20"/>
              </w:rPr>
              <w:t>5,000</w:t>
            </w:r>
          </w:p>
        </w:tc>
      </w:tr>
      <w:tr w:rsidR="00CF33D9" w14:paraId="6809205C" w14:textId="77777777">
        <w:trPr>
          <w:trHeight w:val="300"/>
        </w:trPr>
        <w:tc>
          <w:tcPr>
            <w:tcW w:w="7485" w:type="dxa"/>
            <w:shd w:val="clear" w:color="auto" w:fill="auto"/>
            <w:noWrap/>
            <w:tcMar>
              <w:top w:w="15" w:type="dxa"/>
              <w:left w:w="15" w:type="dxa"/>
              <w:bottom w:w="0" w:type="dxa"/>
              <w:right w:w="15" w:type="dxa"/>
            </w:tcMar>
            <w:vAlign w:val="center"/>
          </w:tcPr>
          <w:p w14:paraId="6809205A" w14:textId="77777777" w:rsidR="00CF33D9" w:rsidRDefault="00E3332A">
            <w:pPr>
              <w:spacing w:line="200" w:lineRule="exact"/>
              <w:rPr>
                <w:rFonts w:ascii="Calibri" w:hAnsi="Calibri" w:cs="Calibri"/>
                <w:color w:val="000000"/>
                <w:sz w:val="20"/>
                <w:szCs w:val="20"/>
              </w:rPr>
            </w:pPr>
            <w:r>
              <w:rPr>
                <w:rFonts w:ascii="Calibri" w:hAnsi="Calibri" w:cs="Calibri"/>
                <w:color w:val="000000"/>
                <w:sz w:val="20"/>
                <w:szCs w:val="20"/>
              </w:rPr>
              <w:t>SESA/ESMP public consultations</w:t>
            </w:r>
          </w:p>
        </w:tc>
        <w:tc>
          <w:tcPr>
            <w:tcW w:w="1530" w:type="dxa"/>
            <w:shd w:val="clear" w:color="auto" w:fill="auto"/>
            <w:noWrap/>
            <w:tcMar>
              <w:top w:w="15" w:type="dxa"/>
              <w:left w:w="15" w:type="dxa"/>
              <w:bottom w:w="0" w:type="dxa"/>
              <w:right w:w="15" w:type="dxa"/>
            </w:tcMar>
            <w:vAlign w:val="center"/>
          </w:tcPr>
          <w:p w14:paraId="6809205B" w14:textId="77777777" w:rsidR="00CF33D9" w:rsidRDefault="00E3332A">
            <w:pPr>
              <w:spacing w:line="200" w:lineRule="exact"/>
              <w:jc w:val="right"/>
              <w:rPr>
                <w:rFonts w:ascii="Calibri" w:hAnsi="Calibri" w:cs="Calibri"/>
                <w:color w:val="000000"/>
                <w:sz w:val="20"/>
                <w:szCs w:val="20"/>
              </w:rPr>
            </w:pPr>
            <w:r>
              <w:rPr>
                <w:rFonts w:ascii="Calibri" w:hAnsi="Calibri" w:cs="Calibri"/>
                <w:color w:val="000000"/>
                <w:sz w:val="20"/>
                <w:szCs w:val="20"/>
              </w:rPr>
              <w:t>15,000</w:t>
            </w:r>
          </w:p>
        </w:tc>
      </w:tr>
      <w:tr w:rsidR="00CF33D9" w14:paraId="6809205F" w14:textId="77777777">
        <w:trPr>
          <w:trHeight w:val="300"/>
        </w:trPr>
        <w:tc>
          <w:tcPr>
            <w:tcW w:w="7485" w:type="dxa"/>
            <w:shd w:val="clear" w:color="auto" w:fill="EAEDF1" w:themeFill="text2" w:themeFillTint="1A"/>
            <w:noWrap/>
            <w:tcMar>
              <w:top w:w="15" w:type="dxa"/>
              <w:left w:w="15" w:type="dxa"/>
              <w:bottom w:w="0" w:type="dxa"/>
              <w:right w:w="15" w:type="dxa"/>
            </w:tcMar>
            <w:vAlign w:val="center"/>
          </w:tcPr>
          <w:p w14:paraId="6809205D" w14:textId="77777777" w:rsidR="00CF33D9" w:rsidRDefault="00E3332A">
            <w:pPr>
              <w:spacing w:line="200" w:lineRule="exact"/>
              <w:jc w:val="right"/>
              <w:rPr>
                <w:rFonts w:ascii="Calibri" w:hAnsi="Calibri" w:cs="Calibri"/>
                <w:b/>
                <w:bCs/>
                <w:color w:val="000000"/>
                <w:sz w:val="20"/>
                <w:szCs w:val="20"/>
              </w:rPr>
            </w:pPr>
            <w:r>
              <w:rPr>
                <w:rFonts w:ascii="Calibri" w:hAnsi="Calibri" w:cs="Calibri"/>
                <w:b/>
                <w:bCs/>
                <w:color w:val="000000"/>
                <w:sz w:val="20"/>
                <w:szCs w:val="20"/>
              </w:rPr>
              <w:t>Sub-total:</w:t>
            </w:r>
          </w:p>
        </w:tc>
        <w:tc>
          <w:tcPr>
            <w:tcW w:w="1530" w:type="dxa"/>
            <w:shd w:val="clear" w:color="auto" w:fill="EAEDF1" w:themeFill="text2" w:themeFillTint="1A"/>
            <w:noWrap/>
            <w:tcMar>
              <w:top w:w="15" w:type="dxa"/>
              <w:left w:w="15" w:type="dxa"/>
              <w:bottom w:w="0" w:type="dxa"/>
              <w:right w:w="15" w:type="dxa"/>
            </w:tcMar>
            <w:vAlign w:val="center"/>
          </w:tcPr>
          <w:p w14:paraId="6809205E" w14:textId="77777777" w:rsidR="00CF33D9" w:rsidRDefault="00E3332A">
            <w:pPr>
              <w:spacing w:line="200" w:lineRule="exact"/>
              <w:jc w:val="right"/>
              <w:rPr>
                <w:rFonts w:ascii="Calibri" w:hAnsi="Calibri" w:cs="Calibri"/>
                <w:b/>
                <w:bCs/>
                <w:color w:val="000000"/>
                <w:sz w:val="20"/>
                <w:szCs w:val="20"/>
              </w:rPr>
            </w:pPr>
            <w:r>
              <w:rPr>
                <w:rFonts w:ascii="Calibri" w:hAnsi="Calibri" w:cs="Calibri"/>
                <w:b/>
                <w:bCs/>
                <w:color w:val="000000"/>
                <w:sz w:val="20"/>
                <w:szCs w:val="20"/>
              </w:rPr>
              <w:t>183,000</w:t>
            </w:r>
          </w:p>
        </w:tc>
      </w:tr>
      <w:tr w:rsidR="00CF33D9" w14:paraId="68092062" w14:textId="77777777">
        <w:trPr>
          <w:trHeight w:val="300"/>
        </w:trPr>
        <w:tc>
          <w:tcPr>
            <w:tcW w:w="7485" w:type="dxa"/>
            <w:shd w:val="clear" w:color="auto" w:fill="CBD3DE" w:themeFill="text2" w:themeFillTint="40"/>
            <w:noWrap/>
            <w:tcMar>
              <w:top w:w="15" w:type="dxa"/>
              <w:left w:w="15" w:type="dxa"/>
              <w:bottom w:w="0" w:type="dxa"/>
              <w:right w:w="15" w:type="dxa"/>
            </w:tcMar>
            <w:vAlign w:val="center"/>
          </w:tcPr>
          <w:p w14:paraId="68092060" w14:textId="77777777" w:rsidR="00CF33D9" w:rsidRDefault="00E3332A">
            <w:pPr>
              <w:spacing w:line="200" w:lineRule="exact"/>
              <w:rPr>
                <w:rFonts w:ascii="Calibri" w:hAnsi="Calibri" w:cs="Calibri"/>
                <w:b/>
                <w:bCs/>
                <w:color w:val="000000"/>
                <w:sz w:val="20"/>
                <w:szCs w:val="20"/>
              </w:rPr>
            </w:pPr>
            <w:r>
              <w:rPr>
                <w:rFonts w:ascii="Calibri" w:hAnsi="Calibri" w:cs="Calibri"/>
                <w:b/>
                <w:bCs/>
                <w:color w:val="000000"/>
                <w:sz w:val="20"/>
                <w:szCs w:val="20"/>
              </w:rPr>
              <w:t>Monitoring and evaluation of the implementation of the ESMP and other management plans</w:t>
            </w:r>
          </w:p>
        </w:tc>
        <w:tc>
          <w:tcPr>
            <w:tcW w:w="1530" w:type="dxa"/>
            <w:shd w:val="clear" w:color="auto" w:fill="CBD3DE" w:themeFill="text2" w:themeFillTint="40"/>
            <w:vAlign w:val="center"/>
          </w:tcPr>
          <w:p w14:paraId="68092061" w14:textId="77777777" w:rsidR="00CF33D9" w:rsidRDefault="00CF33D9">
            <w:pPr>
              <w:spacing w:line="200" w:lineRule="exact"/>
              <w:rPr>
                <w:rFonts w:ascii="Calibri" w:hAnsi="Calibri" w:cs="Calibri"/>
                <w:b/>
                <w:bCs/>
                <w:color w:val="000000"/>
                <w:sz w:val="20"/>
                <w:szCs w:val="20"/>
              </w:rPr>
            </w:pPr>
          </w:p>
        </w:tc>
      </w:tr>
      <w:tr w:rsidR="00CF33D9" w14:paraId="68092065" w14:textId="77777777">
        <w:trPr>
          <w:trHeight w:val="300"/>
        </w:trPr>
        <w:tc>
          <w:tcPr>
            <w:tcW w:w="7485" w:type="dxa"/>
            <w:shd w:val="clear" w:color="auto" w:fill="auto"/>
            <w:noWrap/>
            <w:tcMar>
              <w:top w:w="15" w:type="dxa"/>
              <w:left w:w="15" w:type="dxa"/>
              <w:bottom w:w="0" w:type="dxa"/>
              <w:right w:w="15" w:type="dxa"/>
            </w:tcMar>
            <w:vAlign w:val="center"/>
          </w:tcPr>
          <w:p w14:paraId="68092063" w14:textId="77777777" w:rsidR="00CF33D9" w:rsidRDefault="00E3332A">
            <w:pPr>
              <w:spacing w:line="200" w:lineRule="exact"/>
              <w:rPr>
                <w:rFonts w:ascii="Calibri" w:hAnsi="Calibri" w:cs="Calibri"/>
                <w:color w:val="000000"/>
                <w:sz w:val="20"/>
                <w:szCs w:val="20"/>
              </w:rPr>
            </w:pPr>
            <w:r>
              <w:rPr>
                <w:rFonts w:ascii="Calibri" w:hAnsi="Calibri" w:cs="Calibri"/>
                <w:color w:val="000000"/>
                <w:sz w:val="20"/>
                <w:szCs w:val="20"/>
              </w:rPr>
              <w:t>Project Manager</w:t>
            </w:r>
          </w:p>
        </w:tc>
        <w:tc>
          <w:tcPr>
            <w:tcW w:w="1530" w:type="dxa"/>
            <w:shd w:val="clear" w:color="auto" w:fill="auto"/>
            <w:noWrap/>
            <w:tcMar>
              <w:top w:w="15" w:type="dxa"/>
              <w:left w:w="15" w:type="dxa"/>
              <w:bottom w:w="0" w:type="dxa"/>
              <w:right w:w="15" w:type="dxa"/>
            </w:tcMar>
            <w:vAlign w:val="center"/>
          </w:tcPr>
          <w:p w14:paraId="68092064" w14:textId="77777777" w:rsidR="00CF33D9" w:rsidRDefault="00E3332A">
            <w:pPr>
              <w:spacing w:line="200" w:lineRule="exact"/>
              <w:jc w:val="right"/>
              <w:rPr>
                <w:rFonts w:ascii="Calibri" w:hAnsi="Calibri" w:cs="Calibri"/>
                <w:color w:val="000000"/>
                <w:sz w:val="20"/>
                <w:szCs w:val="20"/>
              </w:rPr>
            </w:pPr>
            <w:r>
              <w:rPr>
                <w:rFonts w:ascii="Calibri" w:hAnsi="Calibri" w:cs="Calibri"/>
                <w:color w:val="000000"/>
                <w:sz w:val="20"/>
                <w:szCs w:val="20"/>
              </w:rPr>
              <w:t>10,000</w:t>
            </w:r>
          </w:p>
        </w:tc>
      </w:tr>
      <w:tr w:rsidR="00CF33D9" w14:paraId="68092068" w14:textId="77777777">
        <w:trPr>
          <w:trHeight w:val="300"/>
        </w:trPr>
        <w:tc>
          <w:tcPr>
            <w:tcW w:w="7485" w:type="dxa"/>
            <w:shd w:val="clear" w:color="auto" w:fill="auto"/>
            <w:noWrap/>
            <w:tcMar>
              <w:top w:w="15" w:type="dxa"/>
              <w:left w:w="15" w:type="dxa"/>
              <w:bottom w:w="0" w:type="dxa"/>
              <w:right w:w="15" w:type="dxa"/>
            </w:tcMar>
            <w:vAlign w:val="center"/>
          </w:tcPr>
          <w:p w14:paraId="68092066" w14:textId="77777777" w:rsidR="00CF33D9" w:rsidRDefault="00E3332A">
            <w:pPr>
              <w:spacing w:line="200" w:lineRule="exact"/>
              <w:rPr>
                <w:rFonts w:ascii="Calibri" w:hAnsi="Calibri" w:cs="Calibri"/>
                <w:color w:val="000000"/>
                <w:sz w:val="20"/>
                <w:szCs w:val="20"/>
              </w:rPr>
            </w:pPr>
            <w:r>
              <w:rPr>
                <w:rFonts w:ascii="Calibri" w:hAnsi="Calibri" w:cs="Calibri"/>
                <w:color w:val="000000"/>
                <w:sz w:val="20"/>
                <w:szCs w:val="20"/>
              </w:rPr>
              <w:t>M&amp;E Consultant (technical support)</w:t>
            </w:r>
          </w:p>
        </w:tc>
        <w:tc>
          <w:tcPr>
            <w:tcW w:w="1530" w:type="dxa"/>
            <w:shd w:val="clear" w:color="auto" w:fill="auto"/>
            <w:noWrap/>
            <w:tcMar>
              <w:top w:w="15" w:type="dxa"/>
              <w:left w:w="15" w:type="dxa"/>
              <w:bottom w:w="0" w:type="dxa"/>
              <w:right w:w="15" w:type="dxa"/>
            </w:tcMar>
            <w:vAlign w:val="center"/>
          </w:tcPr>
          <w:p w14:paraId="68092067" w14:textId="77777777" w:rsidR="00CF33D9" w:rsidRDefault="00E3332A">
            <w:pPr>
              <w:spacing w:line="200" w:lineRule="exact"/>
              <w:jc w:val="right"/>
              <w:rPr>
                <w:rFonts w:ascii="Calibri" w:hAnsi="Calibri" w:cs="Calibri"/>
                <w:color w:val="000000"/>
                <w:sz w:val="20"/>
                <w:szCs w:val="20"/>
              </w:rPr>
            </w:pPr>
            <w:r>
              <w:rPr>
                <w:rFonts w:ascii="Calibri" w:hAnsi="Calibri" w:cs="Calibri"/>
                <w:color w:val="000000"/>
                <w:sz w:val="20"/>
                <w:szCs w:val="20"/>
              </w:rPr>
              <w:t>5,000</w:t>
            </w:r>
          </w:p>
        </w:tc>
      </w:tr>
      <w:tr w:rsidR="00CF33D9" w14:paraId="6809206B" w14:textId="77777777">
        <w:trPr>
          <w:trHeight w:val="300"/>
        </w:trPr>
        <w:tc>
          <w:tcPr>
            <w:tcW w:w="7485" w:type="dxa"/>
            <w:shd w:val="clear" w:color="auto" w:fill="auto"/>
            <w:noWrap/>
            <w:tcMar>
              <w:top w:w="15" w:type="dxa"/>
              <w:left w:w="15" w:type="dxa"/>
              <w:bottom w:w="0" w:type="dxa"/>
              <w:right w:w="15" w:type="dxa"/>
            </w:tcMar>
            <w:vAlign w:val="center"/>
          </w:tcPr>
          <w:p w14:paraId="68092069" w14:textId="77777777" w:rsidR="00CF33D9" w:rsidRDefault="00E3332A">
            <w:pPr>
              <w:spacing w:line="200" w:lineRule="exact"/>
              <w:rPr>
                <w:rFonts w:ascii="Calibri" w:hAnsi="Calibri" w:cs="Calibri"/>
                <w:color w:val="000000"/>
                <w:sz w:val="20"/>
                <w:szCs w:val="20"/>
              </w:rPr>
            </w:pPr>
            <w:r>
              <w:rPr>
                <w:rFonts w:ascii="Calibri" w:hAnsi="Calibri" w:cs="Calibri"/>
                <w:color w:val="000000"/>
                <w:sz w:val="20"/>
                <w:szCs w:val="20"/>
              </w:rPr>
              <w:t>Gender Consultant</w:t>
            </w:r>
          </w:p>
        </w:tc>
        <w:tc>
          <w:tcPr>
            <w:tcW w:w="1530" w:type="dxa"/>
            <w:shd w:val="clear" w:color="auto" w:fill="auto"/>
            <w:noWrap/>
            <w:tcMar>
              <w:top w:w="15" w:type="dxa"/>
              <w:left w:w="15" w:type="dxa"/>
              <w:bottom w:w="0" w:type="dxa"/>
              <w:right w:w="15" w:type="dxa"/>
            </w:tcMar>
            <w:vAlign w:val="center"/>
          </w:tcPr>
          <w:p w14:paraId="6809206A" w14:textId="77777777" w:rsidR="00CF33D9" w:rsidRDefault="00E3332A">
            <w:pPr>
              <w:spacing w:line="200" w:lineRule="exact"/>
              <w:jc w:val="right"/>
              <w:rPr>
                <w:rFonts w:ascii="Calibri" w:hAnsi="Calibri" w:cs="Calibri"/>
                <w:color w:val="000000"/>
                <w:sz w:val="20"/>
                <w:szCs w:val="20"/>
              </w:rPr>
            </w:pPr>
            <w:r>
              <w:rPr>
                <w:rFonts w:ascii="Calibri" w:hAnsi="Calibri" w:cs="Calibri"/>
                <w:color w:val="000000"/>
                <w:sz w:val="20"/>
                <w:szCs w:val="20"/>
              </w:rPr>
              <w:t>10,000</w:t>
            </w:r>
          </w:p>
        </w:tc>
      </w:tr>
      <w:tr w:rsidR="00CF33D9" w14:paraId="6809206E" w14:textId="77777777">
        <w:trPr>
          <w:trHeight w:val="300"/>
        </w:trPr>
        <w:tc>
          <w:tcPr>
            <w:tcW w:w="7485" w:type="dxa"/>
            <w:shd w:val="clear" w:color="auto" w:fill="auto"/>
            <w:noWrap/>
            <w:tcMar>
              <w:top w:w="15" w:type="dxa"/>
              <w:left w:w="15" w:type="dxa"/>
              <w:bottom w:w="0" w:type="dxa"/>
              <w:right w:w="15" w:type="dxa"/>
            </w:tcMar>
            <w:vAlign w:val="center"/>
          </w:tcPr>
          <w:p w14:paraId="6809206C" w14:textId="77777777" w:rsidR="00CF33D9" w:rsidRDefault="00E3332A">
            <w:pPr>
              <w:spacing w:line="200" w:lineRule="exact"/>
              <w:rPr>
                <w:rFonts w:ascii="Calibri" w:hAnsi="Calibri" w:cs="Calibri"/>
                <w:color w:val="000000"/>
                <w:sz w:val="20"/>
                <w:szCs w:val="20"/>
              </w:rPr>
            </w:pPr>
            <w:r>
              <w:rPr>
                <w:rFonts w:ascii="Calibri" w:hAnsi="Calibri" w:cs="Calibri"/>
                <w:color w:val="000000"/>
                <w:sz w:val="20"/>
                <w:szCs w:val="20"/>
              </w:rPr>
              <w:t>ESMP trainings during project implementation</w:t>
            </w:r>
          </w:p>
        </w:tc>
        <w:tc>
          <w:tcPr>
            <w:tcW w:w="1530" w:type="dxa"/>
            <w:shd w:val="clear" w:color="auto" w:fill="auto"/>
            <w:noWrap/>
            <w:tcMar>
              <w:top w:w="15" w:type="dxa"/>
              <w:left w:w="15" w:type="dxa"/>
              <w:bottom w:w="0" w:type="dxa"/>
              <w:right w:w="15" w:type="dxa"/>
            </w:tcMar>
            <w:vAlign w:val="center"/>
          </w:tcPr>
          <w:p w14:paraId="6809206D" w14:textId="77777777" w:rsidR="00CF33D9" w:rsidRDefault="00E3332A">
            <w:pPr>
              <w:spacing w:line="200" w:lineRule="exact"/>
              <w:jc w:val="right"/>
              <w:rPr>
                <w:rFonts w:ascii="Calibri" w:hAnsi="Calibri" w:cs="Calibri"/>
                <w:color w:val="000000"/>
                <w:sz w:val="20"/>
                <w:szCs w:val="20"/>
              </w:rPr>
            </w:pPr>
            <w:r>
              <w:rPr>
                <w:rFonts w:ascii="Calibri" w:hAnsi="Calibri" w:cs="Calibri"/>
                <w:color w:val="000000"/>
                <w:sz w:val="20"/>
                <w:szCs w:val="20"/>
              </w:rPr>
              <w:t>15,000</w:t>
            </w:r>
          </w:p>
        </w:tc>
      </w:tr>
      <w:tr w:rsidR="00CF33D9" w14:paraId="68092071" w14:textId="77777777">
        <w:trPr>
          <w:trHeight w:val="300"/>
        </w:trPr>
        <w:tc>
          <w:tcPr>
            <w:tcW w:w="7485" w:type="dxa"/>
            <w:shd w:val="clear" w:color="auto" w:fill="EAEDF1" w:themeFill="text2" w:themeFillTint="1A"/>
            <w:noWrap/>
            <w:tcMar>
              <w:top w:w="15" w:type="dxa"/>
              <w:left w:w="15" w:type="dxa"/>
              <w:bottom w:w="0" w:type="dxa"/>
              <w:right w:w="15" w:type="dxa"/>
            </w:tcMar>
            <w:vAlign w:val="center"/>
          </w:tcPr>
          <w:p w14:paraId="6809206F" w14:textId="77777777" w:rsidR="00CF33D9" w:rsidRDefault="00E3332A">
            <w:pPr>
              <w:spacing w:line="200" w:lineRule="exact"/>
              <w:jc w:val="right"/>
              <w:rPr>
                <w:rFonts w:ascii="Calibri" w:hAnsi="Calibri" w:cs="Calibri"/>
                <w:b/>
                <w:bCs/>
                <w:color w:val="000000"/>
                <w:sz w:val="20"/>
                <w:szCs w:val="20"/>
              </w:rPr>
            </w:pPr>
            <w:r>
              <w:rPr>
                <w:rFonts w:ascii="Calibri" w:hAnsi="Calibri" w:cs="Calibri"/>
                <w:b/>
                <w:bCs/>
                <w:color w:val="000000"/>
                <w:sz w:val="20"/>
                <w:szCs w:val="20"/>
              </w:rPr>
              <w:t>Sub-total:</w:t>
            </w:r>
          </w:p>
        </w:tc>
        <w:tc>
          <w:tcPr>
            <w:tcW w:w="1530" w:type="dxa"/>
            <w:shd w:val="clear" w:color="auto" w:fill="EAEDF1" w:themeFill="text2" w:themeFillTint="1A"/>
            <w:noWrap/>
            <w:tcMar>
              <w:top w:w="15" w:type="dxa"/>
              <w:left w:w="15" w:type="dxa"/>
              <w:bottom w:w="0" w:type="dxa"/>
              <w:right w:w="15" w:type="dxa"/>
            </w:tcMar>
            <w:vAlign w:val="center"/>
          </w:tcPr>
          <w:p w14:paraId="68092070" w14:textId="77777777" w:rsidR="00CF33D9" w:rsidRDefault="00E3332A">
            <w:pPr>
              <w:spacing w:line="200" w:lineRule="exact"/>
              <w:jc w:val="right"/>
              <w:rPr>
                <w:rFonts w:ascii="Calibri" w:hAnsi="Calibri" w:cs="Calibri"/>
                <w:b/>
                <w:bCs/>
                <w:color w:val="000000"/>
                <w:sz w:val="20"/>
                <w:szCs w:val="20"/>
              </w:rPr>
            </w:pPr>
            <w:r>
              <w:rPr>
                <w:rFonts w:ascii="Calibri" w:hAnsi="Calibri" w:cs="Calibri"/>
                <w:b/>
                <w:bCs/>
                <w:color w:val="000000"/>
                <w:sz w:val="20"/>
                <w:szCs w:val="20"/>
              </w:rPr>
              <w:t>40,000</w:t>
            </w:r>
          </w:p>
        </w:tc>
      </w:tr>
      <w:tr w:rsidR="00CF33D9" w14:paraId="68092074" w14:textId="77777777">
        <w:trPr>
          <w:trHeight w:val="360"/>
        </w:trPr>
        <w:tc>
          <w:tcPr>
            <w:tcW w:w="7485" w:type="dxa"/>
            <w:shd w:val="clear" w:color="auto" w:fill="D0CECE" w:themeFill="background2" w:themeFillShade="E6"/>
            <w:noWrap/>
            <w:tcMar>
              <w:top w:w="15" w:type="dxa"/>
              <w:left w:w="15" w:type="dxa"/>
              <w:bottom w:w="0" w:type="dxa"/>
              <w:right w:w="15" w:type="dxa"/>
            </w:tcMar>
            <w:vAlign w:val="center"/>
          </w:tcPr>
          <w:p w14:paraId="68092072" w14:textId="77777777" w:rsidR="00CF33D9" w:rsidRDefault="00E3332A">
            <w:pPr>
              <w:spacing w:line="200" w:lineRule="exact"/>
              <w:jc w:val="right"/>
              <w:rPr>
                <w:rFonts w:ascii="Calibri" w:hAnsi="Calibri" w:cs="Calibri"/>
                <w:b/>
                <w:bCs/>
                <w:color w:val="000000"/>
                <w:sz w:val="20"/>
                <w:szCs w:val="20"/>
              </w:rPr>
            </w:pPr>
            <w:r>
              <w:rPr>
                <w:rFonts w:ascii="Calibri" w:hAnsi="Calibri" w:cs="Calibri"/>
                <w:b/>
                <w:bCs/>
                <w:color w:val="000000"/>
                <w:sz w:val="20"/>
                <w:szCs w:val="20"/>
              </w:rPr>
              <w:t>TOTAL:</w:t>
            </w:r>
          </w:p>
        </w:tc>
        <w:tc>
          <w:tcPr>
            <w:tcW w:w="1530" w:type="dxa"/>
            <w:shd w:val="clear" w:color="auto" w:fill="D0CECE" w:themeFill="background2" w:themeFillShade="E6"/>
            <w:noWrap/>
            <w:tcMar>
              <w:top w:w="15" w:type="dxa"/>
              <w:left w:w="15" w:type="dxa"/>
              <w:bottom w:w="0" w:type="dxa"/>
              <w:right w:w="15" w:type="dxa"/>
            </w:tcMar>
            <w:vAlign w:val="center"/>
          </w:tcPr>
          <w:p w14:paraId="68092073" w14:textId="77777777" w:rsidR="00CF33D9" w:rsidRDefault="00E3332A">
            <w:pPr>
              <w:spacing w:line="200" w:lineRule="exact"/>
              <w:jc w:val="right"/>
              <w:rPr>
                <w:rFonts w:ascii="Calibri" w:hAnsi="Calibri" w:cs="Calibri"/>
                <w:b/>
                <w:bCs/>
                <w:color w:val="000000"/>
                <w:sz w:val="20"/>
                <w:szCs w:val="20"/>
              </w:rPr>
            </w:pPr>
            <w:r>
              <w:rPr>
                <w:rFonts w:ascii="Calibri" w:hAnsi="Calibri" w:cs="Calibri"/>
                <w:b/>
                <w:bCs/>
                <w:color w:val="000000"/>
                <w:sz w:val="20"/>
                <w:szCs w:val="20"/>
              </w:rPr>
              <w:t>223,000</w:t>
            </w:r>
          </w:p>
        </w:tc>
      </w:tr>
    </w:tbl>
    <w:p w14:paraId="68092075" w14:textId="77777777" w:rsidR="00CF33D9" w:rsidRDefault="00CF33D9">
      <w:pPr>
        <w:jc w:val="both"/>
        <w:rPr>
          <w:rFonts w:ascii="Calibri" w:hAnsi="Calibri" w:cs="Calibri"/>
          <w:sz w:val="20"/>
          <w:szCs w:val="20"/>
        </w:rPr>
      </w:pPr>
    </w:p>
    <w:p w14:paraId="68092076" w14:textId="77777777" w:rsidR="00CF33D9" w:rsidRDefault="00E3332A">
      <w:pPr>
        <w:rPr>
          <w:rFonts w:ascii="Calibri" w:hAnsi="Calibri" w:cs="Calibri"/>
          <w:sz w:val="20"/>
          <w:szCs w:val="20"/>
        </w:rPr>
      </w:pPr>
      <w:r>
        <w:rPr>
          <w:rFonts w:ascii="Calibri" w:hAnsi="Calibri" w:cs="Calibri"/>
          <w:sz w:val="20"/>
          <w:szCs w:val="20"/>
        </w:rPr>
        <w:t>9.</w:t>
      </w:r>
      <w:r>
        <w:rPr>
          <w:rFonts w:ascii="Calibri" w:hAnsi="Calibri" w:cs="Calibri"/>
          <w:sz w:val="20"/>
          <w:szCs w:val="20"/>
        </w:rPr>
        <w:tab/>
        <w:t xml:space="preserve">Monitoring and Evaluation </w:t>
      </w:r>
    </w:p>
    <w:p w14:paraId="68092077" w14:textId="77777777" w:rsidR="00CF33D9" w:rsidRDefault="00CF33D9">
      <w:pPr>
        <w:jc w:val="both"/>
        <w:rPr>
          <w:rFonts w:ascii="Calibri" w:hAnsi="Calibri" w:cs="Calibri"/>
          <w:b/>
          <w:bCs/>
          <w:sz w:val="20"/>
          <w:szCs w:val="20"/>
        </w:rPr>
      </w:pPr>
    </w:p>
    <w:p w14:paraId="68092078" w14:textId="77777777" w:rsidR="00CF33D9" w:rsidRDefault="00E3332A">
      <w:pPr>
        <w:spacing w:line="220" w:lineRule="exact"/>
        <w:jc w:val="both"/>
        <w:rPr>
          <w:rFonts w:ascii="Calibri" w:hAnsi="Calibri" w:cs="Calibri"/>
          <w:sz w:val="20"/>
          <w:szCs w:val="20"/>
        </w:rPr>
      </w:pPr>
      <w:r>
        <w:rPr>
          <w:rFonts w:ascii="Calibri" w:hAnsi="Calibri" w:cs="Calibri"/>
          <w:sz w:val="20"/>
          <w:szCs w:val="20"/>
        </w:rPr>
        <w:t>Reporting on progress and issues in the implementation of this ESMF will be documented in the project quarterly reports and annual project implementation reports (PIRs). Until the ESMPs and stand-alone management plans are put in place, UNDP CO will be responsible for compiling reports on the implementation of this ESMF, for reporting to the Project Board/Local Coordination Committees. Key issues will be presented to the Project Board during each committee meeting.</w:t>
      </w:r>
    </w:p>
    <w:p w14:paraId="68092079" w14:textId="77777777" w:rsidR="00CF33D9" w:rsidRDefault="00CF33D9">
      <w:pPr>
        <w:spacing w:line="220" w:lineRule="exact"/>
        <w:jc w:val="both"/>
        <w:rPr>
          <w:rFonts w:ascii="Calibri" w:hAnsi="Calibri" w:cs="Calibri"/>
          <w:sz w:val="20"/>
          <w:szCs w:val="20"/>
        </w:rPr>
      </w:pPr>
    </w:p>
    <w:p w14:paraId="6809207A" w14:textId="77777777" w:rsidR="00CF33D9" w:rsidRDefault="00E3332A">
      <w:pPr>
        <w:spacing w:line="220" w:lineRule="exact"/>
        <w:jc w:val="both"/>
        <w:rPr>
          <w:rFonts w:ascii="Calibri" w:hAnsi="Calibri" w:cs="Calibri"/>
          <w:sz w:val="20"/>
          <w:szCs w:val="20"/>
        </w:rPr>
      </w:pPr>
      <w:r>
        <w:rPr>
          <w:rFonts w:ascii="Calibri" w:hAnsi="Calibri" w:cs="Calibri"/>
          <w:sz w:val="20"/>
          <w:szCs w:val="20"/>
        </w:rPr>
        <w:lastRenderedPageBreak/>
        <w:t xml:space="preserve">Implementation of the subsequent ESMPs and stand-alone management plans will be the responsibility for the individual project management team, and other partners as agreed upon and described in those future plans. </w:t>
      </w:r>
    </w:p>
    <w:p w14:paraId="6809207B" w14:textId="77777777" w:rsidR="00CF33D9" w:rsidRDefault="00E3332A">
      <w:pPr>
        <w:jc w:val="both"/>
        <w:rPr>
          <w:rFonts w:ascii="Calibri" w:hAnsi="Calibri" w:cs="Calibri"/>
          <w:sz w:val="20"/>
          <w:szCs w:val="20"/>
        </w:rPr>
      </w:pPr>
      <w:r>
        <w:rPr>
          <w:rFonts w:ascii="Calibri" w:hAnsi="Calibri" w:cs="Calibri"/>
          <w:sz w:val="20"/>
          <w:szCs w:val="20"/>
        </w:rPr>
        <w:t>The ESMF monitoring and evaluation plan is outlined below in Table 7:</w:t>
      </w:r>
    </w:p>
    <w:p w14:paraId="6809207C" w14:textId="77777777" w:rsidR="00CF33D9" w:rsidRDefault="00CF33D9">
      <w:pPr>
        <w:jc w:val="both"/>
        <w:rPr>
          <w:rFonts w:ascii="Calibri" w:hAnsi="Calibri" w:cs="Calibri"/>
          <w:b/>
          <w:bCs/>
          <w:sz w:val="20"/>
          <w:szCs w:val="20"/>
        </w:rPr>
        <w:sectPr w:rsidR="00CF33D9">
          <w:pgSz w:w="12240" w:h="15840"/>
          <w:pgMar w:top="1440" w:right="1440" w:bottom="1440" w:left="1440" w:header="708" w:footer="708" w:gutter="0"/>
          <w:cols w:space="708"/>
          <w:docGrid w:linePitch="360"/>
        </w:sectPr>
      </w:pPr>
    </w:p>
    <w:p w14:paraId="6809207D" w14:textId="77777777" w:rsidR="00CF33D9" w:rsidRDefault="00E3332A">
      <w:pPr>
        <w:rPr>
          <w:rFonts w:ascii="Calibri" w:hAnsi="Calibri" w:cs="Calibri"/>
          <w:i/>
          <w:iCs/>
          <w:sz w:val="20"/>
          <w:szCs w:val="20"/>
        </w:rPr>
      </w:pPr>
      <w:bookmarkStart w:id="165" w:name="_Ref39514811"/>
      <w:bookmarkStart w:id="166" w:name="_Toc31578687"/>
      <w:bookmarkStart w:id="167" w:name="_Toc40331582"/>
      <w:r>
        <w:rPr>
          <w:rFonts w:ascii="Calibri" w:hAnsi="Calibri" w:cs="Calibri"/>
          <w:b/>
          <w:bCs/>
          <w:i/>
          <w:iCs/>
          <w:sz w:val="20"/>
          <w:szCs w:val="20"/>
        </w:rPr>
        <w:lastRenderedPageBreak/>
        <w:t xml:space="preserve">Table </w:t>
      </w:r>
      <w:bookmarkEnd w:id="165"/>
      <w:r>
        <w:rPr>
          <w:rFonts w:ascii="Calibri" w:hAnsi="Calibri" w:cs="Calibri"/>
          <w:b/>
          <w:bCs/>
          <w:i/>
          <w:iCs/>
          <w:sz w:val="20"/>
          <w:szCs w:val="20"/>
        </w:rPr>
        <w:t>7</w:t>
      </w:r>
      <w:r>
        <w:rPr>
          <w:rFonts w:ascii="Calibri" w:hAnsi="Calibri" w:cs="Calibri"/>
          <w:i/>
          <w:iCs/>
          <w:sz w:val="20"/>
          <w:szCs w:val="20"/>
        </w:rPr>
        <w:t>: ESMF M&amp;E plan and estimated budget</w:t>
      </w:r>
      <w:bookmarkEnd w:id="166"/>
      <w:bookmarkEnd w:id="167"/>
    </w:p>
    <w:tbl>
      <w:tblPr>
        <w:tblStyle w:val="TableGrid"/>
        <w:tblW w:w="16160" w:type="dxa"/>
        <w:tblInd w:w="-998" w:type="dxa"/>
        <w:tblLayout w:type="fixed"/>
        <w:tblLook w:val="04A0" w:firstRow="1" w:lastRow="0" w:firstColumn="1" w:lastColumn="0" w:noHBand="0" w:noVBand="1"/>
      </w:tblPr>
      <w:tblGrid>
        <w:gridCol w:w="3119"/>
        <w:gridCol w:w="4117"/>
        <w:gridCol w:w="1553"/>
        <w:gridCol w:w="3969"/>
        <w:gridCol w:w="2126"/>
        <w:gridCol w:w="1276"/>
      </w:tblGrid>
      <w:tr w:rsidR="00CF33D9" w14:paraId="68092084" w14:textId="77777777">
        <w:trPr>
          <w:tblHeader/>
        </w:trPr>
        <w:tc>
          <w:tcPr>
            <w:tcW w:w="3119" w:type="dxa"/>
            <w:shd w:val="clear" w:color="auto" w:fill="E7E6E6" w:themeFill="background2"/>
            <w:vAlign w:val="center"/>
          </w:tcPr>
          <w:p w14:paraId="6809207E" w14:textId="77777777" w:rsidR="00CF33D9" w:rsidRDefault="00E3332A">
            <w:pPr>
              <w:spacing w:line="200" w:lineRule="exact"/>
              <w:contextualSpacing/>
              <w:rPr>
                <w:rFonts w:cs="Calibri"/>
                <w:b/>
                <w:sz w:val="20"/>
                <w:szCs w:val="20"/>
              </w:rPr>
            </w:pPr>
            <w:r>
              <w:rPr>
                <w:rFonts w:cs="Calibri"/>
                <w:b/>
                <w:sz w:val="20"/>
                <w:szCs w:val="20"/>
              </w:rPr>
              <w:t>Monitoring Activity &amp; Relevant Projects</w:t>
            </w:r>
          </w:p>
        </w:tc>
        <w:tc>
          <w:tcPr>
            <w:tcW w:w="4117" w:type="dxa"/>
            <w:shd w:val="clear" w:color="auto" w:fill="E7E6E6" w:themeFill="background2"/>
            <w:vAlign w:val="center"/>
          </w:tcPr>
          <w:p w14:paraId="6809207F" w14:textId="77777777" w:rsidR="00CF33D9" w:rsidRDefault="00E3332A">
            <w:pPr>
              <w:spacing w:line="200" w:lineRule="exact"/>
              <w:contextualSpacing/>
              <w:rPr>
                <w:rFonts w:cs="Calibri"/>
                <w:b/>
                <w:sz w:val="20"/>
                <w:szCs w:val="20"/>
              </w:rPr>
            </w:pPr>
            <w:r>
              <w:rPr>
                <w:rFonts w:cs="Calibri"/>
                <w:b/>
                <w:sz w:val="20"/>
                <w:szCs w:val="20"/>
              </w:rPr>
              <w:t>Description</w:t>
            </w:r>
          </w:p>
        </w:tc>
        <w:tc>
          <w:tcPr>
            <w:tcW w:w="1553" w:type="dxa"/>
            <w:shd w:val="clear" w:color="auto" w:fill="E7E6E6" w:themeFill="background2"/>
            <w:vAlign w:val="center"/>
          </w:tcPr>
          <w:p w14:paraId="68092080" w14:textId="77777777" w:rsidR="00CF33D9" w:rsidRDefault="00E3332A">
            <w:pPr>
              <w:spacing w:line="200" w:lineRule="exact"/>
              <w:contextualSpacing/>
              <w:rPr>
                <w:rFonts w:cs="Calibri"/>
                <w:b/>
                <w:sz w:val="20"/>
                <w:szCs w:val="20"/>
              </w:rPr>
            </w:pPr>
            <w:r>
              <w:rPr>
                <w:rFonts w:cs="Calibri"/>
                <w:b/>
                <w:sz w:val="20"/>
                <w:szCs w:val="20"/>
              </w:rPr>
              <w:t>Frequency / Timeframe</w:t>
            </w:r>
          </w:p>
        </w:tc>
        <w:tc>
          <w:tcPr>
            <w:tcW w:w="3969" w:type="dxa"/>
            <w:shd w:val="clear" w:color="auto" w:fill="E7E6E6" w:themeFill="background2"/>
            <w:vAlign w:val="center"/>
          </w:tcPr>
          <w:p w14:paraId="68092081" w14:textId="77777777" w:rsidR="00CF33D9" w:rsidRDefault="00E3332A">
            <w:pPr>
              <w:spacing w:line="200" w:lineRule="exact"/>
              <w:contextualSpacing/>
              <w:rPr>
                <w:rFonts w:cs="Calibri"/>
                <w:b/>
                <w:sz w:val="20"/>
                <w:szCs w:val="20"/>
              </w:rPr>
            </w:pPr>
            <w:r>
              <w:rPr>
                <w:rFonts w:cs="Calibri"/>
                <w:b/>
                <w:sz w:val="20"/>
                <w:szCs w:val="20"/>
              </w:rPr>
              <w:t>Expected Action</w:t>
            </w:r>
          </w:p>
        </w:tc>
        <w:tc>
          <w:tcPr>
            <w:tcW w:w="2126" w:type="dxa"/>
            <w:shd w:val="clear" w:color="auto" w:fill="E7E6E6" w:themeFill="background2"/>
            <w:vAlign w:val="center"/>
          </w:tcPr>
          <w:p w14:paraId="68092082" w14:textId="77777777" w:rsidR="00CF33D9" w:rsidRDefault="00E3332A">
            <w:pPr>
              <w:spacing w:line="200" w:lineRule="exact"/>
              <w:contextualSpacing/>
              <w:rPr>
                <w:rFonts w:cs="Calibri"/>
                <w:b/>
                <w:sz w:val="20"/>
                <w:szCs w:val="20"/>
              </w:rPr>
            </w:pPr>
            <w:r>
              <w:rPr>
                <w:rFonts w:cs="Calibri"/>
                <w:b/>
                <w:sz w:val="20"/>
                <w:szCs w:val="20"/>
              </w:rPr>
              <w:t>Roles and Responsibilities</w:t>
            </w:r>
          </w:p>
        </w:tc>
        <w:tc>
          <w:tcPr>
            <w:tcW w:w="1276" w:type="dxa"/>
            <w:shd w:val="clear" w:color="auto" w:fill="E7E6E6" w:themeFill="background2"/>
            <w:vAlign w:val="center"/>
          </w:tcPr>
          <w:p w14:paraId="68092083" w14:textId="77777777" w:rsidR="00CF33D9" w:rsidRDefault="00E3332A">
            <w:pPr>
              <w:spacing w:line="200" w:lineRule="exact"/>
              <w:contextualSpacing/>
              <w:rPr>
                <w:rFonts w:cs="Calibri"/>
                <w:b/>
                <w:sz w:val="20"/>
                <w:szCs w:val="20"/>
              </w:rPr>
            </w:pPr>
            <w:r>
              <w:rPr>
                <w:rFonts w:cs="Calibri"/>
                <w:b/>
                <w:sz w:val="20"/>
                <w:szCs w:val="20"/>
              </w:rPr>
              <w:t>Cost (per project, excl. staff time</w:t>
            </w:r>
          </w:p>
        </w:tc>
      </w:tr>
      <w:tr w:rsidR="00CF33D9" w14:paraId="6809208E" w14:textId="77777777">
        <w:tc>
          <w:tcPr>
            <w:tcW w:w="3119" w:type="dxa"/>
          </w:tcPr>
          <w:p w14:paraId="68092085" w14:textId="77777777" w:rsidR="00CF33D9" w:rsidRDefault="00E3332A">
            <w:pPr>
              <w:spacing w:line="200" w:lineRule="exact"/>
              <w:contextualSpacing/>
              <w:rPr>
                <w:rFonts w:cs="Calibri"/>
                <w:sz w:val="20"/>
                <w:szCs w:val="20"/>
              </w:rPr>
            </w:pPr>
            <w:r>
              <w:rPr>
                <w:rFonts w:cs="Calibri"/>
                <w:sz w:val="20"/>
                <w:szCs w:val="20"/>
              </w:rPr>
              <w:t xml:space="preserve">Track progress of ESMF implementation </w:t>
            </w:r>
          </w:p>
          <w:p w14:paraId="68092086" w14:textId="77777777" w:rsidR="00CF33D9" w:rsidRDefault="00CF33D9">
            <w:pPr>
              <w:spacing w:line="200" w:lineRule="exact"/>
              <w:contextualSpacing/>
              <w:rPr>
                <w:rFonts w:cs="Calibri"/>
                <w:sz w:val="20"/>
                <w:szCs w:val="20"/>
              </w:rPr>
            </w:pPr>
          </w:p>
          <w:p w14:paraId="68092087" w14:textId="77777777" w:rsidR="00CF33D9" w:rsidRDefault="00CF33D9">
            <w:pPr>
              <w:spacing w:line="200" w:lineRule="exact"/>
              <w:contextualSpacing/>
              <w:rPr>
                <w:rFonts w:cs="Calibri"/>
                <w:sz w:val="20"/>
                <w:szCs w:val="20"/>
              </w:rPr>
            </w:pPr>
          </w:p>
        </w:tc>
        <w:tc>
          <w:tcPr>
            <w:tcW w:w="4117" w:type="dxa"/>
          </w:tcPr>
          <w:p w14:paraId="68092088" w14:textId="77777777" w:rsidR="00CF33D9" w:rsidRDefault="00E3332A">
            <w:pPr>
              <w:spacing w:line="200" w:lineRule="exact"/>
              <w:contextualSpacing/>
              <w:rPr>
                <w:rFonts w:cs="Calibri"/>
                <w:sz w:val="20"/>
                <w:szCs w:val="20"/>
              </w:rPr>
            </w:pPr>
            <w:r>
              <w:rPr>
                <w:rFonts w:cs="Calibri"/>
                <w:sz w:val="20"/>
                <w:szCs w:val="20"/>
              </w:rPr>
              <w:t>Implementation of this ESMF coordinated for each country, and with results reported to each Project Board meeting (Project Board meets at least 2 times a year)</w:t>
            </w:r>
          </w:p>
        </w:tc>
        <w:tc>
          <w:tcPr>
            <w:tcW w:w="1553" w:type="dxa"/>
          </w:tcPr>
          <w:p w14:paraId="68092089" w14:textId="77777777" w:rsidR="00CF33D9" w:rsidRDefault="00E3332A">
            <w:pPr>
              <w:spacing w:line="200" w:lineRule="exact"/>
              <w:contextualSpacing/>
              <w:rPr>
                <w:rFonts w:cs="Calibri"/>
                <w:sz w:val="20"/>
                <w:szCs w:val="20"/>
              </w:rPr>
            </w:pPr>
            <w:r>
              <w:rPr>
                <w:rFonts w:cs="Calibri"/>
                <w:sz w:val="20"/>
                <w:szCs w:val="20"/>
              </w:rPr>
              <w:t>Quarterly (until ESMPs and management plans are in place)</w:t>
            </w:r>
          </w:p>
        </w:tc>
        <w:tc>
          <w:tcPr>
            <w:tcW w:w="3969" w:type="dxa"/>
          </w:tcPr>
          <w:p w14:paraId="6809208A" w14:textId="77777777" w:rsidR="00CF33D9" w:rsidRDefault="00E3332A">
            <w:pPr>
              <w:spacing w:line="200" w:lineRule="exact"/>
              <w:contextualSpacing/>
              <w:rPr>
                <w:rFonts w:cs="Calibri"/>
                <w:sz w:val="20"/>
                <w:szCs w:val="20"/>
              </w:rPr>
            </w:pPr>
            <w:r>
              <w:rPr>
                <w:rFonts w:cs="Calibri"/>
                <w:sz w:val="20"/>
                <w:szCs w:val="20"/>
              </w:rPr>
              <w:t>Required ESMF steps are completed in a timely manner.</w:t>
            </w:r>
          </w:p>
        </w:tc>
        <w:tc>
          <w:tcPr>
            <w:tcW w:w="2126" w:type="dxa"/>
          </w:tcPr>
          <w:p w14:paraId="6809208B" w14:textId="77777777" w:rsidR="00CF33D9" w:rsidRDefault="00E3332A">
            <w:pPr>
              <w:spacing w:line="200" w:lineRule="exact"/>
              <w:contextualSpacing/>
              <w:rPr>
                <w:rFonts w:cs="Calibri"/>
                <w:sz w:val="20"/>
                <w:szCs w:val="20"/>
              </w:rPr>
            </w:pPr>
            <w:r>
              <w:rPr>
                <w:rFonts w:cs="Calibri"/>
                <w:sz w:val="20"/>
                <w:szCs w:val="20"/>
              </w:rPr>
              <w:t xml:space="preserve">Project Manager with support from the M&amp;E consultant </w:t>
            </w:r>
          </w:p>
          <w:p w14:paraId="6809208C" w14:textId="77777777" w:rsidR="00CF33D9" w:rsidRDefault="00E3332A">
            <w:pPr>
              <w:spacing w:line="200" w:lineRule="exact"/>
              <w:contextualSpacing/>
              <w:rPr>
                <w:rFonts w:cs="Calibri"/>
                <w:sz w:val="20"/>
                <w:szCs w:val="20"/>
              </w:rPr>
            </w:pPr>
            <w:r>
              <w:rPr>
                <w:rFonts w:cs="Calibri"/>
                <w:sz w:val="20"/>
                <w:szCs w:val="20"/>
              </w:rPr>
              <w:t>UNDP</w:t>
            </w:r>
          </w:p>
        </w:tc>
        <w:tc>
          <w:tcPr>
            <w:tcW w:w="1276" w:type="dxa"/>
          </w:tcPr>
          <w:p w14:paraId="6809208D" w14:textId="77777777" w:rsidR="00CF33D9" w:rsidRDefault="00E3332A">
            <w:pPr>
              <w:spacing w:line="200" w:lineRule="exact"/>
              <w:contextualSpacing/>
              <w:rPr>
                <w:rFonts w:cs="Calibri"/>
                <w:sz w:val="20"/>
                <w:szCs w:val="20"/>
              </w:rPr>
            </w:pPr>
            <w:r>
              <w:rPr>
                <w:rFonts w:cs="Calibri"/>
                <w:sz w:val="20"/>
                <w:szCs w:val="20"/>
              </w:rPr>
              <w:t>None</w:t>
            </w:r>
          </w:p>
        </w:tc>
      </w:tr>
      <w:tr w:rsidR="00CF33D9" w14:paraId="68092095" w14:textId="77777777">
        <w:tc>
          <w:tcPr>
            <w:tcW w:w="3119" w:type="dxa"/>
          </w:tcPr>
          <w:p w14:paraId="6809208F" w14:textId="77777777" w:rsidR="00CF33D9" w:rsidRDefault="00E3332A">
            <w:pPr>
              <w:spacing w:line="200" w:lineRule="exact"/>
              <w:contextualSpacing/>
              <w:rPr>
                <w:rFonts w:cs="Calibri"/>
                <w:sz w:val="20"/>
                <w:szCs w:val="20"/>
              </w:rPr>
            </w:pPr>
            <w:r>
              <w:rPr>
                <w:rFonts w:cs="Calibri"/>
                <w:sz w:val="20"/>
                <w:szCs w:val="20"/>
              </w:rPr>
              <w:t>Track progress of the assessment of targeted “upstream” activities/SESA and development of the management plans (depending on the complexity of issues) or identification of specific management measures to be incorporated in the project documentation (SESP updated).</w:t>
            </w:r>
          </w:p>
        </w:tc>
        <w:tc>
          <w:tcPr>
            <w:tcW w:w="4117" w:type="dxa"/>
          </w:tcPr>
          <w:p w14:paraId="68092090" w14:textId="77777777" w:rsidR="00CF33D9" w:rsidRDefault="00E3332A">
            <w:pPr>
              <w:spacing w:line="200" w:lineRule="exact"/>
              <w:contextualSpacing/>
              <w:rPr>
                <w:rFonts w:cs="Calibri"/>
                <w:sz w:val="20"/>
                <w:szCs w:val="20"/>
              </w:rPr>
            </w:pPr>
            <w:r>
              <w:rPr>
                <w:rFonts w:cs="Calibri"/>
                <w:bCs/>
                <w:sz w:val="20"/>
                <w:szCs w:val="20"/>
              </w:rPr>
              <w:t>SESA will evaluate potential social and environmental effects of policies, plans supported by the project in a participatory manner. This will include primarily project’s policy work under Activity 1.1.1.1, 1.1.1.2, 1.4.1.1, 1.4.1.2 and 2.1.1.1.</w:t>
            </w:r>
          </w:p>
        </w:tc>
        <w:tc>
          <w:tcPr>
            <w:tcW w:w="1553" w:type="dxa"/>
          </w:tcPr>
          <w:p w14:paraId="68092091" w14:textId="77777777" w:rsidR="00CF33D9" w:rsidRDefault="00E3332A">
            <w:pPr>
              <w:spacing w:line="200" w:lineRule="exact"/>
              <w:contextualSpacing/>
              <w:rPr>
                <w:rFonts w:cs="Calibri"/>
                <w:sz w:val="20"/>
                <w:szCs w:val="20"/>
              </w:rPr>
            </w:pPr>
            <w:r>
              <w:rPr>
                <w:rFonts w:cs="Calibri"/>
                <w:sz w:val="20"/>
                <w:szCs w:val="20"/>
              </w:rPr>
              <w:t>Quarters 1 and 2 of project implementation</w:t>
            </w:r>
          </w:p>
        </w:tc>
        <w:tc>
          <w:tcPr>
            <w:tcW w:w="3969" w:type="dxa"/>
          </w:tcPr>
          <w:p w14:paraId="68092092" w14:textId="77777777" w:rsidR="00CF33D9" w:rsidRDefault="00E3332A">
            <w:pPr>
              <w:spacing w:line="200" w:lineRule="exact"/>
              <w:contextualSpacing/>
              <w:rPr>
                <w:rFonts w:cs="Calibri"/>
                <w:sz w:val="20"/>
                <w:szCs w:val="20"/>
              </w:rPr>
            </w:pPr>
            <w:r>
              <w:rPr>
                <w:rFonts w:cs="Calibri"/>
                <w:sz w:val="20"/>
                <w:szCs w:val="20"/>
              </w:rPr>
              <w:t xml:space="preserve">Required ESMF/or other management plans completed in a timely manner </w:t>
            </w:r>
          </w:p>
        </w:tc>
        <w:tc>
          <w:tcPr>
            <w:tcW w:w="2126" w:type="dxa"/>
          </w:tcPr>
          <w:p w14:paraId="68092093" w14:textId="77777777" w:rsidR="00CF33D9" w:rsidRDefault="00E3332A">
            <w:pPr>
              <w:spacing w:line="200" w:lineRule="exact"/>
              <w:contextualSpacing/>
              <w:rPr>
                <w:rFonts w:cs="Calibri"/>
                <w:sz w:val="20"/>
                <w:szCs w:val="20"/>
              </w:rPr>
            </w:pPr>
            <w:r>
              <w:rPr>
                <w:rFonts w:cs="Calibri"/>
                <w:sz w:val="20"/>
                <w:szCs w:val="20"/>
              </w:rPr>
              <w:t>Project Manager, project specialists and M&amp;E consultant</w:t>
            </w:r>
          </w:p>
        </w:tc>
        <w:tc>
          <w:tcPr>
            <w:tcW w:w="1276" w:type="dxa"/>
          </w:tcPr>
          <w:p w14:paraId="68092094" w14:textId="77777777" w:rsidR="00CF33D9" w:rsidRDefault="00E3332A">
            <w:pPr>
              <w:spacing w:line="200" w:lineRule="exact"/>
              <w:contextualSpacing/>
              <w:rPr>
                <w:rFonts w:cs="Calibri"/>
                <w:sz w:val="20"/>
                <w:szCs w:val="20"/>
              </w:rPr>
            </w:pPr>
            <w:r>
              <w:rPr>
                <w:rFonts w:cs="Calibri"/>
                <w:sz w:val="20"/>
                <w:szCs w:val="20"/>
              </w:rPr>
              <w:t xml:space="preserve">None </w:t>
            </w:r>
          </w:p>
        </w:tc>
      </w:tr>
      <w:tr w:rsidR="00CF33D9" w14:paraId="6809209C" w14:textId="77777777">
        <w:tc>
          <w:tcPr>
            <w:tcW w:w="3119" w:type="dxa"/>
          </w:tcPr>
          <w:p w14:paraId="68092096" w14:textId="77777777" w:rsidR="00CF33D9" w:rsidRDefault="00E3332A">
            <w:pPr>
              <w:spacing w:line="200" w:lineRule="exact"/>
              <w:contextualSpacing/>
              <w:rPr>
                <w:rFonts w:cs="Calibri"/>
                <w:sz w:val="20"/>
                <w:szCs w:val="20"/>
              </w:rPr>
            </w:pPr>
            <w:r>
              <w:rPr>
                <w:rFonts w:cs="Calibri"/>
                <w:sz w:val="20"/>
                <w:szCs w:val="20"/>
              </w:rPr>
              <w:t>Track progress of the targeted screening and assessments of various “downstream” activities and development of reports and management plans. Development of ESMP as needed.</w:t>
            </w:r>
          </w:p>
        </w:tc>
        <w:tc>
          <w:tcPr>
            <w:tcW w:w="4117" w:type="dxa"/>
          </w:tcPr>
          <w:p w14:paraId="68092097" w14:textId="77777777" w:rsidR="00CF33D9" w:rsidRDefault="00E3332A">
            <w:pPr>
              <w:spacing w:line="200" w:lineRule="exact"/>
              <w:contextualSpacing/>
              <w:rPr>
                <w:rFonts w:cs="Calibri"/>
                <w:sz w:val="20"/>
                <w:szCs w:val="20"/>
              </w:rPr>
            </w:pPr>
            <w:r>
              <w:rPr>
                <w:rFonts w:cs="Calibri"/>
                <w:sz w:val="20"/>
                <w:szCs w:val="20"/>
              </w:rPr>
              <w:t>Carried out in a participatory manner, in-depth analysis of potential social and environmental impacts, as well as identification / validation of mitigation measures, drafted in participatory manner</w:t>
            </w:r>
          </w:p>
        </w:tc>
        <w:tc>
          <w:tcPr>
            <w:tcW w:w="1553" w:type="dxa"/>
          </w:tcPr>
          <w:p w14:paraId="68092098" w14:textId="77777777" w:rsidR="00CF33D9" w:rsidRDefault="00E3332A">
            <w:pPr>
              <w:spacing w:line="200" w:lineRule="exact"/>
              <w:contextualSpacing/>
              <w:rPr>
                <w:rFonts w:cs="Calibri"/>
                <w:sz w:val="20"/>
                <w:szCs w:val="20"/>
              </w:rPr>
            </w:pPr>
            <w:r>
              <w:rPr>
                <w:rFonts w:cs="Calibri"/>
                <w:sz w:val="20"/>
                <w:szCs w:val="20"/>
              </w:rPr>
              <w:t>Quarters 2-3 of project implementation</w:t>
            </w:r>
          </w:p>
        </w:tc>
        <w:tc>
          <w:tcPr>
            <w:tcW w:w="3969" w:type="dxa"/>
          </w:tcPr>
          <w:p w14:paraId="68092099" w14:textId="77777777" w:rsidR="00CF33D9" w:rsidRDefault="00E3332A">
            <w:pPr>
              <w:spacing w:line="200" w:lineRule="exact"/>
              <w:contextualSpacing/>
              <w:rPr>
                <w:rFonts w:cs="Calibri"/>
                <w:sz w:val="20"/>
                <w:szCs w:val="20"/>
              </w:rPr>
            </w:pPr>
            <w:r>
              <w:rPr>
                <w:rFonts w:cs="Calibri"/>
                <w:sz w:val="20"/>
                <w:szCs w:val="20"/>
              </w:rPr>
              <w:t>Risks and potential impacts are assessed with support of external consultants and participation of project team and stakeholders; management actions identified and incorporated into project implementation strategies.</w:t>
            </w:r>
          </w:p>
        </w:tc>
        <w:tc>
          <w:tcPr>
            <w:tcW w:w="2126" w:type="dxa"/>
          </w:tcPr>
          <w:p w14:paraId="6809209A" w14:textId="77777777" w:rsidR="00CF33D9" w:rsidRDefault="00E3332A">
            <w:pPr>
              <w:spacing w:line="200" w:lineRule="exact"/>
              <w:contextualSpacing/>
              <w:rPr>
                <w:rFonts w:cs="Calibri"/>
                <w:sz w:val="20"/>
                <w:szCs w:val="20"/>
              </w:rPr>
            </w:pPr>
            <w:r>
              <w:rPr>
                <w:rFonts w:cs="Calibri"/>
                <w:sz w:val="20"/>
                <w:szCs w:val="20"/>
              </w:rPr>
              <w:t>External service providers With guidance from UNDP, Project Manager, Project Specialists , Gender and M&amp;E consultants</w:t>
            </w:r>
          </w:p>
        </w:tc>
        <w:tc>
          <w:tcPr>
            <w:tcW w:w="1276" w:type="dxa"/>
          </w:tcPr>
          <w:p w14:paraId="6809209B" w14:textId="77777777" w:rsidR="00CF33D9" w:rsidRDefault="00E3332A">
            <w:pPr>
              <w:spacing w:line="200" w:lineRule="exact"/>
              <w:contextualSpacing/>
              <w:rPr>
                <w:rFonts w:cs="Calibri"/>
                <w:sz w:val="20"/>
                <w:szCs w:val="20"/>
              </w:rPr>
            </w:pPr>
            <w:r>
              <w:rPr>
                <w:rFonts w:cs="Calibri"/>
                <w:sz w:val="20"/>
                <w:szCs w:val="20"/>
              </w:rPr>
              <w:t>USD 1,000</w:t>
            </w:r>
          </w:p>
        </w:tc>
      </w:tr>
      <w:tr w:rsidR="00CF33D9" w14:paraId="680920A3" w14:textId="77777777">
        <w:tc>
          <w:tcPr>
            <w:tcW w:w="3119" w:type="dxa"/>
          </w:tcPr>
          <w:p w14:paraId="6809209D" w14:textId="77777777" w:rsidR="00CF33D9" w:rsidRDefault="00E3332A">
            <w:pPr>
              <w:spacing w:line="200" w:lineRule="exact"/>
              <w:contextualSpacing/>
              <w:rPr>
                <w:rFonts w:cs="Calibri"/>
                <w:sz w:val="20"/>
                <w:szCs w:val="20"/>
              </w:rPr>
            </w:pPr>
            <w:r>
              <w:rPr>
                <w:rFonts w:cs="Calibri"/>
                <w:sz w:val="20"/>
                <w:szCs w:val="20"/>
              </w:rPr>
              <w:t xml:space="preserve">Track progress of the development of appropriately scoped ESIA/ESMP </w:t>
            </w:r>
          </w:p>
        </w:tc>
        <w:tc>
          <w:tcPr>
            <w:tcW w:w="4117" w:type="dxa"/>
          </w:tcPr>
          <w:p w14:paraId="6809209E" w14:textId="77777777" w:rsidR="00CF33D9" w:rsidRDefault="00E3332A">
            <w:pPr>
              <w:spacing w:line="200" w:lineRule="exact"/>
              <w:contextualSpacing/>
              <w:rPr>
                <w:rFonts w:cs="Calibri"/>
                <w:sz w:val="20"/>
                <w:szCs w:val="20"/>
              </w:rPr>
            </w:pPr>
            <w:r>
              <w:rPr>
                <w:rFonts w:cs="Calibri"/>
                <w:sz w:val="20"/>
                <w:szCs w:val="20"/>
              </w:rPr>
              <w:t>Supported by external service providers, in relation with the activities for the sustainable and climate resilient mariculture opportunities and exploitation of other living marine resources at national levels.</w:t>
            </w:r>
          </w:p>
        </w:tc>
        <w:tc>
          <w:tcPr>
            <w:tcW w:w="1553" w:type="dxa"/>
          </w:tcPr>
          <w:p w14:paraId="6809209F" w14:textId="77777777" w:rsidR="00CF33D9" w:rsidRDefault="00E3332A">
            <w:pPr>
              <w:spacing w:line="200" w:lineRule="exact"/>
              <w:contextualSpacing/>
              <w:rPr>
                <w:rFonts w:cs="Calibri"/>
                <w:sz w:val="20"/>
                <w:szCs w:val="20"/>
              </w:rPr>
            </w:pPr>
            <w:r>
              <w:rPr>
                <w:rFonts w:cs="Calibri"/>
                <w:sz w:val="20"/>
                <w:szCs w:val="20"/>
              </w:rPr>
              <w:t>Quarters 3-4</w:t>
            </w:r>
          </w:p>
        </w:tc>
        <w:tc>
          <w:tcPr>
            <w:tcW w:w="3969" w:type="dxa"/>
          </w:tcPr>
          <w:p w14:paraId="680920A0" w14:textId="77777777" w:rsidR="00CF33D9" w:rsidRDefault="00E3332A">
            <w:pPr>
              <w:spacing w:line="200" w:lineRule="exact"/>
              <w:contextualSpacing/>
              <w:rPr>
                <w:rFonts w:cs="Calibri"/>
                <w:sz w:val="20"/>
                <w:szCs w:val="20"/>
              </w:rPr>
            </w:pPr>
            <w:r>
              <w:rPr>
                <w:rFonts w:cs="Calibri"/>
                <w:sz w:val="20"/>
                <w:szCs w:val="20"/>
              </w:rPr>
              <w:t>Risks and potential impacts are assessed with support of external consultants and participation of project team and stakeholders; management actions identified and incorporated into project implementation strategies.</w:t>
            </w:r>
          </w:p>
        </w:tc>
        <w:tc>
          <w:tcPr>
            <w:tcW w:w="2126" w:type="dxa"/>
          </w:tcPr>
          <w:p w14:paraId="680920A1" w14:textId="77777777" w:rsidR="00CF33D9" w:rsidRDefault="00E3332A">
            <w:pPr>
              <w:spacing w:line="200" w:lineRule="exact"/>
              <w:contextualSpacing/>
              <w:rPr>
                <w:rFonts w:cs="Calibri"/>
                <w:sz w:val="20"/>
                <w:szCs w:val="20"/>
              </w:rPr>
            </w:pPr>
            <w:r>
              <w:rPr>
                <w:rFonts w:cs="Calibri"/>
                <w:sz w:val="20"/>
                <w:szCs w:val="20"/>
              </w:rPr>
              <w:t>External service providers With guidance from UNDP, Project Manager, Project Specialists , Gender and M&amp;E consultants</w:t>
            </w:r>
          </w:p>
        </w:tc>
        <w:tc>
          <w:tcPr>
            <w:tcW w:w="1276" w:type="dxa"/>
          </w:tcPr>
          <w:p w14:paraId="680920A2" w14:textId="77777777" w:rsidR="00CF33D9" w:rsidRDefault="00E3332A">
            <w:pPr>
              <w:spacing w:line="200" w:lineRule="exact"/>
              <w:contextualSpacing/>
              <w:rPr>
                <w:rFonts w:cs="Calibri"/>
                <w:sz w:val="20"/>
                <w:szCs w:val="20"/>
              </w:rPr>
            </w:pPr>
            <w:r>
              <w:rPr>
                <w:rFonts w:cs="Calibri"/>
                <w:sz w:val="20"/>
                <w:szCs w:val="20"/>
              </w:rPr>
              <w:t>USD 2,000</w:t>
            </w:r>
          </w:p>
        </w:tc>
      </w:tr>
      <w:tr w:rsidR="00CF33D9" w14:paraId="680920AC" w14:textId="77777777">
        <w:tc>
          <w:tcPr>
            <w:tcW w:w="3119" w:type="dxa"/>
          </w:tcPr>
          <w:p w14:paraId="680920A4" w14:textId="77777777" w:rsidR="00CF33D9" w:rsidRDefault="00E3332A">
            <w:pPr>
              <w:spacing w:line="200" w:lineRule="exact"/>
              <w:contextualSpacing/>
              <w:rPr>
                <w:rFonts w:cs="Calibri"/>
                <w:sz w:val="20"/>
                <w:szCs w:val="20"/>
              </w:rPr>
            </w:pPr>
            <w:r>
              <w:rPr>
                <w:rFonts w:cs="Calibri"/>
                <w:sz w:val="20"/>
                <w:szCs w:val="20"/>
              </w:rPr>
              <w:t>Implementation of mitigation measures and monitoring of potential impacts identified in targeted assessment(s) and per the subsequent ESMP.</w:t>
            </w:r>
          </w:p>
        </w:tc>
        <w:tc>
          <w:tcPr>
            <w:tcW w:w="4117" w:type="dxa"/>
          </w:tcPr>
          <w:p w14:paraId="680920A5" w14:textId="77777777" w:rsidR="00CF33D9" w:rsidRDefault="00E3332A">
            <w:pPr>
              <w:spacing w:line="200" w:lineRule="exact"/>
              <w:contextualSpacing/>
              <w:rPr>
                <w:rFonts w:cs="Calibri"/>
                <w:sz w:val="20"/>
                <w:szCs w:val="20"/>
              </w:rPr>
            </w:pPr>
            <w:r>
              <w:rPr>
                <w:rFonts w:cs="Calibri"/>
                <w:sz w:val="20"/>
                <w:szCs w:val="20"/>
              </w:rPr>
              <w:t>Permanent and participatory implementation and monitoring of impacts and mitigation measures, in accordance with ESMP (to be prepared together with targeted assessment)</w:t>
            </w:r>
          </w:p>
        </w:tc>
        <w:tc>
          <w:tcPr>
            <w:tcW w:w="1553" w:type="dxa"/>
          </w:tcPr>
          <w:p w14:paraId="680920A6" w14:textId="77777777" w:rsidR="00CF33D9" w:rsidRDefault="00E3332A">
            <w:pPr>
              <w:spacing w:line="200" w:lineRule="exact"/>
              <w:contextualSpacing/>
              <w:rPr>
                <w:rFonts w:cs="Calibri"/>
                <w:sz w:val="20"/>
                <w:szCs w:val="20"/>
              </w:rPr>
            </w:pPr>
            <w:r>
              <w:rPr>
                <w:rFonts w:cs="Calibri"/>
                <w:sz w:val="20"/>
                <w:szCs w:val="20"/>
              </w:rPr>
              <w:t>Continuous, once SESA is completed and ESMP is in place</w:t>
            </w:r>
          </w:p>
        </w:tc>
        <w:tc>
          <w:tcPr>
            <w:tcW w:w="3969" w:type="dxa"/>
          </w:tcPr>
          <w:p w14:paraId="680920A7" w14:textId="77777777" w:rsidR="00CF33D9" w:rsidRDefault="00E3332A">
            <w:pPr>
              <w:spacing w:line="200" w:lineRule="exact"/>
              <w:contextualSpacing/>
              <w:rPr>
                <w:rFonts w:cs="Calibri"/>
                <w:sz w:val="20"/>
                <w:szCs w:val="20"/>
              </w:rPr>
            </w:pPr>
            <w:r>
              <w:rPr>
                <w:rFonts w:cs="Calibri"/>
                <w:sz w:val="20"/>
                <w:szCs w:val="20"/>
              </w:rPr>
              <w:t xml:space="preserve">Implementation of ESMP; participatory monitoring of targeted assessment findings (i.e., identifying indicators, monitoring potential impacts and risks); integration of ESMP into project implementation strategies. </w:t>
            </w:r>
          </w:p>
        </w:tc>
        <w:tc>
          <w:tcPr>
            <w:tcW w:w="2126" w:type="dxa"/>
          </w:tcPr>
          <w:p w14:paraId="680920A8" w14:textId="77777777" w:rsidR="00CF33D9" w:rsidRDefault="00E3332A">
            <w:pPr>
              <w:spacing w:line="200" w:lineRule="exact"/>
              <w:contextualSpacing/>
              <w:rPr>
                <w:rFonts w:cs="Calibri"/>
                <w:sz w:val="20"/>
                <w:szCs w:val="20"/>
              </w:rPr>
            </w:pPr>
            <w:r>
              <w:rPr>
                <w:rFonts w:cs="Calibri"/>
                <w:sz w:val="20"/>
                <w:szCs w:val="20"/>
              </w:rPr>
              <w:t>UNDP and IP</w:t>
            </w:r>
          </w:p>
          <w:p w14:paraId="680920A9" w14:textId="77777777" w:rsidR="00CF33D9" w:rsidRDefault="00E3332A">
            <w:pPr>
              <w:spacing w:line="200" w:lineRule="exact"/>
              <w:contextualSpacing/>
              <w:rPr>
                <w:rFonts w:cs="Calibri"/>
                <w:sz w:val="20"/>
                <w:szCs w:val="20"/>
              </w:rPr>
            </w:pPr>
            <w:r>
              <w:rPr>
                <w:rFonts w:cs="Calibri"/>
                <w:sz w:val="20"/>
                <w:szCs w:val="20"/>
              </w:rPr>
              <w:t>Project Manager</w:t>
            </w:r>
          </w:p>
          <w:p w14:paraId="680920AA" w14:textId="77777777" w:rsidR="00CF33D9" w:rsidRDefault="00E3332A">
            <w:pPr>
              <w:spacing w:line="200" w:lineRule="exact"/>
              <w:contextualSpacing/>
              <w:rPr>
                <w:rFonts w:cs="Calibri"/>
                <w:sz w:val="20"/>
                <w:szCs w:val="20"/>
              </w:rPr>
            </w:pPr>
            <w:r>
              <w:rPr>
                <w:rFonts w:cs="Calibri"/>
                <w:sz w:val="20"/>
                <w:szCs w:val="20"/>
              </w:rPr>
              <w:t>M&amp;E Consultant  oversight by UNDP, Project Board</w:t>
            </w:r>
          </w:p>
        </w:tc>
        <w:tc>
          <w:tcPr>
            <w:tcW w:w="1276" w:type="dxa"/>
          </w:tcPr>
          <w:p w14:paraId="680920AB" w14:textId="77777777" w:rsidR="00CF33D9" w:rsidRDefault="00E3332A">
            <w:pPr>
              <w:spacing w:line="200" w:lineRule="exact"/>
              <w:contextualSpacing/>
              <w:rPr>
                <w:rFonts w:cs="Calibri"/>
                <w:sz w:val="20"/>
                <w:szCs w:val="20"/>
              </w:rPr>
            </w:pPr>
            <w:r>
              <w:rPr>
                <w:rFonts w:cs="Calibri"/>
                <w:sz w:val="20"/>
                <w:szCs w:val="20"/>
              </w:rPr>
              <w:t>TBD, based on targeted assessment.</w:t>
            </w:r>
          </w:p>
        </w:tc>
      </w:tr>
      <w:tr w:rsidR="00CF33D9" w14:paraId="680920B7" w14:textId="77777777">
        <w:tc>
          <w:tcPr>
            <w:tcW w:w="3119" w:type="dxa"/>
          </w:tcPr>
          <w:p w14:paraId="680920AD" w14:textId="77777777" w:rsidR="00CF33D9" w:rsidRDefault="00E3332A">
            <w:pPr>
              <w:spacing w:line="200" w:lineRule="exact"/>
              <w:contextualSpacing/>
              <w:rPr>
                <w:rFonts w:cs="Calibri"/>
                <w:sz w:val="20"/>
                <w:szCs w:val="20"/>
              </w:rPr>
            </w:pPr>
            <w:r>
              <w:rPr>
                <w:rFonts w:cs="Calibri"/>
                <w:sz w:val="20"/>
                <w:szCs w:val="20"/>
              </w:rPr>
              <w:t>Development of targeted assessment and report, as needed.</w:t>
            </w:r>
          </w:p>
          <w:p w14:paraId="680920AE" w14:textId="77777777" w:rsidR="00CF33D9" w:rsidRDefault="00CF33D9">
            <w:pPr>
              <w:spacing w:line="200" w:lineRule="exact"/>
              <w:contextualSpacing/>
              <w:rPr>
                <w:rFonts w:cs="Calibri"/>
                <w:sz w:val="20"/>
                <w:szCs w:val="20"/>
              </w:rPr>
            </w:pPr>
          </w:p>
        </w:tc>
        <w:tc>
          <w:tcPr>
            <w:tcW w:w="4117" w:type="dxa"/>
          </w:tcPr>
          <w:p w14:paraId="680920AF" w14:textId="77777777" w:rsidR="00CF33D9" w:rsidRDefault="00E3332A">
            <w:pPr>
              <w:spacing w:line="200" w:lineRule="exact"/>
              <w:contextualSpacing/>
              <w:rPr>
                <w:rFonts w:cs="Calibri"/>
                <w:sz w:val="20"/>
                <w:szCs w:val="20"/>
              </w:rPr>
            </w:pPr>
            <w:r>
              <w:rPr>
                <w:rFonts w:cs="Calibri"/>
                <w:sz w:val="20"/>
                <w:szCs w:val="20"/>
              </w:rPr>
              <w:t>Carried out in a participatory manner, targeted analysis, as well as identification / validation of mitigation measures, drafted in participatory manner. (as needed).</w:t>
            </w:r>
          </w:p>
        </w:tc>
        <w:tc>
          <w:tcPr>
            <w:tcW w:w="1553" w:type="dxa"/>
          </w:tcPr>
          <w:p w14:paraId="680920B0" w14:textId="77777777" w:rsidR="00CF33D9" w:rsidRDefault="00E3332A">
            <w:pPr>
              <w:spacing w:line="200" w:lineRule="exact"/>
              <w:contextualSpacing/>
              <w:rPr>
                <w:rFonts w:cs="Calibri"/>
                <w:sz w:val="20"/>
                <w:szCs w:val="20"/>
              </w:rPr>
            </w:pPr>
            <w:r>
              <w:rPr>
                <w:rFonts w:cs="Calibri"/>
                <w:sz w:val="20"/>
                <w:szCs w:val="20"/>
              </w:rPr>
              <w:t>Quarters 1 and 2 of project implementation</w:t>
            </w:r>
          </w:p>
        </w:tc>
        <w:tc>
          <w:tcPr>
            <w:tcW w:w="3969" w:type="dxa"/>
          </w:tcPr>
          <w:p w14:paraId="680920B1" w14:textId="77777777" w:rsidR="00CF33D9" w:rsidRDefault="00E3332A">
            <w:pPr>
              <w:spacing w:line="200" w:lineRule="exact"/>
              <w:contextualSpacing/>
              <w:rPr>
                <w:rFonts w:cs="Calibri"/>
                <w:sz w:val="20"/>
                <w:szCs w:val="20"/>
              </w:rPr>
            </w:pPr>
            <w:r>
              <w:rPr>
                <w:rFonts w:cs="Calibri"/>
                <w:sz w:val="20"/>
                <w:szCs w:val="20"/>
              </w:rPr>
              <w:t>Potential impacts are assessed with support of external consultants and participation of project team and stakeholders; targeted assessment report completed;</w:t>
            </w:r>
          </w:p>
        </w:tc>
        <w:tc>
          <w:tcPr>
            <w:tcW w:w="2126" w:type="dxa"/>
          </w:tcPr>
          <w:p w14:paraId="680920B2" w14:textId="77777777" w:rsidR="00CF33D9" w:rsidRDefault="00E3332A">
            <w:pPr>
              <w:spacing w:line="200" w:lineRule="exact"/>
              <w:contextualSpacing/>
              <w:rPr>
                <w:rFonts w:cs="Calibri"/>
                <w:sz w:val="20"/>
                <w:szCs w:val="20"/>
              </w:rPr>
            </w:pPr>
            <w:r>
              <w:rPr>
                <w:rFonts w:cs="Calibri"/>
                <w:sz w:val="20"/>
                <w:szCs w:val="20"/>
              </w:rPr>
              <w:t>External service providers (environmental and social)</w:t>
            </w:r>
          </w:p>
          <w:p w14:paraId="680920B3" w14:textId="77777777" w:rsidR="00CF33D9" w:rsidRDefault="00E3332A">
            <w:pPr>
              <w:spacing w:line="200" w:lineRule="exact"/>
              <w:contextualSpacing/>
              <w:rPr>
                <w:rFonts w:cs="Calibri"/>
                <w:sz w:val="20"/>
                <w:szCs w:val="20"/>
              </w:rPr>
            </w:pPr>
            <w:r>
              <w:rPr>
                <w:rFonts w:cs="Calibri"/>
                <w:sz w:val="20"/>
                <w:szCs w:val="20"/>
              </w:rPr>
              <w:t>With guidance from UNDP</w:t>
            </w:r>
          </w:p>
          <w:p w14:paraId="680920B4" w14:textId="77777777" w:rsidR="00CF33D9" w:rsidRDefault="00E3332A">
            <w:pPr>
              <w:spacing w:line="200" w:lineRule="exact"/>
              <w:contextualSpacing/>
              <w:rPr>
                <w:rFonts w:cs="Calibri"/>
                <w:sz w:val="20"/>
                <w:szCs w:val="20"/>
              </w:rPr>
            </w:pPr>
            <w:r>
              <w:rPr>
                <w:rFonts w:cs="Calibri"/>
                <w:sz w:val="20"/>
                <w:szCs w:val="20"/>
              </w:rPr>
              <w:t>Project Manager</w:t>
            </w:r>
          </w:p>
          <w:p w14:paraId="680920B5" w14:textId="77777777" w:rsidR="00CF33D9" w:rsidRDefault="00E3332A">
            <w:pPr>
              <w:spacing w:line="200" w:lineRule="exact"/>
              <w:contextualSpacing/>
              <w:rPr>
                <w:rFonts w:cs="Calibri"/>
                <w:sz w:val="20"/>
                <w:szCs w:val="20"/>
              </w:rPr>
            </w:pPr>
            <w:r>
              <w:rPr>
                <w:rFonts w:cs="Calibri"/>
                <w:sz w:val="20"/>
                <w:szCs w:val="20"/>
              </w:rPr>
              <w:lastRenderedPageBreak/>
              <w:t xml:space="preserve">Gender and M&amp;E Consultant  </w:t>
            </w:r>
          </w:p>
        </w:tc>
        <w:tc>
          <w:tcPr>
            <w:tcW w:w="1276" w:type="dxa"/>
          </w:tcPr>
          <w:p w14:paraId="680920B6" w14:textId="77777777" w:rsidR="00CF33D9" w:rsidRDefault="00E3332A">
            <w:pPr>
              <w:spacing w:line="200" w:lineRule="exact"/>
              <w:contextualSpacing/>
              <w:rPr>
                <w:rFonts w:cs="Calibri"/>
                <w:sz w:val="20"/>
                <w:szCs w:val="20"/>
              </w:rPr>
            </w:pPr>
            <w:r>
              <w:rPr>
                <w:rFonts w:cs="Calibri"/>
                <w:sz w:val="20"/>
                <w:szCs w:val="20"/>
              </w:rPr>
              <w:lastRenderedPageBreak/>
              <w:t>TBD</w:t>
            </w:r>
          </w:p>
        </w:tc>
      </w:tr>
      <w:tr w:rsidR="00CF33D9" w14:paraId="680920BE" w14:textId="77777777">
        <w:tc>
          <w:tcPr>
            <w:tcW w:w="3119" w:type="dxa"/>
          </w:tcPr>
          <w:p w14:paraId="680920B8" w14:textId="77777777" w:rsidR="00CF33D9" w:rsidRDefault="00E3332A">
            <w:pPr>
              <w:spacing w:line="200" w:lineRule="exact"/>
              <w:contextualSpacing/>
              <w:rPr>
                <w:rFonts w:cs="Calibri"/>
                <w:sz w:val="20"/>
                <w:szCs w:val="20"/>
              </w:rPr>
            </w:pPr>
            <w:r>
              <w:rPr>
                <w:rFonts w:cs="Calibri"/>
                <w:sz w:val="20"/>
                <w:szCs w:val="20"/>
              </w:rPr>
              <w:t>Implementation of management measures and monitoring of potential impacts in targeted assessment.</w:t>
            </w:r>
          </w:p>
        </w:tc>
        <w:tc>
          <w:tcPr>
            <w:tcW w:w="4117" w:type="dxa"/>
          </w:tcPr>
          <w:p w14:paraId="680920B9" w14:textId="77777777" w:rsidR="00CF33D9" w:rsidRDefault="00E3332A">
            <w:pPr>
              <w:spacing w:line="200" w:lineRule="exact"/>
              <w:contextualSpacing/>
              <w:rPr>
                <w:rFonts w:cs="Calibri"/>
                <w:sz w:val="20"/>
                <w:szCs w:val="20"/>
              </w:rPr>
            </w:pPr>
            <w:r>
              <w:rPr>
                <w:rFonts w:cs="Calibri"/>
                <w:sz w:val="20"/>
                <w:szCs w:val="20"/>
              </w:rPr>
              <w:t>Permanent and participatory implementation and monitoring of management measures, in accordance with findings of targeted assessment.</w:t>
            </w:r>
          </w:p>
        </w:tc>
        <w:tc>
          <w:tcPr>
            <w:tcW w:w="1553" w:type="dxa"/>
          </w:tcPr>
          <w:p w14:paraId="680920BA" w14:textId="77777777" w:rsidR="00CF33D9" w:rsidRDefault="00E3332A">
            <w:pPr>
              <w:spacing w:line="200" w:lineRule="exact"/>
              <w:contextualSpacing/>
              <w:rPr>
                <w:rFonts w:cs="Calibri"/>
                <w:sz w:val="20"/>
                <w:szCs w:val="20"/>
              </w:rPr>
            </w:pPr>
            <w:r>
              <w:rPr>
                <w:rFonts w:cs="Calibri"/>
                <w:sz w:val="20"/>
                <w:szCs w:val="20"/>
              </w:rPr>
              <w:t>Continuous, once assessment is complete and management plan is in place</w:t>
            </w:r>
          </w:p>
        </w:tc>
        <w:tc>
          <w:tcPr>
            <w:tcW w:w="3969" w:type="dxa"/>
          </w:tcPr>
          <w:p w14:paraId="680920BB" w14:textId="77777777" w:rsidR="00CF33D9" w:rsidRDefault="00E3332A">
            <w:pPr>
              <w:spacing w:line="200" w:lineRule="exact"/>
              <w:contextualSpacing/>
              <w:rPr>
                <w:rFonts w:cs="Calibri"/>
                <w:sz w:val="20"/>
                <w:szCs w:val="20"/>
              </w:rPr>
            </w:pPr>
            <w:r>
              <w:rPr>
                <w:rFonts w:cs="Calibri"/>
                <w:sz w:val="20"/>
                <w:szCs w:val="20"/>
              </w:rPr>
              <w:t>Implementation of stand-alone management plans; integration of management plans into project implementation strategies</w:t>
            </w:r>
          </w:p>
        </w:tc>
        <w:tc>
          <w:tcPr>
            <w:tcW w:w="2126" w:type="dxa"/>
          </w:tcPr>
          <w:p w14:paraId="680920BC" w14:textId="77777777" w:rsidR="00CF33D9" w:rsidRDefault="00E3332A">
            <w:pPr>
              <w:spacing w:line="200" w:lineRule="exact"/>
              <w:contextualSpacing/>
              <w:rPr>
                <w:rFonts w:cs="Calibri"/>
                <w:sz w:val="20"/>
                <w:szCs w:val="20"/>
              </w:rPr>
            </w:pPr>
            <w:r>
              <w:rPr>
                <w:rFonts w:cs="Calibri"/>
                <w:sz w:val="20"/>
                <w:szCs w:val="20"/>
              </w:rPr>
              <w:t>Project Manager oversight by UNDP, Project Board</w:t>
            </w:r>
          </w:p>
        </w:tc>
        <w:tc>
          <w:tcPr>
            <w:tcW w:w="1276" w:type="dxa"/>
          </w:tcPr>
          <w:p w14:paraId="680920BD" w14:textId="77777777" w:rsidR="00CF33D9" w:rsidRDefault="00E3332A">
            <w:pPr>
              <w:spacing w:line="200" w:lineRule="exact"/>
              <w:contextualSpacing/>
              <w:rPr>
                <w:rFonts w:cs="Calibri"/>
                <w:sz w:val="20"/>
                <w:szCs w:val="20"/>
              </w:rPr>
            </w:pPr>
            <w:r>
              <w:rPr>
                <w:rFonts w:cs="Calibri"/>
                <w:sz w:val="20"/>
                <w:szCs w:val="20"/>
              </w:rPr>
              <w:t>TBD, based on assessment</w:t>
            </w:r>
          </w:p>
        </w:tc>
      </w:tr>
      <w:tr w:rsidR="00CF33D9" w14:paraId="680920C7" w14:textId="77777777">
        <w:tc>
          <w:tcPr>
            <w:tcW w:w="3119" w:type="dxa"/>
          </w:tcPr>
          <w:p w14:paraId="680920BF" w14:textId="77777777" w:rsidR="00CF33D9" w:rsidRDefault="00E3332A">
            <w:pPr>
              <w:spacing w:line="200" w:lineRule="exact"/>
              <w:contextualSpacing/>
              <w:rPr>
                <w:rFonts w:cs="Calibri"/>
                <w:sz w:val="20"/>
                <w:szCs w:val="20"/>
              </w:rPr>
            </w:pPr>
            <w:r>
              <w:rPr>
                <w:rFonts w:cs="Calibri"/>
                <w:sz w:val="20"/>
                <w:szCs w:val="20"/>
              </w:rPr>
              <w:t>Learning</w:t>
            </w:r>
          </w:p>
          <w:p w14:paraId="680920C0" w14:textId="77777777" w:rsidR="00CF33D9" w:rsidRDefault="00CF33D9">
            <w:pPr>
              <w:spacing w:line="200" w:lineRule="exact"/>
              <w:contextualSpacing/>
              <w:rPr>
                <w:rFonts w:cs="Calibri"/>
                <w:sz w:val="20"/>
                <w:szCs w:val="20"/>
              </w:rPr>
            </w:pPr>
          </w:p>
        </w:tc>
        <w:tc>
          <w:tcPr>
            <w:tcW w:w="4117" w:type="dxa"/>
          </w:tcPr>
          <w:p w14:paraId="680920C1" w14:textId="77777777" w:rsidR="00CF33D9" w:rsidRDefault="00E3332A">
            <w:pPr>
              <w:spacing w:line="200" w:lineRule="exact"/>
              <w:contextualSpacing/>
              <w:rPr>
                <w:rFonts w:cs="Calibri"/>
                <w:sz w:val="20"/>
                <w:szCs w:val="20"/>
              </w:rPr>
            </w:pPr>
            <w:r>
              <w:rPr>
                <w:rFonts w:cs="Calibri"/>
                <w:sz w:val="20"/>
                <w:szCs w:val="20"/>
              </w:rPr>
              <w:t>Knowledge, good practices, and lessons learned regarding social and environmental risk management will be captured regularly, as well as actively sourced from other projects and partners and integrated back into the project.</w:t>
            </w:r>
          </w:p>
        </w:tc>
        <w:tc>
          <w:tcPr>
            <w:tcW w:w="1553" w:type="dxa"/>
          </w:tcPr>
          <w:p w14:paraId="680920C2" w14:textId="77777777" w:rsidR="00CF33D9" w:rsidRDefault="00E3332A">
            <w:pPr>
              <w:spacing w:line="200" w:lineRule="exact"/>
              <w:contextualSpacing/>
              <w:rPr>
                <w:rFonts w:cs="Calibri"/>
                <w:sz w:val="20"/>
                <w:szCs w:val="20"/>
              </w:rPr>
            </w:pPr>
            <w:r>
              <w:rPr>
                <w:rFonts w:cs="Calibri"/>
                <w:sz w:val="20"/>
                <w:szCs w:val="20"/>
              </w:rPr>
              <w:t>At least annually</w:t>
            </w:r>
          </w:p>
        </w:tc>
        <w:tc>
          <w:tcPr>
            <w:tcW w:w="3969" w:type="dxa"/>
          </w:tcPr>
          <w:p w14:paraId="680920C3" w14:textId="77777777" w:rsidR="00CF33D9" w:rsidRDefault="00E3332A">
            <w:pPr>
              <w:spacing w:line="200" w:lineRule="exact"/>
              <w:contextualSpacing/>
              <w:rPr>
                <w:rFonts w:cs="Calibri"/>
                <w:sz w:val="20"/>
                <w:szCs w:val="20"/>
              </w:rPr>
            </w:pPr>
            <w:r>
              <w:rPr>
                <w:rFonts w:cs="Calibri"/>
                <w:sz w:val="20"/>
                <w:szCs w:val="20"/>
              </w:rPr>
              <w:t>Relevant lessons are captured by the project teams and used to inform management decisions.</w:t>
            </w:r>
          </w:p>
        </w:tc>
        <w:tc>
          <w:tcPr>
            <w:tcW w:w="2126" w:type="dxa"/>
          </w:tcPr>
          <w:p w14:paraId="680920C4" w14:textId="77777777" w:rsidR="00CF33D9" w:rsidRDefault="00E3332A">
            <w:pPr>
              <w:spacing w:line="200" w:lineRule="exact"/>
              <w:contextualSpacing/>
              <w:rPr>
                <w:rFonts w:cs="Calibri"/>
                <w:sz w:val="20"/>
                <w:szCs w:val="20"/>
              </w:rPr>
            </w:pPr>
            <w:r>
              <w:rPr>
                <w:rFonts w:cs="Calibri"/>
                <w:sz w:val="20"/>
                <w:szCs w:val="20"/>
              </w:rPr>
              <w:t>Project Manager</w:t>
            </w:r>
          </w:p>
          <w:p w14:paraId="680920C5" w14:textId="77777777" w:rsidR="00CF33D9" w:rsidRDefault="00E3332A">
            <w:pPr>
              <w:spacing w:line="200" w:lineRule="exact"/>
              <w:contextualSpacing/>
              <w:rPr>
                <w:rFonts w:cs="Calibri"/>
                <w:sz w:val="20"/>
                <w:szCs w:val="20"/>
              </w:rPr>
            </w:pPr>
            <w:r>
              <w:rPr>
                <w:rFonts w:cs="Calibri"/>
                <w:sz w:val="20"/>
                <w:szCs w:val="20"/>
              </w:rPr>
              <w:t xml:space="preserve">Project specialists </w:t>
            </w:r>
          </w:p>
        </w:tc>
        <w:tc>
          <w:tcPr>
            <w:tcW w:w="1276" w:type="dxa"/>
          </w:tcPr>
          <w:p w14:paraId="680920C6" w14:textId="77777777" w:rsidR="00CF33D9" w:rsidRDefault="00E3332A">
            <w:pPr>
              <w:spacing w:line="200" w:lineRule="exact"/>
              <w:contextualSpacing/>
              <w:rPr>
                <w:rFonts w:cs="Calibri"/>
                <w:sz w:val="20"/>
                <w:szCs w:val="20"/>
              </w:rPr>
            </w:pPr>
            <w:r>
              <w:rPr>
                <w:rFonts w:cs="Calibri"/>
                <w:sz w:val="20"/>
                <w:szCs w:val="20"/>
              </w:rPr>
              <w:t>None</w:t>
            </w:r>
          </w:p>
        </w:tc>
      </w:tr>
      <w:tr w:rsidR="00CF33D9" w14:paraId="680920D0" w14:textId="77777777">
        <w:tc>
          <w:tcPr>
            <w:tcW w:w="3119" w:type="dxa"/>
          </w:tcPr>
          <w:p w14:paraId="680920C8" w14:textId="77777777" w:rsidR="00CF33D9" w:rsidRDefault="00E3332A">
            <w:pPr>
              <w:spacing w:line="200" w:lineRule="exact"/>
              <w:contextualSpacing/>
              <w:rPr>
                <w:rFonts w:cs="Calibri"/>
                <w:sz w:val="20"/>
                <w:szCs w:val="20"/>
              </w:rPr>
            </w:pPr>
            <w:r>
              <w:rPr>
                <w:rFonts w:cs="Calibri"/>
                <w:sz w:val="20"/>
                <w:szCs w:val="20"/>
              </w:rPr>
              <w:t>Annual project quality assurance</w:t>
            </w:r>
          </w:p>
          <w:p w14:paraId="680920C9" w14:textId="77777777" w:rsidR="00CF33D9" w:rsidRDefault="00CF33D9">
            <w:pPr>
              <w:spacing w:line="200" w:lineRule="exact"/>
              <w:contextualSpacing/>
              <w:rPr>
                <w:rFonts w:cs="Calibri"/>
                <w:sz w:val="20"/>
                <w:szCs w:val="20"/>
              </w:rPr>
            </w:pPr>
          </w:p>
          <w:p w14:paraId="680920CA" w14:textId="77777777" w:rsidR="00CF33D9" w:rsidRDefault="00CF33D9">
            <w:pPr>
              <w:spacing w:line="200" w:lineRule="exact"/>
              <w:contextualSpacing/>
              <w:rPr>
                <w:rFonts w:cs="Calibri"/>
                <w:sz w:val="20"/>
                <w:szCs w:val="20"/>
              </w:rPr>
            </w:pPr>
          </w:p>
        </w:tc>
        <w:tc>
          <w:tcPr>
            <w:tcW w:w="4117" w:type="dxa"/>
          </w:tcPr>
          <w:p w14:paraId="680920CB" w14:textId="77777777" w:rsidR="00CF33D9" w:rsidRDefault="00E3332A">
            <w:pPr>
              <w:spacing w:line="200" w:lineRule="exact"/>
              <w:contextualSpacing/>
              <w:rPr>
                <w:rFonts w:cs="Calibri"/>
                <w:sz w:val="20"/>
                <w:szCs w:val="20"/>
              </w:rPr>
            </w:pPr>
            <w:r>
              <w:rPr>
                <w:rFonts w:cs="Calibri"/>
                <w:sz w:val="20"/>
                <w:szCs w:val="20"/>
              </w:rPr>
              <w:t>The quality of the project will be assessed against UNDP’s quality standards to identify project strengths and weaknesses and to inform management decision making to improve the project</w:t>
            </w:r>
          </w:p>
        </w:tc>
        <w:tc>
          <w:tcPr>
            <w:tcW w:w="1553" w:type="dxa"/>
          </w:tcPr>
          <w:p w14:paraId="680920CC" w14:textId="77777777" w:rsidR="00CF33D9" w:rsidRDefault="00E3332A">
            <w:pPr>
              <w:spacing w:line="200" w:lineRule="exact"/>
              <w:contextualSpacing/>
              <w:rPr>
                <w:rFonts w:cs="Calibri"/>
                <w:sz w:val="20"/>
                <w:szCs w:val="20"/>
              </w:rPr>
            </w:pPr>
            <w:r>
              <w:rPr>
                <w:rFonts w:cs="Calibri"/>
                <w:sz w:val="20"/>
                <w:szCs w:val="20"/>
              </w:rPr>
              <w:t>Annually</w:t>
            </w:r>
          </w:p>
        </w:tc>
        <w:tc>
          <w:tcPr>
            <w:tcW w:w="3969" w:type="dxa"/>
          </w:tcPr>
          <w:p w14:paraId="680920CD" w14:textId="77777777" w:rsidR="00CF33D9" w:rsidRDefault="00E3332A">
            <w:pPr>
              <w:spacing w:line="200" w:lineRule="exact"/>
              <w:contextualSpacing/>
              <w:rPr>
                <w:rFonts w:cs="Calibri"/>
                <w:sz w:val="20"/>
                <w:szCs w:val="20"/>
              </w:rPr>
            </w:pPr>
            <w:r>
              <w:rPr>
                <w:rFonts w:cs="Calibri"/>
                <w:sz w:val="20"/>
                <w:szCs w:val="20"/>
              </w:rPr>
              <w:t>Areas of strength and weakness will be reviewed and used to inform decisions to improve project performance</w:t>
            </w:r>
          </w:p>
        </w:tc>
        <w:tc>
          <w:tcPr>
            <w:tcW w:w="2126" w:type="dxa"/>
          </w:tcPr>
          <w:p w14:paraId="680920CE" w14:textId="77777777" w:rsidR="00CF33D9" w:rsidRDefault="00E3332A">
            <w:pPr>
              <w:spacing w:line="200" w:lineRule="exact"/>
              <w:contextualSpacing/>
              <w:rPr>
                <w:rFonts w:cs="Calibri"/>
                <w:sz w:val="20"/>
                <w:szCs w:val="20"/>
              </w:rPr>
            </w:pPr>
            <w:r>
              <w:rPr>
                <w:rFonts w:cs="Calibri"/>
                <w:sz w:val="20"/>
                <w:szCs w:val="20"/>
              </w:rPr>
              <w:t xml:space="preserve">UNDP, with support from Project Manager  and M&amp;E consultant </w:t>
            </w:r>
          </w:p>
        </w:tc>
        <w:tc>
          <w:tcPr>
            <w:tcW w:w="1276" w:type="dxa"/>
          </w:tcPr>
          <w:p w14:paraId="680920CF" w14:textId="77777777" w:rsidR="00CF33D9" w:rsidRDefault="00E3332A">
            <w:pPr>
              <w:spacing w:line="200" w:lineRule="exact"/>
              <w:contextualSpacing/>
              <w:rPr>
                <w:rFonts w:cs="Calibri"/>
                <w:sz w:val="20"/>
                <w:szCs w:val="20"/>
              </w:rPr>
            </w:pPr>
            <w:r>
              <w:rPr>
                <w:rFonts w:cs="Calibri"/>
                <w:sz w:val="20"/>
                <w:szCs w:val="20"/>
              </w:rPr>
              <w:t>None</w:t>
            </w:r>
          </w:p>
        </w:tc>
      </w:tr>
      <w:tr w:rsidR="00CF33D9" w14:paraId="680920D9" w14:textId="77777777">
        <w:tc>
          <w:tcPr>
            <w:tcW w:w="3119" w:type="dxa"/>
          </w:tcPr>
          <w:p w14:paraId="680920D1" w14:textId="77777777" w:rsidR="00CF33D9" w:rsidRDefault="00E3332A">
            <w:pPr>
              <w:spacing w:line="200" w:lineRule="exact"/>
              <w:contextualSpacing/>
              <w:rPr>
                <w:rFonts w:cs="Calibri"/>
                <w:sz w:val="20"/>
                <w:szCs w:val="20"/>
              </w:rPr>
            </w:pPr>
            <w:r>
              <w:rPr>
                <w:rFonts w:cs="Calibri"/>
                <w:sz w:val="20"/>
                <w:szCs w:val="20"/>
              </w:rPr>
              <w:t>Review and make course corrections.</w:t>
            </w:r>
          </w:p>
          <w:p w14:paraId="680920D2" w14:textId="77777777" w:rsidR="00CF33D9" w:rsidRDefault="00CF33D9">
            <w:pPr>
              <w:spacing w:line="200" w:lineRule="exact"/>
              <w:contextualSpacing/>
              <w:rPr>
                <w:rFonts w:cs="Calibri"/>
                <w:sz w:val="20"/>
                <w:szCs w:val="20"/>
              </w:rPr>
            </w:pPr>
          </w:p>
          <w:p w14:paraId="680920D3" w14:textId="77777777" w:rsidR="00CF33D9" w:rsidRDefault="00CF33D9">
            <w:pPr>
              <w:spacing w:line="200" w:lineRule="exact"/>
              <w:contextualSpacing/>
              <w:rPr>
                <w:rFonts w:cs="Calibri"/>
                <w:sz w:val="20"/>
                <w:szCs w:val="20"/>
              </w:rPr>
            </w:pPr>
          </w:p>
        </w:tc>
        <w:tc>
          <w:tcPr>
            <w:tcW w:w="4117" w:type="dxa"/>
          </w:tcPr>
          <w:p w14:paraId="680920D4" w14:textId="77777777" w:rsidR="00CF33D9" w:rsidRDefault="00E3332A">
            <w:pPr>
              <w:spacing w:line="200" w:lineRule="exact"/>
              <w:contextualSpacing/>
              <w:rPr>
                <w:rFonts w:cs="Calibri"/>
                <w:sz w:val="20"/>
                <w:szCs w:val="20"/>
              </w:rPr>
            </w:pPr>
            <w:r>
              <w:rPr>
                <w:rFonts w:cs="Calibri"/>
                <w:sz w:val="20"/>
                <w:szCs w:val="20"/>
              </w:rPr>
              <w:t>Internal review of data and evidence from all monitoring actions to inform decision making</w:t>
            </w:r>
          </w:p>
        </w:tc>
        <w:tc>
          <w:tcPr>
            <w:tcW w:w="1553" w:type="dxa"/>
          </w:tcPr>
          <w:p w14:paraId="680920D5" w14:textId="77777777" w:rsidR="00CF33D9" w:rsidRDefault="00E3332A">
            <w:pPr>
              <w:spacing w:line="200" w:lineRule="exact"/>
              <w:contextualSpacing/>
              <w:rPr>
                <w:rFonts w:cs="Calibri"/>
                <w:sz w:val="20"/>
                <w:szCs w:val="20"/>
              </w:rPr>
            </w:pPr>
            <w:r>
              <w:rPr>
                <w:rFonts w:cs="Calibri"/>
                <w:sz w:val="20"/>
                <w:szCs w:val="20"/>
              </w:rPr>
              <w:t>At least annually</w:t>
            </w:r>
          </w:p>
        </w:tc>
        <w:tc>
          <w:tcPr>
            <w:tcW w:w="3969" w:type="dxa"/>
          </w:tcPr>
          <w:p w14:paraId="680920D6" w14:textId="77777777" w:rsidR="00CF33D9" w:rsidRDefault="00E3332A">
            <w:pPr>
              <w:spacing w:line="200" w:lineRule="exact"/>
              <w:contextualSpacing/>
              <w:rPr>
                <w:rFonts w:cs="Calibri"/>
                <w:sz w:val="20"/>
                <w:szCs w:val="20"/>
              </w:rPr>
            </w:pPr>
            <w:r>
              <w:rPr>
                <w:rFonts w:cs="Calibri"/>
                <w:sz w:val="20"/>
                <w:szCs w:val="20"/>
              </w:rPr>
              <w:t>Performance data, risks, lessons, and quality will be discussed by the project steering committee and used to make course corrections</w:t>
            </w:r>
          </w:p>
        </w:tc>
        <w:tc>
          <w:tcPr>
            <w:tcW w:w="2126" w:type="dxa"/>
          </w:tcPr>
          <w:p w14:paraId="680920D7" w14:textId="77777777" w:rsidR="00CF33D9" w:rsidRDefault="00E3332A">
            <w:pPr>
              <w:spacing w:line="200" w:lineRule="exact"/>
              <w:contextualSpacing/>
              <w:rPr>
                <w:rFonts w:cs="Calibri"/>
                <w:sz w:val="20"/>
                <w:szCs w:val="20"/>
              </w:rPr>
            </w:pPr>
            <w:r>
              <w:rPr>
                <w:rFonts w:cs="Calibri"/>
                <w:sz w:val="20"/>
                <w:szCs w:val="20"/>
              </w:rPr>
              <w:t xml:space="preserve">Project Board </w:t>
            </w:r>
          </w:p>
        </w:tc>
        <w:tc>
          <w:tcPr>
            <w:tcW w:w="1276" w:type="dxa"/>
          </w:tcPr>
          <w:p w14:paraId="680920D8" w14:textId="77777777" w:rsidR="00CF33D9" w:rsidRDefault="00E3332A">
            <w:pPr>
              <w:spacing w:line="200" w:lineRule="exact"/>
              <w:contextualSpacing/>
              <w:rPr>
                <w:rFonts w:cs="Calibri"/>
                <w:sz w:val="20"/>
                <w:szCs w:val="20"/>
              </w:rPr>
            </w:pPr>
            <w:r>
              <w:rPr>
                <w:rFonts w:cs="Calibri"/>
                <w:sz w:val="20"/>
                <w:szCs w:val="20"/>
              </w:rPr>
              <w:t>None</w:t>
            </w:r>
          </w:p>
        </w:tc>
      </w:tr>
      <w:tr w:rsidR="00CF33D9" w14:paraId="680920E1" w14:textId="77777777">
        <w:tc>
          <w:tcPr>
            <w:tcW w:w="3119" w:type="dxa"/>
          </w:tcPr>
          <w:p w14:paraId="680920DA" w14:textId="77777777" w:rsidR="00CF33D9" w:rsidRDefault="00E3332A">
            <w:pPr>
              <w:spacing w:line="200" w:lineRule="exact"/>
              <w:contextualSpacing/>
              <w:rPr>
                <w:rFonts w:cs="Calibri"/>
                <w:sz w:val="20"/>
                <w:szCs w:val="20"/>
              </w:rPr>
            </w:pPr>
            <w:r>
              <w:rPr>
                <w:rFonts w:cs="Calibri"/>
                <w:sz w:val="20"/>
                <w:szCs w:val="20"/>
              </w:rPr>
              <w:t xml:space="preserve">Annual project implementation reports </w:t>
            </w:r>
          </w:p>
          <w:p w14:paraId="680920DB" w14:textId="77777777" w:rsidR="00CF33D9" w:rsidRDefault="00CF33D9">
            <w:pPr>
              <w:spacing w:line="200" w:lineRule="exact"/>
              <w:contextualSpacing/>
              <w:rPr>
                <w:rFonts w:cs="Calibri"/>
                <w:sz w:val="20"/>
                <w:szCs w:val="20"/>
              </w:rPr>
            </w:pPr>
          </w:p>
        </w:tc>
        <w:tc>
          <w:tcPr>
            <w:tcW w:w="4117" w:type="dxa"/>
          </w:tcPr>
          <w:p w14:paraId="680920DC" w14:textId="77777777" w:rsidR="00CF33D9" w:rsidRDefault="00E3332A">
            <w:pPr>
              <w:spacing w:line="200" w:lineRule="exact"/>
              <w:contextualSpacing/>
              <w:rPr>
                <w:rFonts w:cs="Calibri"/>
                <w:sz w:val="20"/>
                <w:szCs w:val="20"/>
              </w:rPr>
            </w:pPr>
            <w:r>
              <w:rPr>
                <w:rFonts w:cs="Calibri"/>
                <w:sz w:val="20"/>
                <w:szCs w:val="20"/>
              </w:rPr>
              <w:t>As part of progress report to be presented to the Project Steering Committee and key stakeholders, analysis, updating and recommendations for risk management will be included</w:t>
            </w:r>
          </w:p>
        </w:tc>
        <w:tc>
          <w:tcPr>
            <w:tcW w:w="1553" w:type="dxa"/>
          </w:tcPr>
          <w:p w14:paraId="680920DD" w14:textId="77777777" w:rsidR="00CF33D9" w:rsidRDefault="00E3332A">
            <w:pPr>
              <w:spacing w:line="200" w:lineRule="exact"/>
              <w:contextualSpacing/>
              <w:rPr>
                <w:rFonts w:cs="Calibri"/>
                <w:sz w:val="20"/>
                <w:szCs w:val="20"/>
              </w:rPr>
            </w:pPr>
            <w:r>
              <w:rPr>
                <w:rFonts w:cs="Calibri"/>
                <w:sz w:val="20"/>
                <w:szCs w:val="20"/>
              </w:rPr>
              <w:t>Annually</w:t>
            </w:r>
          </w:p>
        </w:tc>
        <w:tc>
          <w:tcPr>
            <w:tcW w:w="3969" w:type="dxa"/>
          </w:tcPr>
          <w:p w14:paraId="680920DE" w14:textId="77777777" w:rsidR="00CF33D9" w:rsidRDefault="00E3332A">
            <w:pPr>
              <w:spacing w:line="200" w:lineRule="exact"/>
              <w:contextualSpacing/>
              <w:rPr>
                <w:rFonts w:cs="Calibri"/>
                <w:sz w:val="20"/>
                <w:szCs w:val="20"/>
              </w:rPr>
            </w:pPr>
            <w:r>
              <w:rPr>
                <w:rFonts w:cs="Calibri"/>
                <w:sz w:val="20"/>
                <w:szCs w:val="20"/>
              </w:rPr>
              <w:t>Updates on progress of ESMF/ESMP will be reported in the project’s annual PIRs. A summary of the avoidance and mitigation of potential social and environmental impacts will be included in the program annual report, sharing best practices and lessons learned across the program.</w:t>
            </w:r>
          </w:p>
        </w:tc>
        <w:tc>
          <w:tcPr>
            <w:tcW w:w="2126" w:type="dxa"/>
          </w:tcPr>
          <w:p w14:paraId="680920DF" w14:textId="77777777" w:rsidR="00CF33D9" w:rsidRDefault="00E3332A">
            <w:pPr>
              <w:spacing w:line="200" w:lineRule="exact"/>
              <w:contextualSpacing/>
              <w:rPr>
                <w:rFonts w:cs="Calibri"/>
                <w:sz w:val="20"/>
                <w:szCs w:val="20"/>
              </w:rPr>
            </w:pPr>
            <w:r>
              <w:rPr>
                <w:rFonts w:cs="Calibri"/>
                <w:sz w:val="20"/>
                <w:szCs w:val="20"/>
              </w:rPr>
              <w:t>UNDP, IP, Project Manager</w:t>
            </w:r>
          </w:p>
        </w:tc>
        <w:tc>
          <w:tcPr>
            <w:tcW w:w="1276" w:type="dxa"/>
          </w:tcPr>
          <w:p w14:paraId="680920E0" w14:textId="77777777" w:rsidR="00CF33D9" w:rsidRDefault="00E3332A">
            <w:pPr>
              <w:spacing w:line="200" w:lineRule="exact"/>
              <w:contextualSpacing/>
              <w:rPr>
                <w:rFonts w:cs="Calibri"/>
                <w:sz w:val="20"/>
                <w:szCs w:val="20"/>
              </w:rPr>
            </w:pPr>
            <w:r>
              <w:rPr>
                <w:rFonts w:cs="Calibri"/>
                <w:sz w:val="20"/>
                <w:szCs w:val="20"/>
              </w:rPr>
              <w:t xml:space="preserve">None </w:t>
            </w:r>
          </w:p>
        </w:tc>
      </w:tr>
      <w:tr w:rsidR="00CF33D9" w14:paraId="680920EB" w14:textId="77777777">
        <w:tc>
          <w:tcPr>
            <w:tcW w:w="3119" w:type="dxa"/>
          </w:tcPr>
          <w:p w14:paraId="680920E2" w14:textId="77777777" w:rsidR="00CF33D9" w:rsidRDefault="00E3332A">
            <w:pPr>
              <w:spacing w:line="200" w:lineRule="exact"/>
              <w:contextualSpacing/>
              <w:rPr>
                <w:rFonts w:cs="Calibri"/>
                <w:sz w:val="20"/>
                <w:szCs w:val="20"/>
              </w:rPr>
            </w:pPr>
            <w:r>
              <w:rPr>
                <w:rFonts w:cs="Calibri"/>
                <w:sz w:val="20"/>
                <w:szCs w:val="20"/>
              </w:rPr>
              <w:t>Project review</w:t>
            </w:r>
          </w:p>
          <w:p w14:paraId="680920E3" w14:textId="77777777" w:rsidR="00CF33D9" w:rsidRDefault="00CF33D9">
            <w:pPr>
              <w:spacing w:line="200" w:lineRule="exact"/>
              <w:contextualSpacing/>
              <w:rPr>
                <w:rFonts w:cs="Calibri"/>
                <w:sz w:val="20"/>
                <w:szCs w:val="20"/>
              </w:rPr>
            </w:pPr>
          </w:p>
          <w:p w14:paraId="680920E4" w14:textId="77777777" w:rsidR="00CF33D9" w:rsidRDefault="00CF33D9">
            <w:pPr>
              <w:spacing w:line="200" w:lineRule="exact"/>
              <w:contextualSpacing/>
              <w:rPr>
                <w:rFonts w:cs="Calibri"/>
                <w:sz w:val="20"/>
                <w:szCs w:val="20"/>
              </w:rPr>
            </w:pPr>
          </w:p>
        </w:tc>
        <w:tc>
          <w:tcPr>
            <w:tcW w:w="4117" w:type="dxa"/>
          </w:tcPr>
          <w:p w14:paraId="680920E5" w14:textId="77777777" w:rsidR="00CF33D9" w:rsidRDefault="00E3332A">
            <w:pPr>
              <w:spacing w:line="200" w:lineRule="exact"/>
              <w:contextualSpacing/>
              <w:rPr>
                <w:rFonts w:cs="Calibri"/>
                <w:sz w:val="20"/>
                <w:szCs w:val="20"/>
              </w:rPr>
            </w:pPr>
            <w:r>
              <w:rPr>
                <w:rFonts w:cs="Calibri"/>
                <w:sz w:val="20"/>
                <w:szCs w:val="20"/>
              </w:rPr>
              <w:t>The Project Board will consider updated analysis of risks and recommended risk mitigation measures at all meetings</w:t>
            </w:r>
          </w:p>
        </w:tc>
        <w:tc>
          <w:tcPr>
            <w:tcW w:w="1553" w:type="dxa"/>
          </w:tcPr>
          <w:p w14:paraId="680920E6" w14:textId="77777777" w:rsidR="00CF33D9" w:rsidRDefault="00E3332A">
            <w:pPr>
              <w:spacing w:line="200" w:lineRule="exact"/>
              <w:contextualSpacing/>
              <w:rPr>
                <w:rFonts w:cs="Calibri"/>
                <w:sz w:val="20"/>
                <w:szCs w:val="20"/>
              </w:rPr>
            </w:pPr>
            <w:r>
              <w:rPr>
                <w:rFonts w:cs="Calibri"/>
                <w:sz w:val="20"/>
                <w:szCs w:val="20"/>
              </w:rPr>
              <w:t xml:space="preserve">Twice annually </w:t>
            </w:r>
          </w:p>
        </w:tc>
        <w:tc>
          <w:tcPr>
            <w:tcW w:w="3969" w:type="dxa"/>
          </w:tcPr>
          <w:p w14:paraId="680920E7" w14:textId="77777777" w:rsidR="00CF33D9" w:rsidRDefault="00E3332A">
            <w:pPr>
              <w:spacing w:line="200" w:lineRule="exact"/>
              <w:contextualSpacing/>
              <w:rPr>
                <w:rFonts w:cs="Calibri"/>
                <w:sz w:val="20"/>
                <w:szCs w:val="20"/>
              </w:rPr>
            </w:pPr>
            <w:r>
              <w:rPr>
                <w:rFonts w:cs="Calibri"/>
                <w:sz w:val="20"/>
                <w:szCs w:val="20"/>
              </w:rPr>
              <w:t>Any risks and/ or impacts that are not adequately addressed by national mechanisms or project team will be discussed in Project Board meetings Recommendations will be made, discussed, and agreed upon.</w:t>
            </w:r>
          </w:p>
        </w:tc>
        <w:tc>
          <w:tcPr>
            <w:tcW w:w="2126" w:type="dxa"/>
          </w:tcPr>
          <w:p w14:paraId="680920E8" w14:textId="77777777" w:rsidR="00CF33D9" w:rsidRDefault="00E3332A">
            <w:pPr>
              <w:spacing w:line="200" w:lineRule="exact"/>
              <w:contextualSpacing/>
              <w:rPr>
                <w:rFonts w:cs="Calibri"/>
                <w:sz w:val="20"/>
                <w:szCs w:val="20"/>
              </w:rPr>
            </w:pPr>
            <w:r>
              <w:rPr>
                <w:rFonts w:cs="Calibri"/>
                <w:sz w:val="20"/>
                <w:szCs w:val="20"/>
              </w:rPr>
              <w:t>Project Board,</w:t>
            </w:r>
          </w:p>
          <w:p w14:paraId="680920E9" w14:textId="77777777" w:rsidR="00CF33D9" w:rsidRDefault="00E3332A">
            <w:pPr>
              <w:spacing w:line="200" w:lineRule="exact"/>
              <w:contextualSpacing/>
              <w:rPr>
                <w:rFonts w:cs="Calibri"/>
                <w:sz w:val="20"/>
                <w:szCs w:val="20"/>
              </w:rPr>
            </w:pPr>
            <w:r>
              <w:rPr>
                <w:rFonts w:cs="Calibri"/>
                <w:sz w:val="20"/>
                <w:szCs w:val="20"/>
              </w:rPr>
              <w:t>Project Manager</w:t>
            </w:r>
          </w:p>
        </w:tc>
        <w:tc>
          <w:tcPr>
            <w:tcW w:w="1276" w:type="dxa"/>
          </w:tcPr>
          <w:p w14:paraId="680920EA" w14:textId="77777777" w:rsidR="00CF33D9" w:rsidRDefault="00E3332A">
            <w:pPr>
              <w:spacing w:line="200" w:lineRule="exact"/>
              <w:contextualSpacing/>
              <w:rPr>
                <w:rFonts w:cs="Calibri"/>
                <w:sz w:val="20"/>
                <w:szCs w:val="20"/>
              </w:rPr>
            </w:pPr>
            <w:r>
              <w:rPr>
                <w:rFonts w:cs="Calibri"/>
                <w:sz w:val="20"/>
                <w:szCs w:val="20"/>
              </w:rPr>
              <w:t>None</w:t>
            </w:r>
          </w:p>
        </w:tc>
      </w:tr>
    </w:tbl>
    <w:p w14:paraId="680920EC" w14:textId="77777777" w:rsidR="00CF33D9" w:rsidRDefault="00CF33D9">
      <w:pPr>
        <w:rPr>
          <w:rFonts w:ascii="Calibri" w:hAnsi="Calibri" w:cs="Calibri"/>
          <w:sz w:val="20"/>
          <w:szCs w:val="20"/>
        </w:rPr>
        <w:sectPr w:rsidR="00CF33D9">
          <w:pgSz w:w="16839" w:h="11907" w:orient="landscape"/>
          <w:pgMar w:top="1142" w:right="1440" w:bottom="1440" w:left="1440" w:header="576" w:footer="576" w:gutter="0"/>
          <w:cols w:space="720"/>
          <w:docGrid w:linePitch="360"/>
        </w:sectPr>
      </w:pPr>
    </w:p>
    <w:p w14:paraId="680920ED" w14:textId="77777777" w:rsidR="00CF33D9" w:rsidRDefault="00E3332A">
      <w:pPr>
        <w:rPr>
          <w:rFonts w:ascii="Calibri" w:hAnsi="Calibri" w:cs="Calibri"/>
          <w:sz w:val="20"/>
          <w:szCs w:val="20"/>
        </w:rPr>
      </w:pPr>
      <w:r>
        <w:rPr>
          <w:rFonts w:ascii="Calibri" w:hAnsi="Calibri" w:cs="Calibri"/>
          <w:sz w:val="20"/>
          <w:szCs w:val="20"/>
        </w:rPr>
        <w:lastRenderedPageBreak/>
        <w:t>10.</w:t>
      </w:r>
      <w:r>
        <w:rPr>
          <w:rFonts w:ascii="Calibri" w:hAnsi="Calibri" w:cs="Calibri"/>
          <w:sz w:val="20"/>
          <w:szCs w:val="20"/>
        </w:rPr>
        <w:tab/>
        <w:t>Annexes</w:t>
      </w:r>
    </w:p>
    <w:p w14:paraId="680920EE" w14:textId="77777777" w:rsidR="00CF33D9" w:rsidRDefault="00CF33D9">
      <w:pPr>
        <w:jc w:val="both"/>
        <w:rPr>
          <w:rFonts w:ascii="Calibri" w:hAnsi="Calibri" w:cs="Calibri"/>
          <w:b/>
          <w:bCs/>
          <w:sz w:val="20"/>
          <w:szCs w:val="20"/>
        </w:rPr>
      </w:pPr>
    </w:p>
    <w:p w14:paraId="680920EF" w14:textId="77777777" w:rsidR="00CF33D9" w:rsidRDefault="00E3332A">
      <w:pPr>
        <w:rPr>
          <w:rFonts w:ascii="Calibri" w:hAnsi="Calibri" w:cs="Calibri"/>
          <w:sz w:val="20"/>
          <w:szCs w:val="20"/>
        </w:rPr>
      </w:pPr>
      <w:r>
        <w:rPr>
          <w:rFonts w:ascii="Calibri" w:hAnsi="Calibri" w:cs="Calibri"/>
          <w:sz w:val="20"/>
          <w:szCs w:val="20"/>
        </w:rPr>
        <w:t>10.1.</w:t>
      </w:r>
      <w:r>
        <w:rPr>
          <w:rFonts w:ascii="Calibri" w:hAnsi="Calibri" w:cs="Calibri"/>
          <w:sz w:val="20"/>
          <w:szCs w:val="20"/>
        </w:rPr>
        <w:tab/>
        <w:t>SESP Template</w:t>
      </w:r>
    </w:p>
    <w:p w14:paraId="680920F0" w14:textId="77777777" w:rsidR="00CF33D9" w:rsidRDefault="00CF33D9">
      <w:pPr>
        <w:jc w:val="both"/>
        <w:rPr>
          <w:rFonts w:ascii="Calibri" w:hAnsi="Calibri" w:cs="Calibri"/>
          <w:b/>
          <w:bCs/>
          <w:sz w:val="20"/>
          <w:szCs w:val="20"/>
        </w:rPr>
      </w:pPr>
    </w:p>
    <w:p w14:paraId="680920F1" w14:textId="77777777" w:rsidR="00CF33D9" w:rsidRDefault="00E3332A">
      <w:pPr>
        <w:rPr>
          <w:rFonts w:ascii="Calibri" w:hAnsi="Calibri" w:cs="Calibri"/>
          <w:sz w:val="20"/>
          <w:szCs w:val="20"/>
        </w:rPr>
      </w:pPr>
      <w:bookmarkStart w:id="168" w:name="_Toc40330763"/>
      <w:r>
        <w:rPr>
          <w:rFonts w:ascii="Calibri" w:hAnsi="Calibri" w:cs="Calibri"/>
          <w:b/>
          <w:bCs/>
          <w:sz w:val="20"/>
          <w:szCs w:val="20"/>
        </w:rPr>
        <w:t>SESP Template</w:t>
      </w:r>
      <w:bookmarkEnd w:id="168"/>
      <w:r>
        <w:rPr>
          <w:rFonts w:ascii="Calibri" w:hAnsi="Calibri" w:cs="Calibri"/>
          <w:sz w:val="20"/>
          <w:szCs w:val="20"/>
        </w:rPr>
        <w:t xml:space="preserve"> (please see Annex 6, UNDP/GEF Project Document)</w:t>
      </w:r>
    </w:p>
    <w:p w14:paraId="680920F2" w14:textId="77777777" w:rsidR="00CF33D9" w:rsidRDefault="00CF33D9">
      <w:pPr>
        <w:jc w:val="both"/>
        <w:rPr>
          <w:rFonts w:ascii="Calibri" w:hAnsi="Calibri" w:cs="Calibri"/>
          <w:b/>
          <w:bCs/>
          <w:sz w:val="20"/>
          <w:szCs w:val="20"/>
        </w:rPr>
      </w:pPr>
    </w:p>
    <w:p w14:paraId="680920F3" w14:textId="77777777" w:rsidR="00CF33D9" w:rsidRDefault="00E3332A">
      <w:pPr>
        <w:rPr>
          <w:rFonts w:ascii="Calibri" w:hAnsi="Calibri" w:cs="Calibri"/>
          <w:sz w:val="20"/>
          <w:szCs w:val="20"/>
        </w:rPr>
      </w:pPr>
      <w:r>
        <w:rPr>
          <w:rFonts w:ascii="Calibri" w:hAnsi="Calibri" w:cs="Calibri"/>
          <w:sz w:val="20"/>
          <w:szCs w:val="20"/>
        </w:rPr>
        <w:t>10.2</w:t>
      </w:r>
      <w:r>
        <w:rPr>
          <w:rFonts w:ascii="Calibri" w:hAnsi="Calibri" w:cs="Calibri"/>
          <w:sz w:val="20"/>
          <w:szCs w:val="20"/>
        </w:rPr>
        <w:tab/>
        <w:t>Indicative outline of an Environment Social Impact Assessment (ESIA) and an Environmental and Social Management Plan (ESMP)</w:t>
      </w:r>
    </w:p>
    <w:p w14:paraId="680920F4" w14:textId="77777777" w:rsidR="00CF33D9" w:rsidRDefault="00CF33D9">
      <w:pPr>
        <w:rPr>
          <w:rFonts w:ascii="Calibri" w:hAnsi="Calibri" w:cs="Calibri"/>
          <w:sz w:val="20"/>
          <w:szCs w:val="20"/>
        </w:rPr>
      </w:pPr>
    </w:p>
    <w:p w14:paraId="680920F5" w14:textId="77777777" w:rsidR="00CF33D9" w:rsidRDefault="00E3332A">
      <w:pPr>
        <w:spacing w:line="220" w:lineRule="exact"/>
        <w:jc w:val="both"/>
        <w:rPr>
          <w:rFonts w:ascii="Calibri" w:hAnsi="Calibri" w:cs="Calibri"/>
          <w:b/>
          <w:bCs/>
          <w:sz w:val="20"/>
          <w:szCs w:val="20"/>
        </w:rPr>
      </w:pPr>
      <w:bookmarkStart w:id="169" w:name="_Toc47638330"/>
      <w:bookmarkStart w:id="170" w:name="_Toc81488598"/>
      <w:r>
        <w:rPr>
          <w:rFonts w:ascii="Calibri" w:hAnsi="Calibri" w:cs="Calibri"/>
          <w:b/>
          <w:bCs/>
          <w:sz w:val="20"/>
          <w:szCs w:val="20"/>
        </w:rPr>
        <w:t>Indicative Outline of ESIA Report</w:t>
      </w:r>
      <w:bookmarkEnd w:id="169"/>
      <w:bookmarkEnd w:id="170"/>
    </w:p>
    <w:p w14:paraId="680920F6" w14:textId="77777777" w:rsidR="00CF33D9" w:rsidRDefault="00E3332A">
      <w:pPr>
        <w:widowControl w:val="0"/>
        <w:autoSpaceDE w:val="0"/>
        <w:autoSpaceDN w:val="0"/>
        <w:adjustRightInd w:val="0"/>
        <w:spacing w:line="220" w:lineRule="exact"/>
        <w:jc w:val="both"/>
        <w:rPr>
          <w:rFonts w:ascii="Calibri" w:hAnsi="Calibri" w:cs="Calibri"/>
          <w:sz w:val="20"/>
          <w:szCs w:val="20"/>
        </w:rPr>
      </w:pPr>
      <w:r>
        <w:rPr>
          <w:rFonts w:ascii="Calibri" w:hAnsi="Calibri" w:cs="Calibri"/>
          <w:sz w:val="20"/>
          <w:szCs w:val="20"/>
        </w:rPr>
        <w:t xml:space="preserve">An ESIA report should include the following major elements (not necessarily in the following order): </w:t>
      </w:r>
    </w:p>
    <w:p w14:paraId="680920F7" w14:textId="77777777" w:rsidR="00CF33D9" w:rsidRDefault="00E3332A">
      <w:pPr>
        <w:widowControl w:val="0"/>
        <w:autoSpaceDE w:val="0"/>
        <w:autoSpaceDN w:val="0"/>
        <w:adjustRightInd w:val="0"/>
        <w:spacing w:line="220" w:lineRule="exact"/>
        <w:jc w:val="both"/>
        <w:rPr>
          <w:rFonts w:ascii="Calibri" w:hAnsi="Calibri" w:cs="Calibri"/>
          <w:sz w:val="20"/>
          <w:szCs w:val="20"/>
        </w:rPr>
      </w:pPr>
      <w:r>
        <w:rPr>
          <w:rFonts w:ascii="Calibri" w:hAnsi="Calibri" w:cs="Calibri"/>
          <w:b/>
          <w:sz w:val="20"/>
          <w:szCs w:val="20"/>
        </w:rPr>
        <w:t>(1) Executive summary:</w:t>
      </w:r>
      <w:r>
        <w:rPr>
          <w:rFonts w:ascii="Calibri" w:hAnsi="Calibri" w:cs="Calibri"/>
          <w:sz w:val="20"/>
          <w:szCs w:val="20"/>
        </w:rPr>
        <w:t xml:space="preserve"> Concisely discusses significant findings and recommended actions. </w:t>
      </w:r>
    </w:p>
    <w:p w14:paraId="680920F8" w14:textId="77777777" w:rsidR="00CF33D9" w:rsidRDefault="00CF33D9">
      <w:pPr>
        <w:widowControl w:val="0"/>
        <w:autoSpaceDE w:val="0"/>
        <w:autoSpaceDN w:val="0"/>
        <w:adjustRightInd w:val="0"/>
        <w:spacing w:line="220" w:lineRule="exact"/>
        <w:jc w:val="both"/>
        <w:rPr>
          <w:rFonts w:ascii="Calibri" w:hAnsi="Calibri" w:cs="Calibri"/>
          <w:sz w:val="20"/>
          <w:szCs w:val="20"/>
        </w:rPr>
      </w:pPr>
    </w:p>
    <w:p w14:paraId="680920F9" w14:textId="77777777" w:rsidR="00CF33D9" w:rsidRDefault="00E3332A">
      <w:pPr>
        <w:spacing w:line="220" w:lineRule="exact"/>
        <w:jc w:val="both"/>
        <w:rPr>
          <w:rFonts w:ascii="Calibri" w:hAnsi="Calibri" w:cs="Calibri"/>
          <w:sz w:val="20"/>
          <w:szCs w:val="20"/>
        </w:rPr>
      </w:pPr>
      <w:r>
        <w:rPr>
          <w:rFonts w:ascii="Calibri" w:hAnsi="Calibri" w:cs="Calibri"/>
          <w:b/>
          <w:sz w:val="20"/>
          <w:szCs w:val="20"/>
        </w:rPr>
        <w:t xml:space="preserve">(2) Legal and institutional framework: </w:t>
      </w:r>
      <w:r>
        <w:rPr>
          <w:rFonts w:ascii="Calibri" w:hAnsi="Calibri" w:cs="Calibri"/>
          <w:sz w:val="20"/>
          <w:szCs w:val="20"/>
        </w:rPr>
        <w:t xml:space="preserve">Summarizes the analysis of the legal and institutional framework for the project within which the social and environmental assessment is carried out, including (a) the country's applicable policy framework, national laws and regulations, and institutional capabilities (including implementation) relating to social and environmental issues; obligations of the country directly applicable to the project under relevant international treaties and agreements; (b) applicable requirements under UNDP’s SES; and (c) and other relevant social and environmental standards and/or requirements, including those of any other donors and development partners. Compares the existing social and environmental framework and applicable requirements of UNDP’s SES (and those of other donors/development partners) and identifies any potential gaps that will need to be addressed. </w:t>
      </w:r>
    </w:p>
    <w:p w14:paraId="680920FA" w14:textId="77777777" w:rsidR="00CF33D9" w:rsidRDefault="00CF33D9">
      <w:pPr>
        <w:spacing w:line="220" w:lineRule="exact"/>
        <w:jc w:val="both"/>
        <w:rPr>
          <w:rFonts w:ascii="Calibri" w:hAnsi="Calibri" w:cs="Calibri"/>
          <w:sz w:val="20"/>
          <w:szCs w:val="20"/>
        </w:rPr>
      </w:pPr>
    </w:p>
    <w:p w14:paraId="680920FB" w14:textId="77777777" w:rsidR="00CF33D9" w:rsidRDefault="00E3332A">
      <w:pPr>
        <w:widowControl w:val="0"/>
        <w:autoSpaceDE w:val="0"/>
        <w:autoSpaceDN w:val="0"/>
        <w:adjustRightInd w:val="0"/>
        <w:spacing w:line="220" w:lineRule="exact"/>
        <w:jc w:val="both"/>
        <w:rPr>
          <w:rFonts w:ascii="Calibri" w:hAnsi="Calibri" w:cs="Calibri"/>
          <w:sz w:val="20"/>
          <w:szCs w:val="20"/>
        </w:rPr>
      </w:pPr>
      <w:r>
        <w:rPr>
          <w:rFonts w:ascii="Calibri" w:hAnsi="Calibri" w:cs="Calibri"/>
          <w:b/>
          <w:sz w:val="20"/>
          <w:szCs w:val="20"/>
        </w:rPr>
        <w:t>(3) Project description:</w:t>
      </w:r>
      <w:r>
        <w:rPr>
          <w:rFonts w:ascii="Calibri" w:hAnsi="Calibri" w:cs="Calibri"/>
          <w:sz w:val="20"/>
          <w:szCs w:val="20"/>
        </w:rPr>
        <w:t xml:space="preserve"> Concisely describes the proposed project and its geographic, social, environmental, and temporal context, including any offsite activities that may be required (e.g., dedicated pipelines, access roads, power supply, water supply, housing, and raw material and product storage facilities), as well as the project’s primary supply chain. Includes a map of sufficient detail, showing the project site and the area that may be affected by the project’s direct, indirect, and cumulative impacts. (i.e. area of influence). </w:t>
      </w:r>
    </w:p>
    <w:p w14:paraId="680920FC" w14:textId="77777777" w:rsidR="00CF33D9" w:rsidRDefault="00CF33D9">
      <w:pPr>
        <w:widowControl w:val="0"/>
        <w:autoSpaceDE w:val="0"/>
        <w:autoSpaceDN w:val="0"/>
        <w:adjustRightInd w:val="0"/>
        <w:spacing w:line="220" w:lineRule="exact"/>
        <w:jc w:val="both"/>
        <w:rPr>
          <w:rFonts w:ascii="Calibri" w:hAnsi="Calibri" w:cs="Calibri"/>
          <w:sz w:val="20"/>
          <w:szCs w:val="20"/>
        </w:rPr>
      </w:pPr>
    </w:p>
    <w:p w14:paraId="680920FD" w14:textId="77777777" w:rsidR="00CF33D9" w:rsidRDefault="00E3332A">
      <w:pPr>
        <w:widowControl w:val="0"/>
        <w:autoSpaceDE w:val="0"/>
        <w:autoSpaceDN w:val="0"/>
        <w:adjustRightInd w:val="0"/>
        <w:spacing w:line="220" w:lineRule="exact"/>
        <w:jc w:val="both"/>
        <w:rPr>
          <w:rFonts w:ascii="Calibri" w:hAnsi="Calibri" w:cs="Calibri"/>
          <w:sz w:val="20"/>
          <w:szCs w:val="20"/>
        </w:rPr>
      </w:pPr>
      <w:r>
        <w:rPr>
          <w:rFonts w:ascii="Calibri" w:hAnsi="Calibri" w:cs="Calibri"/>
          <w:b/>
          <w:sz w:val="20"/>
          <w:szCs w:val="20"/>
        </w:rPr>
        <w:t xml:space="preserve">(4) Baseline data: </w:t>
      </w:r>
      <w:r>
        <w:rPr>
          <w:rFonts w:ascii="Calibri" w:hAnsi="Calibri" w:cs="Calibri"/>
          <w:sz w:val="20"/>
          <w:szCs w:val="20"/>
        </w:rPr>
        <w:t>Summarizes the baseline data that is relevant to decisions about project location, design, operation, or mitigation measures; identifies and estimates the extent and quality of available data, key data gaps, and uncertainties associated with predictions;</w:t>
      </w:r>
      <w:r>
        <w:rPr>
          <w:rFonts w:ascii="Calibri" w:hAnsi="Calibri" w:cs="Calibri"/>
          <w:b/>
          <w:sz w:val="20"/>
          <w:szCs w:val="20"/>
        </w:rPr>
        <w:t xml:space="preserve"> </w:t>
      </w:r>
      <w:r>
        <w:rPr>
          <w:rFonts w:ascii="Calibri" w:hAnsi="Calibri" w:cs="Calibri"/>
          <w:sz w:val="20"/>
          <w:szCs w:val="20"/>
        </w:rPr>
        <w:t>assesses the scope of the area to be studied and describes relevant physical, biological, and socioeconomic conditions, including any changes anticipated before the project commences; and takes into account current and proposed development activities within the project area but not directly connected to the project.</w:t>
      </w:r>
    </w:p>
    <w:p w14:paraId="680920FE" w14:textId="77777777" w:rsidR="00CF33D9" w:rsidRDefault="00CF33D9">
      <w:pPr>
        <w:widowControl w:val="0"/>
        <w:autoSpaceDE w:val="0"/>
        <w:autoSpaceDN w:val="0"/>
        <w:adjustRightInd w:val="0"/>
        <w:spacing w:line="220" w:lineRule="exact"/>
        <w:jc w:val="both"/>
        <w:rPr>
          <w:rFonts w:ascii="Calibri" w:hAnsi="Calibri" w:cs="Calibri"/>
          <w:sz w:val="20"/>
          <w:szCs w:val="20"/>
        </w:rPr>
      </w:pPr>
    </w:p>
    <w:p w14:paraId="680920FF" w14:textId="77777777" w:rsidR="00CF33D9" w:rsidRDefault="00E3332A">
      <w:pPr>
        <w:widowControl w:val="0"/>
        <w:autoSpaceDE w:val="0"/>
        <w:autoSpaceDN w:val="0"/>
        <w:adjustRightInd w:val="0"/>
        <w:spacing w:line="220" w:lineRule="exact"/>
        <w:jc w:val="both"/>
        <w:rPr>
          <w:rFonts w:ascii="Calibri" w:hAnsi="Calibri" w:cs="Calibri"/>
          <w:sz w:val="20"/>
          <w:szCs w:val="20"/>
        </w:rPr>
      </w:pPr>
      <w:r>
        <w:rPr>
          <w:rFonts w:ascii="Calibri" w:hAnsi="Calibri" w:cs="Calibri"/>
          <w:b/>
          <w:sz w:val="20"/>
          <w:szCs w:val="20"/>
        </w:rPr>
        <w:t xml:space="preserve">(5) Social and environmental risks and impacts: </w:t>
      </w:r>
      <w:r>
        <w:rPr>
          <w:rFonts w:ascii="Calibri" w:hAnsi="Calibri" w:cs="Calibri"/>
          <w:sz w:val="20"/>
          <w:szCs w:val="20"/>
        </w:rPr>
        <w:t>Predicts and takes into account all relevant social and environmental risks and impacts of the project, including those related to UNDP’s SES (Overarching Policy and Principles and Project-level Standards). These will include, but are not limited to, the following:</w:t>
      </w:r>
    </w:p>
    <w:p w14:paraId="68092100" w14:textId="77777777" w:rsidR="00CF33D9" w:rsidRDefault="00E3332A">
      <w:pPr>
        <w:widowControl w:val="0"/>
        <w:tabs>
          <w:tab w:val="left" w:pos="220"/>
          <w:tab w:val="left" w:pos="720"/>
        </w:tabs>
        <w:autoSpaceDE w:val="0"/>
        <w:autoSpaceDN w:val="0"/>
        <w:adjustRightInd w:val="0"/>
        <w:spacing w:line="220" w:lineRule="exact"/>
        <w:jc w:val="both"/>
        <w:rPr>
          <w:rFonts w:ascii="Calibri" w:hAnsi="Calibri" w:cs="Calibri"/>
          <w:sz w:val="20"/>
          <w:szCs w:val="20"/>
        </w:rPr>
      </w:pPr>
      <w:r>
        <w:rPr>
          <w:rFonts w:ascii="Calibri" w:hAnsi="Calibri" w:cs="Calibri"/>
          <w:i/>
          <w:sz w:val="20"/>
          <w:szCs w:val="20"/>
        </w:rPr>
        <w:t>(a) Environmental risks and impacts</w:t>
      </w:r>
      <w:r>
        <w:rPr>
          <w:rFonts w:ascii="Calibri" w:hAnsi="Calibri" w:cs="Calibri"/>
          <w:sz w:val="20"/>
          <w:szCs w:val="20"/>
        </w:rPr>
        <w:t>, including: any material threat to the protection, conservation, maintenance and rehabilitation of natural habitats, biodiversity, and ecosystems; those related to climate change and other transboundary or global impacts; those related to community health and safety; those related to pollution and discharges of waste; those related to the use of living natural resources, such as fisheries and forests; and those related to other applicable standards.</w:t>
      </w:r>
      <w:r>
        <w:rPr>
          <w:rStyle w:val="FootnoteReference"/>
          <w:rFonts w:ascii="Calibri" w:hAnsi="Calibri" w:cs="Calibri"/>
          <w:sz w:val="20"/>
          <w:szCs w:val="20"/>
        </w:rPr>
        <w:footnoteReference w:id="23"/>
      </w:r>
    </w:p>
    <w:p w14:paraId="68092101" w14:textId="77777777" w:rsidR="00CF33D9" w:rsidRDefault="00E3332A">
      <w:pPr>
        <w:widowControl w:val="0"/>
        <w:tabs>
          <w:tab w:val="left" w:pos="220"/>
          <w:tab w:val="left" w:pos="720"/>
        </w:tabs>
        <w:autoSpaceDE w:val="0"/>
        <w:autoSpaceDN w:val="0"/>
        <w:adjustRightInd w:val="0"/>
        <w:spacing w:line="220" w:lineRule="exact"/>
        <w:jc w:val="both"/>
        <w:rPr>
          <w:rFonts w:ascii="Calibri" w:hAnsi="Calibri" w:cs="Calibri"/>
          <w:sz w:val="20"/>
          <w:szCs w:val="20"/>
        </w:rPr>
      </w:pPr>
      <w:r>
        <w:rPr>
          <w:rFonts w:ascii="Calibri" w:hAnsi="Calibri" w:cs="Calibri"/>
          <w:i/>
          <w:sz w:val="20"/>
          <w:szCs w:val="20"/>
        </w:rPr>
        <w:t>(b) Social risks and impacts</w:t>
      </w:r>
      <w:r>
        <w:rPr>
          <w:rFonts w:ascii="Calibri" w:hAnsi="Calibri" w:cs="Calibri"/>
          <w:sz w:val="20"/>
          <w:szCs w:val="20"/>
        </w:rPr>
        <w:t xml:space="preserve">, including: any project-related threats to human rights of affected communities and individuals; threats to human security through the escalation of personal, communal or inter-state conflict, crime or violence; risks of gender discrimination; risks that adverse project impacts fall disproportionately on disadvantaged or marginalized groups; any prejudice or discrimination toward individuals or groups in providing access to development resources and project benefits, particularly in the case of disadvantaged or marginalized groups; negative economic and social impacts relating to physical displacement (i.e. relocation or loss of shelter) or economic displacement (i.e. loss of assets or access to assets that leads to loss of income sources or means of </w:t>
      </w:r>
      <w:r>
        <w:rPr>
          <w:rFonts w:ascii="Calibri" w:hAnsi="Calibri" w:cs="Calibri"/>
          <w:sz w:val="20"/>
          <w:szCs w:val="20"/>
        </w:rPr>
        <w:lastRenderedPageBreak/>
        <w:t xml:space="preserve">livelihood) as a result of project-related land or resource acquisition or restrictions on land use or access to resources; impacts on the health, safety and well-being of workers and project-affected communities; and risks to cultural heritage. </w:t>
      </w:r>
    </w:p>
    <w:p w14:paraId="68092102" w14:textId="77777777" w:rsidR="00CF33D9" w:rsidRDefault="00CF33D9">
      <w:pPr>
        <w:widowControl w:val="0"/>
        <w:tabs>
          <w:tab w:val="left" w:pos="220"/>
          <w:tab w:val="left" w:pos="720"/>
        </w:tabs>
        <w:autoSpaceDE w:val="0"/>
        <w:autoSpaceDN w:val="0"/>
        <w:adjustRightInd w:val="0"/>
        <w:jc w:val="both"/>
        <w:rPr>
          <w:rFonts w:ascii="Calibri" w:hAnsi="Calibri" w:cs="Calibri"/>
          <w:sz w:val="20"/>
          <w:szCs w:val="20"/>
        </w:rPr>
      </w:pPr>
    </w:p>
    <w:p w14:paraId="68092103" w14:textId="77777777" w:rsidR="00CF33D9" w:rsidRDefault="00E3332A">
      <w:pPr>
        <w:widowControl w:val="0"/>
        <w:autoSpaceDE w:val="0"/>
        <w:autoSpaceDN w:val="0"/>
        <w:adjustRightInd w:val="0"/>
        <w:spacing w:line="220" w:lineRule="exact"/>
        <w:jc w:val="both"/>
        <w:rPr>
          <w:rFonts w:ascii="Calibri" w:hAnsi="Calibri" w:cs="Calibri"/>
          <w:sz w:val="20"/>
          <w:szCs w:val="20"/>
        </w:rPr>
      </w:pPr>
      <w:r>
        <w:rPr>
          <w:rFonts w:ascii="Calibri" w:hAnsi="Calibri" w:cs="Calibri"/>
          <w:b/>
          <w:sz w:val="20"/>
          <w:szCs w:val="20"/>
        </w:rPr>
        <w:t>(6) Analysis of alternatives:</w:t>
      </w:r>
      <w:r>
        <w:rPr>
          <w:rFonts w:ascii="Calibri" w:hAnsi="Calibri" w:cs="Calibri"/>
          <w:sz w:val="20"/>
          <w:szCs w:val="20"/>
        </w:rPr>
        <w:t xml:space="preserve"> Systematically compares feasible alternatives to the proposed project site, technology, design, and operation – including the "without project" situation – in terms of their potential social and environmental impacts; assesses the alternatives’ feasibility of mitigating the adverse social and environmental impacts; the capital and recurrent costs of alternative mitigation measures, and their suitability under local conditions; the institutional, training, and monitoring requirements for the alternative mitigation measures; for each of the alternatives, quantifies the social and environmental impacts to the extent possible, and attaches economic values where feasible. Sets out the basis for selecting the particular project design.</w:t>
      </w:r>
    </w:p>
    <w:p w14:paraId="68092104" w14:textId="77777777" w:rsidR="00CF33D9" w:rsidRDefault="00CF33D9">
      <w:pPr>
        <w:widowControl w:val="0"/>
        <w:autoSpaceDE w:val="0"/>
        <w:autoSpaceDN w:val="0"/>
        <w:adjustRightInd w:val="0"/>
        <w:spacing w:line="220" w:lineRule="exact"/>
        <w:jc w:val="both"/>
        <w:rPr>
          <w:rFonts w:ascii="Calibri" w:hAnsi="Calibri" w:cs="Calibri"/>
          <w:sz w:val="20"/>
          <w:szCs w:val="20"/>
        </w:rPr>
      </w:pPr>
    </w:p>
    <w:p w14:paraId="68092105" w14:textId="77777777" w:rsidR="00CF33D9" w:rsidRDefault="00E3332A">
      <w:pPr>
        <w:widowControl w:val="0"/>
        <w:autoSpaceDE w:val="0"/>
        <w:autoSpaceDN w:val="0"/>
        <w:adjustRightInd w:val="0"/>
        <w:spacing w:line="220" w:lineRule="exact"/>
        <w:jc w:val="both"/>
        <w:rPr>
          <w:rFonts w:ascii="Calibri" w:hAnsi="Calibri" w:cs="Calibri"/>
          <w:sz w:val="20"/>
          <w:szCs w:val="20"/>
        </w:rPr>
      </w:pPr>
      <w:r>
        <w:rPr>
          <w:rFonts w:ascii="Calibri" w:hAnsi="Calibri" w:cs="Calibri"/>
          <w:b/>
          <w:sz w:val="20"/>
          <w:szCs w:val="20"/>
        </w:rPr>
        <w:t>(7) Mitigation Measures:</w:t>
      </w:r>
      <w:r>
        <w:rPr>
          <w:rFonts w:ascii="Calibri" w:hAnsi="Calibri" w:cs="Calibri"/>
          <w:sz w:val="20"/>
          <w:szCs w:val="20"/>
        </w:rPr>
        <w:t xml:space="preserve"> Summary of (with attachment of full) Environmental and Social Management Plan (ESMP) (see indicative outline of ESMP below.) The ESMP identifies mitigation measures required to address identified social and environmental risks and impacts, as well as measures related to monitoring, capacity development, stakeholder engagement, and implementation action plan.</w:t>
      </w:r>
    </w:p>
    <w:p w14:paraId="68092106" w14:textId="77777777" w:rsidR="00CF33D9" w:rsidRDefault="00CF33D9">
      <w:pPr>
        <w:widowControl w:val="0"/>
        <w:autoSpaceDE w:val="0"/>
        <w:autoSpaceDN w:val="0"/>
        <w:adjustRightInd w:val="0"/>
        <w:spacing w:line="220" w:lineRule="exact"/>
        <w:jc w:val="both"/>
        <w:rPr>
          <w:rFonts w:ascii="Calibri" w:hAnsi="Calibri" w:cs="Calibri"/>
          <w:sz w:val="20"/>
          <w:szCs w:val="20"/>
        </w:rPr>
      </w:pPr>
    </w:p>
    <w:p w14:paraId="68092107" w14:textId="77777777" w:rsidR="00CF33D9" w:rsidRDefault="00E3332A">
      <w:pPr>
        <w:widowControl w:val="0"/>
        <w:autoSpaceDE w:val="0"/>
        <w:autoSpaceDN w:val="0"/>
        <w:adjustRightInd w:val="0"/>
        <w:spacing w:line="220" w:lineRule="exact"/>
        <w:jc w:val="both"/>
        <w:rPr>
          <w:rFonts w:ascii="Calibri" w:hAnsi="Calibri" w:cs="Calibri"/>
          <w:sz w:val="20"/>
          <w:szCs w:val="20"/>
        </w:rPr>
      </w:pPr>
      <w:r>
        <w:rPr>
          <w:rFonts w:ascii="Calibri" w:hAnsi="Calibri" w:cs="Calibri"/>
          <w:b/>
          <w:bCs/>
          <w:sz w:val="20"/>
          <w:szCs w:val="20"/>
        </w:rPr>
        <w:t>(8)</w:t>
      </w:r>
      <w:r>
        <w:rPr>
          <w:rFonts w:ascii="Calibri" w:hAnsi="Calibri" w:cs="Calibri"/>
          <w:sz w:val="20"/>
          <w:szCs w:val="20"/>
        </w:rPr>
        <w:t xml:space="preserve"> </w:t>
      </w:r>
      <w:r>
        <w:rPr>
          <w:rFonts w:ascii="Calibri" w:hAnsi="Calibri" w:cs="Calibri"/>
          <w:b/>
          <w:bCs/>
          <w:sz w:val="20"/>
          <w:szCs w:val="20"/>
        </w:rPr>
        <w:t>Stakeholders.</w:t>
      </w:r>
      <w:r>
        <w:rPr>
          <w:rFonts w:ascii="Calibri" w:hAnsi="Calibri" w:cs="Calibri"/>
          <w:sz w:val="20"/>
          <w:szCs w:val="20"/>
        </w:rPr>
        <w:t xml:space="preserve"> </w:t>
      </w:r>
      <w:r>
        <w:rPr>
          <w:rFonts w:ascii="Calibri" w:hAnsi="Calibri" w:cs="Calibri"/>
          <w:iCs/>
          <w:color w:val="000000"/>
          <w:sz w:val="20"/>
          <w:szCs w:val="20"/>
        </w:rPr>
        <w:t>Summarizes and links to project Stakeholder Engagement Plan or ESMP that includes plan for consultations. Includes summary of consultations undertaken for development of ESIA (see appendices).</w:t>
      </w:r>
    </w:p>
    <w:p w14:paraId="68092108" w14:textId="77777777" w:rsidR="00CF33D9" w:rsidRDefault="00E3332A">
      <w:pPr>
        <w:widowControl w:val="0"/>
        <w:autoSpaceDE w:val="0"/>
        <w:autoSpaceDN w:val="0"/>
        <w:adjustRightInd w:val="0"/>
        <w:spacing w:line="220" w:lineRule="exact"/>
        <w:jc w:val="both"/>
        <w:rPr>
          <w:rFonts w:ascii="Calibri" w:hAnsi="Calibri" w:cs="Calibri"/>
          <w:sz w:val="20"/>
          <w:szCs w:val="20"/>
        </w:rPr>
      </w:pPr>
      <w:r>
        <w:rPr>
          <w:rFonts w:ascii="Calibri" w:hAnsi="Calibri" w:cs="Calibri"/>
          <w:b/>
          <w:sz w:val="20"/>
          <w:szCs w:val="20"/>
        </w:rPr>
        <w:t>(9) Conclusions and Recommendations:</w:t>
      </w:r>
      <w:r>
        <w:rPr>
          <w:rFonts w:ascii="Calibri" w:hAnsi="Calibri" w:cs="Calibri"/>
          <w:sz w:val="20"/>
          <w:szCs w:val="20"/>
        </w:rPr>
        <w:t xml:space="preserve"> Succinctly describes conclusion drawn from the assessment and provides recommendations. Includes recommendation regarding the project’s anticipated benefits in relation to its social and environmental risks and impacts.</w:t>
      </w:r>
    </w:p>
    <w:p w14:paraId="68092109" w14:textId="77777777" w:rsidR="00CF33D9" w:rsidRDefault="00CF33D9">
      <w:pPr>
        <w:widowControl w:val="0"/>
        <w:autoSpaceDE w:val="0"/>
        <w:autoSpaceDN w:val="0"/>
        <w:adjustRightInd w:val="0"/>
        <w:spacing w:line="220" w:lineRule="exact"/>
        <w:jc w:val="both"/>
        <w:rPr>
          <w:rFonts w:ascii="Calibri" w:hAnsi="Calibri" w:cs="Calibri"/>
          <w:sz w:val="20"/>
          <w:szCs w:val="20"/>
        </w:rPr>
      </w:pPr>
    </w:p>
    <w:p w14:paraId="6809210A" w14:textId="77777777" w:rsidR="00CF33D9" w:rsidRDefault="00E3332A">
      <w:pPr>
        <w:widowControl w:val="0"/>
        <w:autoSpaceDE w:val="0"/>
        <w:autoSpaceDN w:val="0"/>
        <w:adjustRightInd w:val="0"/>
        <w:spacing w:line="220" w:lineRule="exact"/>
        <w:jc w:val="both"/>
        <w:rPr>
          <w:rFonts w:ascii="Calibri" w:hAnsi="Calibri" w:cs="Calibri"/>
          <w:sz w:val="20"/>
          <w:szCs w:val="20"/>
        </w:rPr>
      </w:pPr>
      <w:r>
        <w:rPr>
          <w:rFonts w:ascii="Calibri" w:hAnsi="Calibri" w:cs="Calibri"/>
          <w:b/>
          <w:sz w:val="20"/>
          <w:szCs w:val="20"/>
        </w:rPr>
        <w:t xml:space="preserve">(10) Appendices: </w:t>
      </w:r>
      <w:r>
        <w:rPr>
          <w:rFonts w:ascii="Calibri" w:hAnsi="Calibri" w:cs="Calibri"/>
          <w:sz w:val="20"/>
          <w:szCs w:val="20"/>
        </w:rPr>
        <w:t>(i) List of the individuals or organizations that prepared or contributed to the social and environmental assessment; (ii) References – setting out the written materials both published and unpublished, that have been used; (iii) Record of meetings, consultations and surveys with stakeholders, including those with affected people and local NGOs. The record specifies the means of such stakeholder engagement that were used to obtain the views of affected groups and local NGOs, summarizes key concerns and how these concerns addressed in project design and mitigation measures; (iv) Tables presenting the relevant data referred to or summarized in the main text; (v) Attachment of any other mitigation plans; (vi) List of associated reports or plans.</w:t>
      </w:r>
    </w:p>
    <w:p w14:paraId="6809210B" w14:textId="77777777" w:rsidR="00CF33D9" w:rsidRDefault="00CF33D9">
      <w:pPr>
        <w:spacing w:line="220" w:lineRule="exact"/>
        <w:rPr>
          <w:rFonts w:ascii="Calibri" w:hAnsi="Calibri" w:cs="Calibri"/>
          <w:sz w:val="20"/>
          <w:szCs w:val="20"/>
        </w:rPr>
      </w:pPr>
    </w:p>
    <w:p w14:paraId="6809210C" w14:textId="77777777" w:rsidR="00CF33D9" w:rsidRDefault="00E3332A">
      <w:pPr>
        <w:widowControl w:val="0"/>
        <w:autoSpaceDE w:val="0"/>
        <w:autoSpaceDN w:val="0"/>
        <w:adjustRightInd w:val="0"/>
        <w:spacing w:line="220" w:lineRule="exact"/>
        <w:jc w:val="both"/>
        <w:rPr>
          <w:rFonts w:ascii="Calibri" w:hAnsi="Calibri" w:cs="Calibri"/>
          <w:b/>
          <w:bCs/>
          <w:color w:val="5B9BD5" w:themeColor="accent1"/>
          <w:sz w:val="20"/>
          <w:szCs w:val="20"/>
        </w:rPr>
      </w:pPr>
      <w:r>
        <w:rPr>
          <w:rFonts w:ascii="Calibri" w:hAnsi="Calibri" w:cs="Calibri"/>
          <w:b/>
          <w:bCs/>
          <w:color w:val="5B9BD5" w:themeColor="accent1"/>
          <w:sz w:val="20"/>
          <w:szCs w:val="20"/>
        </w:rPr>
        <w:t xml:space="preserve">Indicative Outline of ESMP Report </w:t>
      </w:r>
    </w:p>
    <w:p w14:paraId="6809210D" w14:textId="77777777" w:rsidR="00CF33D9" w:rsidRDefault="00CF33D9">
      <w:pPr>
        <w:widowControl w:val="0"/>
        <w:autoSpaceDE w:val="0"/>
        <w:autoSpaceDN w:val="0"/>
        <w:adjustRightInd w:val="0"/>
        <w:spacing w:line="220" w:lineRule="exact"/>
        <w:jc w:val="both"/>
        <w:rPr>
          <w:rFonts w:ascii="Calibri" w:hAnsi="Calibri" w:cs="Calibri"/>
          <w:b/>
          <w:bCs/>
          <w:color w:val="5B9BD5" w:themeColor="accent1"/>
          <w:sz w:val="20"/>
          <w:szCs w:val="20"/>
        </w:rPr>
      </w:pPr>
    </w:p>
    <w:p w14:paraId="6809210E" w14:textId="77777777" w:rsidR="00CF33D9" w:rsidRDefault="00E3332A">
      <w:pPr>
        <w:widowControl w:val="0"/>
        <w:autoSpaceDE w:val="0"/>
        <w:autoSpaceDN w:val="0"/>
        <w:adjustRightInd w:val="0"/>
        <w:spacing w:line="220" w:lineRule="exact"/>
        <w:jc w:val="both"/>
        <w:rPr>
          <w:rFonts w:ascii="Calibri" w:hAnsi="Calibri" w:cs="Calibri"/>
          <w:b/>
          <w:bCs/>
          <w:iCs/>
          <w:sz w:val="20"/>
          <w:szCs w:val="20"/>
        </w:rPr>
      </w:pPr>
      <w:r>
        <w:rPr>
          <w:rFonts w:ascii="Calibri" w:hAnsi="Calibri" w:cs="Calibri"/>
          <w:b/>
          <w:bCs/>
          <w:sz w:val="20"/>
          <w:szCs w:val="20"/>
        </w:rPr>
        <w:t>An ESMP may be prepared as part of the Environmental and Social Impact Assessment (ESIA) report or as a stand-alone document.</w:t>
      </w:r>
      <w:r>
        <w:rPr>
          <w:rStyle w:val="FootnoteReference"/>
          <w:rFonts w:ascii="Calibri" w:hAnsi="Calibri" w:cs="Calibri"/>
          <w:b/>
          <w:bCs/>
          <w:sz w:val="20"/>
          <w:szCs w:val="20"/>
        </w:rPr>
        <w:footnoteReference w:id="24"/>
      </w:r>
      <w:r>
        <w:rPr>
          <w:rFonts w:ascii="Calibri" w:hAnsi="Calibri" w:cs="Calibri"/>
          <w:b/>
          <w:bCs/>
          <w:sz w:val="20"/>
          <w:szCs w:val="20"/>
        </w:rPr>
        <w:t xml:space="preserve"> The content of the ESMP should address the following sections:</w:t>
      </w:r>
      <w:r>
        <w:rPr>
          <w:rFonts w:ascii="Calibri" w:hAnsi="Calibri" w:cs="Calibri"/>
          <w:b/>
          <w:bCs/>
          <w:iCs/>
          <w:sz w:val="20"/>
          <w:szCs w:val="20"/>
        </w:rPr>
        <w:t xml:space="preserve"> </w:t>
      </w:r>
    </w:p>
    <w:p w14:paraId="6809210F" w14:textId="77777777" w:rsidR="00CF33D9" w:rsidRDefault="00CF33D9">
      <w:pPr>
        <w:widowControl w:val="0"/>
        <w:autoSpaceDE w:val="0"/>
        <w:autoSpaceDN w:val="0"/>
        <w:adjustRightInd w:val="0"/>
        <w:spacing w:line="220" w:lineRule="exact"/>
        <w:jc w:val="both"/>
        <w:rPr>
          <w:rFonts w:ascii="Calibri" w:hAnsi="Calibri" w:cs="Calibri"/>
          <w:b/>
          <w:bCs/>
          <w:iCs/>
          <w:sz w:val="20"/>
          <w:szCs w:val="20"/>
        </w:rPr>
      </w:pPr>
    </w:p>
    <w:p w14:paraId="68092110" w14:textId="77777777" w:rsidR="00CF33D9" w:rsidRDefault="00E3332A">
      <w:pPr>
        <w:widowControl w:val="0"/>
        <w:autoSpaceDE w:val="0"/>
        <w:autoSpaceDN w:val="0"/>
        <w:adjustRightInd w:val="0"/>
        <w:spacing w:line="220" w:lineRule="exact"/>
        <w:jc w:val="both"/>
        <w:rPr>
          <w:rFonts w:ascii="Calibri" w:hAnsi="Calibri" w:cs="Calibri"/>
          <w:sz w:val="20"/>
          <w:szCs w:val="20"/>
        </w:rPr>
      </w:pPr>
      <w:r>
        <w:rPr>
          <w:rFonts w:ascii="Calibri" w:hAnsi="Calibri" w:cs="Calibri"/>
          <w:sz w:val="20"/>
          <w:szCs w:val="20"/>
        </w:rPr>
        <w:t xml:space="preserve">(1) Mitigation: Identifies measures and actions in accordance with the mitigation hierarchy that avoid, or if avoidance not possible, reduce potentially significant adverse social and environmental impacts to acceptable levels. Specifically, the ESMP: (a) identifies and summarizes all anticipated significant adverse social and environmental impacts; (b) describes – with technical details – each mitigation measure, including the type of impact to which it relates and the conditions under which it is required (e.g., continuously or in the event of contingencies), together with designs, equipment descriptions, and operating procedures, as appropriate; (c) estimates any potential social and environmental impacts of these measures and any residual impacts following mitigation; and (d) takes into account, and is consistent with, other required mitigation plans (e.g. for displacement, indigenous peoples). </w:t>
      </w:r>
    </w:p>
    <w:p w14:paraId="68092111" w14:textId="77777777" w:rsidR="00CF33D9" w:rsidRDefault="00CF33D9">
      <w:pPr>
        <w:widowControl w:val="0"/>
        <w:autoSpaceDE w:val="0"/>
        <w:autoSpaceDN w:val="0"/>
        <w:adjustRightInd w:val="0"/>
        <w:spacing w:line="220" w:lineRule="exact"/>
        <w:jc w:val="both"/>
        <w:rPr>
          <w:rFonts w:ascii="Calibri" w:hAnsi="Calibri" w:cs="Calibri"/>
          <w:sz w:val="20"/>
          <w:szCs w:val="20"/>
        </w:rPr>
      </w:pPr>
    </w:p>
    <w:p w14:paraId="68092112" w14:textId="77777777" w:rsidR="00CF33D9" w:rsidRDefault="00E3332A">
      <w:pPr>
        <w:widowControl w:val="0"/>
        <w:autoSpaceDE w:val="0"/>
        <w:autoSpaceDN w:val="0"/>
        <w:adjustRightInd w:val="0"/>
        <w:spacing w:line="220" w:lineRule="exact"/>
        <w:jc w:val="both"/>
        <w:rPr>
          <w:rFonts w:ascii="Calibri" w:hAnsi="Calibri" w:cs="Calibri"/>
          <w:sz w:val="20"/>
          <w:szCs w:val="20"/>
        </w:rPr>
      </w:pPr>
      <w:r>
        <w:rPr>
          <w:rFonts w:ascii="Calibri" w:hAnsi="Calibri" w:cs="Calibri"/>
          <w:sz w:val="20"/>
          <w:szCs w:val="20"/>
        </w:rPr>
        <w:t xml:space="preserve">(2) Monitoring: Identifies monitoring objectives and specifies the type of monitoring, with linkages to the impacts assessed in the environmental and social assessment and the mitigation measures described in the ESMP. Specifically, the monitoring section of the ESMP provides (a) a specific description, and technical details, of monitoring measures, including the parameters to be measured, methods to be used, sampling locations, frequency of measurements, detection limits (where appropriate), and definition of thresholds that will signal the need for corrective actions; and (b) monitoring and reporting procedures to (i) ensure early detection of conditions </w:t>
      </w:r>
      <w:r>
        <w:rPr>
          <w:rFonts w:ascii="Calibri" w:hAnsi="Calibri" w:cs="Calibri"/>
          <w:sz w:val="20"/>
          <w:szCs w:val="20"/>
        </w:rPr>
        <w:lastRenderedPageBreak/>
        <w:t>that necessitate particular mitigation measures, and (ii) furnish information on the progress and results of mitigation.</w:t>
      </w:r>
    </w:p>
    <w:p w14:paraId="68092113" w14:textId="77777777" w:rsidR="00CF33D9" w:rsidRDefault="00E3332A">
      <w:pPr>
        <w:spacing w:line="220" w:lineRule="exact"/>
        <w:jc w:val="both"/>
        <w:rPr>
          <w:rFonts w:ascii="Calibri" w:hAnsi="Calibri" w:cs="Calibri"/>
          <w:sz w:val="20"/>
          <w:szCs w:val="20"/>
        </w:rPr>
      </w:pPr>
      <w:r>
        <w:rPr>
          <w:rFonts w:ascii="Calibri" w:hAnsi="Calibri" w:cs="Calibri"/>
          <w:sz w:val="20"/>
          <w:szCs w:val="20"/>
        </w:rPr>
        <w:t>(3) Capacity development and training: To support timely and effective implementation of social and environmental project components and mitigation measures, the ESMP draws on the environmental and social assessment of the existence, role, and capability of responsible parties on site or at the agency and ministry level. Specifically, the ESMP provides a description of institutional arrangements, identifying which party is responsible for carrying out the mitigation and monitoring measures (e.g. for operation, supervision, enforcement, monitoring of implementation, remedial action, financing, reporting, and staff training). Where support for strengthening social and environmental management capability is identified, ESMP recommends the establishment or expansion of the parties responsible, the training of staff and any additional measures that may be necessary to support implementation of mitigation measures and any other recommendations of the environmental and social assessment.</w:t>
      </w:r>
    </w:p>
    <w:p w14:paraId="68092114" w14:textId="77777777" w:rsidR="00CF33D9" w:rsidRDefault="00CF33D9">
      <w:pPr>
        <w:spacing w:line="220" w:lineRule="exact"/>
        <w:jc w:val="both"/>
        <w:rPr>
          <w:rFonts w:ascii="Calibri" w:hAnsi="Calibri" w:cs="Calibri"/>
          <w:sz w:val="20"/>
          <w:szCs w:val="20"/>
        </w:rPr>
      </w:pPr>
    </w:p>
    <w:p w14:paraId="68092115" w14:textId="77777777" w:rsidR="00CF33D9" w:rsidRDefault="00E3332A">
      <w:pPr>
        <w:spacing w:line="220" w:lineRule="exact"/>
        <w:jc w:val="both"/>
        <w:rPr>
          <w:rFonts w:ascii="Calibri" w:hAnsi="Calibri" w:cs="Calibri"/>
          <w:sz w:val="20"/>
          <w:szCs w:val="20"/>
        </w:rPr>
      </w:pPr>
      <w:bookmarkStart w:id="171" w:name="_Toc81488599"/>
      <w:r>
        <w:rPr>
          <w:rFonts w:ascii="Calibri" w:hAnsi="Calibri" w:cs="Calibri"/>
          <w:iCs/>
          <w:sz w:val="20"/>
          <w:szCs w:val="20"/>
        </w:rPr>
        <w:t>(4) Stakeholder Engagement: Summarizes and links to project Stakeholder Engagement Plan or</w:t>
      </w:r>
      <w:r>
        <w:rPr>
          <w:rFonts w:ascii="Calibri" w:hAnsi="Calibri" w:cs="Calibri"/>
          <w:sz w:val="20"/>
          <w:szCs w:val="20"/>
        </w:rPr>
        <w:t xml:space="preserve"> outlines plan to engage in meaningful, effective, and informed consultations with affected stakeholders. Includes information on (a) means used to inform and involve affected people in the assessment process; and (b) summary of stakeholder engagement plan for meaningful, effective consultations during project implementation, including identification of milestones for consultations, information disclosure, and periodic reporting on progress on project implementation. Require documentation of consultations (summaries including presentations, key points raised, and responses provided, participation lists). Include information on project grievance mechanism (below) and on UNDP Accountability Mechanisms (SRM, SECU).</w:t>
      </w:r>
      <w:bookmarkEnd w:id="171"/>
    </w:p>
    <w:p w14:paraId="68092116" w14:textId="77777777" w:rsidR="00CF33D9" w:rsidRDefault="00CF33D9">
      <w:pPr>
        <w:spacing w:line="220" w:lineRule="exact"/>
        <w:jc w:val="both"/>
        <w:rPr>
          <w:rFonts w:ascii="Calibri" w:hAnsi="Calibri" w:cs="Calibri"/>
          <w:b/>
          <w:bCs/>
          <w:sz w:val="20"/>
          <w:szCs w:val="20"/>
        </w:rPr>
      </w:pPr>
    </w:p>
    <w:p w14:paraId="68092117" w14:textId="77777777" w:rsidR="00CF33D9" w:rsidRDefault="00E3332A">
      <w:pPr>
        <w:spacing w:line="220" w:lineRule="exact"/>
        <w:jc w:val="both"/>
        <w:rPr>
          <w:rFonts w:ascii="Calibri" w:hAnsi="Calibri" w:cs="Calibri"/>
          <w:b/>
          <w:bCs/>
          <w:sz w:val="20"/>
          <w:szCs w:val="20"/>
        </w:rPr>
      </w:pPr>
      <w:bookmarkStart w:id="172" w:name="_Toc81488600"/>
      <w:r>
        <w:rPr>
          <w:rFonts w:ascii="Calibri" w:hAnsi="Calibri" w:cs="Calibri"/>
          <w:sz w:val="20"/>
          <w:szCs w:val="20"/>
        </w:rPr>
        <w:t>(5) Grievance redress mechanism: Describes effective processes for receiving and addressing stakeholder concerns and grievances regarding the project’s social and environmental performance.</w:t>
      </w:r>
      <w:bookmarkEnd w:id="172"/>
    </w:p>
    <w:p w14:paraId="68092118" w14:textId="77777777" w:rsidR="00CF33D9" w:rsidRDefault="00E3332A">
      <w:pPr>
        <w:spacing w:line="220" w:lineRule="exact"/>
        <w:jc w:val="both"/>
        <w:rPr>
          <w:rFonts w:ascii="Calibri" w:hAnsi="Calibri" w:cs="Calibri"/>
          <w:b/>
          <w:bCs/>
          <w:sz w:val="20"/>
          <w:szCs w:val="20"/>
        </w:rPr>
      </w:pPr>
      <w:bookmarkStart w:id="173" w:name="_Toc81488601"/>
      <w:r>
        <w:rPr>
          <w:rFonts w:ascii="Calibri" w:hAnsi="Calibri" w:cs="Calibri"/>
          <w:sz w:val="20"/>
          <w:szCs w:val="20"/>
        </w:rPr>
        <w:t>Describe mechanisms to provide stakeholders and potential affected communities avenues to provide feedback or grievances, and receive responses, with regard to the implementation of specific activities, policies, or regulations.</w:t>
      </w:r>
      <w:bookmarkEnd w:id="173"/>
    </w:p>
    <w:p w14:paraId="68092119" w14:textId="77777777" w:rsidR="00CF33D9" w:rsidRDefault="00CF33D9">
      <w:pPr>
        <w:spacing w:line="220" w:lineRule="exact"/>
        <w:jc w:val="both"/>
        <w:rPr>
          <w:rFonts w:ascii="Calibri" w:hAnsi="Calibri" w:cs="Calibri"/>
          <w:sz w:val="20"/>
          <w:szCs w:val="20"/>
        </w:rPr>
      </w:pPr>
    </w:p>
    <w:p w14:paraId="6809211A" w14:textId="77777777" w:rsidR="00CF33D9" w:rsidRDefault="00E3332A">
      <w:pPr>
        <w:spacing w:line="220" w:lineRule="exact"/>
        <w:jc w:val="both"/>
        <w:rPr>
          <w:rFonts w:ascii="Calibri" w:hAnsi="Calibri" w:cs="Calibri"/>
          <w:b/>
          <w:bCs/>
          <w:sz w:val="20"/>
          <w:szCs w:val="20"/>
        </w:rPr>
      </w:pPr>
      <w:bookmarkStart w:id="174" w:name="_Toc81488602"/>
      <w:r>
        <w:rPr>
          <w:rFonts w:ascii="Calibri" w:hAnsi="Calibri" w:cs="Calibri"/>
          <w:sz w:val="20"/>
          <w:szCs w:val="20"/>
        </w:rPr>
        <w:t>(6) Implementation action plan (schedule and cost estimates): For all four above aspects (mitigation, monitoring, capacity development, and stakeholder engagement), ESMP provides (a) an implementation schedule for measures that must be carried out as part of the project, showing phasing and coordination with overall project implementation plans; and (b) the capital and recurrent cost estimates and sources of funds for implementing the ESMP. These figures are also integrated into the total project cost tables. Each of the measures and actions to be implemented will be clearly specified and the costs of so doing will be integrated into the project's overall planning, design, budget, and implementation.</w:t>
      </w:r>
      <w:bookmarkEnd w:id="174"/>
      <w:r>
        <w:rPr>
          <w:rFonts w:ascii="Calibri" w:hAnsi="Calibri" w:cs="Calibri"/>
          <w:sz w:val="20"/>
          <w:szCs w:val="20"/>
        </w:rPr>
        <w:t xml:space="preserve"> </w:t>
      </w:r>
    </w:p>
    <w:p w14:paraId="6809211B" w14:textId="77777777" w:rsidR="00CF33D9" w:rsidRDefault="00CF33D9">
      <w:pPr>
        <w:spacing w:line="220" w:lineRule="exact"/>
        <w:jc w:val="both"/>
        <w:rPr>
          <w:rFonts w:ascii="Calibri" w:hAnsi="Calibri" w:cs="Calibri"/>
          <w:sz w:val="20"/>
          <w:szCs w:val="20"/>
        </w:rPr>
      </w:pPr>
    </w:p>
    <w:p w14:paraId="6809211C" w14:textId="77777777" w:rsidR="00CF33D9" w:rsidRDefault="00E3332A">
      <w:pPr>
        <w:rPr>
          <w:rFonts w:ascii="Calibri" w:hAnsi="Calibri" w:cs="Calibri"/>
          <w:sz w:val="20"/>
          <w:szCs w:val="20"/>
        </w:rPr>
      </w:pPr>
      <w:r>
        <w:rPr>
          <w:rFonts w:ascii="Calibri" w:hAnsi="Calibri" w:cs="Calibri"/>
          <w:sz w:val="20"/>
          <w:szCs w:val="20"/>
        </w:rPr>
        <w:t>10.3</w:t>
      </w:r>
      <w:r>
        <w:rPr>
          <w:rFonts w:ascii="Calibri" w:hAnsi="Calibri" w:cs="Calibri"/>
          <w:sz w:val="20"/>
          <w:szCs w:val="20"/>
        </w:rPr>
        <w:tab/>
        <w:t>Guidance on the Strategic Environment and Social Assessment (SESA)</w:t>
      </w:r>
    </w:p>
    <w:p w14:paraId="6809211D" w14:textId="77777777" w:rsidR="00CF33D9" w:rsidRDefault="00CF33D9">
      <w:pPr>
        <w:spacing w:line="220" w:lineRule="exact"/>
        <w:jc w:val="both"/>
        <w:rPr>
          <w:rFonts w:ascii="Calibri" w:hAnsi="Calibri" w:cs="Calibri"/>
          <w:sz w:val="20"/>
          <w:szCs w:val="20"/>
        </w:rPr>
      </w:pPr>
    </w:p>
    <w:p w14:paraId="6809211E" w14:textId="77777777" w:rsidR="00CF33D9" w:rsidRDefault="009B0270">
      <w:pPr>
        <w:spacing w:line="220" w:lineRule="exact"/>
        <w:rPr>
          <w:rFonts w:ascii="Calibri" w:hAnsi="Calibri" w:cs="Calibri"/>
          <w:sz w:val="20"/>
          <w:szCs w:val="20"/>
        </w:rPr>
      </w:pPr>
      <w:hyperlink r:id="rId100" w:history="1">
        <w:r w:rsidR="00E3332A">
          <w:rPr>
            <w:rStyle w:val="Hyperlink"/>
            <w:rFonts w:ascii="Calibri" w:hAnsi="Calibri" w:cs="Calibri"/>
            <w:sz w:val="20"/>
            <w:szCs w:val="20"/>
          </w:rPr>
          <w:t>https://info.undp.org/sites/bpps/SES_Toolkit/SES%20Document%20Library/Uploaded%20October%202016/UNDP%20SES%20Assessment%20and%20Management%20GN%20-%20FInal%20Nov2020.pdf</w:t>
        </w:r>
      </w:hyperlink>
    </w:p>
    <w:p w14:paraId="6809211F" w14:textId="77777777" w:rsidR="00CF33D9" w:rsidRDefault="00CF33D9">
      <w:pPr>
        <w:spacing w:line="220" w:lineRule="exact"/>
        <w:jc w:val="both"/>
        <w:rPr>
          <w:rFonts w:ascii="Calibri" w:hAnsi="Calibri" w:cs="Calibri"/>
          <w:sz w:val="20"/>
          <w:szCs w:val="20"/>
        </w:rPr>
      </w:pPr>
    </w:p>
    <w:p w14:paraId="68092120" w14:textId="77777777" w:rsidR="00CF33D9" w:rsidRDefault="00CF33D9">
      <w:pPr>
        <w:spacing w:line="220" w:lineRule="exact"/>
        <w:jc w:val="both"/>
        <w:rPr>
          <w:rFonts w:ascii="Calibri" w:hAnsi="Calibri" w:cs="Calibri"/>
          <w:sz w:val="20"/>
          <w:szCs w:val="20"/>
        </w:rPr>
      </w:pPr>
    </w:p>
    <w:p w14:paraId="68092121" w14:textId="77777777" w:rsidR="00CF33D9" w:rsidRDefault="00E3332A">
      <w:pPr>
        <w:rPr>
          <w:rFonts w:ascii="Calibri" w:hAnsi="Calibri" w:cs="Calibri"/>
          <w:sz w:val="20"/>
          <w:szCs w:val="20"/>
        </w:rPr>
      </w:pPr>
      <w:r>
        <w:rPr>
          <w:rFonts w:ascii="Calibri" w:hAnsi="Calibri" w:cs="Calibri"/>
          <w:sz w:val="20"/>
          <w:szCs w:val="20"/>
        </w:rPr>
        <w:t>10.4.</w:t>
      </w:r>
      <w:r>
        <w:rPr>
          <w:rFonts w:ascii="Calibri" w:hAnsi="Calibri" w:cs="Calibri"/>
          <w:sz w:val="20"/>
          <w:szCs w:val="20"/>
        </w:rPr>
        <w:tab/>
        <w:t>Sample Terms of Reference: Project-level Grievance Redress Mechanism</w:t>
      </w:r>
    </w:p>
    <w:p w14:paraId="68092122" w14:textId="77777777" w:rsidR="00CF33D9" w:rsidRDefault="00CF33D9">
      <w:pPr>
        <w:jc w:val="both"/>
        <w:rPr>
          <w:rFonts w:ascii="Calibri" w:hAnsi="Calibri" w:cs="Calibri"/>
          <w:sz w:val="20"/>
          <w:szCs w:val="20"/>
        </w:rPr>
      </w:pPr>
    </w:p>
    <w:p w14:paraId="68092123" w14:textId="77777777" w:rsidR="00CF33D9" w:rsidRDefault="00E3332A">
      <w:pPr>
        <w:rPr>
          <w:rFonts w:ascii="Calibri" w:hAnsi="Calibri" w:cs="Calibri"/>
          <w:sz w:val="20"/>
          <w:szCs w:val="20"/>
        </w:rPr>
      </w:pPr>
      <w:r>
        <w:rPr>
          <w:rFonts w:ascii="Calibri" w:hAnsi="Calibri" w:cs="Calibri"/>
          <w:sz w:val="20"/>
          <w:szCs w:val="20"/>
          <w:u w:val="single"/>
        </w:rPr>
        <w:t>Source</w:t>
      </w:r>
      <w:r>
        <w:rPr>
          <w:rFonts w:ascii="Calibri" w:hAnsi="Calibri" w:cs="Calibri"/>
          <w:sz w:val="20"/>
          <w:szCs w:val="20"/>
        </w:rPr>
        <w:t>: Guidance Note on Stakeholder Engagement, UNDP Social and Environmental Standards (SES), October 2017</w:t>
      </w:r>
    </w:p>
    <w:p w14:paraId="68092124" w14:textId="77777777" w:rsidR="00CF33D9" w:rsidRDefault="00E3332A">
      <w:pPr>
        <w:spacing w:before="240" w:line="200" w:lineRule="exact"/>
        <w:rPr>
          <w:rFonts w:ascii="Calibri" w:hAnsi="Calibri" w:cs="Calibri"/>
          <w:b/>
          <w:bCs/>
          <w:color w:val="000000"/>
          <w:sz w:val="20"/>
          <w:szCs w:val="20"/>
        </w:rPr>
      </w:pPr>
      <w:r>
        <w:rPr>
          <w:rFonts w:ascii="Calibri" w:hAnsi="Calibri" w:cs="Calibri"/>
          <w:b/>
          <w:bCs/>
          <w:color w:val="000000"/>
          <w:sz w:val="20"/>
          <w:szCs w:val="20"/>
        </w:rPr>
        <w:t>I. Mandate</w:t>
      </w:r>
    </w:p>
    <w:p w14:paraId="68092125" w14:textId="77777777" w:rsidR="00CF33D9" w:rsidRDefault="00E3332A">
      <w:pPr>
        <w:spacing w:line="200" w:lineRule="exact"/>
        <w:rPr>
          <w:rFonts w:ascii="Calibri" w:hAnsi="Calibri" w:cs="Calibri"/>
          <w:sz w:val="20"/>
          <w:szCs w:val="20"/>
        </w:rPr>
      </w:pPr>
      <w:r>
        <w:rPr>
          <w:rFonts w:ascii="Calibri" w:hAnsi="Calibri" w:cs="Calibri"/>
          <w:sz w:val="20"/>
          <w:szCs w:val="20"/>
        </w:rPr>
        <w:t xml:space="preserve">The mandate of the GRM will be to: </w:t>
      </w:r>
    </w:p>
    <w:p w14:paraId="68092126" w14:textId="77777777" w:rsidR="00CF33D9" w:rsidRDefault="00E3332A">
      <w:pPr>
        <w:pStyle w:val="ListParagraph"/>
        <w:numPr>
          <w:ilvl w:val="5"/>
          <w:numId w:val="144"/>
        </w:numPr>
        <w:spacing w:before="60" w:after="60" w:line="200" w:lineRule="exact"/>
        <w:ind w:left="1080" w:hanging="360"/>
        <w:jc w:val="both"/>
        <w:rPr>
          <w:rFonts w:ascii="Calibri" w:hAnsi="Calibri" w:cs="Calibri"/>
          <w:sz w:val="20"/>
          <w:szCs w:val="20"/>
        </w:rPr>
      </w:pPr>
      <w:r>
        <w:rPr>
          <w:rFonts w:ascii="Calibri" w:hAnsi="Calibri" w:cs="Calibri"/>
          <w:sz w:val="20"/>
          <w:szCs w:val="20"/>
        </w:rPr>
        <w:t>Receive and address any concerns, complaints, notices of emerging conflicts, or grievances (collectively “</w:t>
      </w:r>
      <w:r>
        <w:rPr>
          <w:rFonts w:ascii="Calibri" w:hAnsi="Calibri" w:cs="Calibri"/>
          <w:i/>
          <w:iCs/>
          <w:sz w:val="20"/>
          <w:szCs w:val="20"/>
        </w:rPr>
        <w:t>Grievance</w:t>
      </w:r>
      <w:r>
        <w:rPr>
          <w:rFonts w:ascii="Calibri" w:hAnsi="Calibri" w:cs="Calibri"/>
          <w:sz w:val="20"/>
          <w:szCs w:val="20"/>
        </w:rPr>
        <w:t>”) alleging actual or potential harm to affected person(s) (the “</w:t>
      </w:r>
      <w:r>
        <w:rPr>
          <w:rFonts w:ascii="Calibri" w:hAnsi="Calibri" w:cs="Calibri"/>
          <w:i/>
          <w:iCs/>
          <w:sz w:val="20"/>
          <w:szCs w:val="20"/>
        </w:rPr>
        <w:t>Claimant(s)</w:t>
      </w:r>
      <w:r>
        <w:rPr>
          <w:rFonts w:ascii="Calibri" w:hAnsi="Calibri" w:cs="Calibri"/>
          <w:sz w:val="20"/>
          <w:szCs w:val="20"/>
        </w:rPr>
        <w:t>”) arising from Project.</w:t>
      </w:r>
    </w:p>
    <w:p w14:paraId="68092127" w14:textId="77777777" w:rsidR="00CF33D9" w:rsidRDefault="00E3332A">
      <w:pPr>
        <w:pStyle w:val="ListParagraph"/>
        <w:numPr>
          <w:ilvl w:val="5"/>
          <w:numId w:val="144"/>
        </w:numPr>
        <w:spacing w:before="60" w:after="60" w:line="200" w:lineRule="exact"/>
        <w:ind w:left="1080" w:hanging="360"/>
        <w:jc w:val="both"/>
        <w:rPr>
          <w:rFonts w:ascii="Calibri" w:hAnsi="Calibri" w:cs="Calibri"/>
          <w:sz w:val="20"/>
          <w:szCs w:val="20"/>
        </w:rPr>
      </w:pPr>
      <w:r>
        <w:rPr>
          <w:rFonts w:ascii="Calibri" w:hAnsi="Calibri" w:cs="Calibri"/>
          <w:sz w:val="20"/>
          <w:szCs w:val="20"/>
        </w:rPr>
        <w:t>Assist in resolution of Grievances between and among Project Stakeholders; as well as the various government ministries, agencies, and commissions, CSOs and NGOs, and others (collectively, the “</w:t>
      </w:r>
      <w:r>
        <w:rPr>
          <w:rFonts w:ascii="Calibri" w:hAnsi="Calibri" w:cs="Calibri"/>
          <w:i/>
          <w:iCs/>
          <w:sz w:val="20"/>
          <w:szCs w:val="20"/>
        </w:rPr>
        <w:t>Stakeholders</w:t>
      </w:r>
      <w:r>
        <w:rPr>
          <w:rFonts w:ascii="Calibri" w:hAnsi="Calibri" w:cs="Calibri"/>
          <w:sz w:val="20"/>
          <w:szCs w:val="20"/>
        </w:rPr>
        <w:t>”) in the context of the Project.</w:t>
      </w:r>
    </w:p>
    <w:p w14:paraId="68092128" w14:textId="77777777" w:rsidR="00CF33D9" w:rsidRDefault="00E3332A">
      <w:pPr>
        <w:pStyle w:val="ListParagraph"/>
        <w:numPr>
          <w:ilvl w:val="5"/>
          <w:numId w:val="144"/>
        </w:numPr>
        <w:spacing w:before="60" w:after="60" w:line="200" w:lineRule="exact"/>
        <w:ind w:left="1080" w:hanging="360"/>
        <w:jc w:val="both"/>
        <w:rPr>
          <w:rFonts w:ascii="Calibri" w:hAnsi="Calibri" w:cs="Calibri"/>
          <w:sz w:val="20"/>
          <w:szCs w:val="20"/>
        </w:rPr>
      </w:pPr>
      <w:r>
        <w:rPr>
          <w:rFonts w:ascii="Calibri" w:hAnsi="Calibri" w:cs="Calibri"/>
          <w:sz w:val="20"/>
          <w:szCs w:val="20"/>
        </w:rPr>
        <w:t xml:space="preserve">Conduct itself at all times in a flexible, collaborative, and transparent manner aimed at problem solving and consensus building. </w:t>
      </w:r>
    </w:p>
    <w:p w14:paraId="68092129" w14:textId="77777777" w:rsidR="00CF33D9" w:rsidRDefault="00E3332A">
      <w:pPr>
        <w:spacing w:before="240" w:line="200" w:lineRule="exact"/>
        <w:rPr>
          <w:rFonts w:ascii="Calibri" w:hAnsi="Calibri" w:cs="Calibri"/>
          <w:b/>
          <w:bCs/>
          <w:color w:val="000000"/>
          <w:sz w:val="20"/>
          <w:szCs w:val="20"/>
        </w:rPr>
      </w:pPr>
      <w:r>
        <w:rPr>
          <w:rFonts w:ascii="Calibri" w:hAnsi="Calibri" w:cs="Calibri"/>
          <w:b/>
          <w:bCs/>
          <w:color w:val="000000"/>
          <w:sz w:val="20"/>
          <w:szCs w:val="20"/>
        </w:rPr>
        <w:lastRenderedPageBreak/>
        <w:t xml:space="preserve">II. Functions </w:t>
      </w:r>
    </w:p>
    <w:p w14:paraId="6809212A" w14:textId="77777777" w:rsidR="00CF33D9" w:rsidRDefault="00E3332A">
      <w:pPr>
        <w:spacing w:line="200" w:lineRule="exact"/>
        <w:rPr>
          <w:rFonts w:ascii="Calibri" w:hAnsi="Calibri" w:cs="Calibri"/>
          <w:sz w:val="20"/>
          <w:szCs w:val="20"/>
        </w:rPr>
      </w:pPr>
      <w:r>
        <w:rPr>
          <w:rFonts w:ascii="Calibri" w:hAnsi="Calibri" w:cs="Calibri"/>
          <w:sz w:val="20"/>
          <w:szCs w:val="20"/>
        </w:rPr>
        <w:t xml:space="preserve">The functions of the GRM will be to: </w:t>
      </w:r>
    </w:p>
    <w:p w14:paraId="6809212B" w14:textId="77777777" w:rsidR="00CF33D9" w:rsidRDefault="00E3332A">
      <w:pPr>
        <w:pStyle w:val="ListParagraph"/>
        <w:numPr>
          <w:ilvl w:val="0"/>
          <w:numId w:val="145"/>
        </w:numPr>
        <w:spacing w:line="200" w:lineRule="exact"/>
        <w:ind w:left="1080"/>
        <w:jc w:val="both"/>
        <w:rPr>
          <w:rFonts w:ascii="Calibri" w:hAnsi="Calibri" w:cs="Calibri"/>
          <w:sz w:val="20"/>
          <w:szCs w:val="20"/>
        </w:rPr>
      </w:pPr>
      <w:r>
        <w:rPr>
          <w:rFonts w:ascii="Calibri" w:hAnsi="Calibri" w:cs="Calibri"/>
          <w:sz w:val="20"/>
          <w:szCs w:val="20"/>
        </w:rPr>
        <w:t>Receive, Log and Track all Grievances received.</w:t>
      </w:r>
    </w:p>
    <w:p w14:paraId="6809212C" w14:textId="77777777" w:rsidR="00CF33D9" w:rsidRDefault="00E3332A">
      <w:pPr>
        <w:pStyle w:val="ListParagraph"/>
        <w:numPr>
          <w:ilvl w:val="0"/>
          <w:numId w:val="145"/>
        </w:numPr>
        <w:spacing w:line="200" w:lineRule="exact"/>
        <w:ind w:left="1080"/>
        <w:jc w:val="both"/>
        <w:rPr>
          <w:rFonts w:ascii="Calibri" w:hAnsi="Calibri" w:cs="Calibri"/>
          <w:sz w:val="20"/>
          <w:szCs w:val="20"/>
        </w:rPr>
      </w:pPr>
      <w:r>
        <w:rPr>
          <w:rFonts w:ascii="Calibri" w:hAnsi="Calibri" w:cs="Calibri"/>
          <w:sz w:val="20"/>
          <w:szCs w:val="20"/>
        </w:rPr>
        <w:t>Provide regular status updates on Grievances to Claimants, Project Board (PB) members and other relevant Stakeholders, as applicable.</w:t>
      </w:r>
    </w:p>
    <w:p w14:paraId="6809212D" w14:textId="77777777" w:rsidR="00CF33D9" w:rsidRDefault="00E3332A">
      <w:pPr>
        <w:pStyle w:val="ListParagraph"/>
        <w:numPr>
          <w:ilvl w:val="0"/>
          <w:numId w:val="145"/>
        </w:numPr>
        <w:spacing w:line="200" w:lineRule="exact"/>
        <w:ind w:left="1080"/>
        <w:jc w:val="both"/>
        <w:rPr>
          <w:rFonts w:ascii="Calibri" w:hAnsi="Calibri" w:cs="Calibri"/>
          <w:sz w:val="20"/>
          <w:szCs w:val="20"/>
        </w:rPr>
      </w:pPr>
      <w:r>
        <w:rPr>
          <w:rFonts w:ascii="Calibri" w:hAnsi="Calibri" w:cs="Calibri"/>
          <w:sz w:val="20"/>
          <w:szCs w:val="20"/>
        </w:rPr>
        <w:t>Engage the PB members, Government institutions and other relevant Stakeholders in Grievance resolution.</w:t>
      </w:r>
    </w:p>
    <w:p w14:paraId="6809212E" w14:textId="77777777" w:rsidR="00CF33D9" w:rsidRDefault="00E3332A">
      <w:pPr>
        <w:pStyle w:val="ListParagraph"/>
        <w:numPr>
          <w:ilvl w:val="0"/>
          <w:numId w:val="145"/>
        </w:numPr>
        <w:spacing w:line="200" w:lineRule="exact"/>
        <w:ind w:left="1080"/>
        <w:jc w:val="both"/>
        <w:rPr>
          <w:rFonts w:ascii="Calibri" w:hAnsi="Calibri" w:cs="Calibri"/>
          <w:sz w:val="20"/>
          <w:szCs w:val="20"/>
        </w:rPr>
      </w:pPr>
      <w:r>
        <w:rPr>
          <w:rFonts w:ascii="Calibri" w:hAnsi="Calibri" w:cs="Calibri"/>
          <w:sz w:val="20"/>
          <w:szCs w:val="20"/>
        </w:rPr>
        <w:t>Process and propose solutions and ways forward related to specific Grievances within a period not to exceed sixty (60) days from receipt of the Grievance.</w:t>
      </w:r>
    </w:p>
    <w:p w14:paraId="6809212F" w14:textId="77777777" w:rsidR="00CF33D9" w:rsidRDefault="00E3332A">
      <w:pPr>
        <w:pStyle w:val="ListParagraph"/>
        <w:numPr>
          <w:ilvl w:val="0"/>
          <w:numId w:val="145"/>
        </w:numPr>
        <w:spacing w:line="200" w:lineRule="exact"/>
        <w:ind w:left="1080"/>
        <w:jc w:val="both"/>
        <w:rPr>
          <w:rFonts w:ascii="Calibri" w:hAnsi="Calibri" w:cs="Calibri"/>
          <w:sz w:val="20"/>
          <w:szCs w:val="20"/>
        </w:rPr>
      </w:pPr>
      <w:r>
        <w:rPr>
          <w:rFonts w:ascii="Calibri" w:hAnsi="Calibri" w:cs="Calibri"/>
          <w:sz w:val="20"/>
          <w:szCs w:val="20"/>
        </w:rPr>
        <w:t>Identify growing trends in Grievances and recommend possible measures to avoid the same.</w:t>
      </w:r>
    </w:p>
    <w:p w14:paraId="68092130" w14:textId="77777777" w:rsidR="00CF33D9" w:rsidRDefault="00E3332A">
      <w:pPr>
        <w:pStyle w:val="ListParagraph"/>
        <w:numPr>
          <w:ilvl w:val="0"/>
          <w:numId w:val="145"/>
        </w:numPr>
        <w:spacing w:line="200" w:lineRule="exact"/>
        <w:ind w:left="1080"/>
        <w:jc w:val="both"/>
        <w:rPr>
          <w:rFonts w:ascii="Calibri" w:hAnsi="Calibri" w:cs="Calibri"/>
          <w:sz w:val="20"/>
          <w:szCs w:val="20"/>
        </w:rPr>
      </w:pPr>
      <w:r>
        <w:rPr>
          <w:rFonts w:ascii="Calibri" w:hAnsi="Calibri" w:cs="Calibri"/>
          <w:sz w:val="20"/>
          <w:szCs w:val="20"/>
        </w:rPr>
        <w:t>Receive and service requests for, and suggest the use of, mediation or facilitation.</w:t>
      </w:r>
    </w:p>
    <w:p w14:paraId="68092131" w14:textId="77777777" w:rsidR="00CF33D9" w:rsidRDefault="00E3332A">
      <w:pPr>
        <w:pStyle w:val="ListParagraph"/>
        <w:numPr>
          <w:ilvl w:val="0"/>
          <w:numId w:val="145"/>
        </w:numPr>
        <w:spacing w:line="200" w:lineRule="exact"/>
        <w:ind w:left="1080"/>
        <w:jc w:val="both"/>
        <w:rPr>
          <w:rFonts w:ascii="Calibri" w:hAnsi="Calibri" w:cs="Calibri"/>
          <w:sz w:val="20"/>
          <w:szCs w:val="20"/>
        </w:rPr>
      </w:pPr>
      <w:r>
        <w:rPr>
          <w:rFonts w:ascii="Calibri" w:hAnsi="Calibri" w:cs="Calibri"/>
          <w:sz w:val="20"/>
          <w:szCs w:val="20"/>
        </w:rPr>
        <w:t>Elaborate bi-annual reports, make said reports available to the public, and more generally work to maximize the disclosure of its work (including its reports, findings, and outcomes).</w:t>
      </w:r>
    </w:p>
    <w:p w14:paraId="68092132" w14:textId="77777777" w:rsidR="00CF33D9" w:rsidRDefault="00E3332A">
      <w:pPr>
        <w:pStyle w:val="ListParagraph"/>
        <w:numPr>
          <w:ilvl w:val="0"/>
          <w:numId w:val="145"/>
        </w:numPr>
        <w:spacing w:line="200" w:lineRule="exact"/>
        <w:ind w:left="1080"/>
        <w:jc w:val="both"/>
        <w:rPr>
          <w:rFonts w:ascii="Calibri" w:hAnsi="Calibri" w:cs="Calibri"/>
          <w:sz w:val="20"/>
          <w:szCs w:val="20"/>
        </w:rPr>
      </w:pPr>
      <w:r>
        <w:rPr>
          <w:rFonts w:ascii="Calibri" w:hAnsi="Calibri" w:cs="Calibri"/>
          <w:sz w:val="20"/>
          <w:szCs w:val="20"/>
        </w:rPr>
        <w:t>Ensure increased awareness, accessibility, predictability, transparency, legitimacy, and credibility of the GRM process.</w:t>
      </w:r>
    </w:p>
    <w:p w14:paraId="68092133" w14:textId="77777777" w:rsidR="00CF33D9" w:rsidRDefault="00E3332A">
      <w:pPr>
        <w:pStyle w:val="ListParagraph"/>
        <w:numPr>
          <w:ilvl w:val="0"/>
          <w:numId w:val="145"/>
        </w:numPr>
        <w:spacing w:line="200" w:lineRule="exact"/>
        <w:ind w:left="1080"/>
        <w:jc w:val="both"/>
        <w:rPr>
          <w:rFonts w:ascii="Calibri" w:hAnsi="Calibri" w:cs="Calibri"/>
          <w:sz w:val="20"/>
          <w:szCs w:val="20"/>
        </w:rPr>
      </w:pPr>
      <w:r>
        <w:rPr>
          <w:rFonts w:ascii="Calibri" w:hAnsi="Calibri" w:cs="Calibri"/>
          <w:sz w:val="20"/>
          <w:szCs w:val="20"/>
        </w:rPr>
        <w:t>Collaborate with Partner Institutions and other NGOs, CSOs and other entities to conduct outreach initiatives to increase awareness among Stakeholders as to the existence of the GRM and how its services can be accessed.</w:t>
      </w:r>
    </w:p>
    <w:p w14:paraId="68092134" w14:textId="77777777" w:rsidR="00CF33D9" w:rsidRDefault="00E3332A">
      <w:pPr>
        <w:pStyle w:val="ListParagraph"/>
        <w:numPr>
          <w:ilvl w:val="0"/>
          <w:numId w:val="145"/>
        </w:numPr>
        <w:spacing w:line="200" w:lineRule="exact"/>
        <w:ind w:left="1080"/>
        <w:jc w:val="both"/>
        <w:rPr>
          <w:rFonts w:ascii="Calibri" w:hAnsi="Calibri" w:cs="Calibri"/>
          <w:sz w:val="20"/>
          <w:szCs w:val="20"/>
        </w:rPr>
      </w:pPr>
      <w:r>
        <w:rPr>
          <w:rFonts w:ascii="Calibri" w:hAnsi="Calibri" w:cs="Calibri"/>
          <w:sz w:val="20"/>
          <w:szCs w:val="20"/>
        </w:rPr>
        <w:t>Ensure continuing education of PB members and their respective institutions about the relevant laws and policies that they will need to be aware of to participate in the development of effective resolutions to Grievances likely to come before the GRM.</w:t>
      </w:r>
    </w:p>
    <w:p w14:paraId="68092135" w14:textId="77777777" w:rsidR="00CF33D9" w:rsidRDefault="00E3332A">
      <w:pPr>
        <w:pStyle w:val="ListParagraph"/>
        <w:numPr>
          <w:ilvl w:val="0"/>
          <w:numId w:val="145"/>
        </w:numPr>
        <w:spacing w:line="200" w:lineRule="exact"/>
        <w:ind w:left="1080"/>
        <w:jc w:val="both"/>
        <w:rPr>
          <w:rFonts w:ascii="Calibri" w:hAnsi="Calibri" w:cs="Calibri"/>
          <w:sz w:val="20"/>
          <w:szCs w:val="20"/>
        </w:rPr>
      </w:pPr>
      <w:r>
        <w:rPr>
          <w:rFonts w:ascii="Calibri" w:hAnsi="Calibri" w:cs="Calibri"/>
          <w:sz w:val="20"/>
          <w:szCs w:val="20"/>
        </w:rPr>
        <w:t>Monitor follow up to Grievance resolutions, as appropriate.</w:t>
      </w:r>
    </w:p>
    <w:p w14:paraId="68092136" w14:textId="77777777" w:rsidR="00CF33D9" w:rsidRDefault="00E3332A">
      <w:pPr>
        <w:spacing w:before="240" w:line="200" w:lineRule="exact"/>
        <w:rPr>
          <w:rFonts w:ascii="Calibri" w:hAnsi="Calibri" w:cs="Calibri"/>
          <w:b/>
          <w:bCs/>
          <w:color w:val="000000"/>
          <w:sz w:val="20"/>
          <w:szCs w:val="20"/>
        </w:rPr>
      </w:pPr>
      <w:r>
        <w:rPr>
          <w:rFonts w:ascii="Calibri" w:hAnsi="Calibri" w:cs="Calibri"/>
          <w:b/>
          <w:bCs/>
          <w:color w:val="000000"/>
          <w:sz w:val="20"/>
          <w:szCs w:val="20"/>
        </w:rPr>
        <w:t xml:space="preserve">III. Composition </w:t>
      </w:r>
    </w:p>
    <w:p w14:paraId="68092137" w14:textId="77777777" w:rsidR="00CF33D9" w:rsidRDefault="00E3332A">
      <w:pPr>
        <w:spacing w:line="200" w:lineRule="exact"/>
        <w:rPr>
          <w:rFonts w:ascii="Calibri" w:hAnsi="Calibri" w:cs="Calibri"/>
          <w:sz w:val="20"/>
          <w:szCs w:val="20"/>
        </w:rPr>
      </w:pPr>
      <w:r>
        <w:rPr>
          <w:rFonts w:ascii="Calibri" w:hAnsi="Calibri" w:cs="Calibri"/>
          <w:sz w:val="20"/>
          <w:szCs w:val="20"/>
        </w:rPr>
        <w:t xml:space="preserve">The GRM will be composed of: </w:t>
      </w:r>
    </w:p>
    <w:p w14:paraId="68092138" w14:textId="77777777" w:rsidR="00CF33D9" w:rsidRDefault="00E3332A">
      <w:pPr>
        <w:spacing w:line="200" w:lineRule="exact"/>
        <w:rPr>
          <w:rFonts w:ascii="Calibri" w:hAnsi="Calibri" w:cs="Calibri"/>
          <w:sz w:val="20"/>
          <w:szCs w:val="20"/>
        </w:rPr>
      </w:pPr>
      <w:r>
        <w:rPr>
          <w:rFonts w:ascii="Calibri" w:hAnsi="Calibri" w:cs="Calibri"/>
          <w:sz w:val="20"/>
          <w:szCs w:val="20"/>
        </w:rPr>
        <w:t xml:space="preserve">[Name of Implementing Partner] as the Secretariat and either: </w:t>
      </w:r>
    </w:p>
    <w:p w14:paraId="68092139" w14:textId="77777777" w:rsidR="00CF33D9" w:rsidRDefault="00E3332A">
      <w:pPr>
        <w:pStyle w:val="ListParagraph"/>
        <w:numPr>
          <w:ilvl w:val="0"/>
          <w:numId w:val="146"/>
        </w:numPr>
        <w:spacing w:before="120" w:after="120" w:line="200" w:lineRule="exact"/>
        <w:jc w:val="both"/>
        <w:rPr>
          <w:rFonts w:ascii="Calibri" w:hAnsi="Calibri" w:cs="Calibri"/>
          <w:sz w:val="20"/>
          <w:szCs w:val="20"/>
        </w:rPr>
      </w:pPr>
      <w:r>
        <w:rPr>
          <w:rFonts w:ascii="Calibri" w:hAnsi="Calibri" w:cs="Calibri"/>
          <w:sz w:val="20"/>
          <w:szCs w:val="20"/>
        </w:rPr>
        <w:t>A standing GRM Sub-Committee [made up of x, y, z PB members],</w:t>
      </w:r>
    </w:p>
    <w:p w14:paraId="6809213A" w14:textId="77777777" w:rsidR="00CF33D9" w:rsidRDefault="00E3332A">
      <w:pPr>
        <w:spacing w:line="200" w:lineRule="exact"/>
        <w:rPr>
          <w:rFonts w:ascii="Calibri" w:hAnsi="Calibri" w:cs="Calibri"/>
          <w:sz w:val="20"/>
          <w:szCs w:val="20"/>
        </w:rPr>
      </w:pPr>
      <w:r>
        <w:rPr>
          <w:rFonts w:ascii="Calibri" w:hAnsi="Calibri" w:cs="Calibri"/>
          <w:sz w:val="20"/>
          <w:szCs w:val="20"/>
        </w:rPr>
        <w:t xml:space="preserve">and/or </w:t>
      </w:r>
    </w:p>
    <w:p w14:paraId="6809213B" w14:textId="77777777" w:rsidR="00CF33D9" w:rsidRDefault="00E3332A">
      <w:pPr>
        <w:pStyle w:val="ListParagraph"/>
        <w:numPr>
          <w:ilvl w:val="0"/>
          <w:numId w:val="146"/>
        </w:numPr>
        <w:spacing w:before="120" w:after="120" w:line="200" w:lineRule="exact"/>
        <w:jc w:val="both"/>
        <w:rPr>
          <w:rFonts w:ascii="Calibri" w:hAnsi="Calibri" w:cs="Calibri"/>
          <w:sz w:val="20"/>
          <w:szCs w:val="20"/>
        </w:rPr>
      </w:pPr>
      <w:r>
        <w:rPr>
          <w:rFonts w:ascii="Calibri" w:hAnsi="Calibri" w:cs="Calibri"/>
          <w:sz w:val="20"/>
          <w:szCs w:val="20"/>
        </w:rPr>
        <w:t>Ad hoc GRM Task Teams in response to specific requests for grievance.</w:t>
      </w:r>
    </w:p>
    <w:p w14:paraId="6809213C" w14:textId="77777777" w:rsidR="00CF33D9" w:rsidRDefault="00E3332A">
      <w:pPr>
        <w:spacing w:line="200" w:lineRule="exact"/>
        <w:rPr>
          <w:rFonts w:ascii="Calibri" w:hAnsi="Calibri" w:cs="Calibri"/>
          <w:sz w:val="20"/>
          <w:szCs w:val="20"/>
        </w:rPr>
      </w:pPr>
      <w:r>
        <w:rPr>
          <w:rFonts w:ascii="Calibri" w:hAnsi="Calibri" w:cs="Calibri"/>
          <w:sz w:val="20"/>
          <w:szCs w:val="20"/>
        </w:rPr>
        <w:t xml:space="preserve">The GRM Sub-Committee will be balanced in composition (government and non-government) and should not include any PB members with a direct interest or role in the grievance/dispute. </w:t>
      </w:r>
    </w:p>
    <w:p w14:paraId="6809213D" w14:textId="77777777" w:rsidR="00CF33D9" w:rsidRDefault="00CF33D9">
      <w:pPr>
        <w:spacing w:line="200" w:lineRule="exact"/>
        <w:rPr>
          <w:rFonts w:ascii="Calibri" w:hAnsi="Calibri" w:cs="Calibri"/>
          <w:sz w:val="20"/>
          <w:szCs w:val="20"/>
        </w:rPr>
      </w:pPr>
    </w:p>
    <w:p w14:paraId="6809213E" w14:textId="77777777" w:rsidR="00CF33D9" w:rsidRDefault="00E3332A">
      <w:pPr>
        <w:spacing w:line="200" w:lineRule="exact"/>
        <w:rPr>
          <w:rFonts w:ascii="Calibri" w:hAnsi="Calibri" w:cs="Calibri"/>
          <w:b/>
          <w:bCs/>
          <w:color w:val="000000"/>
          <w:sz w:val="20"/>
          <w:szCs w:val="20"/>
        </w:rPr>
      </w:pPr>
      <w:r>
        <w:rPr>
          <w:rFonts w:ascii="Calibri" w:hAnsi="Calibri" w:cs="Calibri"/>
          <w:b/>
          <w:bCs/>
          <w:color w:val="000000"/>
          <w:sz w:val="20"/>
          <w:szCs w:val="20"/>
        </w:rPr>
        <w:t xml:space="preserve">IV. [Name of Implementing Partner] </w:t>
      </w:r>
    </w:p>
    <w:p w14:paraId="6809213F" w14:textId="77777777" w:rsidR="00CF33D9" w:rsidRDefault="00E3332A">
      <w:pPr>
        <w:spacing w:line="200" w:lineRule="exact"/>
        <w:rPr>
          <w:rFonts w:ascii="Calibri" w:hAnsi="Calibri" w:cs="Calibri"/>
          <w:sz w:val="20"/>
          <w:szCs w:val="20"/>
        </w:rPr>
      </w:pPr>
      <w:r>
        <w:rPr>
          <w:rFonts w:ascii="Calibri" w:hAnsi="Calibri" w:cs="Calibri"/>
          <w:sz w:val="20"/>
          <w:szCs w:val="20"/>
        </w:rPr>
        <w:t xml:space="preserve">In its role as GRM Secretariat, [Name of Implementing Partner] will perform the following core functions: </w:t>
      </w:r>
    </w:p>
    <w:p w14:paraId="68092140" w14:textId="77777777" w:rsidR="00CF33D9" w:rsidRDefault="00E3332A">
      <w:pPr>
        <w:pStyle w:val="ListParagraph"/>
        <w:numPr>
          <w:ilvl w:val="0"/>
          <w:numId w:val="147"/>
        </w:numPr>
        <w:spacing w:after="60" w:line="200" w:lineRule="exact"/>
        <w:ind w:left="1080"/>
        <w:jc w:val="both"/>
        <w:rPr>
          <w:rFonts w:ascii="Calibri" w:hAnsi="Calibri" w:cs="Calibri"/>
          <w:sz w:val="20"/>
          <w:szCs w:val="20"/>
        </w:rPr>
      </w:pPr>
      <w:r>
        <w:rPr>
          <w:rFonts w:ascii="Calibri" w:hAnsi="Calibri" w:cs="Calibri"/>
          <w:sz w:val="20"/>
          <w:szCs w:val="20"/>
        </w:rPr>
        <w:t>Publicize the existence of the GRM and the procedure for using it.</w:t>
      </w:r>
    </w:p>
    <w:p w14:paraId="68092141" w14:textId="77777777" w:rsidR="00CF33D9" w:rsidRDefault="00E3332A">
      <w:pPr>
        <w:pStyle w:val="ListParagraph"/>
        <w:numPr>
          <w:ilvl w:val="0"/>
          <w:numId w:val="147"/>
        </w:numPr>
        <w:autoSpaceDE w:val="0"/>
        <w:autoSpaceDN w:val="0"/>
        <w:adjustRightInd w:val="0"/>
        <w:spacing w:line="200" w:lineRule="exact"/>
        <w:ind w:left="1080"/>
        <w:rPr>
          <w:rFonts w:ascii="Calibri" w:hAnsi="Calibri" w:cs="Calibri"/>
          <w:color w:val="000000"/>
          <w:sz w:val="20"/>
          <w:szCs w:val="20"/>
        </w:rPr>
      </w:pPr>
      <w:r>
        <w:rPr>
          <w:rFonts w:ascii="Calibri" w:hAnsi="Calibri" w:cs="Calibri"/>
          <w:color w:val="000000"/>
          <w:sz w:val="20"/>
          <w:szCs w:val="20"/>
        </w:rPr>
        <w:t>Receive and log requests for dispute resolution.</w:t>
      </w:r>
    </w:p>
    <w:p w14:paraId="68092142" w14:textId="77777777" w:rsidR="00CF33D9" w:rsidRDefault="00E3332A">
      <w:pPr>
        <w:pStyle w:val="ListParagraph"/>
        <w:numPr>
          <w:ilvl w:val="0"/>
          <w:numId w:val="147"/>
        </w:numPr>
        <w:autoSpaceDE w:val="0"/>
        <w:autoSpaceDN w:val="0"/>
        <w:adjustRightInd w:val="0"/>
        <w:spacing w:line="200" w:lineRule="exact"/>
        <w:ind w:left="1080"/>
        <w:rPr>
          <w:rFonts w:ascii="Calibri" w:hAnsi="Calibri" w:cs="Calibri"/>
          <w:color w:val="000000"/>
          <w:sz w:val="20"/>
          <w:szCs w:val="20"/>
        </w:rPr>
      </w:pPr>
      <w:r>
        <w:rPr>
          <w:rFonts w:ascii="Calibri" w:hAnsi="Calibri" w:cs="Calibri"/>
          <w:color w:val="000000"/>
          <w:sz w:val="20"/>
          <w:szCs w:val="20"/>
        </w:rPr>
        <w:t>Acknowledge receipt to the requestor.</w:t>
      </w:r>
    </w:p>
    <w:p w14:paraId="68092143" w14:textId="77777777" w:rsidR="00CF33D9" w:rsidRDefault="00E3332A">
      <w:pPr>
        <w:pStyle w:val="ListParagraph"/>
        <w:numPr>
          <w:ilvl w:val="0"/>
          <w:numId w:val="147"/>
        </w:numPr>
        <w:autoSpaceDE w:val="0"/>
        <w:autoSpaceDN w:val="0"/>
        <w:adjustRightInd w:val="0"/>
        <w:spacing w:line="200" w:lineRule="exact"/>
        <w:ind w:left="1080"/>
        <w:rPr>
          <w:rFonts w:ascii="Calibri" w:hAnsi="Calibri" w:cs="Calibri"/>
          <w:color w:val="000000"/>
          <w:sz w:val="20"/>
          <w:szCs w:val="20"/>
        </w:rPr>
      </w:pPr>
      <w:r>
        <w:rPr>
          <w:rFonts w:ascii="Calibri" w:hAnsi="Calibri" w:cs="Calibri"/>
          <w:color w:val="000000"/>
          <w:sz w:val="20"/>
          <w:szCs w:val="20"/>
        </w:rPr>
        <w:t>Determine eligibility.</w:t>
      </w:r>
    </w:p>
    <w:p w14:paraId="68092144" w14:textId="77777777" w:rsidR="00CF33D9" w:rsidRDefault="00E3332A">
      <w:pPr>
        <w:pStyle w:val="ListParagraph"/>
        <w:numPr>
          <w:ilvl w:val="0"/>
          <w:numId w:val="147"/>
        </w:numPr>
        <w:autoSpaceDE w:val="0"/>
        <w:autoSpaceDN w:val="0"/>
        <w:adjustRightInd w:val="0"/>
        <w:spacing w:line="200" w:lineRule="exact"/>
        <w:ind w:left="1080"/>
        <w:rPr>
          <w:rFonts w:ascii="Calibri" w:hAnsi="Calibri" w:cs="Calibri"/>
          <w:color w:val="000000"/>
          <w:sz w:val="20"/>
          <w:szCs w:val="20"/>
        </w:rPr>
      </w:pPr>
      <w:r>
        <w:rPr>
          <w:rFonts w:ascii="Calibri" w:hAnsi="Calibri" w:cs="Calibri"/>
          <w:color w:val="000000"/>
          <w:sz w:val="20"/>
          <w:szCs w:val="20"/>
        </w:rPr>
        <w:t>Forward eligible requests to the PB for review and action.</w:t>
      </w:r>
    </w:p>
    <w:p w14:paraId="68092145" w14:textId="77777777" w:rsidR="00CF33D9" w:rsidRDefault="00E3332A">
      <w:pPr>
        <w:pStyle w:val="ListParagraph"/>
        <w:numPr>
          <w:ilvl w:val="0"/>
          <w:numId w:val="147"/>
        </w:numPr>
        <w:autoSpaceDE w:val="0"/>
        <w:autoSpaceDN w:val="0"/>
        <w:adjustRightInd w:val="0"/>
        <w:spacing w:line="200" w:lineRule="exact"/>
        <w:ind w:left="1080"/>
        <w:rPr>
          <w:rFonts w:ascii="Calibri" w:hAnsi="Calibri" w:cs="Calibri"/>
          <w:color w:val="000000"/>
          <w:sz w:val="20"/>
          <w:szCs w:val="20"/>
        </w:rPr>
      </w:pPr>
      <w:r>
        <w:rPr>
          <w:rFonts w:ascii="Calibri" w:hAnsi="Calibri" w:cs="Calibri"/>
          <w:color w:val="000000"/>
          <w:sz w:val="20"/>
          <w:szCs w:val="20"/>
        </w:rPr>
        <w:t xml:space="preserve">Track and document efforts at grievance/dispute resolution and their outcomes. </w:t>
      </w:r>
    </w:p>
    <w:p w14:paraId="68092146" w14:textId="77777777" w:rsidR="00CF33D9" w:rsidRDefault="00E3332A">
      <w:pPr>
        <w:spacing w:before="240" w:line="200" w:lineRule="exact"/>
        <w:jc w:val="both"/>
        <w:rPr>
          <w:rFonts w:ascii="Calibri" w:hAnsi="Calibri" w:cs="Calibri"/>
          <w:b/>
          <w:bCs/>
          <w:color w:val="000000"/>
          <w:sz w:val="20"/>
          <w:szCs w:val="20"/>
        </w:rPr>
      </w:pPr>
      <w:r>
        <w:rPr>
          <w:rFonts w:ascii="Calibri" w:hAnsi="Calibri" w:cs="Calibri"/>
          <w:b/>
          <w:bCs/>
          <w:color w:val="000000"/>
          <w:sz w:val="20"/>
          <w:szCs w:val="20"/>
        </w:rPr>
        <w:t xml:space="preserve">V. Project Board/GRM Sub-Committee/GRM Task Team </w:t>
      </w:r>
    </w:p>
    <w:p w14:paraId="68092147" w14:textId="77777777" w:rsidR="00CF33D9" w:rsidRDefault="00E3332A">
      <w:pPr>
        <w:spacing w:line="200" w:lineRule="exact"/>
        <w:jc w:val="both"/>
        <w:rPr>
          <w:rFonts w:ascii="Calibri" w:hAnsi="Calibri" w:cs="Calibri"/>
          <w:sz w:val="20"/>
          <w:szCs w:val="20"/>
        </w:rPr>
      </w:pPr>
      <w:r>
        <w:rPr>
          <w:rFonts w:ascii="Calibri" w:hAnsi="Calibri" w:cs="Calibri"/>
          <w:sz w:val="20"/>
          <w:szCs w:val="20"/>
        </w:rPr>
        <w:t xml:space="preserve">The Project Board/GRM Sub-Committee and/or GRM Task Team will perform the following core functions: </w:t>
      </w:r>
    </w:p>
    <w:p w14:paraId="68092148" w14:textId="77777777" w:rsidR="00CF33D9" w:rsidRDefault="00E3332A">
      <w:pPr>
        <w:pStyle w:val="ListParagraph"/>
        <w:numPr>
          <w:ilvl w:val="0"/>
          <w:numId w:val="148"/>
        </w:numPr>
        <w:spacing w:before="60" w:after="60" w:line="200" w:lineRule="exact"/>
        <w:ind w:left="1080"/>
        <w:jc w:val="both"/>
        <w:rPr>
          <w:rFonts w:ascii="Calibri" w:hAnsi="Calibri" w:cs="Calibri"/>
          <w:sz w:val="20"/>
          <w:szCs w:val="20"/>
        </w:rPr>
      </w:pPr>
      <w:r>
        <w:rPr>
          <w:rFonts w:ascii="Calibri" w:hAnsi="Calibri" w:cs="Calibri"/>
          <w:sz w:val="20"/>
          <w:szCs w:val="20"/>
        </w:rPr>
        <w:t>Take direct action to resolve the grievance/dispute (e.g. bring the relevant parties together to discuss and resolve the issue themselves with oversight by the PB).</w:t>
      </w:r>
    </w:p>
    <w:p w14:paraId="68092149" w14:textId="77777777" w:rsidR="00CF33D9" w:rsidRDefault="00E3332A">
      <w:pPr>
        <w:pStyle w:val="ListParagraph"/>
        <w:numPr>
          <w:ilvl w:val="0"/>
          <w:numId w:val="148"/>
        </w:numPr>
        <w:spacing w:before="60" w:after="60" w:line="200" w:lineRule="exact"/>
        <w:ind w:left="1080"/>
        <w:jc w:val="both"/>
        <w:rPr>
          <w:rFonts w:ascii="Calibri" w:hAnsi="Calibri" w:cs="Calibri"/>
          <w:sz w:val="20"/>
          <w:szCs w:val="20"/>
        </w:rPr>
      </w:pPr>
      <w:r>
        <w:rPr>
          <w:rFonts w:ascii="Calibri" w:hAnsi="Calibri" w:cs="Calibri"/>
          <w:sz w:val="20"/>
          <w:szCs w:val="20"/>
        </w:rPr>
        <w:t>Request further information to clarify the issue, and share that information with all relevant parties, or ensure that a government agency represented on the PB took an appropriate administrative action to deal with a complaint.</w:t>
      </w:r>
    </w:p>
    <w:p w14:paraId="6809214A" w14:textId="77777777" w:rsidR="00CF33D9" w:rsidRDefault="00E3332A">
      <w:pPr>
        <w:pStyle w:val="ListParagraph"/>
        <w:numPr>
          <w:ilvl w:val="0"/>
          <w:numId w:val="148"/>
        </w:numPr>
        <w:spacing w:before="60" w:after="60" w:line="200" w:lineRule="exact"/>
        <w:ind w:left="1080"/>
        <w:jc w:val="both"/>
        <w:rPr>
          <w:rFonts w:ascii="Calibri" w:hAnsi="Calibri" w:cs="Calibri"/>
          <w:sz w:val="20"/>
          <w:szCs w:val="20"/>
        </w:rPr>
      </w:pPr>
      <w:r>
        <w:rPr>
          <w:rFonts w:ascii="Calibri" w:hAnsi="Calibri" w:cs="Calibri"/>
          <w:sz w:val="20"/>
          <w:szCs w:val="20"/>
        </w:rPr>
        <w:t xml:space="preserve">Refer the grievance/dispute to independent mediation, while maintaining oversight; or </w:t>
      </w:r>
    </w:p>
    <w:p w14:paraId="6809214B" w14:textId="77777777" w:rsidR="00CF33D9" w:rsidRDefault="00E3332A">
      <w:pPr>
        <w:pStyle w:val="ListParagraph"/>
        <w:numPr>
          <w:ilvl w:val="0"/>
          <w:numId w:val="148"/>
        </w:numPr>
        <w:spacing w:before="60" w:after="60" w:line="200" w:lineRule="exact"/>
        <w:ind w:left="1080"/>
        <w:jc w:val="both"/>
        <w:rPr>
          <w:rFonts w:ascii="Calibri" w:hAnsi="Calibri" w:cs="Calibri"/>
          <w:sz w:val="20"/>
          <w:szCs w:val="20"/>
        </w:rPr>
      </w:pPr>
      <w:r>
        <w:rPr>
          <w:rFonts w:ascii="Calibri" w:hAnsi="Calibri" w:cs="Calibri"/>
          <w:sz w:val="20"/>
          <w:szCs w:val="20"/>
        </w:rPr>
        <w:t xml:space="preserve">Determine that the request was outside the scope and mandate of the PB and refer it elsewhere (e.g. Ministry of Justice and Police or to the courts). </w:t>
      </w:r>
    </w:p>
    <w:p w14:paraId="6809214C" w14:textId="77777777" w:rsidR="00CF33D9" w:rsidRDefault="00E3332A">
      <w:pPr>
        <w:spacing w:before="240" w:line="200" w:lineRule="exact"/>
        <w:jc w:val="both"/>
        <w:rPr>
          <w:rFonts w:ascii="Calibri" w:hAnsi="Calibri" w:cs="Calibri"/>
          <w:b/>
          <w:bCs/>
          <w:color w:val="000000"/>
          <w:sz w:val="20"/>
          <w:szCs w:val="20"/>
        </w:rPr>
      </w:pPr>
      <w:r>
        <w:rPr>
          <w:rFonts w:ascii="Calibri" w:hAnsi="Calibri" w:cs="Calibri"/>
          <w:b/>
          <w:bCs/>
          <w:color w:val="000000"/>
          <w:sz w:val="20"/>
          <w:szCs w:val="20"/>
        </w:rPr>
        <w:t xml:space="preserve">VI. Communicating a Grievance </w:t>
      </w:r>
    </w:p>
    <w:p w14:paraId="6809214D" w14:textId="77777777" w:rsidR="00CF33D9" w:rsidRDefault="00E3332A">
      <w:pPr>
        <w:spacing w:line="200" w:lineRule="exact"/>
        <w:ind w:left="720"/>
        <w:jc w:val="both"/>
        <w:rPr>
          <w:rFonts w:ascii="Calibri" w:hAnsi="Calibri" w:cs="Calibri"/>
          <w:sz w:val="20"/>
          <w:szCs w:val="20"/>
        </w:rPr>
      </w:pPr>
      <w:r>
        <w:rPr>
          <w:rFonts w:ascii="Calibri" w:hAnsi="Calibri" w:cs="Calibri"/>
          <w:sz w:val="20"/>
          <w:szCs w:val="20"/>
        </w:rPr>
        <w:t xml:space="preserve">(i) Who can Submit a Grievance? </w:t>
      </w:r>
    </w:p>
    <w:p w14:paraId="6809214E" w14:textId="77777777" w:rsidR="00CF33D9" w:rsidRDefault="00E3332A">
      <w:pPr>
        <w:spacing w:line="200" w:lineRule="exact"/>
        <w:jc w:val="both"/>
        <w:rPr>
          <w:rFonts w:ascii="Calibri" w:hAnsi="Calibri" w:cs="Calibri"/>
          <w:sz w:val="20"/>
          <w:szCs w:val="20"/>
        </w:rPr>
      </w:pPr>
      <w:r>
        <w:rPr>
          <w:rFonts w:ascii="Calibri" w:hAnsi="Calibri" w:cs="Calibri"/>
          <w:sz w:val="20"/>
          <w:szCs w:val="20"/>
        </w:rPr>
        <w:t xml:space="preserve">A Grievance can be sent by any individual or group of individuals that believes it has been or will be harmed by the Project. </w:t>
      </w:r>
    </w:p>
    <w:p w14:paraId="6809214F" w14:textId="77777777" w:rsidR="00CF33D9" w:rsidRDefault="00E3332A">
      <w:pPr>
        <w:spacing w:line="200" w:lineRule="exact"/>
        <w:jc w:val="both"/>
        <w:rPr>
          <w:rFonts w:ascii="Calibri" w:hAnsi="Calibri" w:cs="Calibri"/>
          <w:sz w:val="20"/>
          <w:szCs w:val="20"/>
        </w:rPr>
      </w:pPr>
      <w:r>
        <w:rPr>
          <w:rFonts w:ascii="Calibri" w:hAnsi="Calibri" w:cs="Calibri"/>
          <w:sz w:val="20"/>
          <w:szCs w:val="20"/>
        </w:rPr>
        <w:t xml:space="preserve">If a Grievance is to be lodged by a different individual or organization on behalf of those said to be affected, the Claimant must identify the individual and/or people on behalf of who the Grievance is submitted and provide </w:t>
      </w:r>
      <w:r>
        <w:rPr>
          <w:rFonts w:ascii="Calibri" w:hAnsi="Calibri" w:cs="Calibri"/>
          <w:sz w:val="20"/>
          <w:szCs w:val="20"/>
        </w:rPr>
        <w:lastRenderedPageBreak/>
        <w:t>written confirmation by the individual and/or people represented that they are giving the Claimant the authority to present the Grievance on their behalf. The GRM will take reasonable steps to verify this authority.</w:t>
      </w:r>
    </w:p>
    <w:p w14:paraId="68092150" w14:textId="77777777" w:rsidR="00CF33D9" w:rsidRDefault="00E3332A">
      <w:pPr>
        <w:spacing w:line="200" w:lineRule="exact"/>
        <w:ind w:left="720"/>
        <w:jc w:val="both"/>
        <w:rPr>
          <w:rFonts w:ascii="Calibri" w:hAnsi="Calibri" w:cs="Calibri"/>
          <w:sz w:val="20"/>
          <w:szCs w:val="20"/>
        </w:rPr>
      </w:pPr>
      <w:r>
        <w:rPr>
          <w:rFonts w:ascii="Calibri" w:hAnsi="Calibri" w:cs="Calibri"/>
          <w:i/>
          <w:iCs/>
          <w:sz w:val="20"/>
          <w:szCs w:val="20"/>
        </w:rPr>
        <w:t xml:space="preserve">(ii) How is the Grievance Communicated? </w:t>
      </w:r>
    </w:p>
    <w:p w14:paraId="68092151" w14:textId="77777777" w:rsidR="00CF33D9" w:rsidRDefault="00E3332A">
      <w:pPr>
        <w:spacing w:line="200" w:lineRule="exact"/>
        <w:jc w:val="both"/>
        <w:rPr>
          <w:rFonts w:ascii="Calibri" w:hAnsi="Calibri" w:cs="Calibri"/>
          <w:sz w:val="20"/>
          <w:szCs w:val="20"/>
        </w:rPr>
      </w:pPr>
      <w:r>
        <w:rPr>
          <w:rFonts w:ascii="Calibri" w:hAnsi="Calibri" w:cs="Calibri"/>
          <w:sz w:val="20"/>
          <w:szCs w:val="20"/>
        </w:rPr>
        <w:t xml:space="preserve">The GRM shall maintain a flexible approach with respect to receiving Grievances in light of known local constraints with respect to communications and access to resources for some Stakeholders. A Grievance can be transmitted to the GRM by any means available (i.e. by email, letter, phone call, meeting, SMS, etc.). The contact information is the following: </w:t>
      </w:r>
    </w:p>
    <w:p w14:paraId="68092152" w14:textId="77777777" w:rsidR="00CF33D9" w:rsidRDefault="00E3332A">
      <w:pPr>
        <w:spacing w:line="200" w:lineRule="exact"/>
        <w:jc w:val="both"/>
        <w:rPr>
          <w:rFonts w:ascii="Calibri" w:hAnsi="Calibri" w:cs="Calibri"/>
          <w:sz w:val="20"/>
          <w:szCs w:val="20"/>
        </w:rPr>
      </w:pPr>
      <w:r>
        <w:rPr>
          <w:rFonts w:ascii="Calibri" w:hAnsi="Calibri" w:cs="Calibri"/>
          <w:sz w:val="20"/>
          <w:szCs w:val="20"/>
        </w:rPr>
        <w:t xml:space="preserve">[Implementing Partner to add address, phone number, fax, etc.] </w:t>
      </w:r>
    </w:p>
    <w:p w14:paraId="68092153" w14:textId="77777777" w:rsidR="00CF33D9" w:rsidRDefault="00E3332A">
      <w:pPr>
        <w:spacing w:line="200" w:lineRule="exact"/>
        <w:jc w:val="both"/>
        <w:rPr>
          <w:rFonts w:ascii="Calibri" w:hAnsi="Calibri" w:cs="Calibri"/>
          <w:sz w:val="20"/>
          <w:szCs w:val="20"/>
        </w:rPr>
      </w:pPr>
      <w:r>
        <w:rPr>
          <w:rFonts w:ascii="Calibri" w:hAnsi="Calibri" w:cs="Calibri"/>
          <w:sz w:val="20"/>
          <w:szCs w:val="20"/>
        </w:rPr>
        <w:t xml:space="preserve">To facilitate communications with and between the GRM and potential Claimants, the GRM will receive support from the PB members’ institutions, local government, and civil society organizations </w:t>
      </w:r>
    </w:p>
    <w:p w14:paraId="68092154" w14:textId="77777777" w:rsidR="00CF33D9" w:rsidRDefault="00E3332A">
      <w:pPr>
        <w:spacing w:line="200" w:lineRule="exact"/>
        <w:ind w:left="720"/>
        <w:jc w:val="both"/>
        <w:rPr>
          <w:rFonts w:ascii="Calibri" w:hAnsi="Calibri" w:cs="Calibri"/>
          <w:sz w:val="20"/>
          <w:szCs w:val="20"/>
        </w:rPr>
      </w:pPr>
      <w:r>
        <w:rPr>
          <w:rFonts w:ascii="Calibri" w:hAnsi="Calibri" w:cs="Calibri"/>
          <w:i/>
          <w:iCs/>
          <w:sz w:val="20"/>
          <w:szCs w:val="20"/>
        </w:rPr>
        <w:t xml:space="preserve">(iii) What information should be included in a Grievance? </w:t>
      </w:r>
    </w:p>
    <w:p w14:paraId="68092155" w14:textId="77777777" w:rsidR="00CF33D9" w:rsidRDefault="00E3332A">
      <w:pPr>
        <w:spacing w:line="200" w:lineRule="exact"/>
        <w:jc w:val="both"/>
        <w:rPr>
          <w:rFonts w:ascii="Calibri" w:hAnsi="Calibri" w:cs="Calibri"/>
          <w:sz w:val="20"/>
          <w:szCs w:val="20"/>
        </w:rPr>
      </w:pPr>
      <w:r>
        <w:rPr>
          <w:rFonts w:ascii="Calibri" w:hAnsi="Calibri" w:cs="Calibri"/>
          <w:sz w:val="20"/>
          <w:szCs w:val="20"/>
        </w:rPr>
        <w:t xml:space="preserve">The Grievance should include the following information: </w:t>
      </w:r>
    </w:p>
    <w:p w14:paraId="68092156" w14:textId="77777777" w:rsidR="00CF33D9" w:rsidRDefault="00E3332A">
      <w:pPr>
        <w:pStyle w:val="ListParagraph"/>
        <w:numPr>
          <w:ilvl w:val="6"/>
          <w:numId w:val="149"/>
        </w:numPr>
        <w:spacing w:line="200" w:lineRule="exact"/>
        <w:ind w:left="1080"/>
        <w:jc w:val="both"/>
        <w:rPr>
          <w:rFonts w:ascii="Calibri" w:hAnsi="Calibri" w:cs="Calibri"/>
          <w:sz w:val="20"/>
          <w:szCs w:val="20"/>
        </w:rPr>
      </w:pPr>
      <w:r>
        <w:rPr>
          <w:rFonts w:ascii="Calibri" w:hAnsi="Calibri" w:cs="Calibri"/>
          <w:sz w:val="20"/>
          <w:szCs w:val="20"/>
        </w:rPr>
        <w:t>the name of the individual or individuals making the Complaint (the “Claimant”).</w:t>
      </w:r>
    </w:p>
    <w:p w14:paraId="68092157" w14:textId="77777777" w:rsidR="00CF33D9" w:rsidRDefault="00E3332A">
      <w:pPr>
        <w:pStyle w:val="ListParagraph"/>
        <w:numPr>
          <w:ilvl w:val="6"/>
          <w:numId w:val="149"/>
        </w:numPr>
        <w:spacing w:line="200" w:lineRule="exact"/>
        <w:ind w:left="1080"/>
        <w:jc w:val="both"/>
        <w:rPr>
          <w:rFonts w:ascii="Calibri" w:hAnsi="Calibri" w:cs="Calibri"/>
          <w:sz w:val="20"/>
          <w:szCs w:val="20"/>
        </w:rPr>
      </w:pPr>
      <w:r>
        <w:rPr>
          <w:rFonts w:ascii="Calibri" w:hAnsi="Calibri" w:cs="Calibri"/>
          <w:sz w:val="20"/>
          <w:szCs w:val="20"/>
        </w:rPr>
        <w:t>a means for contacting the Claimant (email, phone, address, other).</w:t>
      </w:r>
    </w:p>
    <w:p w14:paraId="68092158" w14:textId="77777777" w:rsidR="00CF33D9" w:rsidRDefault="00E3332A">
      <w:pPr>
        <w:pStyle w:val="ListParagraph"/>
        <w:numPr>
          <w:ilvl w:val="6"/>
          <w:numId w:val="149"/>
        </w:numPr>
        <w:spacing w:line="200" w:lineRule="exact"/>
        <w:ind w:left="1080"/>
        <w:jc w:val="both"/>
        <w:rPr>
          <w:rFonts w:ascii="Calibri" w:hAnsi="Calibri" w:cs="Calibri"/>
          <w:sz w:val="20"/>
          <w:szCs w:val="20"/>
        </w:rPr>
      </w:pPr>
      <w:r>
        <w:rPr>
          <w:rFonts w:ascii="Calibri" w:hAnsi="Calibri" w:cs="Calibri"/>
          <w:sz w:val="20"/>
          <w:szCs w:val="20"/>
        </w:rPr>
        <w:t>if the submission is on behalf of those alleging a potential or actual harm, the identity of those on whose behalf the Grievance is made, and written confirmation by those represented of the Claimant’s authority to lodge the Grievance on their behalf.</w:t>
      </w:r>
    </w:p>
    <w:p w14:paraId="68092159" w14:textId="77777777" w:rsidR="00CF33D9" w:rsidRDefault="00E3332A">
      <w:pPr>
        <w:pStyle w:val="ListParagraph"/>
        <w:numPr>
          <w:ilvl w:val="6"/>
          <w:numId w:val="149"/>
        </w:numPr>
        <w:spacing w:line="200" w:lineRule="exact"/>
        <w:ind w:left="1080"/>
        <w:jc w:val="both"/>
        <w:rPr>
          <w:rFonts w:ascii="Calibri" w:hAnsi="Calibri" w:cs="Calibri"/>
          <w:sz w:val="20"/>
          <w:szCs w:val="20"/>
        </w:rPr>
      </w:pPr>
      <w:r>
        <w:rPr>
          <w:rFonts w:ascii="Calibri" w:hAnsi="Calibri" w:cs="Calibri"/>
          <w:sz w:val="20"/>
          <w:szCs w:val="20"/>
        </w:rPr>
        <w:t>the description of the potential or actual harm.</w:t>
      </w:r>
    </w:p>
    <w:p w14:paraId="6809215A" w14:textId="77777777" w:rsidR="00CF33D9" w:rsidRDefault="00E3332A">
      <w:pPr>
        <w:pStyle w:val="ListParagraph"/>
        <w:numPr>
          <w:ilvl w:val="6"/>
          <w:numId w:val="149"/>
        </w:numPr>
        <w:spacing w:line="200" w:lineRule="exact"/>
        <w:ind w:left="1080"/>
        <w:jc w:val="both"/>
        <w:rPr>
          <w:rFonts w:ascii="Calibri" w:hAnsi="Calibri" w:cs="Calibri"/>
          <w:sz w:val="20"/>
          <w:szCs w:val="20"/>
        </w:rPr>
      </w:pPr>
      <w:r>
        <w:rPr>
          <w:rFonts w:ascii="Calibri" w:hAnsi="Calibri" w:cs="Calibri"/>
          <w:sz w:val="20"/>
          <w:szCs w:val="20"/>
        </w:rPr>
        <w:t>Claimant’s statement of the risk of harm or actual harm (description of the risk/harm and those affected, names of the individual(s) or institutions responsible for the risk/harm, the location(s) and date(s) of harmful activity).</w:t>
      </w:r>
    </w:p>
    <w:p w14:paraId="6809215B" w14:textId="77777777" w:rsidR="00CF33D9" w:rsidRDefault="00E3332A">
      <w:pPr>
        <w:pStyle w:val="ListParagraph"/>
        <w:numPr>
          <w:ilvl w:val="6"/>
          <w:numId w:val="149"/>
        </w:numPr>
        <w:spacing w:line="200" w:lineRule="exact"/>
        <w:ind w:left="1080"/>
        <w:jc w:val="both"/>
        <w:rPr>
          <w:rFonts w:ascii="Calibri" w:hAnsi="Calibri" w:cs="Calibri"/>
          <w:sz w:val="20"/>
          <w:szCs w:val="20"/>
        </w:rPr>
      </w:pPr>
      <w:r>
        <w:rPr>
          <w:rFonts w:ascii="Calibri" w:hAnsi="Calibri" w:cs="Calibri"/>
          <w:sz w:val="20"/>
          <w:szCs w:val="20"/>
        </w:rPr>
        <w:t>what has been done by Claimant thus far to resolve the matter.</w:t>
      </w:r>
    </w:p>
    <w:p w14:paraId="6809215C" w14:textId="77777777" w:rsidR="00CF33D9" w:rsidRDefault="00E3332A">
      <w:pPr>
        <w:pStyle w:val="ListParagraph"/>
        <w:numPr>
          <w:ilvl w:val="6"/>
          <w:numId w:val="149"/>
        </w:numPr>
        <w:spacing w:line="200" w:lineRule="exact"/>
        <w:ind w:left="1080"/>
        <w:jc w:val="both"/>
        <w:rPr>
          <w:rFonts w:ascii="Calibri" w:hAnsi="Calibri" w:cs="Calibri"/>
          <w:sz w:val="20"/>
          <w:szCs w:val="20"/>
        </w:rPr>
      </w:pPr>
      <w:r>
        <w:rPr>
          <w:rFonts w:ascii="Calibri" w:hAnsi="Calibri" w:cs="Calibri"/>
          <w:sz w:val="20"/>
          <w:szCs w:val="20"/>
        </w:rPr>
        <w:t>whether the Claimant wishes that their identity is kept confidential.</w:t>
      </w:r>
    </w:p>
    <w:p w14:paraId="6809215D" w14:textId="77777777" w:rsidR="00CF33D9" w:rsidRDefault="00E3332A">
      <w:pPr>
        <w:pStyle w:val="ListParagraph"/>
        <w:numPr>
          <w:ilvl w:val="6"/>
          <w:numId w:val="149"/>
        </w:numPr>
        <w:spacing w:line="200" w:lineRule="exact"/>
        <w:ind w:left="1080"/>
        <w:jc w:val="both"/>
        <w:rPr>
          <w:rFonts w:ascii="Calibri" w:hAnsi="Calibri" w:cs="Calibri"/>
          <w:sz w:val="20"/>
          <w:szCs w:val="20"/>
        </w:rPr>
      </w:pPr>
      <w:r>
        <w:rPr>
          <w:rFonts w:ascii="Calibri" w:hAnsi="Calibri" w:cs="Calibri"/>
          <w:sz w:val="20"/>
          <w:szCs w:val="20"/>
        </w:rPr>
        <w:t xml:space="preserve">the specific help requested from the GRM. </w:t>
      </w:r>
    </w:p>
    <w:p w14:paraId="6809215E" w14:textId="77777777" w:rsidR="00CF33D9" w:rsidRDefault="00CF33D9">
      <w:pPr>
        <w:spacing w:line="200" w:lineRule="exact"/>
        <w:jc w:val="both"/>
        <w:rPr>
          <w:rFonts w:ascii="Calibri" w:hAnsi="Calibri" w:cs="Calibri"/>
          <w:sz w:val="20"/>
          <w:szCs w:val="20"/>
        </w:rPr>
      </w:pPr>
    </w:p>
    <w:p w14:paraId="6809215F" w14:textId="77777777" w:rsidR="00CF33D9" w:rsidRDefault="00E3332A">
      <w:pPr>
        <w:spacing w:line="200" w:lineRule="exact"/>
        <w:jc w:val="both"/>
        <w:rPr>
          <w:rFonts w:ascii="Calibri" w:hAnsi="Calibri" w:cs="Calibri"/>
          <w:color w:val="000000"/>
          <w:sz w:val="20"/>
          <w:szCs w:val="20"/>
        </w:rPr>
      </w:pPr>
      <w:r>
        <w:rPr>
          <w:rFonts w:ascii="Calibri" w:hAnsi="Calibri" w:cs="Calibri"/>
          <w:color w:val="000000"/>
          <w:sz w:val="20"/>
          <w:szCs w:val="20"/>
        </w:rPr>
        <w:t>However, complainants are not required to provide all of the information listed above. Initially, the complainant need only provide enough information to determine eligibility. If insufficient information is provided, the GRM has an obligation to make a substantial, good faith effort to contact the complainant to request whatever additional information is needed to determine eligibility, and if eligible, to develop a proposed response.</w:t>
      </w:r>
    </w:p>
    <w:p w14:paraId="68092160" w14:textId="77777777" w:rsidR="00CF33D9" w:rsidRDefault="00E3332A">
      <w:pPr>
        <w:spacing w:before="240" w:line="200" w:lineRule="exact"/>
        <w:jc w:val="both"/>
        <w:rPr>
          <w:rFonts w:ascii="Calibri" w:hAnsi="Calibri" w:cs="Calibri"/>
          <w:b/>
          <w:bCs/>
          <w:color w:val="000000"/>
          <w:sz w:val="20"/>
          <w:szCs w:val="20"/>
        </w:rPr>
      </w:pPr>
      <w:r>
        <w:rPr>
          <w:rFonts w:ascii="Calibri" w:hAnsi="Calibri" w:cs="Calibri"/>
          <w:b/>
          <w:bCs/>
          <w:color w:val="000000"/>
          <w:sz w:val="20"/>
          <w:szCs w:val="20"/>
        </w:rPr>
        <w:t xml:space="preserve">VII. Logging, Acknowledgment, and Tracking </w:t>
      </w:r>
    </w:p>
    <w:p w14:paraId="68092161" w14:textId="77777777" w:rsidR="00CF33D9" w:rsidRDefault="00E3332A">
      <w:pPr>
        <w:spacing w:line="200" w:lineRule="exact"/>
        <w:jc w:val="both"/>
        <w:rPr>
          <w:rFonts w:ascii="Calibri" w:hAnsi="Calibri" w:cs="Calibri"/>
          <w:sz w:val="20"/>
          <w:szCs w:val="20"/>
        </w:rPr>
      </w:pPr>
      <w:r>
        <w:rPr>
          <w:rFonts w:ascii="Calibri" w:hAnsi="Calibri" w:cs="Calibri"/>
          <w:sz w:val="20"/>
          <w:szCs w:val="20"/>
        </w:rPr>
        <w:t xml:space="preserve">All Grievances and reports of conflict will be received, assigned a tracking number, acknowledged to Claimant, recorded electronically, and subject to periodic updates to the Claimant as well as the office file. </w:t>
      </w:r>
    </w:p>
    <w:p w14:paraId="68092162" w14:textId="77777777" w:rsidR="00CF33D9" w:rsidRDefault="00E3332A">
      <w:pPr>
        <w:spacing w:line="200" w:lineRule="exact"/>
        <w:jc w:val="both"/>
        <w:rPr>
          <w:rFonts w:ascii="Calibri" w:hAnsi="Calibri" w:cs="Calibri"/>
          <w:sz w:val="20"/>
          <w:szCs w:val="20"/>
        </w:rPr>
      </w:pPr>
      <w:r>
        <w:rPr>
          <w:rFonts w:ascii="Calibri" w:hAnsi="Calibri" w:cs="Calibri"/>
          <w:sz w:val="20"/>
          <w:szCs w:val="20"/>
        </w:rPr>
        <w:t xml:space="preserve">Within one (1) week from the receipt of a Grievance, the GRM will send a </w:t>
      </w:r>
      <w:r>
        <w:rPr>
          <w:rFonts w:ascii="Calibri" w:hAnsi="Calibri" w:cs="Calibri"/>
          <w:i/>
          <w:iCs/>
          <w:sz w:val="20"/>
          <w:szCs w:val="20"/>
        </w:rPr>
        <w:t xml:space="preserve">written </w:t>
      </w:r>
      <w:r>
        <w:rPr>
          <w:rFonts w:ascii="Calibri" w:hAnsi="Calibri" w:cs="Calibri"/>
          <w:sz w:val="20"/>
          <w:szCs w:val="20"/>
        </w:rPr>
        <w:t>acknowledgement to Claimant of the Grievance received with the assigned tracking number.</w:t>
      </w:r>
      <w:r>
        <w:rPr>
          <w:rStyle w:val="FootnoteReference"/>
          <w:rFonts w:ascii="Calibri" w:hAnsi="Calibri" w:cs="Calibri"/>
          <w:sz w:val="20"/>
          <w:szCs w:val="20"/>
        </w:rPr>
        <w:footnoteReference w:id="25"/>
      </w:r>
      <w:r>
        <w:rPr>
          <w:rFonts w:ascii="Calibri" w:hAnsi="Calibri" w:cs="Calibri"/>
          <w:sz w:val="20"/>
          <w:szCs w:val="20"/>
        </w:rPr>
        <w:t xml:space="preserve"> </w:t>
      </w:r>
    </w:p>
    <w:p w14:paraId="68092163" w14:textId="77777777" w:rsidR="00CF33D9" w:rsidRDefault="00E3332A">
      <w:pPr>
        <w:spacing w:line="200" w:lineRule="exact"/>
        <w:jc w:val="both"/>
        <w:rPr>
          <w:rFonts w:ascii="Calibri" w:hAnsi="Calibri" w:cs="Calibri"/>
          <w:sz w:val="20"/>
          <w:szCs w:val="20"/>
        </w:rPr>
      </w:pPr>
      <w:r>
        <w:rPr>
          <w:rFonts w:ascii="Calibri" w:hAnsi="Calibri" w:cs="Calibri"/>
          <w:sz w:val="20"/>
          <w:szCs w:val="20"/>
        </w:rPr>
        <w:t xml:space="preserve">Each Grievance file will contain, at a minimum: </w:t>
      </w:r>
    </w:p>
    <w:p w14:paraId="68092164" w14:textId="77777777" w:rsidR="00CF33D9" w:rsidRDefault="00E3332A">
      <w:pPr>
        <w:numPr>
          <w:ilvl w:val="0"/>
          <w:numId w:val="150"/>
        </w:numPr>
        <w:autoSpaceDE w:val="0"/>
        <w:autoSpaceDN w:val="0"/>
        <w:adjustRightInd w:val="0"/>
        <w:spacing w:before="60" w:after="60" w:line="200" w:lineRule="exact"/>
        <w:jc w:val="both"/>
        <w:rPr>
          <w:rFonts w:ascii="Calibri" w:hAnsi="Calibri" w:cs="Calibri"/>
          <w:color w:val="000000"/>
          <w:sz w:val="20"/>
          <w:szCs w:val="20"/>
        </w:rPr>
      </w:pPr>
      <w:r>
        <w:rPr>
          <w:rFonts w:ascii="Calibri" w:hAnsi="Calibri" w:cs="Calibri"/>
          <w:sz w:val="20"/>
          <w:szCs w:val="20"/>
        </w:rPr>
        <w:t>The date of the request as received.</w:t>
      </w:r>
    </w:p>
    <w:p w14:paraId="68092165" w14:textId="77777777" w:rsidR="00CF33D9" w:rsidRDefault="00E3332A">
      <w:pPr>
        <w:numPr>
          <w:ilvl w:val="0"/>
          <w:numId w:val="150"/>
        </w:numPr>
        <w:autoSpaceDE w:val="0"/>
        <w:autoSpaceDN w:val="0"/>
        <w:adjustRightInd w:val="0"/>
        <w:spacing w:before="60" w:after="60" w:line="200" w:lineRule="exact"/>
        <w:jc w:val="both"/>
        <w:rPr>
          <w:rFonts w:ascii="Calibri" w:hAnsi="Calibri" w:cs="Calibri"/>
          <w:color w:val="000000"/>
          <w:sz w:val="20"/>
          <w:szCs w:val="20"/>
        </w:rPr>
      </w:pPr>
      <w:r>
        <w:rPr>
          <w:rFonts w:ascii="Calibri" w:hAnsi="Calibri" w:cs="Calibri"/>
          <w:sz w:val="20"/>
          <w:szCs w:val="20"/>
        </w:rPr>
        <w:t>The date the written acknowledgment was sent (and oral acknowledgment if also done.</w:t>
      </w:r>
    </w:p>
    <w:p w14:paraId="68092166" w14:textId="77777777" w:rsidR="00CF33D9" w:rsidRDefault="00E3332A">
      <w:pPr>
        <w:numPr>
          <w:ilvl w:val="0"/>
          <w:numId w:val="150"/>
        </w:numPr>
        <w:autoSpaceDE w:val="0"/>
        <w:autoSpaceDN w:val="0"/>
        <w:adjustRightInd w:val="0"/>
        <w:spacing w:before="60" w:after="60" w:line="200" w:lineRule="exact"/>
        <w:jc w:val="both"/>
        <w:rPr>
          <w:rFonts w:ascii="Calibri" w:hAnsi="Calibri" w:cs="Calibri"/>
          <w:color w:val="000000"/>
          <w:sz w:val="20"/>
          <w:szCs w:val="20"/>
        </w:rPr>
      </w:pPr>
      <w:r>
        <w:rPr>
          <w:rFonts w:ascii="Calibri" w:hAnsi="Calibri" w:cs="Calibri"/>
          <w:color w:val="000000"/>
          <w:sz w:val="20"/>
          <w:szCs w:val="20"/>
        </w:rPr>
        <w:t>The dates and nature of all other communications or meetings with the Claimant and other relevant Stakeholders.</w:t>
      </w:r>
    </w:p>
    <w:p w14:paraId="68092167" w14:textId="77777777" w:rsidR="00CF33D9" w:rsidRDefault="00E3332A">
      <w:pPr>
        <w:numPr>
          <w:ilvl w:val="0"/>
          <w:numId w:val="150"/>
        </w:numPr>
        <w:autoSpaceDE w:val="0"/>
        <w:autoSpaceDN w:val="0"/>
        <w:adjustRightInd w:val="0"/>
        <w:spacing w:before="60" w:after="60" w:line="200" w:lineRule="exact"/>
        <w:jc w:val="both"/>
        <w:rPr>
          <w:rFonts w:ascii="Calibri" w:hAnsi="Calibri" w:cs="Calibri"/>
          <w:color w:val="000000"/>
          <w:sz w:val="20"/>
          <w:szCs w:val="20"/>
        </w:rPr>
      </w:pPr>
      <w:r>
        <w:rPr>
          <w:rFonts w:ascii="Calibri" w:hAnsi="Calibri" w:cs="Calibri"/>
          <w:color w:val="000000"/>
          <w:sz w:val="20"/>
          <w:szCs w:val="20"/>
        </w:rPr>
        <w:t>Any requests, offers of, or engagements of a Mediator or Facilitator.</w:t>
      </w:r>
    </w:p>
    <w:p w14:paraId="68092168" w14:textId="77777777" w:rsidR="00CF33D9" w:rsidRDefault="00E3332A">
      <w:pPr>
        <w:numPr>
          <w:ilvl w:val="0"/>
          <w:numId w:val="150"/>
        </w:numPr>
        <w:autoSpaceDE w:val="0"/>
        <w:autoSpaceDN w:val="0"/>
        <w:adjustRightInd w:val="0"/>
        <w:spacing w:before="60" w:after="60" w:line="200" w:lineRule="exact"/>
        <w:jc w:val="both"/>
        <w:rPr>
          <w:rFonts w:ascii="Calibri" w:hAnsi="Calibri" w:cs="Calibri"/>
          <w:color w:val="000000"/>
          <w:sz w:val="20"/>
          <w:szCs w:val="20"/>
        </w:rPr>
      </w:pPr>
      <w:r>
        <w:rPr>
          <w:rFonts w:ascii="Calibri" w:hAnsi="Calibri" w:cs="Calibri"/>
          <w:color w:val="000000"/>
          <w:sz w:val="20"/>
          <w:szCs w:val="20"/>
        </w:rPr>
        <w:t>The date and records related to the proposed solution/way forward.</w:t>
      </w:r>
    </w:p>
    <w:p w14:paraId="68092169" w14:textId="77777777" w:rsidR="00CF33D9" w:rsidRDefault="00E3332A">
      <w:pPr>
        <w:numPr>
          <w:ilvl w:val="0"/>
          <w:numId w:val="150"/>
        </w:numPr>
        <w:autoSpaceDE w:val="0"/>
        <w:autoSpaceDN w:val="0"/>
        <w:adjustRightInd w:val="0"/>
        <w:spacing w:before="60" w:after="60"/>
        <w:jc w:val="both"/>
        <w:rPr>
          <w:rFonts w:ascii="Calibri" w:hAnsi="Calibri" w:cs="Calibri"/>
          <w:color w:val="000000"/>
          <w:sz w:val="20"/>
          <w:szCs w:val="20"/>
        </w:rPr>
      </w:pPr>
      <w:r>
        <w:rPr>
          <w:rFonts w:ascii="Calibri" w:hAnsi="Calibri" w:cs="Calibri"/>
          <w:color w:val="000000"/>
          <w:sz w:val="20"/>
          <w:szCs w:val="20"/>
        </w:rPr>
        <w:t>The acceptance or objections of the Claimant (or other Stakeholders).</w:t>
      </w:r>
    </w:p>
    <w:p w14:paraId="6809216A" w14:textId="77777777" w:rsidR="00CF33D9" w:rsidRDefault="00E3332A">
      <w:pPr>
        <w:numPr>
          <w:ilvl w:val="0"/>
          <w:numId w:val="150"/>
        </w:numPr>
        <w:autoSpaceDE w:val="0"/>
        <w:autoSpaceDN w:val="0"/>
        <w:adjustRightInd w:val="0"/>
        <w:spacing w:before="60" w:after="60"/>
        <w:jc w:val="both"/>
        <w:rPr>
          <w:rFonts w:ascii="Calibri" w:hAnsi="Calibri" w:cs="Calibri"/>
          <w:color w:val="000000"/>
          <w:sz w:val="20"/>
          <w:szCs w:val="20"/>
        </w:rPr>
      </w:pPr>
      <w:r>
        <w:rPr>
          <w:rFonts w:ascii="Calibri" w:hAnsi="Calibri" w:cs="Calibri"/>
          <w:color w:val="000000"/>
          <w:sz w:val="20"/>
          <w:szCs w:val="20"/>
        </w:rPr>
        <w:t>The proposed next steps if objections arose.</w:t>
      </w:r>
    </w:p>
    <w:p w14:paraId="6809216B" w14:textId="77777777" w:rsidR="00CF33D9" w:rsidRDefault="00E3332A">
      <w:pPr>
        <w:numPr>
          <w:ilvl w:val="0"/>
          <w:numId w:val="150"/>
        </w:numPr>
        <w:autoSpaceDE w:val="0"/>
        <w:autoSpaceDN w:val="0"/>
        <w:adjustRightInd w:val="0"/>
        <w:spacing w:before="60" w:after="60"/>
        <w:jc w:val="both"/>
        <w:rPr>
          <w:rFonts w:ascii="Calibri" w:hAnsi="Calibri" w:cs="Calibri"/>
          <w:color w:val="000000"/>
          <w:sz w:val="20"/>
          <w:szCs w:val="20"/>
        </w:rPr>
      </w:pPr>
      <w:r>
        <w:rPr>
          <w:rFonts w:ascii="Calibri" w:hAnsi="Calibri" w:cs="Calibri"/>
          <w:color w:val="000000"/>
          <w:sz w:val="20"/>
          <w:szCs w:val="20"/>
        </w:rPr>
        <w:t>The alternative solution if renewed dialogues were pursued.</w:t>
      </w:r>
    </w:p>
    <w:p w14:paraId="6809216C" w14:textId="77777777" w:rsidR="00CF33D9" w:rsidRDefault="00E3332A">
      <w:pPr>
        <w:numPr>
          <w:ilvl w:val="0"/>
          <w:numId w:val="150"/>
        </w:numPr>
        <w:autoSpaceDE w:val="0"/>
        <w:autoSpaceDN w:val="0"/>
        <w:adjustRightInd w:val="0"/>
        <w:spacing w:before="60" w:after="60"/>
        <w:jc w:val="both"/>
        <w:rPr>
          <w:rFonts w:ascii="Calibri" w:hAnsi="Calibri" w:cs="Calibri"/>
          <w:color w:val="000000"/>
          <w:sz w:val="20"/>
          <w:szCs w:val="20"/>
        </w:rPr>
      </w:pPr>
      <w:r>
        <w:rPr>
          <w:rFonts w:ascii="Calibri" w:hAnsi="Calibri" w:cs="Calibri"/>
          <w:color w:val="000000"/>
          <w:sz w:val="20"/>
          <w:szCs w:val="20"/>
        </w:rPr>
        <w:t>Notes regarding implementation.</w:t>
      </w:r>
    </w:p>
    <w:p w14:paraId="6809216D" w14:textId="77777777" w:rsidR="00CF33D9" w:rsidRDefault="00E3332A">
      <w:pPr>
        <w:numPr>
          <w:ilvl w:val="0"/>
          <w:numId w:val="150"/>
        </w:numPr>
        <w:autoSpaceDE w:val="0"/>
        <w:autoSpaceDN w:val="0"/>
        <w:adjustRightInd w:val="0"/>
        <w:spacing w:before="60" w:after="60"/>
        <w:jc w:val="both"/>
        <w:rPr>
          <w:rFonts w:ascii="Calibri" w:hAnsi="Calibri" w:cs="Calibri"/>
          <w:color w:val="000000"/>
          <w:sz w:val="20"/>
          <w:szCs w:val="20"/>
        </w:rPr>
      </w:pPr>
      <w:r>
        <w:rPr>
          <w:rFonts w:ascii="Calibri" w:hAnsi="Calibri" w:cs="Calibri"/>
          <w:color w:val="000000"/>
          <w:sz w:val="20"/>
          <w:szCs w:val="20"/>
        </w:rPr>
        <w:t xml:space="preserve">Any conclusions and recommendations arising from monitoring and follow up. </w:t>
      </w:r>
    </w:p>
    <w:p w14:paraId="6809216E" w14:textId="77777777" w:rsidR="00CF33D9" w:rsidRDefault="00E3332A">
      <w:pPr>
        <w:spacing w:before="240" w:line="200" w:lineRule="exact"/>
        <w:jc w:val="both"/>
        <w:rPr>
          <w:rFonts w:ascii="Calibri" w:hAnsi="Calibri" w:cs="Calibri"/>
          <w:b/>
          <w:bCs/>
          <w:color w:val="000000"/>
          <w:sz w:val="20"/>
          <w:szCs w:val="20"/>
        </w:rPr>
      </w:pPr>
      <w:r>
        <w:rPr>
          <w:rFonts w:ascii="Calibri" w:hAnsi="Calibri" w:cs="Calibri"/>
          <w:b/>
          <w:bCs/>
          <w:color w:val="000000"/>
          <w:sz w:val="20"/>
          <w:szCs w:val="20"/>
        </w:rPr>
        <w:t xml:space="preserve">IX. Maintaining Communication and Status Updates </w:t>
      </w:r>
    </w:p>
    <w:p w14:paraId="6809216F" w14:textId="77777777" w:rsidR="00CF33D9" w:rsidRDefault="00E3332A">
      <w:pPr>
        <w:spacing w:line="200" w:lineRule="exact"/>
        <w:jc w:val="both"/>
        <w:rPr>
          <w:rFonts w:ascii="Calibri" w:hAnsi="Calibri" w:cs="Calibri"/>
          <w:sz w:val="20"/>
          <w:szCs w:val="20"/>
        </w:rPr>
      </w:pPr>
      <w:r>
        <w:rPr>
          <w:rFonts w:ascii="Calibri" w:hAnsi="Calibri" w:cs="Calibri"/>
          <w:sz w:val="20"/>
          <w:szCs w:val="20"/>
        </w:rPr>
        <w:t xml:space="preserve">Files for each Grievance will be available for review by the Claimant and other Stakeholders involved in the Grievance, or their designated representative(s). Appropriate steps will be taken to maintain the confidentiality of the Claimant if previously requested. </w:t>
      </w:r>
    </w:p>
    <w:p w14:paraId="68092170" w14:textId="77777777" w:rsidR="00CF33D9" w:rsidRDefault="00E3332A">
      <w:pPr>
        <w:spacing w:line="200" w:lineRule="exact"/>
        <w:jc w:val="both"/>
        <w:rPr>
          <w:rFonts w:ascii="Calibri" w:hAnsi="Calibri" w:cs="Calibri"/>
          <w:sz w:val="20"/>
          <w:szCs w:val="20"/>
        </w:rPr>
      </w:pPr>
      <w:r>
        <w:rPr>
          <w:rFonts w:ascii="Calibri" w:hAnsi="Calibri" w:cs="Calibri"/>
          <w:sz w:val="20"/>
          <w:szCs w:val="20"/>
        </w:rPr>
        <w:t>The GRM will provide periodic updates to the Claimant regarding the status and current actions to resolve the Grievance. Not including the acknowledgment of receipt of the Grievance, such updates will occur within reasonable intervals (not greater than every thirty (30) days).</w:t>
      </w:r>
    </w:p>
    <w:p w14:paraId="68092171" w14:textId="77777777" w:rsidR="00CF33D9" w:rsidRDefault="00E3332A">
      <w:pPr>
        <w:spacing w:before="240" w:line="200" w:lineRule="exact"/>
        <w:jc w:val="both"/>
        <w:rPr>
          <w:rFonts w:ascii="Calibri" w:hAnsi="Calibri" w:cs="Calibri"/>
          <w:b/>
          <w:bCs/>
          <w:color w:val="000000"/>
          <w:sz w:val="20"/>
          <w:szCs w:val="20"/>
        </w:rPr>
      </w:pPr>
      <w:r>
        <w:rPr>
          <w:rFonts w:ascii="Calibri" w:hAnsi="Calibri" w:cs="Calibri"/>
          <w:b/>
          <w:bCs/>
          <w:color w:val="000000"/>
          <w:sz w:val="20"/>
          <w:szCs w:val="20"/>
        </w:rPr>
        <w:lastRenderedPageBreak/>
        <w:t xml:space="preserve">X. Investigation and Consensus Building </w:t>
      </w:r>
    </w:p>
    <w:p w14:paraId="68092172" w14:textId="77777777" w:rsidR="00CF33D9" w:rsidRDefault="00E3332A">
      <w:pPr>
        <w:spacing w:line="200" w:lineRule="exact"/>
        <w:jc w:val="both"/>
        <w:rPr>
          <w:rFonts w:ascii="Calibri" w:hAnsi="Calibri" w:cs="Calibri"/>
          <w:sz w:val="20"/>
          <w:szCs w:val="20"/>
        </w:rPr>
      </w:pPr>
      <w:r>
        <w:rPr>
          <w:rFonts w:ascii="Calibri" w:hAnsi="Calibri" w:cs="Calibri"/>
          <w:sz w:val="20"/>
          <w:szCs w:val="20"/>
        </w:rPr>
        <w:t>Within one (1) week of receiving a Grievance, [Implementing Partner] will notify the PB/</w:t>
      </w:r>
      <w:r>
        <w:rPr>
          <w:rFonts w:ascii="Calibri" w:hAnsi="Calibri" w:cs="Calibri"/>
          <w:b/>
          <w:bCs/>
          <w:sz w:val="20"/>
          <w:szCs w:val="20"/>
        </w:rPr>
        <w:t xml:space="preserve">GRM Sub-Committee (GRM SC)/GRM Task Team (GRM TT) </w:t>
      </w:r>
      <w:r>
        <w:rPr>
          <w:rFonts w:ascii="Calibri" w:hAnsi="Calibri" w:cs="Calibri"/>
          <w:sz w:val="20"/>
          <w:szCs w:val="20"/>
        </w:rPr>
        <w:t xml:space="preserve">and any other relevant institutions of the receipt of the Grievance. </w:t>
      </w:r>
    </w:p>
    <w:p w14:paraId="68092173" w14:textId="77777777" w:rsidR="00CF33D9" w:rsidRDefault="00E3332A">
      <w:pPr>
        <w:spacing w:line="200" w:lineRule="exact"/>
        <w:jc w:val="both"/>
        <w:rPr>
          <w:rFonts w:ascii="Calibri" w:hAnsi="Calibri" w:cs="Calibri"/>
          <w:sz w:val="20"/>
          <w:szCs w:val="20"/>
        </w:rPr>
      </w:pPr>
      <w:r>
        <w:rPr>
          <w:rFonts w:ascii="Calibri" w:hAnsi="Calibri" w:cs="Calibri"/>
          <w:sz w:val="20"/>
          <w:szCs w:val="20"/>
        </w:rPr>
        <w:t xml:space="preserve">[IF THE PB, RATHER THAN A PRE-DESIGNATED GRM SC OR GRM TT IS THE PRIMARY BODY RECEIVING COMPLAINTS: The PB will identify a specific team of individuals drawn from the PB and/or their respective institutions to develop a response to the Grievance. The names of these individuals will be made available to the Claimant.] </w:t>
      </w:r>
    </w:p>
    <w:p w14:paraId="68092174" w14:textId="77777777" w:rsidR="00CF33D9" w:rsidRDefault="00E3332A">
      <w:pPr>
        <w:spacing w:line="200" w:lineRule="exact"/>
        <w:jc w:val="both"/>
        <w:rPr>
          <w:rFonts w:ascii="Calibri" w:hAnsi="Calibri" w:cs="Calibri"/>
          <w:sz w:val="20"/>
          <w:szCs w:val="20"/>
        </w:rPr>
      </w:pPr>
      <w:r>
        <w:rPr>
          <w:rFonts w:ascii="Calibri" w:hAnsi="Calibri" w:cs="Calibri"/>
          <w:sz w:val="20"/>
          <w:szCs w:val="20"/>
        </w:rPr>
        <w:t xml:space="preserve">The designated PB members/GRM SC/GRM TT will promptly engage the Claimant and any other relevant Stakeholders deemed appropriate, to gather all necessary information regarding the Grievance. </w:t>
      </w:r>
    </w:p>
    <w:p w14:paraId="68092175" w14:textId="77777777" w:rsidR="00CF33D9" w:rsidRDefault="00E3332A">
      <w:pPr>
        <w:spacing w:line="200" w:lineRule="exact"/>
        <w:jc w:val="both"/>
        <w:rPr>
          <w:rFonts w:ascii="Calibri" w:hAnsi="Calibri" w:cs="Calibri"/>
          <w:sz w:val="20"/>
          <w:szCs w:val="20"/>
        </w:rPr>
      </w:pPr>
      <w:r>
        <w:rPr>
          <w:rFonts w:ascii="Calibri" w:hAnsi="Calibri" w:cs="Calibri"/>
          <w:sz w:val="20"/>
          <w:szCs w:val="20"/>
        </w:rPr>
        <w:t xml:space="preserve">Through the PB members/GRM SC/GRM TT, the GRM will have the authority to request from relevant Government institutions any information (documents or otherwise) relevant to resolving the Grievance and avoiding future Grievances of the same nature. </w:t>
      </w:r>
    </w:p>
    <w:p w14:paraId="68092176" w14:textId="77777777" w:rsidR="00CF33D9" w:rsidRDefault="00E3332A">
      <w:pPr>
        <w:spacing w:line="200" w:lineRule="exact"/>
        <w:jc w:val="both"/>
        <w:rPr>
          <w:rFonts w:ascii="Calibri" w:hAnsi="Calibri" w:cs="Calibri"/>
          <w:sz w:val="20"/>
          <w:szCs w:val="20"/>
        </w:rPr>
      </w:pPr>
      <w:r>
        <w:rPr>
          <w:rFonts w:ascii="Calibri" w:hAnsi="Calibri" w:cs="Calibri"/>
          <w:sz w:val="20"/>
          <w:szCs w:val="20"/>
        </w:rPr>
        <w:t xml:space="preserve">As necessary, the PB members/GRM SC/GRM TT will convene one or more meetings with relevant individuals and institutions in [national capital], or elsewhere in [name of country] as needed. </w:t>
      </w:r>
    </w:p>
    <w:p w14:paraId="68092177" w14:textId="77777777" w:rsidR="00CF33D9" w:rsidRDefault="00E3332A">
      <w:pPr>
        <w:spacing w:line="200" w:lineRule="exact"/>
        <w:jc w:val="both"/>
        <w:rPr>
          <w:rFonts w:ascii="Calibri" w:hAnsi="Calibri" w:cs="Calibri"/>
          <w:sz w:val="20"/>
          <w:szCs w:val="20"/>
        </w:rPr>
      </w:pPr>
      <w:r>
        <w:rPr>
          <w:rFonts w:ascii="Calibri" w:hAnsi="Calibri" w:cs="Calibri"/>
          <w:sz w:val="20"/>
          <w:szCs w:val="20"/>
        </w:rPr>
        <w:t xml:space="preserve">The objective of all investigative activities is to develop a thorough understanding of the issues and concerns raised in the Grievance and facilitate consensus around a proposed solution and way forward. </w:t>
      </w:r>
    </w:p>
    <w:p w14:paraId="68092178" w14:textId="77777777" w:rsidR="00CF33D9" w:rsidRDefault="00E3332A">
      <w:pPr>
        <w:spacing w:line="200" w:lineRule="exact"/>
        <w:jc w:val="both"/>
        <w:rPr>
          <w:rFonts w:ascii="Calibri" w:hAnsi="Calibri" w:cs="Calibri"/>
          <w:sz w:val="20"/>
          <w:szCs w:val="20"/>
        </w:rPr>
      </w:pPr>
      <w:r>
        <w:rPr>
          <w:rFonts w:ascii="Calibri" w:hAnsi="Calibri" w:cs="Calibri"/>
          <w:sz w:val="20"/>
          <w:szCs w:val="20"/>
        </w:rPr>
        <w:t xml:space="preserve">The PB members/GRM SC/GRM TT will procure the cooperation of their respective staff with the investigation. </w:t>
      </w:r>
    </w:p>
    <w:p w14:paraId="68092179" w14:textId="77777777" w:rsidR="00CF33D9" w:rsidRDefault="00E3332A">
      <w:pPr>
        <w:spacing w:line="200" w:lineRule="exact"/>
        <w:jc w:val="both"/>
        <w:rPr>
          <w:rFonts w:ascii="Calibri" w:hAnsi="Calibri" w:cs="Calibri"/>
          <w:sz w:val="20"/>
          <w:szCs w:val="20"/>
        </w:rPr>
      </w:pPr>
      <w:r>
        <w:rPr>
          <w:rFonts w:ascii="Calibri" w:hAnsi="Calibri" w:cs="Calibri"/>
          <w:sz w:val="20"/>
          <w:szCs w:val="20"/>
        </w:rPr>
        <w:t xml:space="preserve">At any point during the investigation, the PB members/GRM SC/GRM TT may determine that an onsite field investigation is necessary to properly understand the Grievance and develop an effective proposed solution and way forward. </w:t>
      </w:r>
    </w:p>
    <w:p w14:paraId="6809217A" w14:textId="77777777" w:rsidR="00CF33D9" w:rsidRDefault="00E3332A">
      <w:pPr>
        <w:spacing w:before="240" w:line="200" w:lineRule="exact"/>
        <w:jc w:val="both"/>
        <w:rPr>
          <w:rFonts w:ascii="Calibri" w:hAnsi="Calibri" w:cs="Calibri"/>
          <w:b/>
          <w:bCs/>
          <w:color w:val="000000"/>
          <w:sz w:val="20"/>
          <w:szCs w:val="20"/>
        </w:rPr>
      </w:pPr>
      <w:r>
        <w:rPr>
          <w:rFonts w:ascii="Calibri" w:hAnsi="Calibri" w:cs="Calibri"/>
          <w:b/>
          <w:bCs/>
          <w:color w:val="000000"/>
          <w:sz w:val="20"/>
          <w:szCs w:val="20"/>
        </w:rPr>
        <w:t>XI. Seeking Advisory Opinion and/or Technical Assistance</w:t>
      </w:r>
    </w:p>
    <w:p w14:paraId="6809217B" w14:textId="77777777" w:rsidR="00CF33D9" w:rsidRDefault="00E3332A">
      <w:pPr>
        <w:spacing w:line="200" w:lineRule="exact"/>
        <w:jc w:val="both"/>
        <w:rPr>
          <w:rFonts w:ascii="Calibri" w:hAnsi="Calibri" w:cs="Calibri"/>
          <w:sz w:val="20"/>
          <w:szCs w:val="20"/>
        </w:rPr>
      </w:pPr>
      <w:r>
        <w:rPr>
          <w:rFonts w:ascii="Calibri" w:hAnsi="Calibri" w:cs="Calibri"/>
          <w:sz w:val="20"/>
          <w:szCs w:val="20"/>
        </w:rPr>
        <w:t xml:space="preserve">At any point after receiving a Grievance and through to implementation of the proposed solution and way forward, the PB members/GRM SC/GRM TT may seek the technical assistance and/or an advisory opinion from any entity or individual in [country] or internationally which may reasonably be believed to be of assistance. </w:t>
      </w:r>
    </w:p>
    <w:p w14:paraId="6809217C" w14:textId="77777777" w:rsidR="00CF33D9" w:rsidRDefault="00E3332A">
      <w:pPr>
        <w:spacing w:before="240" w:line="200" w:lineRule="exact"/>
        <w:jc w:val="both"/>
        <w:rPr>
          <w:rFonts w:ascii="Calibri" w:hAnsi="Calibri" w:cs="Calibri"/>
          <w:b/>
          <w:bCs/>
          <w:color w:val="000000"/>
          <w:sz w:val="20"/>
          <w:szCs w:val="20"/>
        </w:rPr>
      </w:pPr>
      <w:r>
        <w:rPr>
          <w:rFonts w:ascii="Calibri" w:hAnsi="Calibri" w:cs="Calibri"/>
          <w:b/>
          <w:bCs/>
          <w:color w:val="000000"/>
          <w:sz w:val="20"/>
          <w:szCs w:val="20"/>
        </w:rPr>
        <w:t xml:space="preserve">XII. Making Proposed Actions and Solutions Public and Overseeing Implementation </w:t>
      </w:r>
    </w:p>
    <w:p w14:paraId="6809217D" w14:textId="77777777" w:rsidR="00CF33D9" w:rsidRDefault="00E3332A">
      <w:pPr>
        <w:spacing w:line="200" w:lineRule="exact"/>
        <w:jc w:val="both"/>
        <w:rPr>
          <w:rFonts w:ascii="Calibri" w:hAnsi="Calibri" w:cs="Calibri"/>
          <w:sz w:val="20"/>
          <w:szCs w:val="20"/>
        </w:rPr>
      </w:pPr>
      <w:r>
        <w:rPr>
          <w:rFonts w:ascii="Calibri" w:hAnsi="Calibri" w:cs="Calibri"/>
          <w:sz w:val="20"/>
          <w:szCs w:val="20"/>
        </w:rPr>
        <w:t xml:space="preserve">The PB members/GRM SC/GRM TT will communicate to the Claimant one or more proposed actions or resolutions and clearly articulate the reasons and basis for proposed way forward. </w:t>
      </w:r>
    </w:p>
    <w:p w14:paraId="6809217E" w14:textId="77777777" w:rsidR="00CF33D9" w:rsidRDefault="00E3332A">
      <w:pPr>
        <w:spacing w:line="200" w:lineRule="exact"/>
        <w:jc w:val="both"/>
        <w:rPr>
          <w:rFonts w:ascii="Calibri" w:hAnsi="Calibri" w:cs="Calibri"/>
          <w:sz w:val="20"/>
          <w:szCs w:val="20"/>
        </w:rPr>
      </w:pPr>
      <w:r>
        <w:rPr>
          <w:rFonts w:ascii="Calibri" w:hAnsi="Calibri" w:cs="Calibri"/>
          <w:sz w:val="20"/>
          <w:szCs w:val="20"/>
        </w:rPr>
        <w:t xml:space="preserve">If the Claimant does not accept the resolution, the PB members/GRM SC/GRM TT will engage with the Claimant to provide alternative options. </w:t>
      </w:r>
    </w:p>
    <w:p w14:paraId="6809217F" w14:textId="77777777" w:rsidR="00CF33D9" w:rsidRDefault="00E3332A">
      <w:pPr>
        <w:spacing w:line="200" w:lineRule="exact"/>
        <w:jc w:val="both"/>
        <w:rPr>
          <w:rFonts w:ascii="Calibri" w:hAnsi="Calibri" w:cs="Calibri"/>
          <w:sz w:val="20"/>
          <w:szCs w:val="20"/>
        </w:rPr>
      </w:pPr>
      <w:r>
        <w:rPr>
          <w:rFonts w:ascii="Calibri" w:hAnsi="Calibri" w:cs="Calibri"/>
          <w:sz w:val="20"/>
          <w:szCs w:val="20"/>
        </w:rPr>
        <w:t xml:space="preserve">If the Claimant accepts the proposed solution and way forward, the GRM will continue to monitor the implementation directly and through the receipt of communications from the Claimant and other relevant parties. As necessary, the GRM may solicit information from the relevant parties and initiate renewed dialogue where appropriate. </w:t>
      </w:r>
    </w:p>
    <w:p w14:paraId="68092180" w14:textId="77777777" w:rsidR="00CF33D9" w:rsidRDefault="00E3332A">
      <w:pPr>
        <w:spacing w:line="200" w:lineRule="exact"/>
        <w:jc w:val="both"/>
        <w:rPr>
          <w:rFonts w:ascii="Calibri" w:hAnsi="Calibri" w:cs="Calibri"/>
          <w:sz w:val="20"/>
          <w:szCs w:val="20"/>
        </w:rPr>
      </w:pPr>
      <w:r>
        <w:rPr>
          <w:rFonts w:ascii="Calibri" w:hAnsi="Calibri" w:cs="Calibri"/>
          <w:sz w:val="20"/>
          <w:szCs w:val="20"/>
        </w:rPr>
        <w:t xml:space="preserve">In all communications with the Claimant and other stakeholders, the GRM will be guided by its problem-solving role, non-coercive principles and process, and the voluntary, good faith nature of the interaction with the Claimant and other stakeholders. </w:t>
      </w:r>
    </w:p>
    <w:p w14:paraId="68092181" w14:textId="77777777" w:rsidR="00CF33D9" w:rsidRDefault="00CF33D9">
      <w:pPr>
        <w:spacing w:line="200" w:lineRule="exact"/>
        <w:jc w:val="both"/>
        <w:rPr>
          <w:rFonts w:ascii="Calibri" w:hAnsi="Calibri" w:cs="Calibri"/>
          <w:sz w:val="20"/>
          <w:szCs w:val="20"/>
        </w:rPr>
      </w:pPr>
    </w:p>
    <w:p w14:paraId="68092182" w14:textId="77777777" w:rsidR="00CF33D9" w:rsidRDefault="00E3332A">
      <w:pPr>
        <w:spacing w:line="200" w:lineRule="exact"/>
        <w:jc w:val="both"/>
        <w:rPr>
          <w:rFonts w:ascii="Calibri" w:hAnsi="Calibri" w:cs="Calibri"/>
          <w:b/>
          <w:bCs/>
          <w:color w:val="000000"/>
          <w:sz w:val="20"/>
          <w:szCs w:val="20"/>
        </w:rPr>
      </w:pPr>
      <w:r>
        <w:rPr>
          <w:rFonts w:ascii="Calibri" w:hAnsi="Calibri" w:cs="Calibri"/>
          <w:b/>
          <w:bCs/>
          <w:color w:val="000000"/>
          <w:sz w:val="20"/>
          <w:szCs w:val="20"/>
        </w:rPr>
        <w:t xml:space="preserve">XII. Monitoring and Evaluation </w:t>
      </w:r>
    </w:p>
    <w:p w14:paraId="68092183" w14:textId="77777777" w:rsidR="00CF33D9" w:rsidRDefault="00E3332A">
      <w:pPr>
        <w:spacing w:line="200" w:lineRule="exact"/>
        <w:jc w:val="both"/>
        <w:rPr>
          <w:rFonts w:ascii="Calibri" w:hAnsi="Calibri" w:cs="Calibri"/>
          <w:sz w:val="20"/>
          <w:szCs w:val="20"/>
        </w:rPr>
      </w:pPr>
      <w:r>
        <w:rPr>
          <w:rFonts w:ascii="Calibri" w:hAnsi="Calibri" w:cs="Calibri"/>
          <w:sz w:val="20"/>
          <w:szCs w:val="20"/>
        </w:rPr>
        <w:t xml:space="preserve">Bi-annually, the GRM will make available to the public, a report describing the work of the GRM, listing the number and nature of the Grievances received and processed in the past six months, a date and description of the Grievances received, resolutions, referrals and ongoing efforts at resolution, and status of implementation of ongoing resolutions. The level of detail provided with regard to any individual Grievance will depend on the sensitivity of the issues and Stakeholder concerns about confidentiality, while providing appropriate transparency about the activities of the GRM. The report will also highlight key trends in emerging conflicts, Grievances, and dispute resolution, and make recommendations regarding: </w:t>
      </w:r>
    </w:p>
    <w:p w14:paraId="68092184" w14:textId="77777777" w:rsidR="00CF33D9" w:rsidRDefault="00E3332A">
      <w:pPr>
        <w:pStyle w:val="ListParagraph"/>
        <w:numPr>
          <w:ilvl w:val="0"/>
          <w:numId w:val="151"/>
        </w:numPr>
        <w:spacing w:after="120" w:line="200" w:lineRule="exact"/>
        <w:jc w:val="both"/>
        <w:rPr>
          <w:rFonts w:ascii="Calibri" w:hAnsi="Calibri" w:cs="Calibri"/>
          <w:sz w:val="20"/>
          <w:szCs w:val="20"/>
        </w:rPr>
      </w:pPr>
      <w:r>
        <w:rPr>
          <w:rFonts w:ascii="Calibri" w:hAnsi="Calibri" w:cs="Calibri"/>
          <w:sz w:val="20"/>
          <w:szCs w:val="20"/>
        </w:rPr>
        <w:t>Measures that can be taken by the Government to avoid future harms and Grievances.</w:t>
      </w:r>
    </w:p>
    <w:p w14:paraId="68092185" w14:textId="77777777" w:rsidR="00CF33D9" w:rsidRDefault="00E3332A">
      <w:pPr>
        <w:pStyle w:val="ListParagraph"/>
        <w:numPr>
          <w:ilvl w:val="0"/>
          <w:numId w:val="151"/>
        </w:numPr>
        <w:spacing w:after="120" w:line="200" w:lineRule="exact"/>
        <w:jc w:val="both"/>
        <w:rPr>
          <w:rFonts w:ascii="Calibri" w:hAnsi="Calibri" w:cs="Calibri"/>
          <w:sz w:val="20"/>
          <w:szCs w:val="20"/>
        </w:rPr>
      </w:pPr>
      <w:r>
        <w:rPr>
          <w:rFonts w:ascii="Calibri" w:hAnsi="Calibri" w:cs="Calibri"/>
          <w:sz w:val="20"/>
          <w:szCs w:val="20"/>
        </w:rPr>
        <w:t xml:space="preserve">improvements to the GRM that would enhance its effectiveness, accessibility, predictability, transparency, legitimacy, credibility, and capacity. </w:t>
      </w:r>
    </w:p>
    <w:p w14:paraId="68092186" w14:textId="77777777" w:rsidR="00CF33D9" w:rsidRDefault="00E3332A">
      <w:pPr>
        <w:spacing w:line="200" w:lineRule="exact"/>
        <w:jc w:val="both"/>
        <w:rPr>
          <w:rFonts w:ascii="Calibri" w:hAnsi="Calibri" w:cs="Calibri"/>
          <w:b/>
          <w:bCs/>
          <w:color w:val="000000"/>
          <w:sz w:val="20"/>
          <w:szCs w:val="20"/>
        </w:rPr>
      </w:pPr>
      <w:r>
        <w:rPr>
          <w:rFonts w:ascii="Calibri" w:hAnsi="Calibri" w:cs="Calibri"/>
          <w:b/>
          <w:bCs/>
          <w:color w:val="000000"/>
          <w:sz w:val="20"/>
          <w:szCs w:val="20"/>
        </w:rPr>
        <w:t xml:space="preserve">XIII. Mediation </w:t>
      </w:r>
    </w:p>
    <w:p w14:paraId="68092187" w14:textId="77777777" w:rsidR="00CF33D9" w:rsidRDefault="00E3332A">
      <w:pPr>
        <w:spacing w:line="200" w:lineRule="exact"/>
        <w:jc w:val="both"/>
        <w:rPr>
          <w:rFonts w:ascii="Calibri" w:hAnsi="Calibri" w:cs="Calibri"/>
          <w:sz w:val="20"/>
          <w:szCs w:val="20"/>
        </w:rPr>
      </w:pPr>
      <w:r>
        <w:rPr>
          <w:rFonts w:ascii="Calibri" w:hAnsi="Calibri" w:cs="Calibri"/>
          <w:sz w:val="20"/>
          <w:szCs w:val="20"/>
        </w:rPr>
        <w:t xml:space="preserve">For the option of independent mediation, mediators on the roster/panel should have at least the following qualifications: </w:t>
      </w:r>
    </w:p>
    <w:p w14:paraId="68092188" w14:textId="77777777" w:rsidR="00CF33D9" w:rsidRDefault="00E3332A">
      <w:pPr>
        <w:pStyle w:val="ListParagraph"/>
        <w:numPr>
          <w:ilvl w:val="0"/>
          <w:numId w:val="152"/>
        </w:numPr>
        <w:spacing w:line="200" w:lineRule="exact"/>
        <w:jc w:val="both"/>
        <w:rPr>
          <w:rFonts w:ascii="Calibri" w:hAnsi="Calibri" w:cs="Calibri"/>
          <w:sz w:val="20"/>
          <w:szCs w:val="20"/>
        </w:rPr>
      </w:pPr>
      <w:r>
        <w:rPr>
          <w:rFonts w:ascii="Calibri" w:hAnsi="Calibri" w:cs="Calibri"/>
          <w:sz w:val="20"/>
          <w:szCs w:val="20"/>
        </w:rPr>
        <w:t>Professional experience and expertise in impartial mediation.</w:t>
      </w:r>
    </w:p>
    <w:p w14:paraId="68092189" w14:textId="77777777" w:rsidR="00CF33D9" w:rsidRDefault="00E3332A">
      <w:pPr>
        <w:pStyle w:val="ListParagraph"/>
        <w:numPr>
          <w:ilvl w:val="0"/>
          <w:numId w:val="152"/>
        </w:numPr>
        <w:spacing w:line="200" w:lineRule="exact"/>
        <w:jc w:val="both"/>
        <w:rPr>
          <w:rFonts w:ascii="Calibri" w:hAnsi="Calibri" w:cs="Calibri"/>
          <w:sz w:val="20"/>
          <w:szCs w:val="20"/>
        </w:rPr>
      </w:pPr>
      <w:r>
        <w:rPr>
          <w:rFonts w:ascii="Calibri" w:hAnsi="Calibri" w:cs="Calibri"/>
          <w:sz w:val="20"/>
          <w:szCs w:val="20"/>
        </w:rPr>
        <w:t>Knowledge of [project type and activities in the country] and the region, including an understanding of indigenous and tribal culture and practices.</w:t>
      </w:r>
    </w:p>
    <w:p w14:paraId="6809218A" w14:textId="77777777" w:rsidR="00CF33D9" w:rsidRDefault="00E3332A">
      <w:pPr>
        <w:pStyle w:val="ListParagraph"/>
        <w:numPr>
          <w:ilvl w:val="0"/>
          <w:numId w:val="152"/>
        </w:numPr>
        <w:spacing w:line="200" w:lineRule="exact"/>
        <w:jc w:val="both"/>
        <w:rPr>
          <w:rFonts w:ascii="Calibri" w:hAnsi="Calibri" w:cs="Calibri"/>
          <w:sz w:val="20"/>
          <w:szCs w:val="20"/>
        </w:rPr>
      </w:pPr>
      <w:r>
        <w:rPr>
          <w:rFonts w:ascii="Calibri" w:hAnsi="Calibri" w:cs="Calibri"/>
          <w:sz w:val="20"/>
          <w:szCs w:val="20"/>
        </w:rPr>
        <w:t>[National and local language, as appropriate] proficiency.</w:t>
      </w:r>
    </w:p>
    <w:p w14:paraId="6809218B" w14:textId="77777777" w:rsidR="00CF33D9" w:rsidRDefault="00E3332A">
      <w:pPr>
        <w:pStyle w:val="ListParagraph"/>
        <w:numPr>
          <w:ilvl w:val="0"/>
          <w:numId w:val="152"/>
        </w:numPr>
        <w:spacing w:line="200" w:lineRule="exact"/>
        <w:jc w:val="both"/>
        <w:rPr>
          <w:rFonts w:ascii="Calibri" w:hAnsi="Calibri" w:cs="Calibri"/>
          <w:sz w:val="20"/>
          <w:szCs w:val="20"/>
        </w:rPr>
      </w:pPr>
      <w:r>
        <w:rPr>
          <w:rFonts w:ascii="Calibri" w:hAnsi="Calibri" w:cs="Calibri"/>
          <w:sz w:val="20"/>
          <w:szCs w:val="20"/>
        </w:rPr>
        <w:t>Availability in principle for assignments of up to 20 days.</w:t>
      </w:r>
    </w:p>
    <w:p w14:paraId="6809218C" w14:textId="77777777" w:rsidR="00CF33D9" w:rsidRDefault="00E3332A">
      <w:pPr>
        <w:pStyle w:val="ListParagraph"/>
        <w:numPr>
          <w:ilvl w:val="0"/>
          <w:numId w:val="152"/>
        </w:numPr>
        <w:spacing w:line="200" w:lineRule="exact"/>
        <w:jc w:val="both"/>
        <w:rPr>
          <w:rFonts w:ascii="Calibri" w:hAnsi="Calibri" w:cs="Calibri"/>
          <w:sz w:val="20"/>
          <w:szCs w:val="20"/>
        </w:rPr>
      </w:pPr>
      <w:r>
        <w:rPr>
          <w:rFonts w:ascii="Calibri" w:hAnsi="Calibri" w:cs="Calibri"/>
          <w:sz w:val="20"/>
          <w:szCs w:val="20"/>
        </w:rPr>
        <w:t xml:space="preserve">Willingness to declare all relationships and interests that may affect their ability to act as impartial mediators in particular cases. </w:t>
      </w:r>
    </w:p>
    <w:p w14:paraId="6809218D" w14:textId="77777777" w:rsidR="00CF33D9" w:rsidRDefault="00E3332A">
      <w:pPr>
        <w:spacing w:line="200" w:lineRule="exact"/>
        <w:jc w:val="both"/>
        <w:rPr>
          <w:rFonts w:ascii="Calibri" w:hAnsi="Calibri" w:cs="Calibri"/>
          <w:sz w:val="20"/>
          <w:szCs w:val="20"/>
        </w:rPr>
      </w:pPr>
      <w:r>
        <w:rPr>
          <w:rFonts w:ascii="Calibri" w:hAnsi="Calibri" w:cs="Calibri"/>
          <w:sz w:val="20"/>
          <w:szCs w:val="20"/>
        </w:rPr>
        <w:t>If mediation succeeded in resolving the dispute or grievance, the outcome will be documented by [Implementing Partner] and reviewed by the Task Team. If it is unsuccessful, stakeholders will have the option to return to the PB members/GRM SC/GRM TT for assistance.</w:t>
      </w:r>
    </w:p>
    <w:p w14:paraId="6809218E" w14:textId="77777777" w:rsidR="00CF33D9" w:rsidRDefault="00E3332A">
      <w:pPr>
        <w:spacing w:before="240" w:line="200" w:lineRule="exact"/>
        <w:rPr>
          <w:rFonts w:ascii="Calibri" w:hAnsi="Calibri" w:cs="Calibri"/>
          <w:b/>
          <w:bCs/>
          <w:color w:val="000000"/>
          <w:sz w:val="20"/>
          <w:szCs w:val="20"/>
        </w:rPr>
      </w:pPr>
      <w:r>
        <w:rPr>
          <w:rFonts w:ascii="Calibri" w:hAnsi="Calibri" w:cs="Calibri"/>
          <w:b/>
          <w:bCs/>
          <w:color w:val="000000"/>
          <w:sz w:val="20"/>
          <w:szCs w:val="20"/>
        </w:rPr>
        <w:lastRenderedPageBreak/>
        <w:t xml:space="preserve">XIV. Without Prejudice </w:t>
      </w:r>
    </w:p>
    <w:p w14:paraId="6809218F" w14:textId="77777777" w:rsidR="00CF33D9" w:rsidRDefault="00E3332A">
      <w:pPr>
        <w:spacing w:line="200" w:lineRule="exact"/>
        <w:rPr>
          <w:rFonts w:ascii="Calibri" w:hAnsi="Calibri" w:cs="Calibri"/>
          <w:sz w:val="20"/>
          <w:szCs w:val="20"/>
        </w:rPr>
      </w:pPr>
      <w:r>
        <w:rPr>
          <w:rFonts w:ascii="Calibri" w:hAnsi="Calibri" w:cs="Calibri"/>
          <w:sz w:val="20"/>
          <w:szCs w:val="20"/>
        </w:rPr>
        <w:t>The existence and use of this GRM is without prejudice to any existing rights under any other complaint mechanisms that an individual or group of individuals may otherwise have access to under national or international law or the rules and regulations of other institutions, agencies, or commissions.</w:t>
      </w:r>
    </w:p>
    <w:p w14:paraId="68092190" w14:textId="77777777" w:rsidR="00CF33D9" w:rsidRDefault="00CF33D9">
      <w:pPr>
        <w:spacing w:line="200" w:lineRule="exact"/>
        <w:rPr>
          <w:rFonts w:ascii="Calibri" w:hAnsi="Calibri" w:cs="Calibri"/>
          <w:sz w:val="20"/>
          <w:szCs w:val="20"/>
        </w:rPr>
      </w:pPr>
    </w:p>
    <w:p w14:paraId="68092191" w14:textId="77777777" w:rsidR="00CF33D9" w:rsidRDefault="00CF33D9">
      <w:pPr>
        <w:spacing w:line="200" w:lineRule="exact"/>
        <w:rPr>
          <w:rFonts w:ascii="Calibri" w:hAnsi="Calibri" w:cs="Calibri"/>
          <w:sz w:val="20"/>
          <w:szCs w:val="20"/>
        </w:rPr>
      </w:pPr>
    </w:p>
    <w:p w14:paraId="68092192" w14:textId="77777777" w:rsidR="00CF33D9" w:rsidRDefault="00E3332A">
      <w:pPr>
        <w:rPr>
          <w:rFonts w:ascii="Calibri" w:hAnsi="Calibri" w:cs="Calibri"/>
          <w:sz w:val="20"/>
          <w:szCs w:val="20"/>
        </w:rPr>
      </w:pPr>
      <w:r>
        <w:rPr>
          <w:rFonts w:ascii="Calibri" w:hAnsi="Calibri" w:cs="Calibri"/>
          <w:sz w:val="20"/>
          <w:szCs w:val="20"/>
        </w:rPr>
        <w:t>10.5</w:t>
      </w:r>
      <w:r>
        <w:rPr>
          <w:rFonts w:ascii="Calibri" w:hAnsi="Calibri" w:cs="Calibri"/>
          <w:sz w:val="20"/>
          <w:szCs w:val="20"/>
        </w:rPr>
        <w:tab/>
        <w:t>Livelihood Action Plan – Template</w:t>
      </w:r>
    </w:p>
    <w:p w14:paraId="68092193" w14:textId="77777777" w:rsidR="00CF33D9" w:rsidRDefault="00CF33D9">
      <w:pPr>
        <w:rPr>
          <w:rFonts w:ascii="Calibri" w:hAnsi="Calibri" w:cs="Calibri"/>
          <w:sz w:val="20"/>
          <w:szCs w:val="20"/>
        </w:rPr>
      </w:pPr>
    </w:p>
    <w:p w14:paraId="68092194" w14:textId="77777777" w:rsidR="00CF33D9" w:rsidRDefault="00E3332A">
      <w:pPr>
        <w:spacing w:line="200" w:lineRule="exact"/>
        <w:jc w:val="both"/>
        <w:rPr>
          <w:rFonts w:ascii="Calibri" w:hAnsi="Calibri" w:cs="Calibri"/>
          <w:sz w:val="20"/>
          <w:szCs w:val="20"/>
        </w:rPr>
      </w:pPr>
      <w:r>
        <w:rPr>
          <w:rFonts w:ascii="Calibri" w:hAnsi="Calibri" w:cs="Calibri"/>
          <w:sz w:val="20"/>
          <w:szCs w:val="20"/>
        </w:rPr>
        <w:t xml:space="preserve">A Livelihood Action Plan (RAP) details the </w:t>
      </w:r>
      <w:r>
        <w:rPr>
          <w:rFonts w:ascii="Calibri" w:hAnsi="Calibri" w:cs="Calibri"/>
          <w:b/>
          <w:bCs/>
          <w:sz w:val="20"/>
          <w:szCs w:val="20"/>
        </w:rPr>
        <w:t xml:space="preserve">procedures </w:t>
      </w:r>
      <w:r>
        <w:rPr>
          <w:rFonts w:ascii="Calibri" w:hAnsi="Calibri" w:cs="Calibri"/>
          <w:sz w:val="20"/>
          <w:szCs w:val="20"/>
        </w:rPr>
        <w:t xml:space="preserve">and </w:t>
      </w:r>
      <w:r>
        <w:rPr>
          <w:rFonts w:ascii="Calibri" w:hAnsi="Calibri" w:cs="Calibri"/>
          <w:b/>
          <w:bCs/>
          <w:sz w:val="20"/>
          <w:szCs w:val="20"/>
        </w:rPr>
        <w:t xml:space="preserve">actions </w:t>
      </w:r>
      <w:r>
        <w:rPr>
          <w:rFonts w:ascii="Calibri" w:hAnsi="Calibri" w:cs="Calibri"/>
          <w:sz w:val="20"/>
          <w:szCs w:val="20"/>
        </w:rPr>
        <w:t>that will be undertaken in order to ensure that the capacity, production levels, and standards of living of economically displaced people are improved or at least restored, and that displaced people are compensated adequately. This plan must be developed after it has been determined, following the process outlined in Standard 5, that displacement is unavoidable. The LAP reflects the commitment made by the Implementing Partner and UNDP to affected people and communities to meet obligations arising from economic displacement.</w:t>
      </w:r>
    </w:p>
    <w:p w14:paraId="68092195" w14:textId="77777777" w:rsidR="00CF33D9" w:rsidRDefault="00CF33D9">
      <w:pPr>
        <w:spacing w:line="200" w:lineRule="exact"/>
        <w:rPr>
          <w:rFonts w:ascii="Calibri" w:hAnsi="Calibri" w:cs="Calibri"/>
          <w:sz w:val="20"/>
          <w:szCs w:val="20"/>
        </w:rPr>
      </w:pPr>
    </w:p>
    <w:p w14:paraId="68092196" w14:textId="77777777" w:rsidR="00CF33D9" w:rsidRDefault="00E3332A">
      <w:pPr>
        <w:autoSpaceDE w:val="0"/>
        <w:autoSpaceDN w:val="0"/>
        <w:adjustRightInd w:val="0"/>
        <w:spacing w:line="220" w:lineRule="exact"/>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 xml:space="preserve">1. Introduction </w:t>
      </w:r>
    </w:p>
    <w:p w14:paraId="68092197" w14:textId="77777777" w:rsidR="00CF33D9" w:rsidRDefault="00E3332A">
      <w:pPr>
        <w:pStyle w:val="ListParagraph"/>
        <w:numPr>
          <w:ilvl w:val="0"/>
          <w:numId w:val="152"/>
        </w:numPr>
        <w:autoSpaceDE w:val="0"/>
        <w:autoSpaceDN w:val="0"/>
        <w:adjustRightInd w:val="0"/>
        <w:spacing w:after="32"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 xml:space="preserve">Briefly describe the project and associated facilities (if any) </w:t>
      </w:r>
    </w:p>
    <w:p w14:paraId="68092198" w14:textId="77777777" w:rsidR="00CF33D9" w:rsidRDefault="00E3332A">
      <w:pPr>
        <w:pStyle w:val="ListParagraph"/>
        <w:numPr>
          <w:ilvl w:val="0"/>
          <w:numId w:val="152"/>
        </w:numPr>
        <w:autoSpaceDE w:val="0"/>
        <w:autoSpaceDN w:val="0"/>
        <w:adjustRightInd w:val="0"/>
        <w:spacing w:after="32"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 xml:space="preserve">Describe project components requiring economic displacement; land acquisition and resettlement; give overall estimates of land and/or resources to which access has been restricted </w:t>
      </w:r>
    </w:p>
    <w:p w14:paraId="68092199" w14:textId="77777777" w:rsidR="00CF33D9" w:rsidRDefault="00E3332A">
      <w:pPr>
        <w:pStyle w:val="ListParagraph"/>
        <w:numPr>
          <w:ilvl w:val="0"/>
          <w:numId w:val="152"/>
        </w:numPr>
        <w:autoSpaceDE w:val="0"/>
        <w:autoSpaceDN w:val="0"/>
        <w:adjustRightInd w:val="0"/>
        <w:spacing w:after="32"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 xml:space="preserve">Provide explanation of how economic displacement is necessary to achieve the project objectives, how the project is in the ‘public interest’ and how displacement is proportional to project outcomes </w:t>
      </w:r>
    </w:p>
    <w:p w14:paraId="6809219A" w14:textId="77777777" w:rsidR="00CF33D9" w:rsidRDefault="00CF33D9">
      <w:pPr>
        <w:autoSpaceDE w:val="0"/>
        <w:autoSpaceDN w:val="0"/>
        <w:adjustRightInd w:val="0"/>
        <w:spacing w:line="220" w:lineRule="exact"/>
        <w:rPr>
          <w:rFonts w:ascii="Calibri" w:eastAsiaTheme="minorHAnsi" w:hAnsi="Calibri" w:cs="Calibri"/>
          <w:color w:val="000000"/>
          <w:sz w:val="20"/>
          <w:szCs w:val="20"/>
          <w14:ligatures w14:val="standardContextual"/>
        </w:rPr>
      </w:pPr>
    </w:p>
    <w:p w14:paraId="6809219B" w14:textId="77777777" w:rsidR="00CF33D9" w:rsidRDefault="00E3332A">
      <w:pPr>
        <w:autoSpaceDE w:val="0"/>
        <w:autoSpaceDN w:val="0"/>
        <w:adjustRightInd w:val="0"/>
        <w:spacing w:line="220" w:lineRule="exact"/>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 xml:space="preserve">2. Minimizing Displacement </w:t>
      </w:r>
    </w:p>
    <w:p w14:paraId="6809219C" w14:textId="77777777" w:rsidR="00CF33D9" w:rsidRDefault="00E3332A">
      <w:pPr>
        <w:pStyle w:val="ListParagraph"/>
        <w:numPr>
          <w:ilvl w:val="0"/>
          <w:numId w:val="152"/>
        </w:numPr>
        <w:autoSpaceDE w:val="0"/>
        <w:autoSpaceDN w:val="0"/>
        <w:adjustRightInd w:val="0"/>
        <w:spacing w:after="32"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Describe the justification for the displacement.</w:t>
      </w:r>
    </w:p>
    <w:p w14:paraId="6809219D" w14:textId="77777777" w:rsidR="00CF33D9" w:rsidRDefault="00E3332A">
      <w:pPr>
        <w:pStyle w:val="ListParagraph"/>
        <w:numPr>
          <w:ilvl w:val="0"/>
          <w:numId w:val="152"/>
        </w:numPr>
        <w:autoSpaceDE w:val="0"/>
        <w:autoSpaceDN w:val="0"/>
        <w:adjustRightInd w:val="0"/>
        <w:spacing w:after="32"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Describe efforts and measures to minimize displacement, and expected outcomes of these efforts and measures.</w:t>
      </w:r>
    </w:p>
    <w:p w14:paraId="6809219E" w14:textId="77777777" w:rsidR="00CF33D9" w:rsidRDefault="00E3332A">
      <w:pPr>
        <w:pStyle w:val="ListParagraph"/>
        <w:numPr>
          <w:ilvl w:val="0"/>
          <w:numId w:val="152"/>
        </w:numPr>
        <w:autoSpaceDE w:val="0"/>
        <w:autoSpaceDN w:val="0"/>
        <w:adjustRightInd w:val="0"/>
        <w:spacing w:after="32"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 xml:space="preserve">Describe how requirements of Indigenous Peoples Standard have been addressed if Indigenous Peoples are displaced. </w:t>
      </w:r>
    </w:p>
    <w:p w14:paraId="6809219F" w14:textId="77777777" w:rsidR="00CF33D9" w:rsidRDefault="00CF33D9">
      <w:pPr>
        <w:pStyle w:val="ListParagraph"/>
        <w:autoSpaceDE w:val="0"/>
        <w:autoSpaceDN w:val="0"/>
        <w:adjustRightInd w:val="0"/>
        <w:spacing w:after="32" w:line="220" w:lineRule="exact"/>
        <w:rPr>
          <w:rFonts w:ascii="Calibri" w:eastAsiaTheme="minorHAnsi" w:hAnsi="Calibri" w:cs="Calibri"/>
          <w:color w:val="000000"/>
          <w:sz w:val="20"/>
          <w:szCs w:val="20"/>
          <w14:ligatures w14:val="standardContextual"/>
        </w:rPr>
      </w:pPr>
    </w:p>
    <w:p w14:paraId="680921A0" w14:textId="77777777" w:rsidR="00CF33D9" w:rsidRDefault="00E3332A">
      <w:pPr>
        <w:autoSpaceDE w:val="0"/>
        <w:autoSpaceDN w:val="0"/>
        <w:adjustRightInd w:val="0"/>
        <w:spacing w:line="220" w:lineRule="exact"/>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 xml:space="preserve">3. Census and Socioeconomic Surveys </w:t>
      </w:r>
    </w:p>
    <w:p w14:paraId="680921A1" w14:textId="77777777" w:rsidR="00CF33D9" w:rsidRDefault="00E3332A">
      <w:pPr>
        <w:pStyle w:val="ListParagraph"/>
        <w:numPr>
          <w:ilvl w:val="0"/>
          <w:numId w:val="152"/>
        </w:numPr>
        <w:autoSpaceDE w:val="0"/>
        <w:autoSpaceDN w:val="0"/>
        <w:adjustRightInd w:val="0"/>
        <w:spacing w:after="32"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 xml:space="preserve">Provide results of the census, assets inventories, natural resource assessments, and socioeconomic surveys and briefly describe how these were performed, i.e., techniques used, individuals interviewed, etc. </w:t>
      </w:r>
    </w:p>
    <w:p w14:paraId="680921A2" w14:textId="77777777" w:rsidR="00CF33D9" w:rsidRDefault="00E3332A">
      <w:pPr>
        <w:pStyle w:val="ListParagraph"/>
        <w:numPr>
          <w:ilvl w:val="0"/>
          <w:numId w:val="152"/>
        </w:numPr>
        <w:autoSpaceDE w:val="0"/>
        <w:autoSpaceDN w:val="0"/>
        <w:adjustRightInd w:val="0"/>
        <w:spacing w:after="32"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Identify all people and communities potentially affected by displacement activities and potential impacts to each.</w:t>
      </w:r>
    </w:p>
    <w:p w14:paraId="680921A3" w14:textId="77777777" w:rsidR="00CF33D9" w:rsidRDefault="00CF33D9">
      <w:pPr>
        <w:pStyle w:val="ListParagraph"/>
        <w:autoSpaceDE w:val="0"/>
        <w:autoSpaceDN w:val="0"/>
        <w:adjustRightInd w:val="0"/>
        <w:spacing w:after="32" w:line="220" w:lineRule="exact"/>
        <w:rPr>
          <w:rFonts w:ascii="Calibri" w:eastAsiaTheme="minorHAnsi" w:hAnsi="Calibri" w:cs="Calibri"/>
          <w:color w:val="000000"/>
          <w:sz w:val="20"/>
          <w:szCs w:val="20"/>
          <w14:ligatures w14:val="standardContextual"/>
        </w:rPr>
      </w:pPr>
    </w:p>
    <w:p w14:paraId="680921A4" w14:textId="77777777" w:rsidR="00CF33D9" w:rsidRDefault="00E3332A">
      <w:pPr>
        <w:autoSpaceDE w:val="0"/>
        <w:autoSpaceDN w:val="0"/>
        <w:adjustRightInd w:val="0"/>
        <w:spacing w:line="220" w:lineRule="exact"/>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 xml:space="preserve">4. Legal Framework </w:t>
      </w:r>
    </w:p>
    <w:p w14:paraId="680921A5" w14:textId="77777777" w:rsidR="00CF33D9" w:rsidRDefault="00E3332A">
      <w:pPr>
        <w:pStyle w:val="ListParagraph"/>
        <w:numPr>
          <w:ilvl w:val="0"/>
          <w:numId w:val="152"/>
        </w:numPr>
        <w:autoSpaceDE w:val="0"/>
        <w:autoSpaceDN w:val="0"/>
        <w:adjustRightInd w:val="0"/>
        <w:spacing w:after="29"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Describe all relevant international, national, local, and community laws and customs that apply to displacement activities, with particular attention to laws and customs relating to tenure rights.</w:t>
      </w:r>
    </w:p>
    <w:p w14:paraId="680921A6" w14:textId="77777777" w:rsidR="00CF33D9" w:rsidRDefault="00E3332A">
      <w:pPr>
        <w:pStyle w:val="ListParagraph"/>
        <w:numPr>
          <w:ilvl w:val="0"/>
          <w:numId w:val="152"/>
        </w:numPr>
        <w:autoSpaceDE w:val="0"/>
        <w:autoSpaceDN w:val="0"/>
        <w:adjustRightInd w:val="0"/>
        <w:spacing w:after="29"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Describe how free, prior, informed consent was obtained for displacement of indigenous peoples and tribal communities, if applicable.</w:t>
      </w:r>
    </w:p>
    <w:p w14:paraId="680921A7" w14:textId="77777777" w:rsidR="00CF33D9" w:rsidRDefault="00E3332A">
      <w:pPr>
        <w:pStyle w:val="ListParagraph"/>
        <w:numPr>
          <w:ilvl w:val="0"/>
          <w:numId w:val="152"/>
        </w:numPr>
        <w:autoSpaceDE w:val="0"/>
        <w:autoSpaceDN w:val="0"/>
        <w:adjustRightInd w:val="0"/>
        <w:spacing w:after="29"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Describe project-specific mechanisms to address conflicts.</w:t>
      </w:r>
    </w:p>
    <w:p w14:paraId="680921A8" w14:textId="77777777" w:rsidR="00CF33D9" w:rsidRDefault="00E3332A">
      <w:pPr>
        <w:pStyle w:val="ListParagraph"/>
        <w:numPr>
          <w:ilvl w:val="0"/>
          <w:numId w:val="152"/>
        </w:numPr>
        <w:autoSpaceDE w:val="0"/>
        <w:autoSpaceDN w:val="0"/>
        <w:adjustRightInd w:val="0"/>
        <w:spacing w:after="29"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Describe entitlement/compensation policies for each type of impact.</w:t>
      </w:r>
    </w:p>
    <w:p w14:paraId="680921A9" w14:textId="77777777" w:rsidR="00CF33D9" w:rsidRDefault="00E3332A">
      <w:pPr>
        <w:pStyle w:val="ListParagraph"/>
        <w:numPr>
          <w:ilvl w:val="0"/>
          <w:numId w:val="152"/>
        </w:numPr>
        <w:autoSpaceDE w:val="0"/>
        <w:autoSpaceDN w:val="0"/>
        <w:adjustRightInd w:val="0"/>
        <w:spacing w:after="29"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Describe method of valuation used for affected structures, land, trees, and other assets.</w:t>
      </w:r>
    </w:p>
    <w:p w14:paraId="680921AA" w14:textId="77777777" w:rsidR="00CF33D9" w:rsidRDefault="00E3332A">
      <w:pPr>
        <w:pStyle w:val="ListParagraph"/>
        <w:numPr>
          <w:ilvl w:val="0"/>
          <w:numId w:val="152"/>
        </w:numPr>
        <w:autoSpaceDE w:val="0"/>
        <w:autoSpaceDN w:val="0"/>
        <w:adjustRightInd w:val="0"/>
        <w:spacing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Prepare entitlement matrix, which includes budget and timeframe for payment of entitlements.</w:t>
      </w:r>
    </w:p>
    <w:p w14:paraId="680921AB" w14:textId="77777777" w:rsidR="00CF33D9" w:rsidRDefault="00CF33D9">
      <w:pPr>
        <w:pStyle w:val="ListParagraph"/>
        <w:autoSpaceDE w:val="0"/>
        <w:autoSpaceDN w:val="0"/>
        <w:adjustRightInd w:val="0"/>
        <w:spacing w:line="220" w:lineRule="exact"/>
        <w:rPr>
          <w:rFonts w:ascii="Calibri" w:eastAsiaTheme="minorHAnsi" w:hAnsi="Calibri" w:cs="Calibri"/>
          <w:color w:val="000000"/>
          <w:sz w:val="20"/>
          <w:szCs w:val="20"/>
          <w14:ligatures w14:val="standardContextual"/>
        </w:rPr>
      </w:pPr>
    </w:p>
    <w:p w14:paraId="680921AC" w14:textId="77777777" w:rsidR="00CF33D9" w:rsidRDefault="00E3332A">
      <w:pPr>
        <w:autoSpaceDE w:val="0"/>
        <w:autoSpaceDN w:val="0"/>
        <w:adjustRightInd w:val="0"/>
        <w:spacing w:line="220" w:lineRule="exact"/>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 xml:space="preserve">5. Displacement-related Property </w:t>
      </w:r>
    </w:p>
    <w:p w14:paraId="680921AD" w14:textId="77777777" w:rsidR="00CF33D9" w:rsidRDefault="00E3332A">
      <w:pPr>
        <w:pStyle w:val="ListParagraph"/>
        <w:numPr>
          <w:ilvl w:val="0"/>
          <w:numId w:val="152"/>
        </w:numPr>
        <w:autoSpaceDE w:val="0"/>
        <w:autoSpaceDN w:val="0"/>
        <w:adjustRightInd w:val="0"/>
        <w:spacing w:after="30"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 xml:space="preserve">Describe how affected people have been involved in a participatory process to identify replacement property when they have lost access to property to which they have legitimate rights. Describe the advantages and disadvantages of the properties, including the property chosen. </w:t>
      </w:r>
    </w:p>
    <w:p w14:paraId="680921AE" w14:textId="77777777" w:rsidR="00CF33D9" w:rsidRDefault="00E3332A">
      <w:pPr>
        <w:pStyle w:val="ListParagraph"/>
        <w:numPr>
          <w:ilvl w:val="0"/>
          <w:numId w:val="152"/>
        </w:numPr>
        <w:autoSpaceDE w:val="0"/>
        <w:autoSpaceDN w:val="0"/>
        <w:adjustRightInd w:val="0"/>
        <w:spacing w:after="30"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 xml:space="preserve">Describe how affected people whose livelihoods are urban-based have been involved in a participatory process to identify livelihood replacement and support opportunities. </w:t>
      </w:r>
    </w:p>
    <w:p w14:paraId="680921AF" w14:textId="77777777" w:rsidR="00CF33D9" w:rsidRDefault="00E3332A">
      <w:pPr>
        <w:pStyle w:val="ListParagraph"/>
        <w:numPr>
          <w:ilvl w:val="0"/>
          <w:numId w:val="152"/>
        </w:numPr>
        <w:autoSpaceDE w:val="0"/>
        <w:autoSpaceDN w:val="0"/>
        <w:adjustRightInd w:val="0"/>
        <w:spacing w:after="30"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 xml:space="preserve">Describe how affected people whose livelihoods are land-based have been involved in a participatory process to identify lands they can access, including lands with productive potential, locational advantages, and other factors at least equivalent to that being lost. </w:t>
      </w:r>
    </w:p>
    <w:p w14:paraId="680921B0" w14:textId="77777777" w:rsidR="00CF33D9" w:rsidRDefault="00E3332A">
      <w:pPr>
        <w:pStyle w:val="ListParagraph"/>
        <w:numPr>
          <w:ilvl w:val="0"/>
          <w:numId w:val="152"/>
        </w:numPr>
        <w:autoSpaceDE w:val="0"/>
        <w:autoSpaceDN w:val="0"/>
        <w:adjustRightInd w:val="0"/>
        <w:spacing w:after="30"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 xml:space="preserve">Describe how affected people whose livelihoods are natural resource-based have been involved in a participatory process to identify resources they can access with equivalent livelihood-earning potential </w:t>
      </w:r>
    </w:p>
    <w:p w14:paraId="680921B1" w14:textId="77777777" w:rsidR="00CF33D9" w:rsidRDefault="00E3332A">
      <w:pPr>
        <w:pStyle w:val="ListParagraph"/>
        <w:autoSpaceDE w:val="0"/>
        <w:autoSpaceDN w:val="0"/>
        <w:adjustRightInd w:val="0"/>
        <w:spacing w:after="30" w:line="220" w:lineRule="exact"/>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 xml:space="preserve">and accessibility. </w:t>
      </w:r>
    </w:p>
    <w:p w14:paraId="680921B2" w14:textId="77777777" w:rsidR="00CF33D9" w:rsidRDefault="00E3332A">
      <w:pPr>
        <w:pStyle w:val="ListParagraph"/>
        <w:numPr>
          <w:ilvl w:val="0"/>
          <w:numId w:val="152"/>
        </w:numPr>
        <w:autoSpaceDE w:val="0"/>
        <w:autoSpaceDN w:val="0"/>
        <w:adjustRightInd w:val="0"/>
        <w:spacing w:after="30"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lastRenderedPageBreak/>
        <w:t xml:space="preserve">Describe how affected people whose access to legally designated parks and protected areas has been restricted have been involved in identifying and choosing measures to mitigate impacts. </w:t>
      </w:r>
    </w:p>
    <w:p w14:paraId="680921B3" w14:textId="77777777" w:rsidR="00CF33D9" w:rsidRDefault="00E3332A">
      <w:pPr>
        <w:pStyle w:val="ListParagraph"/>
        <w:numPr>
          <w:ilvl w:val="0"/>
          <w:numId w:val="152"/>
        </w:numPr>
        <w:autoSpaceDE w:val="0"/>
        <w:autoSpaceDN w:val="0"/>
        <w:adjustRightInd w:val="0"/>
        <w:spacing w:after="30"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 xml:space="preserve">Describe the feasibility studies conducted to determine the suitability of chosen lands and/or natural resources described above, including natural resource assessments (soils and land use capability, vegetation and livestock carrying capacity, water resource surveys) and environmental and social impact assessments of the sites. </w:t>
      </w:r>
    </w:p>
    <w:p w14:paraId="680921B4" w14:textId="77777777" w:rsidR="00CF33D9" w:rsidRDefault="00E3332A">
      <w:pPr>
        <w:pStyle w:val="ListParagraph"/>
        <w:numPr>
          <w:ilvl w:val="0"/>
          <w:numId w:val="152"/>
        </w:numPr>
        <w:autoSpaceDE w:val="0"/>
        <w:autoSpaceDN w:val="0"/>
        <w:adjustRightInd w:val="0"/>
        <w:spacing w:after="30"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Give calculations relating to land and resource availability.</w:t>
      </w:r>
    </w:p>
    <w:p w14:paraId="680921B5" w14:textId="77777777" w:rsidR="00CF33D9" w:rsidRDefault="00E3332A">
      <w:pPr>
        <w:pStyle w:val="ListParagraph"/>
        <w:numPr>
          <w:ilvl w:val="0"/>
          <w:numId w:val="152"/>
        </w:numPr>
        <w:autoSpaceDE w:val="0"/>
        <w:autoSpaceDN w:val="0"/>
        <w:adjustRightInd w:val="0"/>
        <w:spacing w:after="30"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 xml:space="preserve">Describe, as relevant, mechanisms for: 1) procuring, 2) developing and 3) allotting displacement property, including the awarding of title or use rights to allotted lands and/or resources. Indicate to whom titles and use rights will be allocated, including by gender. </w:t>
      </w:r>
    </w:p>
    <w:p w14:paraId="680921B6" w14:textId="77777777" w:rsidR="00CF33D9" w:rsidRDefault="00E3332A">
      <w:pPr>
        <w:pStyle w:val="ListParagraph"/>
        <w:numPr>
          <w:ilvl w:val="0"/>
          <w:numId w:val="152"/>
        </w:numPr>
        <w:autoSpaceDE w:val="0"/>
        <w:autoSpaceDN w:val="0"/>
        <w:adjustRightInd w:val="0"/>
        <w:spacing w:after="30"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Provide detailed description of the arrangements for site development for agriculture, including funding of development costs.</w:t>
      </w:r>
    </w:p>
    <w:p w14:paraId="680921B7" w14:textId="77777777" w:rsidR="00CF33D9" w:rsidRDefault="00E3332A">
      <w:pPr>
        <w:pStyle w:val="ListParagraph"/>
        <w:numPr>
          <w:ilvl w:val="0"/>
          <w:numId w:val="152"/>
        </w:numPr>
        <w:autoSpaceDE w:val="0"/>
        <w:autoSpaceDN w:val="0"/>
        <w:adjustRightInd w:val="0"/>
        <w:spacing w:after="30"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 xml:space="preserve">If circumstances made it difficult to provide land or resources as described above, provide evidence of mutual agreement with affected people/communities on alternative measures. </w:t>
      </w:r>
    </w:p>
    <w:p w14:paraId="680921B8" w14:textId="77777777" w:rsidR="00CF33D9" w:rsidRDefault="00CF33D9">
      <w:pPr>
        <w:pStyle w:val="ListParagraph"/>
        <w:autoSpaceDE w:val="0"/>
        <w:autoSpaceDN w:val="0"/>
        <w:adjustRightInd w:val="0"/>
        <w:spacing w:after="30" w:line="220" w:lineRule="exact"/>
        <w:rPr>
          <w:rFonts w:ascii="Calibri" w:eastAsiaTheme="minorHAnsi" w:hAnsi="Calibri" w:cs="Calibri"/>
          <w:color w:val="000000"/>
          <w:sz w:val="20"/>
          <w:szCs w:val="20"/>
          <w14:ligatures w14:val="standardContextual"/>
        </w:rPr>
      </w:pPr>
    </w:p>
    <w:p w14:paraId="680921B9" w14:textId="77777777" w:rsidR="00CF33D9" w:rsidRDefault="00E3332A">
      <w:pPr>
        <w:autoSpaceDE w:val="0"/>
        <w:autoSpaceDN w:val="0"/>
        <w:adjustRightInd w:val="0"/>
        <w:spacing w:line="220" w:lineRule="exact"/>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 xml:space="preserve">6. Income Restoration </w:t>
      </w:r>
    </w:p>
    <w:p w14:paraId="680921BA" w14:textId="77777777" w:rsidR="00CF33D9" w:rsidRDefault="00E3332A">
      <w:pPr>
        <w:pStyle w:val="ListParagraph"/>
        <w:numPr>
          <w:ilvl w:val="0"/>
          <w:numId w:val="152"/>
        </w:numPr>
        <w:autoSpaceDE w:val="0"/>
        <w:autoSpaceDN w:val="0"/>
        <w:adjustRightInd w:val="0"/>
        <w:spacing w:after="30"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 xml:space="preserve">Are compensation entitlements sufficient to restore and/or improve livelihoods and income streams for each category of impact? Attach independent review of opportunities to restore and improve incomes/livelihoods. What additional economic rehabilitation measures are necessary? </w:t>
      </w:r>
    </w:p>
    <w:p w14:paraId="680921BB" w14:textId="77777777" w:rsidR="00CF33D9" w:rsidRDefault="00E3332A">
      <w:pPr>
        <w:pStyle w:val="ListParagraph"/>
        <w:numPr>
          <w:ilvl w:val="0"/>
          <w:numId w:val="152"/>
        </w:numPr>
        <w:autoSpaceDE w:val="0"/>
        <w:autoSpaceDN w:val="0"/>
        <w:adjustRightInd w:val="0"/>
        <w:spacing w:after="30"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 xml:space="preserve">Briefly spell out the restoration strategies for each category of impact and describe their institutional, financial, and technical aspects </w:t>
      </w:r>
    </w:p>
    <w:p w14:paraId="680921BC" w14:textId="77777777" w:rsidR="00CF33D9" w:rsidRDefault="00E3332A">
      <w:pPr>
        <w:pStyle w:val="ListParagraph"/>
        <w:numPr>
          <w:ilvl w:val="0"/>
          <w:numId w:val="152"/>
        </w:numPr>
        <w:autoSpaceDE w:val="0"/>
        <w:autoSpaceDN w:val="0"/>
        <w:adjustRightInd w:val="0"/>
        <w:spacing w:after="30"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Describe the process of consultation with affected populations and their participation in finalizing strategies for income restoration.</w:t>
      </w:r>
    </w:p>
    <w:p w14:paraId="680921BD" w14:textId="77777777" w:rsidR="00CF33D9" w:rsidRDefault="00E3332A">
      <w:pPr>
        <w:pStyle w:val="ListParagraph"/>
        <w:numPr>
          <w:ilvl w:val="0"/>
          <w:numId w:val="152"/>
        </w:numPr>
        <w:autoSpaceDE w:val="0"/>
        <w:autoSpaceDN w:val="0"/>
        <w:adjustRightInd w:val="0"/>
        <w:spacing w:after="30"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 xml:space="preserve">How do these strategies vary with the area of impact? </w:t>
      </w:r>
    </w:p>
    <w:p w14:paraId="680921BE" w14:textId="77777777" w:rsidR="00CF33D9" w:rsidRDefault="00E3332A">
      <w:pPr>
        <w:pStyle w:val="ListParagraph"/>
        <w:numPr>
          <w:ilvl w:val="0"/>
          <w:numId w:val="152"/>
        </w:numPr>
        <w:autoSpaceDE w:val="0"/>
        <w:autoSpaceDN w:val="0"/>
        <w:adjustRightInd w:val="0"/>
        <w:spacing w:after="30"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 xml:space="preserve">Does income restoration require change in livelihoods, development of alternative farmlands or some other activities that require a substantial amount of training, time for preparation, and implementation? </w:t>
      </w:r>
    </w:p>
    <w:p w14:paraId="680921BF" w14:textId="77777777" w:rsidR="00CF33D9" w:rsidRDefault="00E3332A">
      <w:pPr>
        <w:pStyle w:val="ListParagraph"/>
        <w:numPr>
          <w:ilvl w:val="0"/>
          <w:numId w:val="152"/>
        </w:numPr>
        <w:autoSpaceDE w:val="0"/>
        <w:autoSpaceDN w:val="0"/>
        <w:adjustRightInd w:val="0"/>
        <w:spacing w:after="30"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 xml:space="preserve">How are the risks of impoverishment to be addressed? </w:t>
      </w:r>
    </w:p>
    <w:p w14:paraId="680921C0" w14:textId="77777777" w:rsidR="00CF33D9" w:rsidRDefault="00E3332A">
      <w:pPr>
        <w:pStyle w:val="ListParagraph"/>
        <w:numPr>
          <w:ilvl w:val="0"/>
          <w:numId w:val="152"/>
        </w:numPr>
        <w:autoSpaceDE w:val="0"/>
        <w:autoSpaceDN w:val="0"/>
        <w:adjustRightInd w:val="0"/>
        <w:spacing w:after="30"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 xml:space="preserve">What are the main institutional and other risks for the smooth implementation of the resettlement programs? </w:t>
      </w:r>
    </w:p>
    <w:p w14:paraId="680921C1" w14:textId="77777777" w:rsidR="00CF33D9" w:rsidRDefault="00E3332A">
      <w:pPr>
        <w:pStyle w:val="ListParagraph"/>
        <w:numPr>
          <w:ilvl w:val="0"/>
          <w:numId w:val="152"/>
        </w:numPr>
        <w:autoSpaceDE w:val="0"/>
        <w:autoSpaceDN w:val="0"/>
        <w:adjustRightInd w:val="0"/>
        <w:spacing w:after="30"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Describe the process for monitoring the effectiveness of the income restoration measures.</w:t>
      </w:r>
    </w:p>
    <w:p w14:paraId="680921C2" w14:textId="77777777" w:rsidR="00CF33D9" w:rsidRDefault="00E3332A">
      <w:pPr>
        <w:pStyle w:val="ListParagraph"/>
        <w:numPr>
          <w:ilvl w:val="0"/>
          <w:numId w:val="152"/>
        </w:numPr>
        <w:autoSpaceDE w:val="0"/>
        <w:autoSpaceDN w:val="0"/>
        <w:adjustRightInd w:val="0"/>
        <w:spacing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 xml:space="preserve">Describe any social or community development programs currently operating in or around the project area. If programs exist, do they meet the development priorities of their target communities? Are there opportunities to support new programs or expand existing programs to meet the development priorities of communities in the project area? </w:t>
      </w:r>
    </w:p>
    <w:p w14:paraId="680921C3" w14:textId="77777777" w:rsidR="00CF33D9" w:rsidRDefault="00CF33D9">
      <w:pPr>
        <w:pStyle w:val="ListParagraph"/>
        <w:autoSpaceDE w:val="0"/>
        <w:autoSpaceDN w:val="0"/>
        <w:adjustRightInd w:val="0"/>
        <w:spacing w:line="220" w:lineRule="exact"/>
        <w:rPr>
          <w:rFonts w:ascii="Calibri" w:eastAsiaTheme="minorHAnsi" w:hAnsi="Calibri" w:cs="Calibri"/>
          <w:color w:val="000000"/>
          <w:sz w:val="20"/>
          <w:szCs w:val="20"/>
          <w14:ligatures w14:val="standardContextual"/>
        </w:rPr>
      </w:pPr>
    </w:p>
    <w:p w14:paraId="680921C4" w14:textId="77777777" w:rsidR="00CF33D9" w:rsidRDefault="00E3332A">
      <w:pPr>
        <w:autoSpaceDE w:val="0"/>
        <w:autoSpaceDN w:val="0"/>
        <w:adjustRightInd w:val="0"/>
        <w:spacing w:line="220" w:lineRule="exact"/>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 xml:space="preserve">7. Institutional Arrangements </w:t>
      </w:r>
    </w:p>
    <w:p w14:paraId="680921C5" w14:textId="77777777" w:rsidR="00CF33D9" w:rsidRDefault="00E3332A">
      <w:pPr>
        <w:pStyle w:val="ListParagraph"/>
        <w:numPr>
          <w:ilvl w:val="0"/>
          <w:numId w:val="152"/>
        </w:numPr>
        <w:autoSpaceDE w:val="0"/>
        <w:autoSpaceDN w:val="0"/>
        <w:adjustRightInd w:val="0"/>
        <w:spacing w:after="30"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Describe the institution(s) responsible for delivery of each item/activity in the entitlement policy; implementation of income restoration programs; and coordination of the activities associated with and described in the livelihood action plan.</w:t>
      </w:r>
    </w:p>
    <w:p w14:paraId="680921C6" w14:textId="77777777" w:rsidR="00CF33D9" w:rsidRDefault="00E3332A">
      <w:pPr>
        <w:pStyle w:val="ListParagraph"/>
        <w:numPr>
          <w:ilvl w:val="0"/>
          <w:numId w:val="152"/>
        </w:numPr>
        <w:autoSpaceDE w:val="0"/>
        <w:autoSpaceDN w:val="0"/>
        <w:adjustRightInd w:val="0"/>
        <w:spacing w:after="30"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State how coordination issues will be addressed where displacement is spread over a number of jurisdictions or where displacement will be implemented in stages over a long period of time.</w:t>
      </w:r>
    </w:p>
    <w:p w14:paraId="680921C7" w14:textId="77777777" w:rsidR="00CF33D9" w:rsidRDefault="00E3332A">
      <w:pPr>
        <w:pStyle w:val="ListParagraph"/>
        <w:numPr>
          <w:ilvl w:val="0"/>
          <w:numId w:val="152"/>
        </w:numPr>
        <w:autoSpaceDE w:val="0"/>
        <w:autoSpaceDN w:val="0"/>
        <w:adjustRightInd w:val="0"/>
        <w:spacing w:after="30"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 xml:space="preserve">Identify the agency that will coordinate all implementing agencies. Does it have the necessary mandate and resources? </w:t>
      </w:r>
    </w:p>
    <w:p w14:paraId="680921C8" w14:textId="77777777" w:rsidR="00CF33D9" w:rsidRDefault="00E3332A">
      <w:pPr>
        <w:pStyle w:val="ListParagraph"/>
        <w:numPr>
          <w:ilvl w:val="0"/>
          <w:numId w:val="152"/>
        </w:numPr>
        <w:autoSpaceDE w:val="0"/>
        <w:autoSpaceDN w:val="0"/>
        <w:adjustRightInd w:val="0"/>
        <w:spacing w:after="30"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Describe the external (nonproject) institutions involved in the process of income restoration (land development, land allocation, credit, training) and the mechanisms to ensure adequate performance of these institutions.</w:t>
      </w:r>
    </w:p>
    <w:p w14:paraId="680921C9" w14:textId="77777777" w:rsidR="00CF33D9" w:rsidRDefault="00E3332A">
      <w:pPr>
        <w:pStyle w:val="ListParagraph"/>
        <w:numPr>
          <w:ilvl w:val="0"/>
          <w:numId w:val="152"/>
        </w:numPr>
        <w:autoSpaceDE w:val="0"/>
        <w:autoSpaceDN w:val="0"/>
        <w:adjustRightInd w:val="0"/>
        <w:spacing w:after="30"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Discuss institutional capacity for and commitment to displacement.</w:t>
      </w:r>
    </w:p>
    <w:p w14:paraId="680921CA" w14:textId="77777777" w:rsidR="00CF33D9" w:rsidRDefault="00E3332A">
      <w:pPr>
        <w:pStyle w:val="ListParagraph"/>
        <w:numPr>
          <w:ilvl w:val="0"/>
          <w:numId w:val="152"/>
        </w:numPr>
        <w:autoSpaceDE w:val="0"/>
        <w:autoSpaceDN w:val="0"/>
        <w:adjustRightInd w:val="0"/>
        <w:spacing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Describe mechanisms for ensuring independent monitoring, evaluation, and financial audit of the LAP and for ensuring that corrective measures are carried out in a timely fashion.</w:t>
      </w:r>
    </w:p>
    <w:p w14:paraId="680921CB" w14:textId="77777777" w:rsidR="00CF33D9" w:rsidRDefault="00CF33D9">
      <w:pPr>
        <w:pStyle w:val="ListParagraph"/>
        <w:autoSpaceDE w:val="0"/>
        <w:autoSpaceDN w:val="0"/>
        <w:adjustRightInd w:val="0"/>
        <w:spacing w:line="220" w:lineRule="exact"/>
        <w:rPr>
          <w:rFonts w:ascii="Calibri" w:eastAsiaTheme="minorHAnsi" w:hAnsi="Calibri" w:cs="Calibri"/>
          <w:color w:val="000000"/>
          <w:sz w:val="20"/>
          <w:szCs w:val="20"/>
          <w14:ligatures w14:val="standardContextual"/>
        </w:rPr>
      </w:pPr>
    </w:p>
    <w:p w14:paraId="680921CC" w14:textId="77777777" w:rsidR="00CF33D9" w:rsidRDefault="00E3332A">
      <w:pPr>
        <w:autoSpaceDE w:val="0"/>
        <w:autoSpaceDN w:val="0"/>
        <w:adjustRightInd w:val="0"/>
        <w:spacing w:line="220" w:lineRule="exact"/>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 xml:space="preserve">8. Implementation Schedule </w:t>
      </w:r>
    </w:p>
    <w:p w14:paraId="680921CD" w14:textId="77777777" w:rsidR="00CF33D9" w:rsidRDefault="00E3332A">
      <w:pPr>
        <w:pStyle w:val="ListParagraph"/>
        <w:numPr>
          <w:ilvl w:val="0"/>
          <w:numId w:val="152"/>
        </w:numPr>
        <w:autoSpaceDE w:val="0"/>
        <w:autoSpaceDN w:val="0"/>
        <w:adjustRightInd w:val="0"/>
        <w:spacing w:after="30"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List the chronological steps in implementation of the LAP, including identification of agencies responsible for each activity and with a brief explanation of each activity.</w:t>
      </w:r>
    </w:p>
    <w:p w14:paraId="680921CE" w14:textId="77777777" w:rsidR="00CF33D9" w:rsidRDefault="00E3332A">
      <w:pPr>
        <w:pStyle w:val="ListParagraph"/>
        <w:numPr>
          <w:ilvl w:val="0"/>
          <w:numId w:val="152"/>
        </w:numPr>
        <w:autoSpaceDE w:val="0"/>
        <w:autoSpaceDN w:val="0"/>
        <w:adjustRightInd w:val="0"/>
        <w:spacing w:after="30"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Prepare a month-by-month implementation schedule of activities to be undertaken as part of resettlement implementation.</w:t>
      </w:r>
    </w:p>
    <w:p w14:paraId="680921CF" w14:textId="77777777" w:rsidR="00CF33D9" w:rsidRDefault="00E3332A">
      <w:pPr>
        <w:pStyle w:val="ListParagraph"/>
        <w:numPr>
          <w:ilvl w:val="0"/>
          <w:numId w:val="152"/>
        </w:numPr>
        <w:autoSpaceDE w:val="0"/>
        <w:autoSpaceDN w:val="0"/>
        <w:adjustRightInd w:val="0"/>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Describe the linkage between resettlement implementation and initiation of civil works for each of the project components.</w:t>
      </w:r>
    </w:p>
    <w:p w14:paraId="680921D0" w14:textId="77777777" w:rsidR="00CF33D9" w:rsidRDefault="00CF33D9">
      <w:pPr>
        <w:pStyle w:val="ListParagraph"/>
        <w:autoSpaceDE w:val="0"/>
        <w:autoSpaceDN w:val="0"/>
        <w:adjustRightInd w:val="0"/>
        <w:rPr>
          <w:rFonts w:ascii="Calibri" w:eastAsiaTheme="minorHAnsi" w:hAnsi="Calibri" w:cs="Calibri"/>
          <w:color w:val="000000"/>
          <w:sz w:val="20"/>
          <w:szCs w:val="20"/>
          <w14:ligatures w14:val="standardContextual"/>
        </w:rPr>
      </w:pPr>
    </w:p>
    <w:p w14:paraId="680921D1" w14:textId="77777777" w:rsidR="00CF33D9" w:rsidRDefault="00E3332A">
      <w:pPr>
        <w:autoSpaceDE w:val="0"/>
        <w:autoSpaceDN w:val="0"/>
        <w:adjustRightInd w:val="0"/>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 xml:space="preserve">9. Participation and Consultation </w:t>
      </w:r>
    </w:p>
    <w:p w14:paraId="680921D2" w14:textId="77777777" w:rsidR="00CF33D9" w:rsidRDefault="00E3332A">
      <w:pPr>
        <w:pStyle w:val="ListParagraph"/>
        <w:numPr>
          <w:ilvl w:val="0"/>
          <w:numId w:val="152"/>
        </w:numPr>
        <w:autoSpaceDE w:val="0"/>
        <w:autoSpaceDN w:val="0"/>
        <w:adjustRightInd w:val="0"/>
        <w:spacing w:after="30"/>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Describe the various stakeholders.</w:t>
      </w:r>
    </w:p>
    <w:p w14:paraId="680921D3" w14:textId="77777777" w:rsidR="00CF33D9" w:rsidRDefault="00E3332A">
      <w:pPr>
        <w:pStyle w:val="ListParagraph"/>
        <w:numPr>
          <w:ilvl w:val="0"/>
          <w:numId w:val="152"/>
        </w:numPr>
        <w:autoSpaceDE w:val="0"/>
        <w:autoSpaceDN w:val="0"/>
        <w:adjustRightInd w:val="0"/>
        <w:spacing w:after="30"/>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Describe the process of promoting consultation/participation of affected populations and stakeholders in resettlement preparation and planning.</w:t>
      </w:r>
    </w:p>
    <w:p w14:paraId="680921D4" w14:textId="77777777" w:rsidR="00CF33D9" w:rsidRDefault="00E3332A">
      <w:pPr>
        <w:pStyle w:val="ListParagraph"/>
        <w:numPr>
          <w:ilvl w:val="0"/>
          <w:numId w:val="152"/>
        </w:numPr>
        <w:autoSpaceDE w:val="0"/>
        <w:autoSpaceDN w:val="0"/>
        <w:adjustRightInd w:val="0"/>
        <w:spacing w:after="30"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Describe the process of involving affected populations and other stakeholders in implementation and monitoring.</w:t>
      </w:r>
    </w:p>
    <w:p w14:paraId="680921D5" w14:textId="77777777" w:rsidR="00CF33D9" w:rsidRDefault="00E3332A">
      <w:pPr>
        <w:pStyle w:val="ListParagraph"/>
        <w:numPr>
          <w:ilvl w:val="0"/>
          <w:numId w:val="152"/>
        </w:numPr>
        <w:autoSpaceDE w:val="0"/>
        <w:autoSpaceDN w:val="0"/>
        <w:adjustRightInd w:val="0"/>
        <w:spacing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Describe the plan for disseminating LAP information to affected populations and stakeholders, including information about compensation for lost assets, eligibility for compensation, displacement assistance, and grievance redress.</w:t>
      </w:r>
    </w:p>
    <w:p w14:paraId="680921D6" w14:textId="77777777" w:rsidR="00CF33D9" w:rsidRDefault="00CF33D9">
      <w:pPr>
        <w:autoSpaceDE w:val="0"/>
        <w:autoSpaceDN w:val="0"/>
        <w:adjustRightInd w:val="0"/>
        <w:spacing w:line="220" w:lineRule="exact"/>
        <w:rPr>
          <w:rFonts w:ascii="Calibri" w:eastAsiaTheme="minorHAnsi" w:hAnsi="Calibri" w:cs="Calibri"/>
          <w:color w:val="000000"/>
          <w:sz w:val="20"/>
          <w:szCs w:val="20"/>
          <w14:ligatures w14:val="standardContextual"/>
        </w:rPr>
      </w:pPr>
    </w:p>
    <w:p w14:paraId="680921D7" w14:textId="77777777" w:rsidR="00CF33D9" w:rsidRDefault="00E3332A">
      <w:pPr>
        <w:autoSpaceDE w:val="0"/>
        <w:autoSpaceDN w:val="0"/>
        <w:adjustRightInd w:val="0"/>
        <w:spacing w:line="220" w:lineRule="exact"/>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 xml:space="preserve">10. Grievance Redress </w:t>
      </w:r>
    </w:p>
    <w:p w14:paraId="680921D8" w14:textId="77777777" w:rsidR="00CF33D9" w:rsidRDefault="00E3332A">
      <w:pPr>
        <w:pStyle w:val="ListParagraph"/>
        <w:numPr>
          <w:ilvl w:val="0"/>
          <w:numId w:val="152"/>
        </w:numPr>
        <w:autoSpaceDE w:val="0"/>
        <w:autoSpaceDN w:val="0"/>
        <w:adjustRightInd w:val="0"/>
        <w:spacing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Describe the step-by-step process for registering and addressing grievances and provide specific details regarding a cost-free process for registering complaints, response time, and communication modes.</w:t>
      </w:r>
    </w:p>
    <w:p w14:paraId="680921D9" w14:textId="77777777" w:rsidR="00CF33D9" w:rsidRDefault="00E3332A">
      <w:pPr>
        <w:pStyle w:val="ListParagraph"/>
        <w:numPr>
          <w:ilvl w:val="0"/>
          <w:numId w:val="152"/>
        </w:numPr>
        <w:autoSpaceDE w:val="0"/>
        <w:autoSpaceDN w:val="0"/>
        <w:adjustRightInd w:val="0"/>
        <w:spacing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Describe the mechanism for appeal.</w:t>
      </w:r>
    </w:p>
    <w:p w14:paraId="680921DA" w14:textId="77777777" w:rsidR="00CF33D9" w:rsidRDefault="00E3332A">
      <w:pPr>
        <w:pStyle w:val="ListParagraph"/>
        <w:numPr>
          <w:ilvl w:val="0"/>
          <w:numId w:val="152"/>
        </w:numPr>
        <w:autoSpaceDE w:val="0"/>
        <w:autoSpaceDN w:val="0"/>
        <w:adjustRightInd w:val="0"/>
        <w:spacing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Describe the provisions for approaching civil courts if other options fail.</w:t>
      </w:r>
    </w:p>
    <w:p w14:paraId="680921DB" w14:textId="77777777" w:rsidR="00CF33D9" w:rsidRDefault="00CF33D9">
      <w:pPr>
        <w:autoSpaceDE w:val="0"/>
        <w:autoSpaceDN w:val="0"/>
        <w:adjustRightInd w:val="0"/>
        <w:spacing w:line="220" w:lineRule="exact"/>
        <w:rPr>
          <w:rFonts w:ascii="Calibri" w:eastAsiaTheme="minorHAnsi" w:hAnsi="Calibri" w:cs="Calibri"/>
          <w:color w:val="000000"/>
          <w:sz w:val="20"/>
          <w:szCs w:val="20"/>
          <w14:ligatures w14:val="standardContextual"/>
        </w:rPr>
      </w:pPr>
    </w:p>
    <w:p w14:paraId="680921DC" w14:textId="77777777" w:rsidR="00CF33D9" w:rsidRDefault="00E3332A">
      <w:pPr>
        <w:autoSpaceDE w:val="0"/>
        <w:autoSpaceDN w:val="0"/>
        <w:adjustRightInd w:val="0"/>
        <w:spacing w:line="220" w:lineRule="exact"/>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 xml:space="preserve">11. Monitoring and Evaluation </w:t>
      </w:r>
    </w:p>
    <w:p w14:paraId="680921DD" w14:textId="77777777" w:rsidR="00CF33D9" w:rsidRDefault="00E3332A">
      <w:pPr>
        <w:pStyle w:val="ListParagraph"/>
        <w:numPr>
          <w:ilvl w:val="0"/>
          <w:numId w:val="152"/>
        </w:numPr>
        <w:autoSpaceDE w:val="0"/>
        <w:autoSpaceDN w:val="0"/>
        <w:adjustRightInd w:val="0"/>
        <w:spacing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Describe the internal/performance monitoring process. Ensure monitoring program seeks to measure whether displaced enjoy at least a standard of living and access to livelihoods equal to what they enjoyed before displacement.</w:t>
      </w:r>
    </w:p>
    <w:p w14:paraId="680921DE" w14:textId="77777777" w:rsidR="00CF33D9" w:rsidRDefault="00E3332A">
      <w:pPr>
        <w:pStyle w:val="ListParagraph"/>
        <w:numPr>
          <w:ilvl w:val="0"/>
          <w:numId w:val="152"/>
        </w:numPr>
        <w:autoSpaceDE w:val="0"/>
        <w:autoSpaceDN w:val="0"/>
        <w:adjustRightInd w:val="0"/>
        <w:spacing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Define key monitoring indicators derived from baseline survey. Provide a list of monitoring indicators that will be used for internal monitoring, including number and location of displaced persons.</w:t>
      </w:r>
    </w:p>
    <w:p w14:paraId="680921DF" w14:textId="77777777" w:rsidR="00CF33D9" w:rsidRDefault="00E3332A">
      <w:pPr>
        <w:pStyle w:val="ListParagraph"/>
        <w:numPr>
          <w:ilvl w:val="0"/>
          <w:numId w:val="152"/>
        </w:numPr>
        <w:autoSpaceDE w:val="0"/>
        <w:autoSpaceDN w:val="0"/>
        <w:adjustRightInd w:val="0"/>
        <w:spacing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Describe institutional (including financial) arrangements.</w:t>
      </w:r>
    </w:p>
    <w:p w14:paraId="680921E0" w14:textId="77777777" w:rsidR="00CF33D9" w:rsidRDefault="00E3332A">
      <w:pPr>
        <w:pStyle w:val="ListParagraph"/>
        <w:numPr>
          <w:ilvl w:val="0"/>
          <w:numId w:val="152"/>
        </w:numPr>
        <w:autoSpaceDE w:val="0"/>
        <w:autoSpaceDN w:val="0"/>
        <w:adjustRightInd w:val="0"/>
        <w:spacing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Describe frequency of reporting and content for internal monitoring.</w:t>
      </w:r>
    </w:p>
    <w:p w14:paraId="680921E1" w14:textId="77777777" w:rsidR="00CF33D9" w:rsidRDefault="00E3332A">
      <w:pPr>
        <w:pStyle w:val="ListParagraph"/>
        <w:numPr>
          <w:ilvl w:val="0"/>
          <w:numId w:val="152"/>
        </w:numPr>
        <w:autoSpaceDE w:val="0"/>
        <w:autoSpaceDN w:val="0"/>
        <w:adjustRightInd w:val="0"/>
        <w:spacing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Describe process for integrating feedback from internal monitoring into implementation.</w:t>
      </w:r>
    </w:p>
    <w:p w14:paraId="680921E2" w14:textId="77777777" w:rsidR="00CF33D9" w:rsidRDefault="00E3332A">
      <w:pPr>
        <w:pStyle w:val="ListParagraph"/>
        <w:numPr>
          <w:ilvl w:val="0"/>
          <w:numId w:val="152"/>
        </w:numPr>
        <w:autoSpaceDE w:val="0"/>
        <w:autoSpaceDN w:val="0"/>
        <w:adjustRightInd w:val="0"/>
        <w:spacing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Define methodology for external monitoring.</w:t>
      </w:r>
    </w:p>
    <w:p w14:paraId="680921E3" w14:textId="77777777" w:rsidR="00CF33D9" w:rsidRDefault="00E3332A">
      <w:pPr>
        <w:pStyle w:val="ListParagraph"/>
        <w:numPr>
          <w:ilvl w:val="0"/>
          <w:numId w:val="152"/>
        </w:numPr>
        <w:autoSpaceDE w:val="0"/>
        <w:autoSpaceDN w:val="0"/>
        <w:adjustRightInd w:val="0"/>
        <w:spacing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Define key indicators for external monitoring.</w:t>
      </w:r>
    </w:p>
    <w:p w14:paraId="680921E4" w14:textId="77777777" w:rsidR="00CF33D9" w:rsidRDefault="00E3332A">
      <w:pPr>
        <w:pStyle w:val="ListParagraph"/>
        <w:numPr>
          <w:ilvl w:val="0"/>
          <w:numId w:val="152"/>
        </w:numPr>
        <w:autoSpaceDE w:val="0"/>
        <w:autoSpaceDN w:val="0"/>
        <w:adjustRightInd w:val="0"/>
        <w:spacing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Describe frequency of reporting and content for external monitoring. Ensure monitoring program is regular and ongoing following project completion until durable solutions are reached.</w:t>
      </w:r>
    </w:p>
    <w:p w14:paraId="680921E5" w14:textId="77777777" w:rsidR="00CF33D9" w:rsidRDefault="00E3332A">
      <w:pPr>
        <w:pStyle w:val="ListParagraph"/>
        <w:numPr>
          <w:ilvl w:val="0"/>
          <w:numId w:val="152"/>
        </w:numPr>
        <w:autoSpaceDE w:val="0"/>
        <w:autoSpaceDN w:val="0"/>
        <w:adjustRightInd w:val="0"/>
        <w:spacing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Describe process for integrating feedback from external monitoring into implementation.</w:t>
      </w:r>
    </w:p>
    <w:p w14:paraId="680921E6" w14:textId="77777777" w:rsidR="00CF33D9" w:rsidRDefault="00E3332A">
      <w:pPr>
        <w:pStyle w:val="ListParagraph"/>
        <w:numPr>
          <w:ilvl w:val="0"/>
          <w:numId w:val="152"/>
        </w:numPr>
        <w:autoSpaceDE w:val="0"/>
        <w:autoSpaceDN w:val="0"/>
        <w:adjustRightInd w:val="0"/>
        <w:spacing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Describe arrangements for final external evaluation.</w:t>
      </w:r>
    </w:p>
    <w:p w14:paraId="680921E7" w14:textId="77777777" w:rsidR="00CF33D9" w:rsidRDefault="00E3332A">
      <w:pPr>
        <w:pStyle w:val="ListParagraph"/>
        <w:numPr>
          <w:ilvl w:val="0"/>
          <w:numId w:val="152"/>
        </w:numPr>
        <w:autoSpaceDE w:val="0"/>
        <w:autoSpaceDN w:val="0"/>
        <w:adjustRightInd w:val="0"/>
        <w:spacing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Describe need for updates to census, assets inventories, resource assessments, and socioeconomic surveys, if necessary, as part of LAP monitoring and evaluation.</w:t>
      </w:r>
    </w:p>
    <w:p w14:paraId="680921E8" w14:textId="77777777" w:rsidR="00CF33D9" w:rsidRDefault="00CF33D9">
      <w:pPr>
        <w:pStyle w:val="ListParagraph"/>
        <w:autoSpaceDE w:val="0"/>
        <w:autoSpaceDN w:val="0"/>
        <w:adjustRightInd w:val="0"/>
        <w:spacing w:line="220" w:lineRule="exact"/>
        <w:rPr>
          <w:rFonts w:ascii="Calibri" w:eastAsiaTheme="minorHAnsi" w:hAnsi="Calibri" w:cs="Calibri"/>
          <w:color w:val="000000"/>
          <w:sz w:val="20"/>
          <w:szCs w:val="20"/>
          <w14:ligatures w14:val="standardContextual"/>
        </w:rPr>
      </w:pPr>
    </w:p>
    <w:p w14:paraId="680921E9" w14:textId="77777777" w:rsidR="00CF33D9" w:rsidRDefault="00E3332A">
      <w:pPr>
        <w:autoSpaceDE w:val="0"/>
        <w:autoSpaceDN w:val="0"/>
        <w:adjustRightInd w:val="0"/>
        <w:spacing w:line="220" w:lineRule="exact"/>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12.Costs and Budget</w:t>
      </w:r>
    </w:p>
    <w:p w14:paraId="680921EA" w14:textId="77777777" w:rsidR="00CF33D9" w:rsidRDefault="00E3332A">
      <w:pPr>
        <w:pStyle w:val="ListParagraph"/>
        <w:numPr>
          <w:ilvl w:val="0"/>
          <w:numId w:val="152"/>
        </w:numPr>
        <w:autoSpaceDE w:val="0"/>
        <w:autoSpaceDN w:val="0"/>
        <w:adjustRightInd w:val="0"/>
        <w:spacing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Provide a clear statement of financial responsibility and authority.</w:t>
      </w:r>
    </w:p>
    <w:p w14:paraId="680921EB" w14:textId="77777777" w:rsidR="00CF33D9" w:rsidRDefault="00E3332A">
      <w:pPr>
        <w:pStyle w:val="ListParagraph"/>
        <w:numPr>
          <w:ilvl w:val="0"/>
          <w:numId w:val="152"/>
        </w:numPr>
        <w:autoSpaceDE w:val="0"/>
        <w:autoSpaceDN w:val="0"/>
        <w:adjustRightInd w:val="0"/>
        <w:spacing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List the sources of funds for displacement and describe the flow of funds.</w:t>
      </w:r>
    </w:p>
    <w:p w14:paraId="680921EC" w14:textId="77777777" w:rsidR="00CF33D9" w:rsidRDefault="00E3332A">
      <w:pPr>
        <w:pStyle w:val="ListParagraph"/>
        <w:numPr>
          <w:ilvl w:val="0"/>
          <w:numId w:val="152"/>
        </w:numPr>
        <w:autoSpaceDE w:val="0"/>
        <w:autoSpaceDN w:val="0"/>
        <w:adjustRightInd w:val="0"/>
        <w:spacing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Ensure that the budget for displacement is sufficient and included in the overall project budget. Include provisions for non-anticipated adverse impacts.</w:t>
      </w:r>
    </w:p>
    <w:p w14:paraId="680921ED" w14:textId="77777777" w:rsidR="00CF33D9" w:rsidRDefault="00E3332A">
      <w:pPr>
        <w:pStyle w:val="ListParagraph"/>
        <w:numPr>
          <w:ilvl w:val="0"/>
          <w:numId w:val="152"/>
        </w:numPr>
        <w:autoSpaceDE w:val="0"/>
        <w:autoSpaceDN w:val="0"/>
        <w:adjustRightInd w:val="0"/>
        <w:spacing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Identify displacement costs, if any, to be funded by the government and the mechanisms that will be established to ensure coordination of disbursements with the LAP and the project schedule. Prepare estimated budget, by cost and by item, for all displacement costs including planning and implementation, management and administration, monitoring and evaluation, and contingencies.</w:t>
      </w:r>
    </w:p>
    <w:p w14:paraId="680921EE" w14:textId="77777777" w:rsidR="00CF33D9" w:rsidRDefault="00E3332A">
      <w:pPr>
        <w:pStyle w:val="ListParagraph"/>
        <w:numPr>
          <w:ilvl w:val="0"/>
          <w:numId w:val="152"/>
        </w:numPr>
        <w:autoSpaceDE w:val="0"/>
        <w:autoSpaceDN w:val="0"/>
        <w:adjustRightInd w:val="0"/>
        <w:spacing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Describe the specific mechanisms to adjust cost estimates and compensation payments for inflation and currency fluctuations.</w:t>
      </w:r>
    </w:p>
    <w:p w14:paraId="680921EF" w14:textId="77777777" w:rsidR="00CF33D9" w:rsidRDefault="00E3332A">
      <w:pPr>
        <w:pStyle w:val="ListParagraph"/>
        <w:numPr>
          <w:ilvl w:val="0"/>
          <w:numId w:val="152"/>
        </w:numPr>
        <w:autoSpaceDE w:val="0"/>
        <w:autoSpaceDN w:val="0"/>
        <w:adjustRightInd w:val="0"/>
        <w:spacing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 xml:space="preserve">Describe the provisions to account for physical and price contingencies. </w:t>
      </w:r>
    </w:p>
    <w:p w14:paraId="680921F0" w14:textId="77777777" w:rsidR="00CF33D9" w:rsidRDefault="00E3332A">
      <w:pPr>
        <w:pStyle w:val="ListParagraph"/>
        <w:numPr>
          <w:ilvl w:val="0"/>
          <w:numId w:val="152"/>
        </w:numPr>
        <w:autoSpaceDE w:val="0"/>
        <w:autoSpaceDN w:val="0"/>
        <w:adjustRightInd w:val="0"/>
        <w:spacing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 xml:space="preserve">Describe the financial arrangements for external monitoring and evaluation including the process for awarding and maintenance of contracts for the entire duration of displacement. </w:t>
      </w:r>
    </w:p>
    <w:p w14:paraId="680921F1" w14:textId="77777777" w:rsidR="00CF33D9" w:rsidRDefault="00E3332A">
      <w:pPr>
        <w:autoSpaceDE w:val="0"/>
        <w:autoSpaceDN w:val="0"/>
        <w:adjustRightInd w:val="0"/>
        <w:spacing w:line="220" w:lineRule="exact"/>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Annexes</w:t>
      </w:r>
    </w:p>
    <w:p w14:paraId="680921F2" w14:textId="77777777" w:rsidR="00CF33D9" w:rsidRDefault="00E3332A">
      <w:pPr>
        <w:pStyle w:val="ListParagraph"/>
        <w:numPr>
          <w:ilvl w:val="0"/>
          <w:numId w:val="153"/>
        </w:numPr>
        <w:autoSpaceDE w:val="0"/>
        <w:autoSpaceDN w:val="0"/>
        <w:adjustRightInd w:val="0"/>
        <w:spacing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Copies of census and survey instruments, interview formats, and any other research tools.</w:t>
      </w:r>
    </w:p>
    <w:p w14:paraId="680921F3" w14:textId="77777777" w:rsidR="00CF33D9" w:rsidRDefault="00E3332A">
      <w:pPr>
        <w:pStyle w:val="ListParagraph"/>
        <w:numPr>
          <w:ilvl w:val="0"/>
          <w:numId w:val="153"/>
        </w:numPr>
        <w:autoSpaceDE w:val="0"/>
        <w:autoSpaceDN w:val="0"/>
        <w:adjustRightInd w:val="0"/>
        <w:spacing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Information on all public consultation including announcements and schedules of public meetings, meeting minutes, and lists of attendees.</w:t>
      </w:r>
    </w:p>
    <w:p w14:paraId="680921F4" w14:textId="77777777" w:rsidR="00CF33D9" w:rsidRDefault="00E3332A">
      <w:pPr>
        <w:pStyle w:val="ListParagraph"/>
        <w:numPr>
          <w:ilvl w:val="0"/>
          <w:numId w:val="153"/>
        </w:numPr>
        <w:autoSpaceDE w:val="0"/>
        <w:autoSpaceDN w:val="0"/>
        <w:adjustRightInd w:val="0"/>
        <w:spacing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Examples of formats to be used in monitoring and reporting on LAP implementation.</w:t>
      </w:r>
    </w:p>
    <w:p w14:paraId="680921F5" w14:textId="77777777" w:rsidR="00CF33D9" w:rsidRDefault="00E3332A">
      <w:pPr>
        <w:pStyle w:val="ListParagraph"/>
        <w:numPr>
          <w:ilvl w:val="0"/>
          <w:numId w:val="153"/>
        </w:numPr>
        <w:autoSpaceDE w:val="0"/>
        <w:autoSpaceDN w:val="0"/>
        <w:adjustRightInd w:val="0"/>
        <w:spacing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Entitlement matrix.</w:t>
      </w:r>
    </w:p>
    <w:p w14:paraId="680921F6" w14:textId="77777777" w:rsidR="00CF33D9" w:rsidRDefault="00E3332A">
      <w:pPr>
        <w:pStyle w:val="ListParagraph"/>
        <w:numPr>
          <w:ilvl w:val="0"/>
          <w:numId w:val="153"/>
        </w:numPr>
        <w:autoSpaceDE w:val="0"/>
        <w:autoSpaceDN w:val="0"/>
        <w:adjustRightInd w:val="0"/>
        <w:spacing w:line="220" w:lineRule="exact"/>
        <w:contextualSpacing/>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t xml:space="preserve">Evidence of prior informed consent for indigenous peoples and tribal communities. </w:t>
      </w:r>
    </w:p>
    <w:p w14:paraId="680921F7" w14:textId="77777777" w:rsidR="00CF33D9" w:rsidRDefault="00E3332A">
      <w:pPr>
        <w:rPr>
          <w:rFonts w:ascii="Calibri" w:eastAsiaTheme="minorHAnsi" w:hAnsi="Calibri" w:cs="Calibri"/>
          <w:color w:val="000000"/>
          <w:sz w:val="20"/>
          <w:szCs w:val="20"/>
          <w14:ligatures w14:val="standardContextual"/>
        </w:rPr>
      </w:pPr>
      <w:r>
        <w:rPr>
          <w:rFonts w:ascii="Calibri" w:eastAsiaTheme="minorHAnsi" w:hAnsi="Calibri" w:cs="Calibri"/>
          <w:color w:val="000000"/>
          <w:sz w:val="20"/>
          <w:szCs w:val="20"/>
          <w14:ligatures w14:val="standardContextual"/>
        </w:rPr>
        <w:br w:type="page"/>
      </w:r>
    </w:p>
    <w:p w14:paraId="680921F8" w14:textId="77777777" w:rsidR="00CF33D9" w:rsidRDefault="00CF33D9">
      <w:pPr>
        <w:autoSpaceDE w:val="0"/>
        <w:autoSpaceDN w:val="0"/>
        <w:adjustRightInd w:val="0"/>
        <w:rPr>
          <w:rFonts w:ascii="Calibri" w:eastAsiaTheme="minorHAnsi" w:hAnsi="Calibri" w:cs="Calibri"/>
          <w:color w:val="000000"/>
          <w:sz w:val="20"/>
          <w:szCs w:val="20"/>
          <w14:ligatures w14:val="standardContextual"/>
        </w:rPr>
      </w:pPr>
    </w:p>
    <w:p w14:paraId="680921F9" w14:textId="77777777" w:rsidR="00CF33D9" w:rsidRDefault="00CF33D9">
      <w:pPr>
        <w:autoSpaceDE w:val="0"/>
        <w:autoSpaceDN w:val="0"/>
        <w:adjustRightInd w:val="0"/>
        <w:rPr>
          <w:rFonts w:ascii="Calibri" w:eastAsiaTheme="minorHAnsi" w:hAnsi="Calibri" w:cs="Calibri"/>
          <w:color w:val="000000"/>
          <w:sz w:val="20"/>
          <w:szCs w:val="20"/>
          <w14:ligatures w14:val="standardContextual"/>
        </w:rPr>
      </w:pPr>
    </w:p>
    <w:p w14:paraId="680921FA" w14:textId="77777777" w:rsidR="00CF33D9" w:rsidRDefault="00E3332A">
      <w:pPr>
        <w:jc w:val="both"/>
        <w:rPr>
          <w:rFonts w:ascii="Calibri" w:eastAsia="Calibri" w:hAnsi="Calibri" w:cs="Calibri"/>
          <w:b/>
          <w:bCs/>
          <w:sz w:val="20"/>
          <w:szCs w:val="20"/>
        </w:rPr>
      </w:pPr>
      <w:r>
        <w:rPr>
          <w:rFonts w:ascii="Calibri" w:eastAsia="Calibri" w:hAnsi="Calibri" w:cs="Calibri"/>
          <w:b/>
          <w:bCs/>
          <w:sz w:val="20"/>
          <w:szCs w:val="20"/>
          <w:lang w:val="en-US"/>
        </w:rPr>
        <w:t>Separate</w:t>
      </w:r>
      <w:r>
        <w:rPr>
          <w:rFonts w:ascii="Calibri" w:eastAsia="Calibri" w:hAnsi="Calibri" w:cs="Calibri"/>
          <w:b/>
          <w:bCs/>
          <w:sz w:val="20"/>
          <w:szCs w:val="20"/>
        </w:rPr>
        <w:t xml:space="preserve"> annexes </w:t>
      </w:r>
    </w:p>
    <w:p w14:paraId="680921FB" w14:textId="77777777" w:rsidR="00CF33D9" w:rsidRDefault="00CF33D9">
      <w:pPr>
        <w:jc w:val="both"/>
        <w:rPr>
          <w:rFonts w:ascii="Calibri" w:eastAsia="Calibri" w:hAnsi="Calibri" w:cs="Calibri"/>
          <w:b/>
          <w:bCs/>
          <w:sz w:val="20"/>
          <w:szCs w:val="20"/>
        </w:rPr>
      </w:pPr>
    </w:p>
    <w:p w14:paraId="680921FC"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 xml:space="preserve">Annex 9. Gender Analysis and Gender Action Plan </w:t>
      </w:r>
    </w:p>
    <w:p w14:paraId="680921FD"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Annex 10. Year 1 Procurement plan</w:t>
      </w:r>
    </w:p>
    <w:p w14:paraId="680921FE"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Annex 11. Terms of Reference of the Project Steering Committee and Project Team</w:t>
      </w:r>
    </w:p>
    <w:p w14:paraId="680921FF"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 xml:space="preserve">Annex 12. GEF Core Indicators </w:t>
      </w:r>
    </w:p>
    <w:p w14:paraId="68092200"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 xml:space="preserve">Annex 13. GEF Taxonomy </w:t>
      </w:r>
    </w:p>
    <w:p w14:paraId="68092201"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Annex 14. PCAT BCC</w:t>
      </w:r>
    </w:p>
    <w:p w14:paraId="68092202"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Annex 15 . HACT BCC</w:t>
      </w:r>
    </w:p>
    <w:p w14:paraId="68092203"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Annex 16. UNDP Project Quality Assessment Report</w:t>
      </w:r>
    </w:p>
    <w:p w14:paraId="68092204"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Annex 17. Co-financing letters</w:t>
      </w:r>
    </w:p>
    <w:p w14:paraId="68092205" w14:textId="77777777" w:rsidR="00CF33D9" w:rsidRDefault="00E3332A">
      <w:pPr>
        <w:jc w:val="both"/>
        <w:rPr>
          <w:rFonts w:ascii="Calibri" w:eastAsia="Calibri" w:hAnsi="Calibri" w:cs="Calibri"/>
          <w:sz w:val="20"/>
          <w:szCs w:val="20"/>
        </w:rPr>
      </w:pPr>
      <w:r>
        <w:rPr>
          <w:rFonts w:ascii="Calibri" w:eastAsia="Calibri" w:hAnsi="Calibri" w:cs="Calibri"/>
          <w:sz w:val="20"/>
          <w:szCs w:val="20"/>
        </w:rPr>
        <w:t>Annex 18 Description of project components, outcomes, outputs and activities</w:t>
      </w:r>
    </w:p>
    <w:p w14:paraId="68092206" w14:textId="77777777" w:rsidR="00CF33D9" w:rsidRDefault="00CF33D9">
      <w:pPr>
        <w:jc w:val="both"/>
        <w:rPr>
          <w:rFonts w:ascii="Calibri" w:eastAsia="Calibri" w:hAnsi="Calibri" w:cs="Calibri"/>
          <w:sz w:val="20"/>
          <w:szCs w:val="20"/>
        </w:rPr>
      </w:pPr>
    </w:p>
    <w:p w14:paraId="68092207" w14:textId="77777777" w:rsidR="00CF33D9" w:rsidRDefault="00CF33D9">
      <w:pPr>
        <w:jc w:val="both"/>
        <w:rPr>
          <w:rFonts w:ascii="Calibri" w:eastAsia="Calibri" w:hAnsi="Calibri" w:cs="Calibri"/>
          <w:sz w:val="20"/>
          <w:szCs w:val="20"/>
        </w:rPr>
      </w:pPr>
    </w:p>
    <w:p w14:paraId="68092208" w14:textId="77777777" w:rsidR="00CF33D9" w:rsidRDefault="00CF33D9">
      <w:pPr>
        <w:rPr>
          <w:rFonts w:ascii="Calibri" w:eastAsia="Calibri" w:hAnsi="Calibri" w:cs="Calibri"/>
          <w:sz w:val="20"/>
          <w:szCs w:val="20"/>
        </w:rPr>
      </w:pPr>
    </w:p>
    <w:p w14:paraId="68092209" w14:textId="77777777" w:rsidR="00CF33D9" w:rsidRDefault="00E3332A">
      <w:pPr>
        <w:rPr>
          <w:rFonts w:ascii="Calibri" w:eastAsia="Calibri" w:hAnsi="Calibri" w:cs="Calibri"/>
          <w:sz w:val="20"/>
          <w:szCs w:val="20"/>
        </w:rPr>
      </w:pPr>
      <w:r>
        <w:rPr>
          <w:rFonts w:ascii="Calibri" w:eastAsia="Calibri" w:hAnsi="Calibri" w:cs="Calibri"/>
          <w:sz w:val="20"/>
          <w:szCs w:val="20"/>
        </w:rPr>
        <w:br w:type="page"/>
      </w:r>
    </w:p>
    <w:p w14:paraId="6809220A" w14:textId="77777777" w:rsidR="00CF33D9" w:rsidRDefault="00CF33D9">
      <w:pPr>
        <w:rPr>
          <w:rFonts w:ascii="Calibri" w:eastAsia="Calibri" w:hAnsi="Calibri" w:cs="Calibri"/>
          <w:sz w:val="20"/>
          <w:szCs w:val="20"/>
        </w:rPr>
      </w:pPr>
    </w:p>
    <w:sectPr w:rsidR="00CF33D9">
      <w:headerReference w:type="default" r:id="rId101"/>
      <w:footerReference w:type="default" r:id="rId102"/>
      <w:pgSz w:w="12240" w:h="15840"/>
      <w:pgMar w:top="1090" w:right="1586" w:bottom="1123" w:left="1440" w:header="284" w:footer="4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A26A4C" w14:textId="77777777" w:rsidR="00C632B0" w:rsidRDefault="00C632B0">
      <w:r>
        <w:separator/>
      </w:r>
    </w:p>
  </w:endnote>
  <w:endnote w:type="continuationSeparator" w:id="0">
    <w:p w14:paraId="6B737CEB" w14:textId="77777777" w:rsidR="00C632B0" w:rsidRDefault="00C63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Quattrocento Sans">
    <w:altName w:val="Segoe Print"/>
    <w:charset w:val="00"/>
    <w:family w:val="swiss"/>
    <w:pitch w:val="variable"/>
    <w:sig w:usb0="800000BF" w:usb1="4000005B"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Adobe Garamond Pro">
    <w:altName w:val="Garamond"/>
    <w:charset w:val="00"/>
    <w:family w:val="roman"/>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2020803070505020304"/>
    <w:charset w:val="00"/>
    <w:family w:val="roman"/>
    <w:pitch w:val="default"/>
    <w:sig w:usb0="00000003" w:usb1="00000000" w:usb2="00000000" w:usb3="00000000" w:csb0="00000001" w:csb1="00000000"/>
  </w:font>
  <w:font w:name="Helvetica Neue">
    <w:altName w:val="Times New Roman"/>
    <w:charset w:val="00"/>
    <w:family w:val="auto"/>
    <w:pitch w:val="default"/>
    <w:sig w:usb0="00000000" w:usb1="00000000" w:usb2="00000010" w:usb3="00000000" w:csb0="00000001" w:csb1="00000000"/>
  </w:font>
  <w:font w:name="Aptos">
    <w:charset w:val="00"/>
    <w:family w:val="swiss"/>
    <w:pitch w:val="variable"/>
    <w:sig w:usb0="20000287" w:usb1="00000003" w:usb2="00000000" w:usb3="00000000" w:csb0="0000019F" w:csb1="00000000"/>
  </w:font>
  <w:font w:name="Roboto">
    <w:altName w:val="Segoe Print"/>
    <w:charset w:val="00"/>
    <w:family w:val="auto"/>
    <w:pitch w:val="variable"/>
    <w:sig w:usb0="E0000AFF" w:usb1="5000217F" w:usb2="00000021"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09230D" w14:textId="77777777" w:rsidR="00CF33D9" w:rsidRDefault="00E3332A">
    <w:pPr>
      <w:tabs>
        <w:tab w:val="center" w:pos="4153"/>
        <w:tab w:val="right" w:pos="8306"/>
      </w:tabs>
      <w:spacing w:after="60"/>
      <w:jc w:val="right"/>
      <w:rPr>
        <w:rFonts w:ascii="Calibri" w:eastAsia="Calibri" w:hAnsi="Calibri" w:cs="Calibri"/>
        <w:color w:val="000000"/>
        <w:sz w:val="20"/>
        <w:szCs w:val="20"/>
      </w:rPr>
    </w:pPr>
    <w:r>
      <w:rPr>
        <w:rFonts w:ascii="Calibri" w:eastAsia="Calibri" w:hAnsi="Calibri" w:cs="Calibri"/>
        <w:color w:val="000000"/>
        <w:sz w:val="20"/>
        <w:szCs w:val="20"/>
      </w:rPr>
      <w:fldChar w:fldCharType="begin"/>
    </w:r>
    <w:r>
      <w:rPr>
        <w:rFonts w:ascii="Calibri" w:eastAsia="Calibri" w:hAnsi="Calibri" w:cs="Calibri"/>
        <w:color w:val="000000"/>
        <w:sz w:val="20"/>
        <w:szCs w:val="20"/>
      </w:rPr>
      <w:instrText>PAGE</w:instrText>
    </w:r>
    <w:r w:rsidR="009B0270">
      <w:rPr>
        <w:rFonts w:ascii="Calibri" w:eastAsia="Calibri" w:hAnsi="Calibri" w:cs="Calibri"/>
        <w:color w:val="000000"/>
        <w:sz w:val="20"/>
        <w:szCs w:val="20"/>
      </w:rPr>
      <w:fldChar w:fldCharType="separate"/>
    </w:r>
    <w:r>
      <w:rPr>
        <w:rFonts w:ascii="Calibri" w:eastAsia="Calibri" w:hAnsi="Calibri" w:cs="Calibri"/>
        <w:color w:val="000000"/>
        <w:sz w:val="20"/>
        <w:szCs w:val="20"/>
      </w:rPr>
      <w:fldChar w:fldCharType="end"/>
    </w:r>
  </w:p>
  <w:p w14:paraId="6809230E" w14:textId="77777777" w:rsidR="00CF33D9" w:rsidRDefault="00CF33D9">
    <w:pPr>
      <w:tabs>
        <w:tab w:val="center" w:pos="4153"/>
        <w:tab w:val="right" w:pos="8306"/>
      </w:tabs>
      <w:spacing w:after="60"/>
      <w:ind w:right="360"/>
      <w:jc w:val="both"/>
      <w:rPr>
        <w:rFonts w:ascii="Calibri" w:eastAsia="Calibri" w:hAnsi="Calibri" w:cs="Calibri"/>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09230F" w14:textId="77777777" w:rsidR="00CF33D9" w:rsidRDefault="00E3332A">
    <w:pPr>
      <w:pBdr>
        <w:top w:val="single" w:sz="4" w:space="1" w:color="D9D9D9"/>
      </w:pBdr>
      <w:tabs>
        <w:tab w:val="center" w:pos="4153"/>
        <w:tab w:val="right" w:pos="8306"/>
      </w:tabs>
      <w:spacing w:after="60"/>
      <w:jc w:val="right"/>
      <w:rPr>
        <w:rFonts w:ascii="Calibri" w:eastAsia="Calibri" w:hAnsi="Calibri" w:cs="Calibri"/>
        <w:color w:val="000000"/>
        <w:sz w:val="18"/>
        <w:szCs w:val="18"/>
      </w:rPr>
    </w:pPr>
    <w:r>
      <w:rPr>
        <w:rFonts w:ascii="Calibri" w:eastAsia="Calibri" w:hAnsi="Calibri" w:cs="Calibri"/>
        <w:color w:val="2B579A"/>
        <w:sz w:val="18"/>
        <w:szCs w:val="18"/>
        <w:shd w:val="clear" w:color="auto" w:fill="E6E6E6"/>
      </w:rPr>
      <w:fldChar w:fldCharType="begin"/>
    </w:r>
    <w:r>
      <w:rPr>
        <w:rFonts w:ascii="Calibri" w:eastAsia="Calibri" w:hAnsi="Calibri" w:cs="Calibri"/>
        <w:color w:val="2B579A"/>
        <w:sz w:val="18"/>
        <w:szCs w:val="18"/>
        <w:shd w:val="clear" w:color="auto" w:fill="E6E6E6"/>
      </w:rPr>
      <w:instrText>PAGE</w:instrText>
    </w:r>
    <w:r>
      <w:rPr>
        <w:rFonts w:ascii="Calibri" w:eastAsia="Calibri" w:hAnsi="Calibri" w:cs="Calibri"/>
        <w:color w:val="2B579A"/>
        <w:sz w:val="18"/>
        <w:szCs w:val="18"/>
        <w:shd w:val="clear" w:color="auto" w:fill="E6E6E6"/>
      </w:rPr>
      <w:fldChar w:fldCharType="separate"/>
    </w:r>
    <w:r>
      <w:rPr>
        <w:rFonts w:ascii="Calibri" w:eastAsia="Calibri" w:hAnsi="Calibri" w:cs="Calibri"/>
        <w:color w:val="2B579A"/>
        <w:sz w:val="18"/>
        <w:szCs w:val="18"/>
        <w:shd w:val="clear" w:color="auto" w:fill="E6E6E6"/>
      </w:rPr>
      <w:t>2</w:t>
    </w:r>
    <w:r>
      <w:rPr>
        <w:rFonts w:ascii="Calibri" w:eastAsia="Calibri" w:hAnsi="Calibri" w:cs="Calibri"/>
        <w:color w:val="2B579A"/>
        <w:sz w:val="18"/>
        <w:szCs w:val="18"/>
        <w:shd w:val="clear" w:color="auto" w:fill="E6E6E6"/>
      </w:rPr>
      <w:fldChar w:fldCharType="end"/>
    </w:r>
    <w:r>
      <w:rPr>
        <w:rFonts w:ascii="Calibri" w:eastAsia="Calibri" w:hAnsi="Calibri" w:cs="Calibri"/>
        <w:color w:val="000000"/>
        <w:sz w:val="18"/>
        <w:szCs w:val="18"/>
      </w:rPr>
      <w:t xml:space="preserve"> | </w:t>
    </w:r>
    <w:r>
      <w:rPr>
        <w:rFonts w:ascii="Calibri" w:eastAsia="Calibri" w:hAnsi="Calibri" w:cs="Calibri"/>
        <w:color w:val="7F7F7F"/>
        <w:sz w:val="18"/>
        <w:szCs w:val="18"/>
      </w:rPr>
      <w:t>Page</w:t>
    </w:r>
  </w:p>
  <w:p w14:paraId="68092310" w14:textId="77777777" w:rsidR="00CF33D9" w:rsidRDefault="00CF33D9">
    <w:pPr>
      <w:tabs>
        <w:tab w:val="center" w:pos="4153"/>
        <w:tab w:val="right" w:pos="8306"/>
      </w:tabs>
      <w:spacing w:after="60"/>
      <w:jc w:val="both"/>
      <w:rPr>
        <w:rFonts w:ascii="Calibri" w:eastAsia="Calibri" w:hAnsi="Calibri" w:cs="Calibri"/>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092311" w14:textId="77777777" w:rsidR="00CF33D9" w:rsidRDefault="00E3332A">
    <w:pPr>
      <w:pBdr>
        <w:top w:val="single" w:sz="4" w:space="1" w:color="D9D9D9"/>
      </w:pBdr>
      <w:tabs>
        <w:tab w:val="left" w:pos="345"/>
        <w:tab w:val="center" w:pos="4153"/>
        <w:tab w:val="right" w:pos="8306"/>
        <w:tab w:val="right" w:pos="9360"/>
      </w:tabs>
      <w:spacing w:after="60"/>
      <w:jc w:val="right"/>
      <w:rPr>
        <w:rFonts w:ascii="Calibri" w:eastAsia="Calibri" w:hAnsi="Calibri" w:cs="Calibri"/>
        <w:color w:val="000000"/>
        <w:sz w:val="18"/>
        <w:szCs w:val="18"/>
      </w:rPr>
    </w:pPr>
    <w:r>
      <w:rPr>
        <w:rFonts w:ascii="Calibri" w:eastAsia="Calibri" w:hAnsi="Calibri" w:cs="Calibri"/>
        <w:color w:val="000000"/>
        <w:sz w:val="18"/>
        <w:szCs w:val="18"/>
      </w:rPr>
      <w:tab/>
    </w:r>
    <w:r>
      <w:rPr>
        <w:rFonts w:ascii="Calibri" w:eastAsia="Calibri" w:hAnsi="Calibri" w:cs="Calibri"/>
        <w:color w:val="000000"/>
        <w:sz w:val="18"/>
        <w:szCs w:val="18"/>
      </w:rPr>
      <w:tab/>
    </w:r>
    <w:r>
      <w:rPr>
        <w:rFonts w:ascii="Calibri" w:eastAsia="Calibri" w:hAnsi="Calibri" w:cs="Calibri"/>
        <w:color w:val="000000"/>
        <w:sz w:val="18"/>
        <w:szCs w:val="18"/>
      </w:rPr>
      <w:tab/>
    </w:r>
    <w:r>
      <w:rPr>
        <w:rFonts w:ascii="Calibri" w:eastAsia="Calibri" w:hAnsi="Calibri" w:cs="Calibri"/>
        <w:color w:val="000000"/>
        <w:sz w:val="18"/>
        <w:szCs w:val="18"/>
      </w:rPr>
      <w:tab/>
    </w:r>
    <w:r>
      <w:rPr>
        <w:rFonts w:ascii="Calibri" w:eastAsia="Calibri" w:hAnsi="Calibri" w:cs="Calibri"/>
        <w:color w:val="2B579A"/>
        <w:sz w:val="18"/>
        <w:szCs w:val="18"/>
        <w:shd w:val="clear" w:color="auto" w:fill="E6E6E6"/>
      </w:rPr>
      <w:fldChar w:fldCharType="begin"/>
    </w:r>
    <w:r>
      <w:rPr>
        <w:rFonts w:ascii="Calibri" w:eastAsia="Calibri" w:hAnsi="Calibri" w:cs="Calibri"/>
        <w:color w:val="2B579A"/>
        <w:sz w:val="18"/>
        <w:szCs w:val="18"/>
        <w:shd w:val="clear" w:color="auto" w:fill="E6E6E6"/>
      </w:rPr>
      <w:instrText>PAGE</w:instrText>
    </w:r>
    <w:r>
      <w:rPr>
        <w:rFonts w:ascii="Calibri" w:eastAsia="Calibri" w:hAnsi="Calibri" w:cs="Calibri"/>
        <w:color w:val="2B579A"/>
        <w:sz w:val="18"/>
        <w:szCs w:val="18"/>
        <w:shd w:val="clear" w:color="auto" w:fill="E6E6E6"/>
      </w:rPr>
      <w:fldChar w:fldCharType="separate"/>
    </w:r>
    <w:r>
      <w:rPr>
        <w:rFonts w:ascii="Calibri" w:eastAsia="Calibri" w:hAnsi="Calibri" w:cs="Calibri"/>
        <w:color w:val="2B579A"/>
        <w:sz w:val="18"/>
        <w:szCs w:val="18"/>
        <w:shd w:val="clear" w:color="auto" w:fill="E6E6E6"/>
      </w:rPr>
      <w:t>1</w:t>
    </w:r>
    <w:r>
      <w:rPr>
        <w:rFonts w:ascii="Calibri" w:eastAsia="Calibri" w:hAnsi="Calibri" w:cs="Calibri"/>
        <w:color w:val="2B579A"/>
        <w:sz w:val="18"/>
        <w:szCs w:val="18"/>
        <w:shd w:val="clear" w:color="auto" w:fill="E6E6E6"/>
      </w:rPr>
      <w:fldChar w:fldCharType="end"/>
    </w:r>
    <w:r>
      <w:rPr>
        <w:rFonts w:ascii="Calibri" w:eastAsia="Calibri" w:hAnsi="Calibri" w:cs="Calibri"/>
        <w:color w:val="000000"/>
        <w:sz w:val="18"/>
        <w:szCs w:val="18"/>
      </w:rPr>
      <w:t xml:space="preserve"> | </w:t>
    </w:r>
    <w:r>
      <w:rPr>
        <w:rFonts w:ascii="Calibri" w:eastAsia="Calibri" w:hAnsi="Calibri" w:cs="Calibri"/>
        <w:color w:val="7F7F7F"/>
        <w:sz w:val="18"/>
        <w:szCs w:val="18"/>
      </w:rPr>
      <w:t>Page</w:t>
    </w:r>
  </w:p>
  <w:p w14:paraId="68092312" w14:textId="77777777" w:rsidR="00CF33D9" w:rsidRDefault="00CF33D9">
    <w:pPr>
      <w:tabs>
        <w:tab w:val="center" w:pos="4153"/>
        <w:tab w:val="right" w:pos="8306"/>
      </w:tabs>
      <w:spacing w:after="60"/>
      <w:jc w:val="both"/>
      <w:rPr>
        <w:rFonts w:ascii="Calibri" w:eastAsia="Calibri" w:hAnsi="Calibri" w:cs="Calibri"/>
        <w:color w:val="000000"/>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092314" w14:textId="77777777" w:rsidR="00CF33D9" w:rsidRDefault="00E3332A">
    <w:pPr>
      <w:tabs>
        <w:tab w:val="center" w:pos="4153"/>
        <w:tab w:val="right" w:pos="8306"/>
      </w:tabs>
      <w:spacing w:after="60"/>
      <w:jc w:val="right"/>
      <w:rPr>
        <w:rFonts w:ascii="Calibri" w:eastAsia="Calibri" w:hAnsi="Calibri" w:cs="Calibri"/>
        <w:color w:val="000000"/>
        <w:sz w:val="20"/>
        <w:szCs w:val="20"/>
      </w:rPr>
    </w:pPr>
    <w:r>
      <w:rPr>
        <w:rFonts w:ascii="Calibri" w:eastAsia="Calibri" w:hAnsi="Calibri" w:cs="Calibri"/>
        <w:color w:val="000000"/>
        <w:sz w:val="20"/>
        <w:szCs w:val="20"/>
      </w:rPr>
      <w:fldChar w:fldCharType="begin"/>
    </w:r>
    <w:r>
      <w:rPr>
        <w:rFonts w:ascii="Calibri" w:eastAsia="Calibri" w:hAnsi="Calibri" w:cs="Calibri"/>
        <w:color w:val="000000"/>
        <w:sz w:val="20"/>
        <w:szCs w:val="20"/>
      </w:rPr>
      <w:instrText>PAGE</w:instrText>
    </w:r>
    <w:r>
      <w:rPr>
        <w:rFonts w:ascii="Calibri" w:eastAsia="Calibri" w:hAnsi="Calibri" w:cs="Calibri"/>
        <w:color w:val="000000"/>
        <w:sz w:val="20"/>
        <w:szCs w:val="20"/>
      </w:rPr>
      <w:fldChar w:fldCharType="separate"/>
    </w:r>
    <w:r>
      <w:rPr>
        <w:rFonts w:ascii="Calibri" w:eastAsia="Calibri" w:hAnsi="Calibri" w:cs="Calibri"/>
        <w:color w:val="000000"/>
        <w:sz w:val="20"/>
        <w:szCs w:val="20"/>
      </w:rPr>
      <w:t>93</w:t>
    </w:r>
    <w:r>
      <w:rPr>
        <w:rFonts w:ascii="Calibri" w:eastAsia="Calibri" w:hAnsi="Calibri" w:cs="Calibri"/>
        <w:color w:val="000000"/>
        <w:sz w:val="20"/>
        <w:szCs w:val="20"/>
      </w:rPr>
      <w:fldChar w:fldCharType="end"/>
    </w:r>
  </w:p>
  <w:p w14:paraId="68092315" w14:textId="77777777" w:rsidR="00CF33D9" w:rsidRDefault="00CF33D9">
    <w:pPr>
      <w:tabs>
        <w:tab w:val="center" w:pos="4153"/>
        <w:tab w:val="right" w:pos="8306"/>
      </w:tabs>
      <w:spacing w:after="60"/>
      <w:ind w:right="360"/>
      <w:jc w:val="both"/>
      <w:rPr>
        <w:rFonts w:ascii="Calibri" w:eastAsia="Calibri" w:hAnsi="Calibri" w:cs="Calibri"/>
        <w:color w:val="000000"/>
        <w:sz w:val="20"/>
        <w:szCs w:val="20"/>
      </w:rPr>
    </w:pPr>
  </w:p>
  <w:p w14:paraId="68092316" w14:textId="77777777" w:rsidR="00CF33D9" w:rsidRDefault="00E3332A">
    <w:pPr>
      <w:pBdr>
        <w:top w:val="single" w:sz="4" w:space="1" w:color="D9D9D9"/>
      </w:pBdr>
      <w:tabs>
        <w:tab w:val="center" w:pos="4153"/>
        <w:tab w:val="right" w:pos="8306"/>
      </w:tabs>
      <w:spacing w:after="60"/>
      <w:jc w:val="right"/>
      <w:rPr>
        <w:rFonts w:ascii="Calibri" w:eastAsia="Calibri" w:hAnsi="Calibri" w:cs="Calibri"/>
        <w:color w:val="000000"/>
        <w:sz w:val="20"/>
        <w:szCs w:val="20"/>
      </w:rPr>
    </w:pPr>
    <w:r>
      <w:rPr>
        <w:rFonts w:ascii="Calibri" w:eastAsia="Calibri" w:hAnsi="Calibri" w:cs="Calibri"/>
        <w:color w:val="000000"/>
        <w:sz w:val="20"/>
        <w:szCs w:val="20"/>
      </w:rPr>
      <w:t xml:space="preserve"> | </w:t>
    </w:r>
    <w:r>
      <w:rPr>
        <w:rFonts w:ascii="Calibri" w:eastAsia="Calibri" w:hAnsi="Calibri" w:cs="Calibri"/>
        <w:color w:val="7F7F7F"/>
        <w:sz w:val="20"/>
        <w:szCs w:val="20"/>
      </w:rPr>
      <w:t>Page</w:t>
    </w:r>
  </w:p>
  <w:p w14:paraId="68092317" w14:textId="77777777" w:rsidR="00CF33D9" w:rsidRDefault="00CF33D9">
    <w:pPr>
      <w:tabs>
        <w:tab w:val="center" w:pos="4153"/>
        <w:tab w:val="right" w:pos="8306"/>
      </w:tabs>
      <w:spacing w:after="60"/>
      <w:jc w:val="both"/>
      <w:rPr>
        <w:rFonts w:ascii="Calibri" w:eastAsia="Calibri" w:hAnsi="Calibri" w:cs="Calibri"/>
        <w:color w:val="000000"/>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044281398"/>
    </w:sdtPr>
    <w:sdtEndPr>
      <w:rPr>
        <w:rStyle w:val="PageNumber"/>
      </w:rPr>
    </w:sdtEndPr>
    <w:sdtContent>
      <w:p w14:paraId="6809231A" w14:textId="77777777" w:rsidR="00CF33D9" w:rsidRDefault="00E3332A">
        <w:pPr>
          <w:pStyle w:val="Footer"/>
          <w:framePr w:wrap="auto"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809231B" w14:textId="77777777" w:rsidR="00CF33D9" w:rsidRDefault="00CF33D9">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103311400"/>
    </w:sdtPr>
    <w:sdtEndPr>
      <w:rPr>
        <w:rStyle w:val="PageNumber"/>
      </w:rPr>
    </w:sdtEndPr>
    <w:sdtContent>
      <w:p w14:paraId="6809231C" w14:textId="77777777" w:rsidR="00CF33D9" w:rsidRDefault="00E3332A">
        <w:pPr>
          <w:pStyle w:val="Footer"/>
          <w:framePr w:wrap="auto"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95</w:t>
        </w:r>
        <w:r>
          <w:rPr>
            <w:rStyle w:val="PageNumber"/>
          </w:rPr>
          <w:fldChar w:fldCharType="end"/>
        </w:r>
      </w:p>
    </w:sdtContent>
  </w:sdt>
  <w:p w14:paraId="6809231D" w14:textId="77777777" w:rsidR="00CF33D9" w:rsidRDefault="00CF33D9">
    <w:pPr>
      <w:pStyle w:val="BodyText"/>
      <w:spacing w:line="14" w:lineRule="auto"/>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114275112"/>
    </w:sdtPr>
    <w:sdtEndPr>
      <w:rPr>
        <w:rStyle w:val="PageNumber"/>
      </w:rPr>
    </w:sdtEndPr>
    <w:sdtContent>
      <w:p w14:paraId="6809231F" w14:textId="77777777" w:rsidR="00CF33D9" w:rsidRDefault="00E3332A">
        <w:pPr>
          <w:pStyle w:val="Footer"/>
          <w:framePr w:wrap="auto"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95</w:t>
        </w:r>
        <w:r>
          <w:rPr>
            <w:rStyle w:val="PageNumber"/>
          </w:rPr>
          <w:fldChar w:fldCharType="end"/>
        </w:r>
      </w:p>
    </w:sdtContent>
  </w:sdt>
  <w:p w14:paraId="68092320" w14:textId="77777777" w:rsidR="00CF33D9" w:rsidRDefault="00CF33D9">
    <w:pPr>
      <w:pStyle w:val="Footer"/>
      <w:ind w:right="360"/>
      <w:jc w:val="righ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470199509"/>
    </w:sdtPr>
    <w:sdtEndPr>
      <w:rPr>
        <w:rStyle w:val="PageNumber"/>
      </w:rPr>
    </w:sdtEndPr>
    <w:sdtContent>
      <w:p w14:paraId="68092323" w14:textId="77777777" w:rsidR="00CF33D9" w:rsidRDefault="00E3332A">
        <w:pPr>
          <w:pStyle w:val="Footer"/>
          <w:framePr w:wrap="auto"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106</w:t>
        </w:r>
        <w:r>
          <w:rPr>
            <w:rStyle w:val="PageNumber"/>
          </w:rPr>
          <w:fldChar w:fldCharType="end"/>
        </w:r>
      </w:p>
    </w:sdtContent>
  </w:sdt>
  <w:p w14:paraId="68092324" w14:textId="77777777" w:rsidR="00CF33D9" w:rsidRDefault="00CF33D9">
    <w:pPr>
      <w:pStyle w:val="BodyText"/>
      <w:spacing w:line="14" w:lineRule="auto"/>
      <w:ind w:right="360"/>
      <w:rPr>
        <w:sz w:val="1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649213119"/>
    </w:sdtPr>
    <w:sdtEndPr>
      <w:rPr>
        <w:rStyle w:val="PageNumber"/>
      </w:rPr>
    </w:sdtEndPr>
    <w:sdtContent>
      <w:p w14:paraId="68092328" w14:textId="77777777" w:rsidR="00CF33D9" w:rsidRDefault="00E3332A">
        <w:pPr>
          <w:pStyle w:val="Footer"/>
          <w:framePr w:wrap="auto"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106</w:t>
        </w:r>
        <w:r>
          <w:rPr>
            <w:rStyle w:val="PageNumber"/>
          </w:rPr>
          <w:fldChar w:fldCharType="end"/>
        </w:r>
      </w:p>
    </w:sdtContent>
  </w:sdt>
  <w:p w14:paraId="68092329" w14:textId="77777777" w:rsidR="00CF33D9" w:rsidRDefault="00CF33D9">
    <w:pPr>
      <w:pStyle w:val="BodyText"/>
      <w:spacing w:line="14" w:lineRule="auto"/>
      <w:ind w:right="360"/>
      <w:rPr>
        <w:sz w:val="1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09232D" w14:textId="77777777" w:rsidR="00CF33D9" w:rsidRDefault="00E3332A">
    <w:pPr>
      <w:tabs>
        <w:tab w:val="center" w:pos="4153"/>
        <w:tab w:val="right" w:pos="8306"/>
      </w:tabs>
      <w:spacing w:after="60"/>
      <w:jc w:val="right"/>
      <w:rPr>
        <w:rFonts w:ascii="Calibri" w:eastAsia="Calibri" w:hAnsi="Calibri" w:cs="Calibri"/>
        <w:color w:val="000000"/>
        <w:sz w:val="20"/>
        <w:szCs w:val="20"/>
      </w:rPr>
    </w:pPr>
    <w:r>
      <w:rPr>
        <w:rFonts w:ascii="Calibri" w:eastAsia="Calibri" w:hAnsi="Calibri" w:cs="Calibri"/>
        <w:color w:val="000000"/>
        <w:sz w:val="20"/>
        <w:szCs w:val="20"/>
      </w:rPr>
      <w:fldChar w:fldCharType="begin"/>
    </w:r>
    <w:r>
      <w:rPr>
        <w:rFonts w:ascii="Calibri" w:eastAsia="Calibri" w:hAnsi="Calibri" w:cs="Calibri"/>
        <w:color w:val="000000"/>
        <w:sz w:val="20"/>
        <w:szCs w:val="20"/>
      </w:rPr>
      <w:instrText>PAGE</w:instrText>
    </w:r>
    <w:r>
      <w:rPr>
        <w:rFonts w:ascii="Calibri" w:eastAsia="Calibri" w:hAnsi="Calibri" w:cs="Calibri"/>
        <w:color w:val="000000"/>
        <w:sz w:val="20"/>
        <w:szCs w:val="20"/>
      </w:rPr>
      <w:fldChar w:fldCharType="separate"/>
    </w:r>
    <w:r>
      <w:rPr>
        <w:rFonts w:ascii="Calibri" w:eastAsia="Calibri" w:hAnsi="Calibri" w:cs="Calibri"/>
        <w:color w:val="000000"/>
        <w:sz w:val="20"/>
        <w:szCs w:val="20"/>
      </w:rPr>
      <w:t>154</w:t>
    </w:r>
    <w:r>
      <w:rPr>
        <w:rFonts w:ascii="Calibri" w:eastAsia="Calibri" w:hAnsi="Calibri" w:cs="Calibri"/>
        <w:color w:val="000000"/>
        <w:sz w:val="20"/>
        <w:szCs w:val="20"/>
      </w:rPr>
      <w:fldChar w:fldCharType="end"/>
    </w:r>
  </w:p>
  <w:p w14:paraId="6809232E" w14:textId="77777777" w:rsidR="00CF33D9" w:rsidRDefault="00E3332A">
    <w:pPr>
      <w:pBdr>
        <w:bottom w:val="single" w:sz="4" w:space="1" w:color="000000"/>
      </w:pBdr>
      <w:spacing w:after="60" w:line="14" w:lineRule="auto"/>
      <w:ind w:right="360"/>
      <w:jc w:val="both"/>
      <w:rPr>
        <w:rFonts w:ascii="Arial Narrow" w:eastAsia="Arial Narrow" w:hAnsi="Arial Narrow" w:cs="Arial Narrow"/>
        <w:i/>
        <w:color w:val="000000"/>
        <w:sz w:val="12"/>
        <w:szCs w:val="12"/>
      </w:rPr>
    </w:pPr>
    <w:r>
      <w:rPr>
        <w:noProof/>
      </w:rPr>
      <mc:AlternateContent>
        <mc:Choice Requires="wps">
          <w:drawing>
            <wp:anchor distT="0" distB="0" distL="0" distR="0" simplePos="0" relativeHeight="251651072" behindDoc="1" locked="0" layoutInCell="1" allowOverlap="1" wp14:anchorId="68092350" wp14:editId="68092351">
              <wp:simplePos x="0" y="0"/>
              <wp:positionH relativeFrom="column">
                <wp:posOffset>6223000</wp:posOffset>
              </wp:positionH>
              <wp:positionV relativeFrom="paragraph">
                <wp:posOffset>9448800</wp:posOffset>
              </wp:positionV>
              <wp:extent cx="213995" cy="161925"/>
              <wp:effectExtent l="0" t="0" r="0" b="0"/>
              <wp:wrapNone/>
              <wp:docPr id="1957661933" name="Rectangle 1957661933"/>
              <wp:cNvGraphicFramePr/>
              <a:graphic xmlns:a="http://schemas.openxmlformats.org/drawingml/2006/main">
                <a:graphicData uri="http://schemas.microsoft.com/office/word/2010/wordprocessingShape">
                  <wps:wsp>
                    <wps:cNvSpPr/>
                    <wps:spPr>
                      <a:xfrm>
                        <a:off x="5243765" y="3703800"/>
                        <a:ext cx="204470" cy="152400"/>
                      </a:xfrm>
                      <a:prstGeom prst="rect">
                        <a:avLst/>
                      </a:prstGeom>
                      <a:noFill/>
                      <a:ln>
                        <a:noFill/>
                      </a:ln>
                    </wps:spPr>
                    <wps:txbx>
                      <w:txbxContent>
                        <w:p w14:paraId="68092413" w14:textId="77777777" w:rsidR="00CF33D9" w:rsidRDefault="00E3332A">
                          <w:pPr>
                            <w:spacing w:after="60" w:line="222" w:lineRule="auto"/>
                            <w:ind w:left="60"/>
                            <w:jc w:val="both"/>
                          </w:pPr>
                          <w:r>
                            <w:rPr>
                              <w:rFonts w:ascii="Arial Narrow" w:eastAsia="Arial Narrow" w:hAnsi="Arial Narrow" w:cs="Arial Narrow"/>
                              <w:i/>
                              <w:color w:val="000000"/>
                              <w:sz w:val="20"/>
                            </w:rPr>
                            <w:t xml:space="preserve"> PAGE 29</w:t>
                          </w:r>
                        </w:p>
                      </w:txbxContent>
                    </wps:txbx>
                    <wps:bodyPr spcFirstLastPara="1" wrap="square" lIns="0" tIns="0" rIns="0" bIns="0" anchor="t" anchorCtr="0">
                      <a:noAutofit/>
                    </wps:bodyPr>
                  </wps:wsp>
                </a:graphicData>
              </a:graphic>
            </wp:anchor>
          </w:drawing>
        </mc:Choice>
        <mc:Fallback>
          <w:pict>
            <v:rect w14:anchorId="68092350" id="Rectangle 1957661933" o:spid="_x0000_s1105" style="position:absolute;left:0;text-align:left;margin-left:490pt;margin-top:744pt;width:16.85pt;height:12.75pt;z-index:-25166540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" filled="f" stroked="f">
              <v:textbox inset="0,0,0,0">
                <w:txbxContent>
                  <w:p w14:paraId="68092413" w14:textId="77777777" w:rsidR="00CF33D9" w:rsidRDefault="00E3332A">
                    <w:pPr>
                      <w:spacing w:after="60" w:line="222" w:lineRule="auto"/>
                      <w:ind w:left="60"/>
                      <w:jc w:val="both"/>
                    </w:pPr>
                    <w:r>
                      <w:rPr>
                        <w:rFonts w:ascii="Arial Narrow" w:eastAsia="Arial Narrow" w:hAnsi="Arial Narrow" w:cs="Arial Narrow"/>
                        <w:i/>
                        <w:color w:val="000000"/>
                        <w:sz w:val="20"/>
                      </w:rPr>
                      <w:t xml:space="preserve"> PAGE 29</w:t>
                    </w:r>
                  </w:p>
                </w:txbxContent>
              </v:textbox>
            </v:rect>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092336" w14:textId="77777777" w:rsidR="00CF33D9" w:rsidRDefault="00CF33D9">
    <w:pPr>
      <w:tabs>
        <w:tab w:val="center" w:pos="4153"/>
        <w:tab w:val="right" w:pos="8306"/>
      </w:tabs>
      <w:spacing w:after="60"/>
      <w:jc w:val="both"/>
      <w:rPr>
        <w:rFonts w:ascii="Calibri" w:eastAsia="Calibri" w:hAnsi="Calibri" w:cs="Calibri"/>
        <w:color w:val="000000"/>
        <w:sz w:val="20"/>
        <w:szCs w:val="20"/>
      </w:rPr>
    </w:pPr>
  </w:p>
  <w:p w14:paraId="68092337" w14:textId="77777777" w:rsidR="00CF33D9" w:rsidRDefault="00E3332A">
    <w:pPr>
      <w:pBdr>
        <w:top w:val="single" w:sz="4" w:space="1" w:color="D9D9D9"/>
      </w:pBdr>
      <w:tabs>
        <w:tab w:val="center" w:pos="4153"/>
        <w:tab w:val="right" w:pos="8306"/>
      </w:tabs>
      <w:spacing w:after="60"/>
      <w:jc w:val="right"/>
      <w:rPr>
        <w:rFonts w:ascii="Calibri" w:eastAsia="Calibri" w:hAnsi="Calibri" w:cs="Calibri"/>
        <w:color w:val="000000"/>
        <w:sz w:val="20"/>
        <w:szCs w:val="20"/>
      </w:rPr>
    </w:pPr>
    <w:r>
      <w:rPr>
        <w:rFonts w:ascii="Calibri" w:eastAsia="Calibri" w:hAnsi="Calibri" w:cs="Calibri"/>
        <w:color w:val="000000"/>
        <w:sz w:val="20"/>
        <w:szCs w:val="20"/>
      </w:rPr>
      <w:fldChar w:fldCharType="begin"/>
    </w:r>
    <w:r>
      <w:rPr>
        <w:rFonts w:ascii="Calibri" w:eastAsia="Calibri" w:hAnsi="Calibri" w:cs="Calibri"/>
        <w:color w:val="000000"/>
        <w:sz w:val="20"/>
        <w:szCs w:val="20"/>
      </w:rPr>
      <w:instrText>PAGE</w:instrText>
    </w:r>
    <w:r>
      <w:rPr>
        <w:rFonts w:ascii="Calibri" w:eastAsia="Calibri" w:hAnsi="Calibri" w:cs="Calibri"/>
        <w:color w:val="000000"/>
        <w:sz w:val="20"/>
        <w:szCs w:val="20"/>
      </w:rPr>
      <w:fldChar w:fldCharType="separate"/>
    </w:r>
    <w:r>
      <w:rPr>
        <w:rFonts w:ascii="Calibri" w:eastAsia="Calibri" w:hAnsi="Calibri" w:cs="Calibri"/>
        <w:color w:val="000000"/>
        <w:sz w:val="20"/>
        <w:szCs w:val="20"/>
      </w:rPr>
      <w:t>277</w:t>
    </w:r>
    <w:r>
      <w:rPr>
        <w:rFonts w:ascii="Calibri" w:eastAsia="Calibri" w:hAnsi="Calibri" w:cs="Calibri"/>
        <w:color w:val="000000"/>
        <w:sz w:val="20"/>
        <w:szCs w:val="20"/>
      </w:rPr>
      <w:fldChar w:fldCharType="end"/>
    </w:r>
    <w:r>
      <w:rPr>
        <w:rFonts w:ascii="Calibri" w:eastAsia="Calibri" w:hAnsi="Calibri" w:cs="Calibri"/>
        <w:color w:val="000000"/>
        <w:sz w:val="20"/>
        <w:szCs w:val="20"/>
      </w:rPr>
      <w:t xml:space="preserve"> | </w:t>
    </w:r>
    <w:r>
      <w:rPr>
        <w:rFonts w:ascii="Calibri" w:eastAsia="Calibri" w:hAnsi="Calibri" w:cs="Calibri"/>
        <w:color w:val="7F7F7F"/>
        <w:sz w:val="20"/>
        <w:szCs w:val="20"/>
      </w:rPr>
      <w:t>Page</w:t>
    </w:r>
  </w:p>
  <w:p w14:paraId="68092338" w14:textId="77777777" w:rsidR="00CF33D9" w:rsidRDefault="00CF33D9">
    <w:pPr>
      <w:tabs>
        <w:tab w:val="center" w:pos="4153"/>
        <w:tab w:val="right" w:pos="8306"/>
      </w:tabs>
      <w:spacing w:after="60"/>
      <w:jc w:val="both"/>
      <w:rPr>
        <w:rFonts w:ascii="Calibri" w:eastAsia="Calibri" w:hAnsi="Calibri" w:cs="Calibri"/>
        <w:color w:val="000000"/>
        <w:sz w:val="20"/>
        <w:szCs w:val="20"/>
      </w:rPr>
    </w:pPr>
  </w:p>
  <w:p w14:paraId="68092339" w14:textId="77777777" w:rsidR="00CF33D9" w:rsidRDefault="00CF33D9"/>
  <w:p w14:paraId="6809233A" w14:textId="77777777" w:rsidR="00CF33D9" w:rsidRDefault="00CF33D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23DE91" w14:textId="77777777" w:rsidR="00C632B0" w:rsidRDefault="00C632B0">
      <w:r>
        <w:separator/>
      </w:r>
    </w:p>
  </w:footnote>
  <w:footnote w:type="continuationSeparator" w:id="0">
    <w:p w14:paraId="7B644F5F" w14:textId="77777777" w:rsidR="00C632B0" w:rsidRDefault="00C632B0">
      <w:r>
        <w:continuationSeparator/>
      </w:r>
    </w:p>
  </w:footnote>
  <w:footnote w:id="1">
    <w:p w14:paraId="68092356" w14:textId="77777777" w:rsidR="00CF33D9" w:rsidRDefault="00E333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libri" w:eastAsia="Calibri" w:hAnsi="Calibri" w:cs="Calibri"/>
          <w:sz w:val="16"/>
          <w:szCs w:val="16"/>
        </w:rPr>
      </w:pPr>
      <w:r>
        <w:rPr>
          <w:rStyle w:val="FootnoteReference"/>
        </w:rPr>
        <w:footnoteRef/>
      </w:r>
      <w:r>
        <w:t xml:space="preserve"> </w:t>
      </w:r>
      <w:r>
        <w:rPr>
          <w:rFonts w:ascii="Calibri" w:eastAsia="Calibri" w:hAnsi="Calibri" w:cs="Calibri"/>
          <w:sz w:val="16"/>
          <w:szCs w:val="16"/>
        </w:rPr>
        <w:t xml:space="preserve">Finke, G. </w:t>
      </w:r>
      <w:r>
        <w:rPr>
          <w:rFonts w:ascii="Calibri" w:eastAsia="Calibri" w:hAnsi="Calibri" w:cs="Calibri"/>
          <w:i/>
          <w:sz w:val="16"/>
          <w:szCs w:val="16"/>
        </w:rPr>
        <w:t>et al</w:t>
      </w:r>
      <w:r>
        <w:rPr>
          <w:rFonts w:ascii="Calibri" w:eastAsia="Calibri" w:hAnsi="Calibri" w:cs="Calibri"/>
          <w:sz w:val="16"/>
          <w:szCs w:val="16"/>
        </w:rPr>
        <w:t>. 2020. ”</w:t>
      </w:r>
      <w:r>
        <w:rPr>
          <w:rFonts w:ascii="Calibri" w:eastAsia="Calibri" w:hAnsi="Calibri" w:cs="Calibri"/>
          <w:color w:val="000000"/>
          <w:sz w:val="16"/>
          <w:szCs w:val="16"/>
        </w:rPr>
        <w:t xml:space="preserve">Marine Spatial Planning in the Benguela Current Large Marine Ecosystem”. </w:t>
      </w:r>
      <w:r>
        <w:rPr>
          <w:rFonts w:ascii="Calibri" w:eastAsia="Calibri" w:hAnsi="Calibri" w:cs="Calibri"/>
          <w:i/>
          <w:color w:val="000000"/>
          <w:sz w:val="16"/>
          <w:szCs w:val="16"/>
        </w:rPr>
        <w:t>Environment International</w:t>
      </w:r>
      <w:r>
        <w:rPr>
          <w:rFonts w:ascii="Calibri" w:eastAsia="Calibri" w:hAnsi="Calibri" w:cs="Calibri"/>
          <w:color w:val="000000"/>
          <w:sz w:val="16"/>
          <w:szCs w:val="16"/>
        </w:rPr>
        <w:t>, Vol.36.</w:t>
      </w:r>
    </w:p>
  </w:footnote>
  <w:footnote w:id="2">
    <w:p w14:paraId="68092357" w14:textId="77777777" w:rsidR="00CF33D9" w:rsidRDefault="00E3332A">
      <w:pPr>
        <w:rPr>
          <w:rFonts w:ascii="Calibri" w:eastAsia="Calibri" w:hAnsi="Calibri" w:cs="Calibri"/>
          <w:color w:val="000000"/>
          <w:sz w:val="16"/>
          <w:szCs w:val="16"/>
        </w:rPr>
      </w:pPr>
      <w:r>
        <w:rPr>
          <w:rStyle w:val="FootnoteReference"/>
        </w:rPr>
        <w:footnoteRef/>
      </w:r>
      <w:r>
        <w:rPr>
          <w:color w:val="000000"/>
          <w:sz w:val="20"/>
          <w:szCs w:val="20"/>
        </w:rPr>
        <w:t xml:space="preserve"> </w:t>
      </w:r>
      <w:r>
        <w:rPr>
          <w:rFonts w:ascii="Calibri" w:eastAsia="Calibri" w:hAnsi="Calibri" w:cs="Calibri"/>
          <w:color w:val="000000"/>
          <w:sz w:val="16"/>
          <w:szCs w:val="16"/>
        </w:rPr>
        <w:t xml:space="preserve">BCC. 2021. </w:t>
      </w:r>
      <w:r>
        <w:rPr>
          <w:rFonts w:ascii="Calibri" w:eastAsia="Calibri" w:hAnsi="Calibri" w:cs="Calibri"/>
          <w:i/>
          <w:color w:val="000000"/>
          <w:sz w:val="16"/>
          <w:szCs w:val="16"/>
        </w:rPr>
        <w:t>Updated Transboundary Diagnostic Analysis (TDA).</w:t>
      </w:r>
      <w:r>
        <w:rPr>
          <w:rFonts w:ascii="Calibri" w:eastAsia="Calibri" w:hAnsi="Calibri" w:cs="Calibri"/>
          <w:color w:val="000000"/>
          <w:sz w:val="16"/>
          <w:szCs w:val="16"/>
        </w:rPr>
        <w:t xml:space="preserve"> BCC: Swakopmund, Namibia.</w:t>
      </w:r>
    </w:p>
  </w:footnote>
  <w:footnote w:id="3">
    <w:p w14:paraId="68092358" w14:textId="77777777" w:rsidR="00CF33D9" w:rsidRDefault="00E3332A">
      <w:pPr>
        <w:rPr>
          <w:rFonts w:ascii="Calibri" w:eastAsia="Calibri" w:hAnsi="Calibri" w:cs="Calibri"/>
          <w:color w:val="000000"/>
          <w:sz w:val="16"/>
          <w:szCs w:val="16"/>
        </w:rPr>
      </w:pPr>
      <w:r>
        <w:rPr>
          <w:rStyle w:val="FootnoteReference"/>
        </w:rPr>
        <w:footnoteRef/>
      </w:r>
      <w:r>
        <w:rPr>
          <w:color w:val="000000"/>
          <w:sz w:val="20"/>
          <w:szCs w:val="20"/>
        </w:rPr>
        <w:t xml:space="preserve"> </w:t>
      </w:r>
      <w:r>
        <w:rPr>
          <w:rFonts w:ascii="Calibri" w:eastAsia="Calibri" w:hAnsi="Calibri" w:cs="Calibri"/>
          <w:color w:val="000000"/>
          <w:sz w:val="16"/>
          <w:szCs w:val="16"/>
        </w:rPr>
        <w:t>AU-IBAR. 2019. Africa Blue Economy Strategy. Nairobi: Kenya.</w:t>
      </w:r>
    </w:p>
  </w:footnote>
  <w:footnote w:id="4">
    <w:p w14:paraId="68092359" w14:textId="77777777" w:rsidR="00CF33D9" w:rsidRDefault="00E3332A">
      <w:pPr>
        <w:pStyle w:val="FootnoteText"/>
        <w:rPr>
          <w:rFonts w:asciiTheme="minorHAnsi" w:hAnsiTheme="minorHAnsi" w:cstheme="minorHAnsi"/>
          <w:sz w:val="16"/>
          <w:szCs w:val="16"/>
        </w:rPr>
      </w:pPr>
      <w:r>
        <w:rPr>
          <w:rStyle w:val="FootnoteReference"/>
          <w:rFonts w:asciiTheme="minorHAnsi" w:hAnsiTheme="minorHAnsi" w:cstheme="minorHAnsi"/>
          <w:sz w:val="16"/>
          <w:szCs w:val="16"/>
        </w:rPr>
        <w:footnoteRef/>
      </w:r>
      <w:r>
        <w:rPr>
          <w:rFonts w:asciiTheme="minorHAnsi" w:hAnsiTheme="minorHAnsi" w:cstheme="minorHAnsi"/>
          <w:sz w:val="16"/>
          <w:szCs w:val="16"/>
        </w:rPr>
        <w:t xml:space="preserve"> Detailed description of components, outcomes, outputs and activities is given in Annex 11</w:t>
      </w:r>
    </w:p>
  </w:footnote>
  <w:footnote w:id="5">
    <w:p w14:paraId="6809235A" w14:textId="77777777" w:rsidR="00CF33D9" w:rsidRDefault="00E3332A">
      <w:pPr>
        <w:rPr>
          <w:rFonts w:ascii="Calibri" w:eastAsia="Calibri" w:hAnsi="Calibri" w:cs="Calibri"/>
          <w:color w:val="000000"/>
          <w:sz w:val="16"/>
          <w:szCs w:val="16"/>
        </w:rPr>
      </w:pPr>
      <w:r>
        <w:rPr>
          <w:rStyle w:val="FootnoteReference"/>
        </w:rPr>
        <w:footnoteRef/>
      </w:r>
      <w:r>
        <w:rPr>
          <w:rFonts w:ascii="Calibri" w:eastAsia="Calibri" w:hAnsi="Calibri" w:cs="Calibri"/>
          <w:color w:val="000000"/>
          <w:sz w:val="16"/>
          <w:szCs w:val="16"/>
        </w:rPr>
        <w:t xml:space="preserve"> See http://www.undp.org/content/undp/en/home/operations/transparency/information_disclosurepolicy/</w:t>
      </w:r>
    </w:p>
  </w:footnote>
  <w:footnote w:id="6">
    <w:p w14:paraId="6809235B" w14:textId="77777777" w:rsidR="00CF33D9" w:rsidRDefault="00E3332A">
      <w:pPr>
        <w:rPr>
          <w:rFonts w:ascii="Calibri" w:eastAsia="Calibri" w:hAnsi="Calibri" w:cs="Calibri"/>
          <w:color w:val="000000"/>
          <w:sz w:val="16"/>
          <w:szCs w:val="16"/>
        </w:rPr>
      </w:pPr>
      <w:r>
        <w:rPr>
          <w:rStyle w:val="FootnoteReference"/>
        </w:rPr>
        <w:footnoteRef/>
      </w:r>
      <w:r>
        <w:rPr>
          <w:rFonts w:ascii="Calibri" w:eastAsia="Calibri" w:hAnsi="Calibri" w:cs="Calibri"/>
          <w:color w:val="000000"/>
          <w:sz w:val="16"/>
          <w:szCs w:val="16"/>
        </w:rPr>
        <w:t xml:space="preserve"> See https://www.thegef.org/gef/policies_guidelines</w:t>
      </w:r>
    </w:p>
  </w:footnote>
  <w:footnote w:id="7">
    <w:p w14:paraId="6809235C" w14:textId="77777777" w:rsidR="00CF33D9" w:rsidRDefault="00E3332A">
      <w:pPr>
        <w:rPr>
          <w:rFonts w:asciiTheme="minorHAnsi" w:eastAsia="Calibri" w:hAnsiTheme="minorHAnsi" w:cstheme="minorHAnsi"/>
          <w:color w:val="000000"/>
          <w:sz w:val="16"/>
          <w:szCs w:val="16"/>
        </w:rPr>
      </w:pPr>
      <w:r>
        <w:rPr>
          <w:rStyle w:val="FootnoteReference"/>
          <w:rFonts w:asciiTheme="minorHAnsi" w:hAnsiTheme="minorHAnsi" w:cstheme="minorHAnsi"/>
          <w:sz w:val="16"/>
          <w:szCs w:val="16"/>
        </w:rPr>
        <w:footnoteRef/>
      </w:r>
      <w:r>
        <w:rPr>
          <w:rFonts w:asciiTheme="minorHAnsi" w:eastAsia="Calibri" w:hAnsiTheme="minorHAnsi" w:cstheme="minorHAnsi"/>
          <w:color w:val="000000"/>
          <w:sz w:val="16"/>
          <w:szCs w:val="16"/>
        </w:rPr>
        <w:t xml:space="preserve"> </w:t>
      </w:r>
      <w:r>
        <w:rPr>
          <w:rFonts w:ascii="Calibri" w:eastAsia="Calibri" w:hAnsi="Calibri" w:cs="Calibri"/>
          <w:color w:val="000000"/>
          <w:sz w:val="16"/>
          <w:szCs w:val="16"/>
        </w:rPr>
        <w:t xml:space="preserve">See </w:t>
      </w:r>
      <w:hyperlink r:id="rId1">
        <w:r>
          <w:rPr>
            <w:rFonts w:ascii="Calibri" w:hAnsi="Calibri" w:cs="Calibri"/>
            <w:color w:val="0000FF"/>
            <w:sz w:val="16"/>
            <w:szCs w:val="16"/>
            <w:u w:val="single"/>
          </w:rPr>
          <w:t>https://www.thegef.org/projects-operations/policies-guidelines</w:t>
        </w:r>
      </w:hyperlink>
      <w:r>
        <w:rPr>
          <w:rFonts w:asciiTheme="minorHAnsi" w:eastAsia="Calibri" w:hAnsiTheme="minorHAnsi" w:cstheme="minorHAnsi"/>
          <w:color w:val="000000"/>
          <w:sz w:val="16"/>
          <w:szCs w:val="16"/>
        </w:rPr>
        <w:t xml:space="preserve"> </w:t>
      </w:r>
    </w:p>
  </w:footnote>
  <w:footnote w:id="8">
    <w:p w14:paraId="6809235D" w14:textId="77777777" w:rsidR="00CF33D9" w:rsidRDefault="00E3332A">
      <w:pPr>
        <w:rPr>
          <w:color w:val="000000"/>
          <w:sz w:val="20"/>
          <w:szCs w:val="20"/>
        </w:rPr>
      </w:pPr>
      <w:r>
        <w:rPr>
          <w:rStyle w:val="FootnoteReference"/>
          <w:rFonts w:asciiTheme="minorHAnsi" w:hAnsiTheme="minorHAnsi" w:cstheme="minorHAnsi"/>
          <w:sz w:val="16"/>
          <w:szCs w:val="16"/>
        </w:rPr>
        <w:footnoteRef/>
      </w:r>
      <w:r>
        <w:rPr>
          <w:rFonts w:asciiTheme="minorHAnsi" w:hAnsiTheme="minorHAnsi" w:cstheme="minorHAnsi"/>
          <w:color w:val="000000"/>
          <w:sz w:val="16"/>
          <w:szCs w:val="16"/>
        </w:rPr>
        <w:t xml:space="preserve"> See </w:t>
      </w:r>
      <w:hyperlink r:id="rId2">
        <w:r>
          <w:rPr>
            <w:rFonts w:asciiTheme="minorHAnsi" w:hAnsiTheme="minorHAnsi" w:cstheme="minorHAnsi"/>
            <w:color w:val="0000FF"/>
            <w:sz w:val="16"/>
            <w:szCs w:val="16"/>
            <w:u w:val="single"/>
          </w:rPr>
          <w:t>https://popp.undp.org/</w:t>
        </w:r>
      </w:hyperlink>
      <w:hyperlink r:id="rId3">
        <w:r>
          <w:rPr>
            <w:rFonts w:asciiTheme="minorHAnsi" w:hAnsiTheme="minorHAnsi" w:cstheme="minorHAnsi"/>
            <w:color w:val="000000"/>
            <w:sz w:val="16"/>
            <w:szCs w:val="16"/>
          </w:rPr>
          <w:t xml:space="preserve"> </w:t>
        </w:r>
      </w:hyperlink>
      <w:hyperlink r:id="rId4">
        <w:r>
          <w:rPr>
            <w:rFonts w:asciiTheme="minorHAnsi" w:hAnsiTheme="minorHAnsi" w:cstheme="minorHAnsi"/>
            <w:color w:val="0000FF"/>
            <w:sz w:val="16"/>
            <w:szCs w:val="16"/>
            <w:u w:val="single"/>
          </w:rPr>
          <w:t>https://popp-prod.acquia.undp.org/policy-page/close-and-transition</w:t>
        </w:r>
      </w:hyperlink>
      <w:r>
        <w:rPr>
          <w:color w:val="000000"/>
          <w:sz w:val="20"/>
          <w:szCs w:val="20"/>
        </w:rPr>
        <w:t xml:space="preserve">. </w:t>
      </w:r>
    </w:p>
  </w:footnote>
  <w:footnote w:id="9">
    <w:p w14:paraId="6809235E" w14:textId="77777777" w:rsidR="00CF33D9" w:rsidRDefault="00E3332A">
      <w:pPr>
        <w:pStyle w:val="FootnoteText"/>
        <w:rPr>
          <w:rFonts w:ascii="Calibri" w:hAnsi="Calibri" w:cs="Calibri"/>
          <w:sz w:val="16"/>
          <w:szCs w:val="16"/>
          <w:lang w:val="hr-HR"/>
        </w:rPr>
      </w:pPr>
      <w:r>
        <w:rPr>
          <w:rStyle w:val="FootnoteReference"/>
          <w:rFonts w:ascii="Calibri" w:hAnsi="Calibri" w:cs="Calibri"/>
          <w:sz w:val="16"/>
          <w:szCs w:val="16"/>
        </w:rPr>
        <w:footnoteRef/>
      </w:r>
      <w:r>
        <w:rPr>
          <w:rFonts w:ascii="Calibri" w:hAnsi="Calibri" w:cs="Calibri"/>
          <w:sz w:val="16"/>
          <w:szCs w:val="16"/>
        </w:rPr>
        <w:t xml:space="preserve"> https://www.marineregions.org/gazetteer.php?p=details&amp;id=8576</w:t>
      </w:r>
    </w:p>
  </w:footnote>
  <w:footnote w:id="10">
    <w:p w14:paraId="6809235F" w14:textId="77777777" w:rsidR="00CF33D9" w:rsidRDefault="00E3332A">
      <w:pPr>
        <w:pStyle w:val="FootnoteText"/>
        <w:ind w:left="90"/>
        <w:rPr>
          <w:sz w:val="18"/>
          <w:szCs w:val="18"/>
        </w:rPr>
      </w:pPr>
      <w:r>
        <w:rPr>
          <w:rStyle w:val="FootnoteReference"/>
          <w:rFonts w:eastAsia="SimSun"/>
          <w:szCs w:val="18"/>
        </w:rPr>
        <w:t>*</w:t>
      </w:r>
      <w:r>
        <w:rPr>
          <w:sz w:val="18"/>
          <w:szCs w:val="18"/>
        </w:rPr>
        <w:t xml:space="preserve"> Note: revised July 2022 modifying presumption of risk significance from Substantial or higher to Moderate or higher.</w:t>
      </w:r>
    </w:p>
  </w:footnote>
  <w:footnote w:id="11">
    <w:p w14:paraId="68092360" w14:textId="77777777" w:rsidR="00CF33D9" w:rsidRDefault="00E3332A">
      <w:pPr>
        <w:pStyle w:val="FootnoteText"/>
      </w:pPr>
      <w:r>
        <w:rPr>
          <w:rStyle w:val="FootnoteReference"/>
        </w:rPr>
        <w:footnoteRef/>
      </w:r>
      <w:r>
        <w:t xml:space="preserve"> </w:t>
      </w:r>
      <w:r>
        <w:rPr>
          <w:rFonts w:asciiTheme="minorHAnsi" w:hAnsiTheme="minorHAnsi" w:cstheme="minorHAnsi"/>
          <w:sz w:val="16"/>
          <w:szCs w:val="16"/>
          <w:lang w:val="en-IE"/>
        </w:rPr>
        <w:t>Where a country has no policies and strategies on sustainable blue/ocean economy finances, an identification on the needs of such a policy would be developed.</w:t>
      </w:r>
    </w:p>
  </w:footnote>
  <w:footnote w:id="12">
    <w:p w14:paraId="68092361" w14:textId="77777777" w:rsidR="00CF33D9" w:rsidRDefault="00E3332A">
      <w:pPr>
        <w:pStyle w:val="FootnoteText"/>
        <w:rPr>
          <w:sz w:val="16"/>
          <w:szCs w:val="16"/>
          <w:lang w:val="en-CA"/>
        </w:rPr>
      </w:pPr>
      <w:r>
        <w:rPr>
          <w:rStyle w:val="FootnoteReference"/>
        </w:rPr>
        <w:footnoteRef/>
      </w:r>
      <w:r>
        <w:t xml:space="preserve"> </w:t>
      </w:r>
      <w:r>
        <w:rPr>
          <w:sz w:val="16"/>
          <w:szCs w:val="16"/>
          <w:lang w:val="en-CA"/>
        </w:rPr>
        <w:t>FAO Fishery Country Profile. Angola.</w:t>
      </w:r>
    </w:p>
  </w:footnote>
  <w:footnote w:id="13">
    <w:p w14:paraId="68092362" w14:textId="77777777" w:rsidR="00CF33D9" w:rsidRDefault="00E3332A">
      <w:pPr>
        <w:pStyle w:val="FootnoteText"/>
        <w:rPr>
          <w:lang w:val="en-CA"/>
        </w:rPr>
      </w:pPr>
      <w:r>
        <w:rPr>
          <w:rStyle w:val="FootnoteReference"/>
          <w:sz w:val="16"/>
          <w:szCs w:val="16"/>
        </w:rPr>
        <w:footnoteRef/>
      </w:r>
      <w:r>
        <w:rPr>
          <w:sz w:val="16"/>
          <w:szCs w:val="16"/>
        </w:rPr>
        <w:t xml:space="preserve"> </w:t>
      </w:r>
      <w:r>
        <w:rPr>
          <w:sz w:val="16"/>
          <w:szCs w:val="16"/>
          <w:lang w:val="en-CA"/>
        </w:rPr>
        <w:t>De Young C., Hijort, A., Sheridan, S. &amp; Davies, S. Climate change implications for fisheries of the Benguela Current region – Making the best of change. FAO/Benguela Current Commission Workshop, 1-3 November 2011, Windhoek, Namibia. FAO Fisheries and Aquaculture Proceedings. No. 27. Rome, FAO. 2012.</w:t>
      </w:r>
      <w:r>
        <w:rPr>
          <w:lang w:val="en-CA"/>
        </w:rPr>
        <w:t xml:space="preserve"> </w:t>
      </w:r>
    </w:p>
  </w:footnote>
  <w:footnote w:id="14">
    <w:p w14:paraId="68092363" w14:textId="77777777" w:rsidR="00CF33D9" w:rsidRDefault="00E3332A">
      <w:pPr>
        <w:pStyle w:val="FootnoteText"/>
        <w:rPr>
          <w:lang w:val="en-CA"/>
        </w:rPr>
      </w:pPr>
      <w:r>
        <w:rPr>
          <w:rStyle w:val="FootnoteReference"/>
        </w:rPr>
        <w:footnoteRef/>
      </w:r>
      <w:r>
        <w:t xml:space="preserve"> </w:t>
      </w:r>
      <w:r>
        <w:rPr>
          <w:lang w:val="en-CA"/>
        </w:rPr>
        <w:t xml:space="preserve">Hampton, I. 2011. Vulnerability to climate change of the Benguela Current Large Marine Ecosystem and the human livelihoods depend on it. FAO Fisheries and Aquaculture Proceedings. </w:t>
      </w:r>
    </w:p>
  </w:footnote>
  <w:footnote w:id="15">
    <w:p w14:paraId="68092364" w14:textId="77777777" w:rsidR="00CF33D9" w:rsidRDefault="00E3332A">
      <w:pPr>
        <w:pStyle w:val="FootnoteText"/>
        <w:rPr>
          <w:lang w:val="en-CA"/>
        </w:rPr>
      </w:pPr>
      <w:r>
        <w:rPr>
          <w:rStyle w:val="FootnoteReference"/>
        </w:rPr>
        <w:footnoteRef/>
      </w:r>
      <w:r>
        <w:t xml:space="preserve"> </w:t>
      </w:r>
      <w:r>
        <w:rPr>
          <w:lang w:val="en-CA"/>
        </w:rPr>
        <w:t>Ibid.</w:t>
      </w:r>
    </w:p>
  </w:footnote>
  <w:footnote w:id="16">
    <w:p w14:paraId="68092365" w14:textId="77777777" w:rsidR="00CF33D9" w:rsidRDefault="00E3332A">
      <w:pPr>
        <w:pStyle w:val="FootnoteText"/>
        <w:rPr>
          <w:lang w:val="en-CA"/>
        </w:rPr>
      </w:pPr>
      <w:r>
        <w:rPr>
          <w:rStyle w:val="FootnoteReference"/>
        </w:rPr>
        <w:footnoteRef/>
      </w:r>
      <w:r>
        <w:t xml:space="preserve"> </w:t>
      </w:r>
      <w:r>
        <w:rPr>
          <w:sz w:val="16"/>
          <w:szCs w:val="16"/>
          <w:lang w:val="en-CA"/>
        </w:rPr>
        <w:t>Standard 6 has been triggered on a precautionary basis. Although no Indigenous Peoples were identified in the Stakeholder Analysis during PPG, a deeper analysis will be carried out before the project’s inception.</w:t>
      </w:r>
      <w:r>
        <w:rPr>
          <w:lang w:val="en-CA"/>
        </w:rPr>
        <w:t xml:space="preserve"> </w:t>
      </w:r>
    </w:p>
  </w:footnote>
  <w:footnote w:id="17">
    <w:p w14:paraId="68092366" w14:textId="77777777" w:rsidR="00CF33D9" w:rsidRDefault="00E3332A">
      <w:pPr>
        <w:pStyle w:val="FootnoteText"/>
        <w:spacing w:line="160" w:lineRule="exact"/>
        <w:rPr>
          <w:lang w:val="en-CA"/>
        </w:rPr>
      </w:pPr>
      <w:r>
        <w:rPr>
          <w:rStyle w:val="FootnoteReference"/>
        </w:rPr>
        <w:footnoteRef/>
      </w:r>
      <w:r>
        <w:t xml:space="preserve"> </w:t>
      </w:r>
      <w:r>
        <w:rPr>
          <w:sz w:val="16"/>
          <w:szCs w:val="16"/>
          <w:lang w:val="en-CA"/>
        </w:rPr>
        <w:t>Standard 6 has been triggered on a precautionary basis. Although no indigenous peoples were identified in the stakeholder analysis during PPG, a deeper analysis will be carried out before the project’s inception. If Indigenous peoples are identified in the project’s area, in this analysis, an Indigenous Peoples Planning Framework and Indigenous Peoples Plan will be included in the ESMF.</w:t>
      </w:r>
      <w:r>
        <w:rPr>
          <w:lang w:val="en-CA"/>
        </w:rPr>
        <w:t xml:space="preserve"> </w:t>
      </w:r>
    </w:p>
  </w:footnote>
  <w:footnote w:id="18">
    <w:p w14:paraId="68092367" w14:textId="77777777" w:rsidR="00CF33D9" w:rsidRDefault="00E3332A">
      <w:pPr>
        <w:pStyle w:val="FootnoteText"/>
        <w:rPr>
          <w:lang w:val="en-CA"/>
        </w:rPr>
      </w:pPr>
      <w:r>
        <w:rPr>
          <w:rStyle w:val="FootnoteReference"/>
        </w:rPr>
        <w:footnoteRef/>
      </w:r>
      <w:r>
        <w:t xml:space="preserve"> </w:t>
      </w:r>
      <w:r>
        <w:rPr>
          <w:lang w:val="en-CA"/>
        </w:rPr>
        <w:t xml:space="preserve">SADC 2010. Southern Africa Sub-Regional Framework of Climate Change Programmes – Adaptation and Mitigation Actions, Supported by Enabling measures of Implementation. Available at </w:t>
      </w:r>
      <w:hyperlink r:id="rId5" w:history="1">
        <w:r>
          <w:rPr>
            <w:rStyle w:val="Hyperlink"/>
            <w:lang w:val="en-CA"/>
          </w:rPr>
          <w:t>www.sadc.int</w:t>
        </w:r>
      </w:hyperlink>
      <w:r>
        <w:rPr>
          <w:lang w:val="en-CA"/>
        </w:rPr>
        <w:t xml:space="preserve"> </w:t>
      </w:r>
    </w:p>
  </w:footnote>
  <w:footnote w:id="19">
    <w:p w14:paraId="68092368" w14:textId="77777777" w:rsidR="00CF33D9" w:rsidRDefault="00E3332A">
      <w:pPr>
        <w:pStyle w:val="FootnoteText"/>
        <w:rPr>
          <w:lang w:val="en-CA"/>
        </w:rPr>
      </w:pPr>
      <w:r>
        <w:rPr>
          <w:rStyle w:val="FootnoteReference"/>
        </w:rPr>
        <w:footnoteRef/>
      </w:r>
      <w:r>
        <w:t xml:space="preserve"> </w:t>
      </w:r>
      <w:hyperlink r:id="rId6" w:history="1">
        <w:r>
          <w:rPr>
            <w:rStyle w:val="Hyperlink"/>
            <w:lang w:val="en-CA"/>
          </w:rPr>
          <w:t>http://jutalaw.co.za/media/filestore/2013/11/B30B_2013.pdf</w:t>
        </w:r>
      </w:hyperlink>
      <w:r>
        <w:rPr>
          <w:lang w:val="en-CA"/>
        </w:rPr>
        <w:t xml:space="preserve"> </w:t>
      </w:r>
    </w:p>
  </w:footnote>
  <w:footnote w:id="20">
    <w:p w14:paraId="68092369" w14:textId="77777777" w:rsidR="00CF33D9" w:rsidRDefault="00E3332A">
      <w:pPr>
        <w:pStyle w:val="FootnoteText"/>
        <w:spacing w:line="200" w:lineRule="exact"/>
        <w:rPr>
          <w:lang w:val="en-CA"/>
        </w:rPr>
      </w:pPr>
      <w:r>
        <w:rPr>
          <w:rStyle w:val="FootnoteReference"/>
        </w:rPr>
        <w:footnoteRef/>
      </w:r>
      <w:r>
        <w:t xml:space="preserve"> </w:t>
      </w:r>
      <w:r>
        <w:rPr>
          <w:sz w:val="16"/>
          <w:szCs w:val="16"/>
          <w:lang w:val="en-CA"/>
        </w:rPr>
        <w:t>Standard 6 has been triggered on a precautionary basis. Although no indigenous peoples were identified in the stakeholder analysis during PPG, a deeper analysis will be carried out before the project’s inception.</w:t>
      </w:r>
      <w:r>
        <w:rPr>
          <w:lang w:val="en-CA"/>
        </w:rPr>
        <w:t xml:space="preserve"> </w:t>
      </w:r>
    </w:p>
  </w:footnote>
  <w:footnote w:id="21">
    <w:p w14:paraId="6809236A" w14:textId="77777777" w:rsidR="00CF33D9" w:rsidRDefault="00E3332A">
      <w:pPr>
        <w:pStyle w:val="FootnoteText"/>
        <w:rPr>
          <w:sz w:val="16"/>
          <w:szCs w:val="16"/>
          <w:lang w:val="en-CA"/>
        </w:rPr>
      </w:pPr>
      <w:r>
        <w:rPr>
          <w:rStyle w:val="FootnoteReference"/>
        </w:rPr>
        <w:footnoteRef/>
      </w:r>
      <w:r>
        <w:t xml:space="preserve"> The United Nations Foundation, Rainforest Alliance, UNEP and the UNWTO have lead a coalition of over 40 organizations to develop the Global Sustainable Tourism Criteria, which includes biodiversity. </w:t>
      </w:r>
    </w:p>
  </w:footnote>
  <w:footnote w:id="22">
    <w:p w14:paraId="6809236B" w14:textId="77777777" w:rsidR="00CF33D9" w:rsidRDefault="00E3332A">
      <w:pPr>
        <w:pStyle w:val="FootnoteText"/>
        <w:rPr>
          <w:sz w:val="16"/>
          <w:szCs w:val="16"/>
          <w:lang w:val="en-CA"/>
        </w:rPr>
      </w:pPr>
      <w:r>
        <w:rPr>
          <w:rStyle w:val="FootnoteReference"/>
        </w:rPr>
        <w:footnoteRef/>
      </w:r>
      <w:r>
        <w:t xml:space="preserve"> </w:t>
      </w:r>
      <w:r>
        <w:rPr>
          <w:sz w:val="16"/>
          <w:szCs w:val="16"/>
          <w:lang w:val="en-CA"/>
        </w:rPr>
        <w:t xml:space="preserve">Outlines relies on content provided in IFC, Guidance Note 1: Assessment and Management of Environmental and Social Risks and Impacts (2012), Annex B. </w:t>
      </w:r>
    </w:p>
  </w:footnote>
  <w:footnote w:id="23">
    <w:p w14:paraId="6809236C" w14:textId="77777777" w:rsidR="00CF33D9" w:rsidRDefault="00E3332A">
      <w:pPr>
        <w:pStyle w:val="FootnoteText"/>
      </w:pPr>
      <w:r>
        <w:rPr>
          <w:rStyle w:val="FootnoteReference"/>
        </w:rPr>
        <w:footnoteRef/>
      </w:r>
      <w:r>
        <w:t xml:space="preserve"> For example, the Environmental, Health, and Safety Guidelines (EHSGs), which are technical reference documents with general and industry-specific statements of Good International Industry Practice. The EHSGs contain information on industry- specific risks and impacts and the performance levels and measures that are generally considered to be achievable in new facilities by existing technology at reasonable cost. Available at </w:t>
      </w:r>
      <w:hyperlink r:id="rId7" w:tooltip="Please bookmark us at: www.ifc.org/ehsguidelines" w:history="1">
        <w:r>
          <w:rPr>
            <w:rStyle w:val="Hyperlink"/>
          </w:rPr>
          <w:t>www.ifc.org/ehsguidelines</w:t>
        </w:r>
      </w:hyperlink>
      <w:r>
        <w:t xml:space="preserve">. </w:t>
      </w:r>
    </w:p>
  </w:footnote>
  <w:footnote w:id="24">
    <w:p w14:paraId="6809236D" w14:textId="77777777" w:rsidR="00CF33D9" w:rsidRDefault="00E3332A">
      <w:pPr>
        <w:pStyle w:val="FootnoteText"/>
      </w:pPr>
      <w:r>
        <w:rPr>
          <w:rStyle w:val="FootnoteReference"/>
        </w:rPr>
        <w:footnoteRef/>
      </w:r>
      <w:r>
        <w:t xml:space="preserve"> This may be particularly relevant where contractors are being engaged to carry out the project, or parts thereof, and the ESMP sets out the requirements to be followed by contractors. In this case the ESMP should be incorporated </w:t>
      </w:r>
      <w:r>
        <w:rPr>
          <w:b/>
          <w:bCs/>
        </w:rPr>
        <w:t>as part of the contract with the contractor,</w:t>
      </w:r>
      <w:r>
        <w:t xml:space="preserve"> together with appropriate monitoring and enforcement provisions.</w:t>
      </w:r>
    </w:p>
  </w:footnote>
  <w:footnote w:id="25">
    <w:p w14:paraId="6809236E" w14:textId="77777777" w:rsidR="00CF33D9" w:rsidRDefault="00E3332A">
      <w:pPr>
        <w:pStyle w:val="FootnoteText"/>
        <w:spacing w:after="40"/>
      </w:pPr>
      <w:r>
        <w:rPr>
          <w:rStyle w:val="FootnoteReference"/>
          <w:szCs w:val="18"/>
        </w:rPr>
        <w:footnoteRef/>
      </w:r>
      <w:r>
        <w:rPr>
          <w:sz w:val="18"/>
          <w:szCs w:val="18"/>
        </w:rPr>
        <w:t xml:space="preserve"> </w:t>
      </w:r>
      <w:r>
        <w:t xml:space="preserve">Oral acknowledgments can be used for expediency (and also recorded), but must be followed by a written acknowledgment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092313" w14:textId="77777777" w:rsidR="00CF33D9" w:rsidRDefault="00CF33D9">
    <w:pPr>
      <w:tabs>
        <w:tab w:val="center" w:pos="4153"/>
        <w:tab w:val="right" w:pos="8306"/>
      </w:tabs>
      <w:spacing w:after="60"/>
      <w:jc w:val="both"/>
      <w:rPr>
        <w:rFonts w:ascii="Calibri" w:eastAsia="Calibri" w:hAnsi="Calibri" w:cs="Calibri"/>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092318" w14:textId="77777777" w:rsidR="00CF33D9" w:rsidRDefault="00E3332A">
    <w:pPr>
      <w:pStyle w:val="Header"/>
    </w:pPr>
    <w:r>
      <w:rPr>
        <w:noProof/>
      </w:rPr>
      <mc:AlternateContent>
        <mc:Choice Requires="wps">
          <w:drawing>
            <wp:anchor distT="0" distB="0" distL="114300" distR="114300" simplePos="0" relativeHeight="251660288" behindDoc="1" locked="0" layoutInCell="0" allowOverlap="1" wp14:anchorId="6809233B" wp14:editId="6809233C">
              <wp:simplePos x="0" y="0"/>
              <wp:positionH relativeFrom="margin">
                <wp:align>center</wp:align>
              </wp:positionH>
              <wp:positionV relativeFrom="margin">
                <wp:align>center</wp:align>
              </wp:positionV>
              <wp:extent cx="6339840" cy="2773680"/>
              <wp:effectExtent l="0" t="1609725" r="0" b="1141095"/>
              <wp:wrapNone/>
              <wp:docPr id="63869165" name="WordArt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39840" cy="2773680"/>
                      </a:xfrm>
                      <a:prstGeom prst="rect">
                        <a:avLst/>
                      </a:prstGeom>
                    </wps:spPr>
                    <wps:txbx>
                      <w:txbxContent>
                        <w:p w14:paraId="6809240A" w14:textId="77777777" w:rsidR="00CF33D9" w:rsidRDefault="00E3332A">
                          <w:pPr>
                            <w:jc w:val="center"/>
                            <w:rPr>
                              <w:color w:val="C0C0C0"/>
                              <w:sz w:val="2"/>
                              <w:szCs w:val="2"/>
                            </w:rPr>
                          </w:pPr>
                          <w:r>
                            <w:rPr>
                              <w:color w:val="C0C0C0"/>
                              <w:sz w:val="2"/>
                              <w:szCs w:val="2"/>
                            </w:rPr>
                            <w:t>DRAFT</w:t>
                          </w:r>
                        </w:p>
                      </w:txbxContent>
                    </wps:txbx>
                    <wps:bodyPr wrap="square" numCol="1" fromWordArt="1">
                      <a:prstTxWarp prst="textPlain">
                        <a:avLst>
                          <a:gd name="adj" fmla="val 50000"/>
                        </a:avLst>
                      </a:prstTxWarp>
                      <a:spAutoFit/>
                    </wps:bodyPr>
                  </wps:wsp>
                </a:graphicData>
              </a:graphic>
            </wp:anchor>
          </w:drawing>
        </mc:Choice>
        <mc:Fallback>
          <w:pict>
            <v:shapetype w14:anchorId="6809233B" id="_x0000_t202" coordsize="21600,21600" o:spt="202" path="m,l,21600r21600,l21600,xe">
              <v:stroke joinstyle="miter"/>
              <v:path gradientshapeok="t" o:connecttype="rect"/>
            </v:shapetype>
            <v:shape id="WordArt 6" o:spid="_x0000_s1095" type="#_x0000_t202" style="position:absolute;left:0;text-align:left;margin-left:0;margin-top:0;width:499.2pt;height:218.4pt;rotation:-45;z-index:-251656192;visibility:visible;mso-wrap-style:squar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" o:allowincell="f" filled="f" stroked="f">
              <o:lock v:ext="edit" shapetype="t"/>
              <v:textbox style="mso-fit-shape-to-text:t">
                <w:txbxContent>
                  <w:p w14:paraId="6809240A" w14:textId="77777777" w:rsidR="00CF33D9" w:rsidRDefault="00E3332A">
                    <w:pPr>
                      <w:jc w:val="center"/>
                      <w:rPr>
                        <w:color w:val="C0C0C0"/>
                        <w:sz w:val="2"/>
                        <w:szCs w:val="2"/>
                      </w:rPr>
                    </w:pPr>
                    <w:r>
                      <w:rPr>
                        <w:color w:val="C0C0C0"/>
                        <w:sz w:val="2"/>
                        <w:szCs w:val="2"/>
                      </w:rPr>
                      <w:t>DRAFT</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092319" w14:textId="77777777" w:rsidR="00CF33D9" w:rsidRDefault="00E3332A">
    <w:pPr>
      <w:pStyle w:val="Header"/>
    </w:pPr>
    <w:r>
      <w:rPr>
        <w:noProof/>
      </w:rPr>
      <mc:AlternateContent>
        <mc:Choice Requires="wps">
          <w:drawing>
            <wp:anchor distT="0" distB="0" distL="114300" distR="114300" simplePos="0" relativeHeight="251666432" behindDoc="1" locked="0" layoutInCell="0" allowOverlap="1" wp14:anchorId="6809233D" wp14:editId="6809233E">
              <wp:simplePos x="0" y="0"/>
              <wp:positionH relativeFrom="margin">
                <wp:align>center</wp:align>
              </wp:positionH>
              <wp:positionV relativeFrom="margin">
                <wp:align>center</wp:align>
              </wp:positionV>
              <wp:extent cx="6339840" cy="2773680"/>
              <wp:effectExtent l="0" t="1609725" r="0" b="1141095"/>
              <wp:wrapNone/>
              <wp:docPr id="941781006"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39840" cy="2773680"/>
                      </a:xfrm>
                      <a:prstGeom prst="rect">
                        <a:avLst/>
                      </a:prstGeom>
                    </wps:spPr>
                    <wps:txbx>
                      <w:txbxContent>
                        <w:p w14:paraId="68092409" w14:textId="77777777" w:rsidR="00CF33D9" w:rsidRDefault="00E3332A">
                          <w:pPr>
                            <w:jc w:val="center"/>
                            <w:rPr>
                              <w:color w:val="C0C0C0"/>
                              <w:sz w:val="2"/>
                              <w:szCs w:val="2"/>
                            </w:rPr>
                          </w:pPr>
                          <w:r>
                            <w:rPr>
                              <w:color w:val="C0C0C0"/>
                              <w:sz w:val="2"/>
                              <w:szCs w:val="2"/>
                            </w:rPr>
                            <w:t>DRAFT</w:t>
                          </w:r>
                        </w:p>
                      </w:txbxContent>
                    </wps:txbx>
                    <wps:bodyPr wrap="square" numCol="1" fromWordArt="1">
                      <a:prstTxWarp prst="textPlain">
                        <a:avLst>
                          <a:gd name="adj" fmla="val 50000"/>
                        </a:avLst>
                      </a:prstTxWarp>
                      <a:spAutoFit/>
                    </wps:bodyPr>
                  </wps:wsp>
                </a:graphicData>
              </a:graphic>
            </wp:anchor>
          </w:drawing>
        </mc:Choice>
        <mc:Fallback>
          <w:pict>
            <v:shapetype w14:anchorId="6809233D" id="_x0000_t202" coordsize="21600,21600" o:spt="202" path="m,l,21600r21600,l21600,xe">
              <v:stroke joinstyle="miter"/>
              <v:path gradientshapeok="t" o:connecttype="rect"/>
            </v:shapetype>
            <v:shape id="WordArt 5" o:spid="_x0000_s1096" type="#_x0000_t202" style="position:absolute;left:0;text-align:left;margin-left:0;margin-top:0;width:499.2pt;height:218.4pt;rotation:-45;z-index:-251650048;visibility:visible;mso-wrap-style:squar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" o:allowincell="f" filled="f" stroked="f">
              <o:lock v:ext="edit" shapetype="t"/>
              <v:textbox style="mso-fit-shape-to-text:t">
                <w:txbxContent>
                  <w:p w14:paraId="68092409" w14:textId="77777777" w:rsidR="00CF33D9" w:rsidRDefault="00E3332A">
                    <w:pPr>
                      <w:jc w:val="center"/>
                      <w:rPr>
                        <w:color w:val="C0C0C0"/>
                        <w:sz w:val="2"/>
                        <w:szCs w:val="2"/>
                      </w:rPr>
                    </w:pPr>
                    <w:r>
                      <w:rPr>
                        <w:color w:val="C0C0C0"/>
                        <w:sz w:val="2"/>
                        <w:szCs w:val="2"/>
                      </w:rPr>
                      <w:t>DRAFT</w:t>
                    </w:r>
                  </w:p>
                </w:txbxContent>
              </v:textbox>
              <w10:wrap anchorx="margin" anchory="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09231E" w14:textId="77777777" w:rsidR="00CF33D9" w:rsidRDefault="009B0270">
    <w:pPr>
      <w:pStyle w:val="Header"/>
    </w:pPr>
    <w:r>
      <w:pict w14:anchorId="6809233F">
        <v:shapetype id="_x0000_t202" coordsize="21600,21600" o:spt="202" path="m,l,21600r21600,l21600,xe">
          <v:stroke joinstyle="miter"/>
          <v:path gradientshapeok="t" o:connecttype="rect"/>
        </v:shapetype>
        <v:shape id="Text Box 3" o:spid="_x0000_s1025" type="#_x0000_t202" style="position:absolute;left:0;text-align:left;margin-left:0;margin-top:0;width:499.2pt;height:218.4pt;rotation:315;z-index:-251652096;mso-position-horizontal:center;mso-position-horizontal-relative:margin;mso-position-vertical:center;mso-position-vertical-relative:margin;mso-width-relative:page;mso-height-relative:page" o:allowincell="f" filled="f" stroked="f">
          <o:lock v:ext="edit" rotation="t" aspectratio="t" adjusthandles="t" grouping="t"/>
          <v:textbox style="mso-next-textbox:#Text Box 3">
            <w:txbxContent>
              <w:p w14:paraId="68092408" w14:textId="77777777" w:rsidR="00CF33D9" w:rsidRDefault="00E3332A">
                <w:pPr>
                  <w:jc w:val="center"/>
                  <w:rPr>
                    <w:rFonts w:ascii="Calibri" w:hAnsi="Calibri" w:cs="Calibri"/>
                    <w:color w:val="C0C0C0"/>
                    <w:sz w:val="72"/>
                    <w:szCs w:val="72"/>
                  </w:rPr>
                </w:pPr>
                <w:r>
                  <w:rPr>
                    <w:rFonts w:ascii="Calibri" w:hAnsi="Calibri" w:cs="Calibri"/>
                    <w:color w:val="C0C0C0"/>
                    <w:sz w:val="72"/>
                    <w:szCs w:val="72"/>
                  </w:rPr>
                  <w:t>DRAFT</w:t>
                </w:r>
              </w:p>
            </w:txbxContent>
          </v:textbox>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092321" w14:textId="77777777" w:rsidR="00CF33D9" w:rsidRDefault="00E3332A">
    <w:pPr>
      <w:pStyle w:val="Header"/>
    </w:pPr>
    <w:r>
      <w:rPr>
        <w:noProof/>
      </w:rPr>
      <mc:AlternateContent>
        <mc:Choice Requires="wps">
          <w:drawing>
            <wp:anchor distT="0" distB="0" distL="114300" distR="114300" simplePos="0" relativeHeight="251672576" behindDoc="1" locked="0" layoutInCell="0" allowOverlap="1" wp14:anchorId="68092340" wp14:editId="68092341">
              <wp:simplePos x="0" y="0"/>
              <wp:positionH relativeFrom="margin">
                <wp:align>center</wp:align>
              </wp:positionH>
              <wp:positionV relativeFrom="margin">
                <wp:align>center</wp:align>
              </wp:positionV>
              <wp:extent cx="6339840" cy="2773680"/>
              <wp:effectExtent l="0" t="1609725" r="0" b="1141095"/>
              <wp:wrapNone/>
              <wp:docPr id="1086223984"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39840" cy="2773680"/>
                      </a:xfrm>
                      <a:prstGeom prst="rect">
                        <a:avLst/>
                      </a:prstGeom>
                    </wps:spPr>
                    <wps:txbx>
                      <w:txbxContent>
                        <w:p w14:paraId="6809240D" w14:textId="77777777" w:rsidR="00CF33D9" w:rsidRDefault="00E3332A">
                          <w:pPr>
                            <w:jc w:val="center"/>
                            <w:rPr>
                              <w:color w:val="C0C0C0"/>
                              <w:sz w:val="2"/>
                              <w:szCs w:val="2"/>
                            </w:rPr>
                          </w:pPr>
                          <w:r>
                            <w:rPr>
                              <w:color w:val="C0C0C0"/>
                              <w:sz w:val="2"/>
                              <w:szCs w:val="2"/>
                            </w:rPr>
                            <w:t>DRAFT</w:t>
                          </w:r>
                        </w:p>
                      </w:txbxContent>
                    </wps:txbx>
                    <wps:bodyPr wrap="square" numCol="1" fromWordArt="1">
                      <a:prstTxWarp prst="textPlain">
                        <a:avLst>
                          <a:gd name="adj" fmla="val 50000"/>
                        </a:avLst>
                      </a:prstTxWarp>
                      <a:spAutoFit/>
                    </wps:bodyPr>
                  </wps:wsp>
                </a:graphicData>
              </a:graphic>
            </wp:anchor>
          </w:drawing>
        </mc:Choice>
        <mc:Fallback>
          <w:pict>
            <v:shapetype w14:anchorId="68092340" id="_x0000_t202" coordsize="21600,21600" o:spt="202" path="m,l,21600r21600,l21600,xe">
              <v:stroke joinstyle="miter"/>
              <v:path gradientshapeok="t" o:connecttype="rect"/>
            </v:shapetype>
            <v:shape id="WordArt 3" o:spid="_x0000_s1097" type="#_x0000_t202" style="position:absolute;left:0;text-align:left;margin-left:0;margin-top:0;width:499.2pt;height:218.4pt;rotation:-45;z-index:-251643904;visibility:visible;mso-wrap-style:squar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" o:allowincell="f" filled="f" stroked="f">
              <o:lock v:ext="edit" shapetype="t"/>
              <v:textbox style="mso-fit-shape-to-text:t">
                <w:txbxContent>
                  <w:p w14:paraId="6809240D" w14:textId="77777777" w:rsidR="00CF33D9" w:rsidRDefault="00E3332A">
                    <w:pPr>
                      <w:jc w:val="center"/>
                      <w:rPr>
                        <w:color w:val="C0C0C0"/>
                        <w:sz w:val="2"/>
                        <w:szCs w:val="2"/>
                      </w:rPr>
                    </w:pPr>
                    <w:r>
                      <w:rPr>
                        <w:color w:val="C0C0C0"/>
                        <w:sz w:val="2"/>
                        <w:szCs w:val="2"/>
                      </w:rPr>
                      <w:t>DRAFT</w:t>
                    </w:r>
                  </w:p>
                </w:txbxContent>
              </v:textbox>
              <w10:wrap anchorx="margin" anchory="margin"/>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092322" w14:textId="77777777" w:rsidR="00CF33D9" w:rsidRDefault="00E3332A">
    <w:pPr>
      <w:pStyle w:val="Header"/>
    </w:pPr>
    <w:r>
      <w:rPr>
        <w:noProof/>
      </w:rPr>
      <mc:AlternateContent>
        <mc:Choice Requires="wps">
          <w:drawing>
            <wp:anchor distT="0" distB="0" distL="114300" distR="114300" simplePos="0" relativeHeight="251675648" behindDoc="1" locked="0" layoutInCell="0" allowOverlap="1" wp14:anchorId="68092342" wp14:editId="68092343">
              <wp:simplePos x="0" y="0"/>
              <wp:positionH relativeFrom="margin">
                <wp:align>center</wp:align>
              </wp:positionH>
              <wp:positionV relativeFrom="margin">
                <wp:align>center</wp:align>
              </wp:positionV>
              <wp:extent cx="6339840" cy="2773680"/>
              <wp:effectExtent l="0" t="1609725" r="0" b="1141095"/>
              <wp:wrapNone/>
              <wp:docPr id="1107441853"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39840" cy="2773680"/>
                      </a:xfrm>
                      <a:prstGeom prst="rect">
                        <a:avLst/>
                      </a:prstGeom>
                    </wps:spPr>
                    <wps:txbx>
                      <w:txbxContent>
                        <w:p w14:paraId="6809240C" w14:textId="77777777" w:rsidR="00CF33D9" w:rsidRDefault="00E3332A">
                          <w:pPr>
                            <w:jc w:val="center"/>
                            <w:rPr>
                              <w:color w:val="C0C0C0"/>
                              <w:sz w:val="2"/>
                              <w:szCs w:val="2"/>
                            </w:rPr>
                          </w:pPr>
                          <w:r>
                            <w:rPr>
                              <w:color w:val="C0C0C0"/>
                              <w:sz w:val="2"/>
                              <w:szCs w:val="2"/>
                            </w:rPr>
                            <w:t>DRAFT</w:t>
                          </w:r>
                        </w:p>
                      </w:txbxContent>
                    </wps:txbx>
                    <wps:bodyPr wrap="square" numCol="1" fromWordArt="1">
                      <a:prstTxWarp prst="textPlain">
                        <a:avLst>
                          <a:gd name="adj" fmla="val 50000"/>
                        </a:avLst>
                      </a:prstTxWarp>
                      <a:spAutoFit/>
                    </wps:bodyPr>
                  </wps:wsp>
                </a:graphicData>
              </a:graphic>
            </wp:anchor>
          </w:drawing>
        </mc:Choice>
        <mc:Fallback>
          <w:pict>
            <v:shapetype w14:anchorId="68092342" id="_x0000_t202" coordsize="21600,21600" o:spt="202" path="m,l,21600r21600,l21600,xe">
              <v:stroke joinstyle="miter"/>
              <v:path gradientshapeok="t" o:connecttype="rect"/>
            </v:shapetype>
            <v:shape id="WordArt 2" o:spid="_x0000_s1098" type="#_x0000_t202" style="position:absolute;left:0;text-align:left;margin-left:0;margin-top:0;width:499.2pt;height:218.4pt;rotation:-45;z-index:-251640832;visibility:visible;mso-wrap-style:squar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" o:allowincell="f" filled="f" stroked="f">
              <o:lock v:ext="edit" shapetype="t"/>
              <v:textbox style="mso-fit-shape-to-text:t">
                <w:txbxContent>
                  <w:p w14:paraId="6809240C" w14:textId="77777777" w:rsidR="00CF33D9" w:rsidRDefault="00E3332A">
                    <w:pPr>
                      <w:jc w:val="center"/>
                      <w:rPr>
                        <w:color w:val="C0C0C0"/>
                        <w:sz w:val="2"/>
                        <w:szCs w:val="2"/>
                      </w:rPr>
                    </w:pPr>
                    <w:r>
                      <w:rPr>
                        <w:color w:val="C0C0C0"/>
                        <w:sz w:val="2"/>
                        <w:szCs w:val="2"/>
                      </w:rPr>
                      <w:t>DRAFT</w:t>
                    </w:r>
                  </w:p>
                </w:txbxContent>
              </v:textbox>
              <w10:wrap anchorx="margin" anchory="margin"/>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092325" w14:textId="77777777" w:rsidR="00CF33D9" w:rsidRDefault="00E3332A">
    <w:pPr>
      <w:pStyle w:val="Header"/>
    </w:pPr>
    <w:r>
      <w:rPr>
        <w:noProof/>
      </w:rPr>
      <mc:AlternateContent>
        <mc:Choice Requires="wps">
          <w:drawing>
            <wp:anchor distT="0" distB="0" distL="114300" distR="114300" simplePos="0" relativeHeight="251669504" behindDoc="1" locked="0" layoutInCell="0" allowOverlap="1" wp14:anchorId="68092344" wp14:editId="68092345">
              <wp:simplePos x="0" y="0"/>
              <wp:positionH relativeFrom="margin">
                <wp:align>center</wp:align>
              </wp:positionH>
              <wp:positionV relativeFrom="margin">
                <wp:align>center</wp:align>
              </wp:positionV>
              <wp:extent cx="6339840" cy="2773680"/>
              <wp:effectExtent l="0" t="1609725" r="0" b="1141095"/>
              <wp:wrapNone/>
              <wp:docPr id="240634856"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39840" cy="2773680"/>
                      </a:xfrm>
                      <a:prstGeom prst="rect">
                        <a:avLst/>
                      </a:prstGeom>
                    </wps:spPr>
                    <wps:txbx>
                      <w:txbxContent>
                        <w:p w14:paraId="6809240B" w14:textId="77777777" w:rsidR="00CF33D9" w:rsidRDefault="00E3332A">
                          <w:pPr>
                            <w:jc w:val="center"/>
                            <w:rPr>
                              <w:color w:val="C0C0C0"/>
                              <w:sz w:val="2"/>
                              <w:szCs w:val="2"/>
                            </w:rPr>
                          </w:pPr>
                          <w:r>
                            <w:rPr>
                              <w:color w:val="C0C0C0"/>
                              <w:sz w:val="2"/>
                              <w:szCs w:val="2"/>
                            </w:rPr>
                            <w:t>DRAFT</w:t>
                          </w:r>
                        </w:p>
                      </w:txbxContent>
                    </wps:txbx>
                    <wps:bodyPr wrap="square" numCol="1" fromWordArt="1">
                      <a:prstTxWarp prst="textPlain">
                        <a:avLst>
                          <a:gd name="adj" fmla="val 50000"/>
                        </a:avLst>
                      </a:prstTxWarp>
                      <a:spAutoFit/>
                    </wps:bodyPr>
                  </wps:wsp>
                </a:graphicData>
              </a:graphic>
            </wp:anchor>
          </w:drawing>
        </mc:Choice>
        <mc:Fallback>
          <w:pict>
            <v:shapetype w14:anchorId="68092344" id="_x0000_t202" coordsize="21600,21600" o:spt="202" path="m,l,21600r21600,l21600,xe">
              <v:stroke joinstyle="miter"/>
              <v:path gradientshapeok="t" o:connecttype="rect"/>
            </v:shapetype>
            <v:shape id="WordArt 1" o:spid="_x0000_s1099" type="#_x0000_t202" style="position:absolute;left:0;text-align:left;margin-left:0;margin-top:0;width:499.2pt;height:218.4pt;rotation:-45;z-index:-251646976;visibility:visible;mso-wrap-style:squar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" o:allowincell="f" filled="f" stroked="f">
              <o:lock v:ext="edit" shapetype="t"/>
              <v:textbox style="mso-fit-shape-to-text:t">
                <w:txbxContent>
                  <w:p w14:paraId="6809240B" w14:textId="77777777" w:rsidR="00CF33D9" w:rsidRDefault="00E3332A">
                    <w:pPr>
                      <w:jc w:val="center"/>
                      <w:rPr>
                        <w:color w:val="C0C0C0"/>
                        <w:sz w:val="2"/>
                        <w:szCs w:val="2"/>
                      </w:rPr>
                    </w:pPr>
                    <w:r>
                      <w:rPr>
                        <w:color w:val="C0C0C0"/>
                        <w:sz w:val="2"/>
                        <w:szCs w:val="2"/>
                      </w:rPr>
                      <w:t>DRAFT</w:t>
                    </w:r>
                  </w:p>
                </w:txbxContent>
              </v:textbox>
              <w10:wrap anchorx="margin" anchory="margin"/>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092326" w14:textId="77777777" w:rsidR="00CF33D9" w:rsidRDefault="00E3332A">
    <w:pPr>
      <w:pStyle w:val="Header"/>
    </w:pPr>
    <w:r>
      <w:rPr>
        <w:noProof/>
      </w:rPr>
      <mc:AlternateContent>
        <mc:Choice Requires="wps">
          <w:drawing>
            <wp:anchor distT="0" distB="0" distL="114300" distR="114300" simplePos="0" relativeHeight="251657216" behindDoc="1" locked="0" layoutInCell="0" allowOverlap="1" wp14:anchorId="68092346" wp14:editId="68092347">
              <wp:simplePos x="0" y="0"/>
              <wp:positionH relativeFrom="margin">
                <wp:align>center</wp:align>
              </wp:positionH>
              <wp:positionV relativeFrom="margin">
                <wp:align>center</wp:align>
              </wp:positionV>
              <wp:extent cx="6339840" cy="2773680"/>
              <wp:effectExtent l="0" t="1609725" r="0" b="1141095"/>
              <wp:wrapNone/>
              <wp:docPr id="1366875188"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39840" cy="2773680"/>
                      </a:xfrm>
                      <a:prstGeom prst="rect">
                        <a:avLst/>
                      </a:prstGeom>
                    </wps:spPr>
                    <wps:txbx>
                      <w:txbxContent>
                        <w:p w14:paraId="68092410" w14:textId="77777777" w:rsidR="00CF33D9" w:rsidRDefault="00E3332A">
                          <w:pPr>
                            <w:jc w:val="center"/>
                            <w:rPr>
                              <w:color w:val="C0C0C0"/>
                              <w:sz w:val="2"/>
                              <w:szCs w:val="2"/>
                            </w:rPr>
                          </w:pPr>
                          <w:r>
                            <w:rPr>
                              <w:color w:val="C0C0C0"/>
                              <w:sz w:val="2"/>
                              <w:szCs w:val="2"/>
                            </w:rPr>
                            <w:t>DRAFT</w:t>
                          </w:r>
                        </w:p>
                      </w:txbxContent>
                    </wps:txbx>
                    <wps:bodyPr wrap="square" numCol="1" fromWordArt="1">
                      <a:prstTxWarp prst="textPlain">
                        <a:avLst>
                          <a:gd name="adj" fmla="val 50000"/>
                        </a:avLst>
                      </a:prstTxWarp>
                      <a:spAutoFit/>
                    </wps:bodyPr>
                  </wps:wsp>
                </a:graphicData>
              </a:graphic>
            </wp:anchor>
          </w:drawing>
        </mc:Choice>
        <mc:Fallback>
          <w:pict>
            <v:shapetype w14:anchorId="68092346" id="_x0000_t202" coordsize="21600,21600" o:spt="202" path="m,l,21600r21600,l21600,xe">
              <v:stroke joinstyle="miter"/>
              <v:path gradientshapeok="t" o:connecttype="rect"/>
            </v:shapetype>
            <v:shape id="_x0000_s1100" type="#_x0000_t202" style="position:absolute;left:0;text-align:left;margin-left:0;margin-top:0;width:499.2pt;height:218.4pt;rotation:-45;z-index:-251659264;visibility:visible;mso-wrap-style:squar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" o:allowincell="f" filled="f" stroked="f">
              <o:lock v:ext="edit" shapetype="t"/>
              <v:textbox style="mso-fit-shape-to-text:t">
                <w:txbxContent>
                  <w:p w14:paraId="68092410" w14:textId="77777777" w:rsidR="00CF33D9" w:rsidRDefault="00E3332A">
                    <w:pPr>
                      <w:jc w:val="center"/>
                      <w:rPr>
                        <w:color w:val="C0C0C0"/>
                        <w:sz w:val="2"/>
                        <w:szCs w:val="2"/>
                      </w:rPr>
                    </w:pPr>
                    <w:r>
                      <w:rPr>
                        <w:color w:val="C0C0C0"/>
                        <w:sz w:val="2"/>
                        <w:szCs w:val="2"/>
                      </w:rPr>
                      <w:t>DRAFT</w:t>
                    </w:r>
                  </w:p>
                </w:txbxContent>
              </v:textbox>
              <w10:wrap anchorx="margin" anchory="margin"/>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092327" w14:textId="77777777" w:rsidR="00CF33D9" w:rsidRDefault="00E3332A">
    <w:pPr>
      <w:pStyle w:val="Header"/>
    </w:pPr>
    <w:r>
      <w:rPr>
        <w:noProof/>
      </w:rPr>
      <mc:AlternateContent>
        <mc:Choice Requires="wps">
          <w:drawing>
            <wp:anchor distT="0" distB="0" distL="114300" distR="114300" simplePos="0" relativeHeight="251663360" behindDoc="1" locked="0" layoutInCell="0" allowOverlap="1" wp14:anchorId="68092348" wp14:editId="68092349">
              <wp:simplePos x="0" y="0"/>
              <wp:positionH relativeFrom="margin">
                <wp:align>center</wp:align>
              </wp:positionH>
              <wp:positionV relativeFrom="margin">
                <wp:align>center</wp:align>
              </wp:positionV>
              <wp:extent cx="6339840" cy="2773680"/>
              <wp:effectExtent l="0" t="1609725" r="0" b="1141095"/>
              <wp:wrapNone/>
              <wp:docPr id="1774505631"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39840" cy="2773680"/>
                      </a:xfrm>
                      <a:prstGeom prst="rect">
                        <a:avLst/>
                      </a:prstGeom>
                    </wps:spPr>
                    <wps:txbx>
                      <w:txbxContent>
                        <w:p w14:paraId="6809240F" w14:textId="77777777" w:rsidR="00CF33D9" w:rsidRDefault="00E3332A">
                          <w:pPr>
                            <w:jc w:val="center"/>
                            <w:rPr>
                              <w:color w:val="C0C0C0"/>
                              <w:sz w:val="2"/>
                              <w:szCs w:val="2"/>
                            </w:rPr>
                          </w:pPr>
                          <w:r>
                            <w:rPr>
                              <w:color w:val="C0C0C0"/>
                              <w:sz w:val="2"/>
                              <w:szCs w:val="2"/>
                            </w:rPr>
                            <w:t>DRAFT</w:t>
                          </w:r>
                        </w:p>
                      </w:txbxContent>
                    </wps:txbx>
                    <wps:bodyPr wrap="square" numCol="1" fromWordArt="1">
                      <a:prstTxWarp prst="textPlain">
                        <a:avLst>
                          <a:gd name="adj" fmla="val 50000"/>
                        </a:avLst>
                      </a:prstTxWarp>
                      <a:spAutoFit/>
                    </wps:bodyPr>
                  </wps:wsp>
                </a:graphicData>
              </a:graphic>
            </wp:anchor>
          </w:drawing>
        </mc:Choice>
        <mc:Fallback>
          <w:pict>
            <v:shapetype w14:anchorId="68092348" id="_x0000_t202" coordsize="21600,21600" o:spt="202" path="m,l,21600r21600,l21600,xe">
              <v:stroke joinstyle="miter"/>
              <v:path gradientshapeok="t" o:connecttype="rect"/>
            </v:shapetype>
            <v:shape id="_x0000_s1101" type="#_x0000_t202" style="position:absolute;left:0;text-align:left;margin-left:0;margin-top:0;width:499.2pt;height:218.4pt;rotation:-45;z-index:-251653120;visibility:visible;mso-wrap-style:squar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" o:allowincell="f" filled="f" stroked="f">
              <o:lock v:ext="edit" shapetype="t"/>
              <v:textbox style="mso-fit-shape-to-text:t">
                <w:txbxContent>
                  <w:p w14:paraId="6809240F" w14:textId="77777777" w:rsidR="00CF33D9" w:rsidRDefault="00E3332A">
                    <w:pPr>
                      <w:jc w:val="center"/>
                      <w:rPr>
                        <w:color w:val="C0C0C0"/>
                        <w:sz w:val="2"/>
                        <w:szCs w:val="2"/>
                      </w:rPr>
                    </w:pPr>
                    <w:r>
                      <w:rPr>
                        <w:color w:val="C0C0C0"/>
                        <w:sz w:val="2"/>
                        <w:szCs w:val="2"/>
                      </w:rPr>
                      <w:t>DRAFT</w:t>
                    </w:r>
                  </w:p>
                </w:txbxContent>
              </v:textbox>
              <w10:wrap anchorx="margin" anchory="margin"/>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09232A" w14:textId="77777777" w:rsidR="00CF33D9" w:rsidRDefault="00E3332A">
    <w:pPr>
      <w:pStyle w:val="Header"/>
    </w:pPr>
    <w:r>
      <w:rPr>
        <w:noProof/>
      </w:rPr>
      <mc:AlternateContent>
        <mc:Choice Requires="wps">
          <w:drawing>
            <wp:anchor distT="0" distB="0" distL="114300" distR="114300" simplePos="0" relativeHeight="251654144" behindDoc="1" locked="0" layoutInCell="0" allowOverlap="1" wp14:anchorId="6809234A" wp14:editId="6809234B">
              <wp:simplePos x="0" y="0"/>
              <wp:positionH relativeFrom="margin">
                <wp:align>center</wp:align>
              </wp:positionH>
              <wp:positionV relativeFrom="margin">
                <wp:align>center</wp:align>
              </wp:positionV>
              <wp:extent cx="6339840" cy="2773680"/>
              <wp:effectExtent l="0" t="1609725" r="0" b="1141095"/>
              <wp:wrapNone/>
              <wp:docPr id="25034133"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39840" cy="2773680"/>
                      </a:xfrm>
                      <a:prstGeom prst="rect">
                        <a:avLst/>
                      </a:prstGeom>
                    </wps:spPr>
                    <wps:txbx>
                      <w:txbxContent>
                        <w:p w14:paraId="6809240E" w14:textId="77777777" w:rsidR="00CF33D9" w:rsidRDefault="00E3332A">
                          <w:pPr>
                            <w:jc w:val="center"/>
                            <w:rPr>
                              <w:color w:val="C0C0C0"/>
                              <w:sz w:val="2"/>
                              <w:szCs w:val="2"/>
                            </w:rPr>
                          </w:pPr>
                          <w:r>
                            <w:rPr>
                              <w:color w:val="C0C0C0"/>
                              <w:sz w:val="2"/>
                              <w:szCs w:val="2"/>
                            </w:rPr>
                            <w:t>DRAFT</w:t>
                          </w:r>
                        </w:p>
                      </w:txbxContent>
                    </wps:txbx>
                    <wps:bodyPr wrap="square" numCol="1" fromWordArt="1">
                      <a:prstTxWarp prst="textPlain">
                        <a:avLst>
                          <a:gd name="adj" fmla="val 50000"/>
                        </a:avLst>
                      </a:prstTxWarp>
                      <a:spAutoFit/>
                    </wps:bodyPr>
                  </wps:wsp>
                </a:graphicData>
              </a:graphic>
            </wp:anchor>
          </w:drawing>
        </mc:Choice>
        <mc:Fallback>
          <w:pict>
            <v:shapetype w14:anchorId="6809234A" id="_x0000_t202" coordsize="21600,21600" o:spt="202" path="m,l,21600r21600,l21600,xe">
              <v:stroke joinstyle="miter"/>
              <v:path gradientshapeok="t" o:connecttype="rect"/>
            </v:shapetype>
            <v:shape id="_x0000_s1102" type="#_x0000_t202" style="position:absolute;left:0;text-align:left;margin-left:0;margin-top:0;width:499.2pt;height:218.4pt;rotation:-45;z-index:-251662336;visibility:visible;mso-wrap-style:squar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" o:allowincell="f" filled="f" stroked="f">
              <o:lock v:ext="edit" shapetype="t"/>
              <v:textbox style="mso-fit-shape-to-text:t">
                <w:txbxContent>
                  <w:p w14:paraId="6809240E" w14:textId="77777777" w:rsidR="00CF33D9" w:rsidRDefault="00E3332A">
                    <w:pPr>
                      <w:jc w:val="center"/>
                      <w:rPr>
                        <w:color w:val="C0C0C0"/>
                        <w:sz w:val="2"/>
                        <w:szCs w:val="2"/>
                      </w:rPr>
                    </w:pPr>
                    <w:r>
                      <w:rPr>
                        <w:color w:val="C0C0C0"/>
                        <w:sz w:val="2"/>
                        <w:szCs w:val="2"/>
                      </w:rPr>
                      <w:t>DRAFT</w:t>
                    </w:r>
                  </w:p>
                </w:txbxContent>
              </v:textbox>
              <w10:wrap anchorx="margin" anchory="margin"/>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09232B" w14:textId="77777777" w:rsidR="00CF33D9" w:rsidRDefault="00E3332A">
    <w:pPr>
      <w:tabs>
        <w:tab w:val="center" w:pos="4153"/>
        <w:tab w:val="right" w:pos="8306"/>
      </w:tabs>
      <w:spacing w:after="60"/>
      <w:jc w:val="both"/>
      <w:rPr>
        <w:rFonts w:ascii="Calibri" w:eastAsia="Calibri" w:hAnsi="Calibri" w:cs="Calibri"/>
        <w:color w:val="000000"/>
        <w:sz w:val="20"/>
        <w:szCs w:val="20"/>
      </w:rPr>
    </w:pPr>
    <w:r>
      <w:rPr>
        <w:rFonts w:ascii="Calibri" w:eastAsia="Calibri" w:hAnsi="Calibri" w:cs="Calibri"/>
        <w:noProof/>
        <w:color w:val="000000"/>
        <w:sz w:val="20"/>
        <w:szCs w:val="20"/>
      </w:rPr>
      <mc:AlternateContent>
        <mc:Choice Requires="wps">
          <w:drawing>
            <wp:anchor distT="0" distB="0" distL="0" distR="0" simplePos="0" relativeHeight="251648000" behindDoc="1" locked="0" layoutInCell="1" allowOverlap="1" wp14:anchorId="6809234C" wp14:editId="6809234D">
              <wp:simplePos x="0" y="0"/>
              <wp:positionH relativeFrom="margin">
                <wp:align>center</wp:align>
              </wp:positionH>
              <wp:positionV relativeFrom="margin">
                <wp:align>center</wp:align>
              </wp:positionV>
              <wp:extent cx="6457950" cy="6457950"/>
              <wp:effectExtent l="0" t="0" r="0" b="0"/>
              <wp:wrapNone/>
              <wp:docPr id="1957661939" name="Rectangle 1957661939"/>
              <wp:cNvGraphicFramePr/>
              <a:graphic xmlns:a="http://schemas.openxmlformats.org/drawingml/2006/main">
                <a:graphicData uri="http://schemas.microsoft.com/office/word/2010/wordprocessingShape">
                  <wps:wsp>
                    <wps:cNvSpPr/>
                    <wps:spPr>
                      <a:xfrm rot="-2700000">
                        <a:off x="2176080" y="2393160"/>
                        <a:ext cx="6339840" cy="2773680"/>
                      </a:xfrm>
                      <a:prstGeom prst="rect">
                        <a:avLst/>
                      </a:prstGeom>
                    </wps:spPr>
                    <wps:txbx>
                      <w:txbxContent>
                        <w:p w14:paraId="68092414" w14:textId="77777777" w:rsidR="00CF33D9" w:rsidRDefault="00E3332A">
                          <w:pPr>
                            <w:jc w:val="center"/>
                          </w:pPr>
                          <w:r>
                            <w:rPr>
                              <w:rFonts w:ascii="Arial" w:eastAsia="Arial" w:hAnsi="Arial" w:cs="Arial"/>
                              <w:color w:val="C0C0C0"/>
                              <w:sz w:val="144"/>
                            </w:rPr>
                            <w:t>DRAFT</w:t>
                          </w:r>
                        </w:p>
                      </w:txbxContent>
                    </wps:txbx>
                    <wps:bodyPr spcFirstLastPara="1" wrap="square" lIns="91425" tIns="91425" rIns="91425" bIns="91425" anchor="ctr" anchorCtr="0">
                      <a:noAutofit/>
                    </wps:bodyPr>
                  </wps:wsp>
                </a:graphicData>
              </a:graphic>
            </wp:anchor>
          </w:drawing>
        </mc:Choice>
        <mc:Fallback>
          <w:pict>
            <v:rect w14:anchorId="6809234C" id="Rectangle 1957661939" o:spid="_x0000_s1103" style="position:absolute;left:0;text-align:left;margin-left:0;margin-top:0;width:508.5pt;height:508.5pt;rotation:-45;z-index:-251668480;visibility:visible;mso-wrap-style:square;mso-wrap-distance-left:0;mso-wrap-distance-top:0;mso-wrap-distance-right:0;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" filled="f" stroked="f">
              <v:textbox inset="2.53958mm,2.53958mm,2.53958mm,2.53958mm">
                <w:txbxContent>
                  <w:p w14:paraId="68092414" w14:textId="77777777" w:rsidR="00CF33D9" w:rsidRDefault="00E3332A">
                    <w:pPr>
                      <w:jc w:val="center"/>
                    </w:pPr>
                    <w:r>
                      <w:rPr>
                        <w:rFonts w:ascii="Arial" w:eastAsia="Arial" w:hAnsi="Arial" w:cs="Arial"/>
                        <w:color w:val="C0C0C0"/>
                        <w:sz w:val="144"/>
                      </w:rPr>
                      <w:t>DRAFT</w:t>
                    </w:r>
                  </w:p>
                </w:txbxContent>
              </v:textbox>
              <w10:wrap anchorx="margin" anchory="margin"/>
            </v:rect>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09232C" w14:textId="77777777" w:rsidR="00CF33D9" w:rsidRDefault="00E3332A">
    <w:pPr>
      <w:tabs>
        <w:tab w:val="center" w:pos="4153"/>
        <w:tab w:val="right" w:pos="8306"/>
      </w:tabs>
      <w:spacing w:after="60"/>
      <w:jc w:val="both"/>
      <w:rPr>
        <w:rFonts w:ascii="Calibri" w:eastAsia="Calibri" w:hAnsi="Calibri" w:cs="Calibri"/>
        <w:color w:val="000000"/>
        <w:sz w:val="20"/>
        <w:szCs w:val="20"/>
      </w:rPr>
    </w:pPr>
    <w:r>
      <w:rPr>
        <w:rFonts w:ascii="Calibri" w:eastAsia="Calibri" w:hAnsi="Calibri" w:cs="Calibri"/>
        <w:noProof/>
        <w:color w:val="000000"/>
        <w:sz w:val="20"/>
        <w:szCs w:val="20"/>
      </w:rPr>
      <mc:AlternateContent>
        <mc:Choice Requires="wps">
          <w:drawing>
            <wp:anchor distT="0" distB="0" distL="0" distR="0" simplePos="0" relativeHeight="251641856" behindDoc="1" locked="0" layoutInCell="1" allowOverlap="1" wp14:anchorId="6809234E" wp14:editId="6809234F">
              <wp:simplePos x="0" y="0"/>
              <wp:positionH relativeFrom="margin">
                <wp:align>center</wp:align>
              </wp:positionH>
              <wp:positionV relativeFrom="margin">
                <wp:align>center</wp:align>
              </wp:positionV>
              <wp:extent cx="6457950" cy="6457950"/>
              <wp:effectExtent l="0" t="0" r="0" b="0"/>
              <wp:wrapNone/>
              <wp:docPr id="1957661944" name="Rectangle 1957661944"/>
              <wp:cNvGraphicFramePr/>
              <a:graphic xmlns:a="http://schemas.openxmlformats.org/drawingml/2006/main">
                <a:graphicData uri="http://schemas.microsoft.com/office/word/2010/wordprocessingShape">
                  <wps:wsp>
                    <wps:cNvSpPr/>
                    <wps:spPr>
                      <a:xfrm rot="-2700000">
                        <a:off x="2176080" y="2393160"/>
                        <a:ext cx="6339840" cy="2773680"/>
                      </a:xfrm>
                      <a:prstGeom prst="rect">
                        <a:avLst/>
                      </a:prstGeom>
                    </wps:spPr>
                    <wps:txbx>
                      <w:txbxContent>
                        <w:p w14:paraId="68092412" w14:textId="77777777" w:rsidR="00CF33D9" w:rsidRDefault="00E3332A">
                          <w:pPr>
                            <w:jc w:val="center"/>
                          </w:pPr>
                          <w:r>
                            <w:rPr>
                              <w:rFonts w:ascii="Arial" w:eastAsia="Arial" w:hAnsi="Arial" w:cs="Arial"/>
                              <w:color w:val="C0C0C0"/>
                              <w:sz w:val="144"/>
                            </w:rPr>
                            <w:t>DRAFT</w:t>
                          </w:r>
                        </w:p>
                      </w:txbxContent>
                    </wps:txbx>
                    <wps:bodyPr spcFirstLastPara="1" wrap="square" lIns="91425" tIns="91425" rIns="91425" bIns="91425" anchor="ctr" anchorCtr="0">
                      <a:noAutofit/>
                    </wps:bodyPr>
                  </wps:wsp>
                </a:graphicData>
              </a:graphic>
            </wp:anchor>
          </w:drawing>
        </mc:Choice>
        <mc:Fallback>
          <w:pict>
            <v:rect w14:anchorId="6809234E" id="Rectangle 1957661944" o:spid="_x0000_s1104" style="position:absolute;left:0;text-align:left;margin-left:0;margin-top:0;width:508.5pt;height:508.5pt;rotation:-45;z-index:-251674624;visibility:visible;mso-wrap-style:square;mso-wrap-distance-left:0;mso-wrap-distance-top:0;mso-wrap-distance-right:0;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" filled="f" stroked="f">
              <v:textbox inset="2.53958mm,2.53958mm,2.53958mm,2.53958mm">
                <w:txbxContent>
                  <w:p w14:paraId="68092412" w14:textId="77777777" w:rsidR="00CF33D9" w:rsidRDefault="00E3332A">
                    <w:pPr>
                      <w:jc w:val="center"/>
                    </w:pPr>
                    <w:r>
                      <w:rPr>
                        <w:rFonts w:ascii="Arial" w:eastAsia="Arial" w:hAnsi="Arial" w:cs="Arial"/>
                        <w:color w:val="C0C0C0"/>
                        <w:sz w:val="144"/>
                      </w:rPr>
                      <w:t>DRAFT</w:t>
                    </w:r>
                  </w:p>
                </w:txbxContent>
              </v:textbox>
              <w10:wrap anchorx="margin" anchory="margin"/>
            </v:rect>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09232F" w14:textId="77777777" w:rsidR="00CF33D9" w:rsidRDefault="00E3332A">
    <w:pPr>
      <w:tabs>
        <w:tab w:val="center" w:pos="4153"/>
        <w:tab w:val="right" w:pos="8306"/>
      </w:tabs>
      <w:spacing w:after="60"/>
      <w:jc w:val="both"/>
      <w:rPr>
        <w:rFonts w:ascii="Calibri" w:eastAsia="Calibri" w:hAnsi="Calibri" w:cs="Calibri"/>
        <w:color w:val="000000"/>
        <w:sz w:val="20"/>
        <w:szCs w:val="20"/>
      </w:rPr>
    </w:pPr>
    <w:r>
      <w:rPr>
        <w:rFonts w:ascii="Calibri" w:eastAsia="Calibri" w:hAnsi="Calibri" w:cs="Calibri"/>
        <w:noProof/>
        <w:color w:val="000000"/>
        <w:sz w:val="20"/>
        <w:szCs w:val="20"/>
      </w:rPr>
      <mc:AlternateContent>
        <mc:Choice Requires="wps">
          <w:drawing>
            <wp:anchor distT="0" distB="0" distL="0" distR="0" simplePos="0" relativeHeight="251644928" behindDoc="1" locked="0" layoutInCell="1" allowOverlap="1" wp14:anchorId="68092352" wp14:editId="68092353">
              <wp:simplePos x="0" y="0"/>
              <wp:positionH relativeFrom="margin">
                <wp:align>center</wp:align>
              </wp:positionH>
              <wp:positionV relativeFrom="margin">
                <wp:align>center</wp:align>
              </wp:positionV>
              <wp:extent cx="6457950" cy="6457950"/>
              <wp:effectExtent l="0" t="0" r="0" b="0"/>
              <wp:wrapNone/>
              <wp:docPr id="1957661934" name="Rectangle 1957661934"/>
              <wp:cNvGraphicFramePr/>
              <a:graphic xmlns:a="http://schemas.openxmlformats.org/drawingml/2006/main">
                <a:graphicData uri="http://schemas.microsoft.com/office/word/2010/wordprocessingShape">
                  <wps:wsp>
                    <wps:cNvSpPr/>
                    <wps:spPr>
                      <a:xfrm rot="-2700000">
                        <a:off x="2176080" y="2393160"/>
                        <a:ext cx="6339840" cy="2773680"/>
                      </a:xfrm>
                      <a:prstGeom prst="rect">
                        <a:avLst/>
                      </a:prstGeom>
                    </wps:spPr>
                    <wps:txbx>
                      <w:txbxContent>
                        <w:p w14:paraId="68092411" w14:textId="77777777" w:rsidR="00CF33D9" w:rsidRDefault="00E3332A">
                          <w:pPr>
                            <w:jc w:val="center"/>
                          </w:pPr>
                          <w:r>
                            <w:rPr>
                              <w:rFonts w:ascii="Arial" w:eastAsia="Arial" w:hAnsi="Arial" w:cs="Arial"/>
                              <w:color w:val="C0C0C0"/>
                              <w:sz w:val="144"/>
                            </w:rPr>
                            <w:t>DRAFT</w:t>
                          </w:r>
                        </w:p>
                      </w:txbxContent>
                    </wps:txbx>
                    <wps:bodyPr spcFirstLastPara="1" wrap="square" lIns="91425" tIns="91425" rIns="91425" bIns="91425" anchor="ctr" anchorCtr="0">
                      <a:noAutofit/>
                    </wps:bodyPr>
                  </wps:wsp>
                </a:graphicData>
              </a:graphic>
            </wp:anchor>
          </w:drawing>
        </mc:Choice>
        <mc:Fallback>
          <w:pict>
            <v:rect w14:anchorId="68092352" id="Rectangle 1957661934" o:spid="_x0000_s1106" style="position:absolute;left:0;text-align:left;margin-left:0;margin-top:0;width:508.5pt;height:508.5pt;rotation:-45;z-index:-251671552;visibility:visible;mso-wrap-style:square;mso-wrap-distance-left:0;mso-wrap-distance-top:0;mso-wrap-distance-right:0;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" filled="f" stroked="f">
              <v:textbox inset="2.53958mm,2.53958mm,2.53958mm,2.53958mm">
                <w:txbxContent>
                  <w:p w14:paraId="68092411" w14:textId="77777777" w:rsidR="00CF33D9" w:rsidRDefault="00E3332A">
                    <w:pPr>
                      <w:jc w:val="center"/>
                    </w:pPr>
                    <w:r>
                      <w:rPr>
                        <w:rFonts w:ascii="Arial" w:eastAsia="Arial" w:hAnsi="Arial" w:cs="Arial"/>
                        <w:color w:val="C0C0C0"/>
                        <w:sz w:val="144"/>
                      </w:rPr>
                      <w:t>DRAFT</w:t>
                    </w:r>
                  </w:p>
                </w:txbxContent>
              </v:textbox>
              <w10:wrap anchorx="margin" anchory="margin"/>
            </v:rect>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092330" w14:textId="77777777" w:rsidR="00CF33D9" w:rsidRDefault="00CF33D9">
    <w:pPr>
      <w:pStyle w:val="Header"/>
      <w:ind w:left="-142" w:right="-988"/>
      <w:rPr>
        <w:b/>
        <w:color w:val="4F81BD"/>
        <w:sz w:val="24"/>
        <w:szCs w:val="20"/>
        <w:u w:val="single"/>
      </w:rPr>
    </w:pPr>
  </w:p>
  <w:p w14:paraId="68092331" w14:textId="77777777" w:rsidR="00CF33D9" w:rsidRDefault="00CF33D9">
    <w:pPr>
      <w:pStyle w:val="Header"/>
      <w:ind w:left="-142" w:right="-988"/>
      <w:rPr>
        <w:b/>
        <w:color w:val="4F81BD"/>
        <w:sz w:val="24"/>
        <w:szCs w:val="20"/>
        <w:u w:val="single"/>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092332" w14:textId="77777777" w:rsidR="00CF33D9" w:rsidRDefault="00E3332A">
    <w:pPr>
      <w:pStyle w:val="Header"/>
    </w:pPr>
    <w:r>
      <w:rPr>
        <w:noProof/>
      </w:rPr>
      <mc:AlternateContent>
        <mc:Choice Requires="wps">
          <w:drawing>
            <wp:anchor distT="0" distB="0" distL="114300" distR="114300" simplePos="0" relativeHeight="251663360" behindDoc="1" locked="0" layoutInCell="0" allowOverlap="1" wp14:anchorId="68092354" wp14:editId="68092355">
              <wp:simplePos x="0" y="0"/>
              <wp:positionH relativeFrom="margin">
                <wp:align>center</wp:align>
              </wp:positionH>
              <wp:positionV relativeFrom="margin">
                <wp:align>center</wp:align>
              </wp:positionV>
              <wp:extent cx="5943600" cy="2133600"/>
              <wp:effectExtent l="0" t="0" r="0" b="0"/>
              <wp:wrapNone/>
              <wp:docPr id="636166237" name="WordArt 3"/>
              <wp:cNvGraphicFramePr/>
              <a:graphic xmlns:a="http://schemas.openxmlformats.org/drawingml/2006/main">
                <a:graphicData uri="http://schemas.microsoft.com/office/word/2010/wordprocessingShape">
                  <wps:wsp>
                    <wps:cNvSpPr txBox="1"/>
                    <wps:spPr bwMode="auto">
                      <a:xfrm>
                        <a:off x="0" y="0"/>
                        <a:ext cx="5943600" cy="2133600"/>
                      </a:xfrm>
                      <a:prstGeom prst="rect">
                        <a:avLst/>
                      </a:prstGeom>
                    </wps:spPr>
                    <wps:txbx>
                      <w:txbxContent>
                        <w:p w14:paraId="68092415" w14:textId="77777777" w:rsidR="00CF33D9" w:rsidRDefault="00E3332A">
                          <w:pPr>
                            <w:jc w:val="center"/>
                            <w:rPr>
                              <w:color w:val="C0C0C0"/>
                              <w:sz w:val="16"/>
                              <w:szCs w:val="16"/>
                            </w:rPr>
                          </w:pPr>
                          <w:r>
                            <w:rPr>
                              <w:color w:val="C0C0C0"/>
                              <w:sz w:val="16"/>
                              <w:szCs w:val="16"/>
                            </w:rPr>
                            <w:t>DRAFT</w:t>
                          </w:r>
                        </w:p>
                      </w:txbxContent>
                    </wps:txbx>
                    <wps:bodyPr wrap="square" numCol="1" fromWordArt="1">
                      <a:prstTxWarp prst="textPlain">
                        <a:avLst>
                          <a:gd name="adj" fmla="val 50000"/>
                        </a:avLst>
                      </a:prstTxWarp>
                      <a:noAutofit/>
                    </wps:bodyPr>
                  </wps:wsp>
                </a:graphicData>
              </a:graphic>
            </wp:anchor>
          </w:drawing>
        </mc:Choice>
        <mc:Fallback>
          <w:pict>
            <v:shapetype w14:anchorId="68092354" id="_x0000_t202" coordsize="21600,21600" o:spt="202" path="m,l,21600r21600,l21600,xe">
              <v:stroke joinstyle="miter"/>
              <v:path gradientshapeok="t" o:connecttype="rect"/>
            </v:shapetype>
            <v:shape id="_x0000_s1107" type="#_x0000_t202" style="position:absolute;left:0;text-align:left;margin-left:0;margin-top:0;width:468pt;height:168pt;z-index:-251653120;visibility:visible;mso-wrap-style:squar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" o:allowincell="f" filled="f" stroked="f">
              <v:textbox>
                <w:txbxContent>
                  <w:p w14:paraId="68092415" w14:textId="77777777" w:rsidR="00CF33D9" w:rsidRDefault="00E3332A">
                    <w:pPr>
                      <w:jc w:val="center"/>
                      <w:rPr>
                        <w:color w:val="C0C0C0"/>
                        <w:sz w:val="16"/>
                        <w:szCs w:val="16"/>
                      </w:rPr>
                    </w:pPr>
                    <w:r>
                      <w:rPr>
                        <w:color w:val="C0C0C0"/>
                        <w:sz w:val="16"/>
                        <w:szCs w:val="16"/>
                      </w:rPr>
                      <w:t>DRAFT</w:t>
                    </w:r>
                  </w:p>
                </w:txbxContent>
              </v:textbox>
              <w10:wrap anchorx="margin" anchory="margin"/>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092333" w14:textId="77777777" w:rsidR="00CF33D9" w:rsidRDefault="00CF33D9">
    <w:pPr>
      <w:tabs>
        <w:tab w:val="center" w:pos="4153"/>
        <w:tab w:val="right" w:pos="8306"/>
      </w:tabs>
      <w:spacing w:after="60"/>
      <w:jc w:val="both"/>
      <w:rPr>
        <w:rFonts w:ascii="Calibri" w:eastAsia="Calibri" w:hAnsi="Calibri" w:cs="Calibri"/>
        <w:color w:val="000000"/>
        <w:sz w:val="20"/>
        <w:szCs w:val="20"/>
      </w:rPr>
    </w:pPr>
  </w:p>
  <w:p w14:paraId="68092334" w14:textId="77777777" w:rsidR="00CF33D9" w:rsidRDefault="00CF33D9"/>
  <w:p w14:paraId="68092335" w14:textId="77777777" w:rsidR="00CF33D9" w:rsidRDefault="00CF33D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7"/>
    <w:multiLevelType w:val="multilevel"/>
    <w:tmpl w:val="00000007"/>
    <w:lvl w:ilvl="0">
      <w:start w:val="1"/>
      <w:numFmt w:val="bullet"/>
      <w:lvlText w:val=""/>
      <w:lvlJc w:val="left"/>
      <w:pPr>
        <w:tabs>
          <w:tab w:val="left" w:pos="0"/>
        </w:tabs>
        <w:ind w:left="720" w:hanging="360"/>
      </w:pPr>
      <w:rPr>
        <w:rFonts w:ascii="Symbol" w:hAnsi="Symbol" w:cs="Symbol"/>
      </w:rPr>
    </w:lvl>
    <w:lvl w:ilvl="1">
      <w:start w:val="1"/>
      <w:numFmt w:val="bullet"/>
      <w:lvlText w:val="o"/>
      <w:lvlJc w:val="left"/>
      <w:pPr>
        <w:tabs>
          <w:tab w:val="left" w:pos="0"/>
        </w:tabs>
        <w:ind w:left="1440" w:hanging="360"/>
      </w:pPr>
      <w:rPr>
        <w:rFonts w:ascii="Courier New" w:hAnsi="Courier New" w:cs="Courier New"/>
      </w:rPr>
    </w:lvl>
    <w:lvl w:ilvl="2">
      <w:start w:val="1"/>
      <w:numFmt w:val="bullet"/>
      <w:lvlText w:val=""/>
      <w:lvlJc w:val="left"/>
      <w:pPr>
        <w:tabs>
          <w:tab w:val="left" w:pos="0"/>
        </w:tabs>
        <w:ind w:left="2160" w:hanging="360"/>
      </w:pPr>
      <w:rPr>
        <w:rFonts w:ascii="Wingdings" w:hAnsi="Wingdings" w:cs="Wingdings"/>
      </w:rPr>
    </w:lvl>
    <w:lvl w:ilvl="3">
      <w:start w:val="1"/>
      <w:numFmt w:val="bullet"/>
      <w:lvlText w:val=""/>
      <w:lvlJc w:val="left"/>
      <w:pPr>
        <w:tabs>
          <w:tab w:val="left" w:pos="0"/>
        </w:tabs>
        <w:ind w:left="2880" w:hanging="360"/>
      </w:pPr>
      <w:rPr>
        <w:rFonts w:ascii="Symbol" w:hAnsi="Symbol" w:cs="Symbol"/>
      </w:rPr>
    </w:lvl>
    <w:lvl w:ilvl="4">
      <w:start w:val="1"/>
      <w:numFmt w:val="bullet"/>
      <w:lvlText w:val="o"/>
      <w:lvlJc w:val="left"/>
      <w:pPr>
        <w:tabs>
          <w:tab w:val="left" w:pos="0"/>
        </w:tabs>
        <w:ind w:left="3600" w:hanging="360"/>
      </w:pPr>
      <w:rPr>
        <w:rFonts w:ascii="Courier New" w:hAnsi="Courier New" w:cs="Courier New"/>
      </w:rPr>
    </w:lvl>
    <w:lvl w:ilvl="5">
      <w:start w:val="1"/>
      <w:numFmt w:val="bullet"/>
      <w:lvlText w:val=""/>
      <w:lvlJc w:val="left"/>
      <w:pPr>
        <w:tabs>
          <w:tab w:val="left" w:pos="0"/>
        </w:tabs>
        <w:ind w:left="4320" w:hanging="360"/>
      </w:pPr>
      <w:rPr>
        <w:rFonts w:ascii="Wingdings" w:hAnsi="Wingdings" w:cs="Wingdings"/>
      </w:rPr>
    </w:lvl>
    <w:lvl w:ilvl="6">
      <w:start w:val="1"/>
      <w:numFmt w:val="bullet"/>
      <w:lvlText w:val=""/>
      <w:lvlJc w:val="left"/>
      <w:pPr>
        <w:tabs>
          <w:tab w:val="left" w:pos="0"/>
        </w:tabs>
        <w:ind w:left="5040" w:hanging="360"/>
      </w:pPr>
      <w:rPr>
        <w:rFonts w:ascii="Symbol" w:hAnsi="Symbol" w:cs="Symbol"/>
      </w:rPr>
    </w:lvl>
    <w:lvl w:ilvl="7">
      <w:start w:val="1"/>
      <w:numFmt w:val="bullet"/>
      <w:lvlText w:val="o"/>
      <w:lvlJc w:val="left"/>
      <w:pPr>
        <w:tabs>
          <w:tab w:val="left" w:pos="0"/>
        </w:tabs>
        <w:ind w:left="5760" w:hanging="360"/>
      </w:pPr>
      <w:rPr>
        <w:rFonts w:ascii="Courier New" w:hAnsi="Courier New" w:cs="Courier New"/>
      </w:rPr>
    </w:lvl>
    <w:lvl w:ilvl="8">
      <w:start w:val="1"/>
      <w:numFmt w:val="bullet"/>
      <w:lvlText w:val=""/>
      <w:lvlJc w:val="left"/>
      <w:pPr>
        <w:tabs>
          <w:tab w:val="left" w:pos="0"/>
        </w:tabs>
        <w:ind w:left="6480" w:hanging="360"/>
      </w:pPr>
      <w:rPr>
        <w:rFonts w:ascii="Wingdings" w:hAnsi="Wingdings" w:cs="Wingdings"/>
      </w:rPr>
    </w:lvl>
  </w:abstractNum>
  <w:abstractNum w:abstractNumId="1" w15:restartNumberingAfterBreak="0">
    <w:nsid w:val="00A453B9"/>
    <w:multiLevelType w:val="multilevel"/>
    <w:tmpl w:val="00A453B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0FD27E9"/>
    <w:multiLevelType w:val="multilevel"/>
    <w:tmpl w:val="00FD27E9"/>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20B0956"/>
    <w:multiLevelType w:val="multilevel"/>
    <w:tmpl w:val="020B095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20D4E4A"/>
    <w:multiLevelType w:val="multilevel"/>
    <w:tmpl w:val="020D4E4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219345C"/>
    <w:multiLevelType w:val="multilevel"/>
    <w:tmpl w:val="0219345C"/>
    <w:lvl w:ilvl="0">
      <w:start w:val="1"/>
      <w:numFmt w:val="bullet"/>
      <w:lvlText w:val="−"/>
      <w:lvlJc w:val="left"/>
      <w:pPr>
        <w:ind w:left="644" w:hanging="358"/>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 w15:restartNumberingAfterBreak="0">
    <w:nsid w:val="02441937"/>
    <w:multiLevelType w:val="multilevel"/>
    <w:tmpl w:val="02441937"/>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033406F5"/>
    <w:multiLevelType w:val="multilevel"/>
    <w:tmpl w:val="033406F5"/>
    <w:lvl w:ilvl="0">
      <w:start w:val="1"/>
      <w:numFmt w:val="lowerRoman"/>
      <w:pStyle w:val="UNDPbulletpoint"/>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38F387D"/>
    <w:multiLevelType w:val="multilevel"/>
    <w:tmpl w:val="038F387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03A57CBC"/>
    <w:multiLevelType w:val="multilevel"/>
    <w:tmpl w:val="03A57CBC"/>
    <w:lvl w:ilvl="0">
      <w:start w:val="1"/>
      <w:numFmt w:val="lowerLetter"/>
      <w:lvlText w:val="%1)"/>
      <w:lvlJc w:val="left"/>
      <w:pPr>
        <w:ind w:left="720" w:hanging="360"/>
      </w:p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5540E52"/>
    <w:multiLevelType w:val="multilevel"/>
    <w:tmpl w:val="05540E52"/>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6EF3813"/>
    <w:multiLevelType w:val="multilevel"/>
    <w:tmpl w:val="06EF3813"/>
    <w:lvl w:ilvl="0">
      <w:start w:val="2"/>
      <w:numFmt w:val="bullet"/>
      <w:lvlText w:val="-"/>
      <w:lvlJc w:val="left"/>
      <w:pPr>
        <w:ind w:left="720" w:hanging="360"/>
      </w:pPr>
      <w:rPr>
        <w:rFonts w:ascii="Calibri" w:eastAsia="SimSun"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9DF695E"/>
    <w:multiLevelType w:val="multilevel"/>
    <w:tmpl w:val="09DF695E"/>
    <w:lvl w:ilvl="0">
      <w:start w:val="2"/>
      <w:numFmt w:val="bullet"/>
      <w:lvlText w:val="-"/>
      <w:lvlJc w:val="left"/>
      <w:pPr>
        <w:ind w:left="720" w:hanging="360"/>
      </w:pPr>
      <w:rPr>
        <w:rFonts w:ascii="Calibri" w:eastAsia="SimSun"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0B5D1BF5"/>
    <w:multiLevelType w:val="multilevel"/>
    <w:tmpl w:val="0B5D1BF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0B875E77"/>
    <w:multiLevelType w:val="multilevel"/>
    <w:tmpl w:val="0B875E77"/>
    <w:lvl w:ilvl="0">
      <w:start w:val="3"/>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0B9A38F5"/>
    <w:multiLevelType w:val="multilevel"/>
    <w:tmpl w:val="0B9A38F5"/>
    <w:lvl w:ilvl="0">
      <w:start w:val="3"/>
      <w:numFmt w:val="bullet"/>
      <w:lvlText w:val="-"/>
      <w:lvlJc w:val="left"/>
      <w:pPr>
        <w:ind w:left="720" w:hanging="360"/>
      </w:pPr>
      <w:rPr>
        <w:rFonts w:ascii="Calibri" w:eastAsia="Calibri" w:hAnsi="Calibri" w:cs="Calibri"/>
        <w:shd w:val="clear" w:color="auto" w:fil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0C181D33"/>
    <w:multiLevelType w:val="multilevel"/>
    <w:tmpl w:val="0C181D3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15:restartNumberingAfterBreak="0">
    <w:nsid w:val="0D634FC6"/>
    <w:multiLevelType w:val="multilevel"/>
    <w:tmpl w:val="0D634FC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0D6622DC"/>
    <w:multiLevelType w:val="multilevel"/>
    <w:tmpl w:val="0D6622DC"/>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0D691D8B"/>
    <w:multiLevelType w:val="multilevel"/>
    <w:tmpl w:val="0D691D8B"/>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0DF23D56"/>
    <w:multiLevelType w:val="multilevel"/>
    <w:tmpl w:val="0DF23D5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10787055"/>
    <w:multiLevelType w:val="multilevel"/>
    <w:tmpl w:val="1078705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1124438E"/>
    <w:multiLevelType w:val="multilevel"/>
    <w:tmpl w:val="112443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112A20A4"/>
    <w:multiLevelType w:val="multilevel"/>
    <w:tmpl w:val="112A20A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119B26F4"/>
    <w:multiLevelType w:val="multilevel"/>
    <w:tmpl w:val="119B26F4"/>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12F56C26"/>
    <w:multiLevelType w:val="multilevel"/>
    <w:tmpl w:val="12F56C2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6" w15:restartNumberingAfterBreak="0">
    <w:nsid w:val="155E5B14"/>
    <w:multiLevelType w:val="multilevel"/>
    <w:tmpl w:val="155E5B1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16736206"/>
    <w:multiLevelType w:val="multilevel"/>
    <w:tmpl w:val="16736206"/>
    <w:lvl w:ilvl="0">
      <w:start w:val="1"/>
      <w:numFmt w:val="decimal"/>
      <w:lvlText w:val="%1."/>
      <w:lvlJc w:val="left"/>
      <w:pPr>
        <w:ind w:left="720"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1761089C"/>
    <w:multiLevelType w:val="multilevel"/>
    <w:tmpl w:val="1761089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17711152"/>
    <w:multiLevelType w:val="multilevel"/>
    <w:tmpl w:val="17711152"/>
    <w:lvl w:ilvl="0">
      <w:start w:val="1"/>
      <w:numFmt w:val="bullet"/>
      <w:pStyle w:val="Heading11"/>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18302157"/>
    <w:multiLevelType w:val="multilevel"/>
    <w:tmpl w:val="1830215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18496C36"/>
    <w:multiLevelType w:val="multilevel"/>
    <w:tmpl w:val="18496C3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1A001E8C"/>
    <w:multiLevelType w:val="multilevel"/>
    <w:tmpl w:val="1A001E8C"/>
    <w:lvl w:ilvl="0">
      <w:start w:val="3"/>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1A125742"/>
    <w:multiLevelType w:val="multilevel"/>
    <w:tmpl w:val="1A125742"/>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1B2105E2"/>
    <w:multiLevelType w:val="multilevel"/>
    <w:tmpl w:val="1B2105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1B9E309D"/>
    <w:multiLevelType w:val="multilevel"/>
    <w:tmpl w:val="1B9E309D"/>
    <w:lvl w:ilvl="0">
      <w:start w:val="1"/>
      <w:numFmt w:val="bullet"/>
      <w:pStyle w:val="Normalbullets"/>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1DD41226"/>
    <w:multiLevelType w:val="multilevel"/>
    <w:tmpl w:val="1DD41226"/>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1E223238"/>
    <w:multiLevelType w:val="multilevel"/>
    <w:tmpl w:val="1E223238"/>
    <w:lvl w:ilvl="0">
      <w:start w:val="3"/>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1E566F51"/>
    <w:multiLevelType w:val="multilevel"/>
    <w:tmpl w:val="1E566F5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9" w15:restartNumberingAfterBreak="0">
    <w:nsid w:val="1E63632E"/>
    <w:multiLevelType w:val="multilevel"/>
    <w:tmpl w:val="1E63632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0" w15:restartNumberingAfterBreak="0">
    <w:nsid w:val="1F8B3F70"/>
    <w:multiLevelType w:val="multilevel"/>
    <w:tmpl w:val="1F8B3F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2170078D"/>
    <w:multiLevelType w:val="multilevel"/>
    <w:tmpl w:val="2170078D"/>
    <w:lvl w:ilvl="0">
      <w:start w:val="2"/>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21A55D12"/>
    <w:multiLevelType w:val="multilevel"/>
    <w:tmpl w:val="21A55D1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3" w15:restartNumberingAfterBreak="0">
    <w:nsid w:val="23BF2131"/>
    <w:multiLevelType w:val="multilevel"/>
    <w:tmpl w:val="23BF2131"/>
    <w:lvl w:ilvl="0">
      <w:start w:val="3"/>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243411C7"/>
    <w:multiLevelType w:val="multilevel"/>
    <w:tmpl w:val="243411C7"/>
    <w:lvl w:ilvl="0">
      <w:start w:val="1"/>
      <w:numFmt w:val="decimal"/>
      <w:lvlText w:val="%1."/>
      <w:lvlJc w:val="left"/>
      <w:pPr>
        <w:ind w:left="720" w:hanging="360"/>
      </w:pPr>
      <w:rPr>
        <w:rFonts w:asciiTheme="minorHAnsi" w:hAnsiTheme="minorHAnsi" w:cstheme="minorHAnsi" w:hint="default"/>
        <w:b w:val="0"/>
        <w:bCs w:val="0"/>
        <w:sz w:val="24"/>
        <w:szCs w:val="24"/>
      </w:r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25725127"/>
    <w:multiLevelType w:val="multilevel"/>
    <w:tmpl w:val="25725127"/>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267C16B7"/>
    <w:multiLevelType w:val="multilevel"/>
    <w:tmpl w:val="267C16B7"/>
    <w:lvl w:ilvl="0">
      <w:start w:val="1"/>
      <w:numFmt w:val="bullet"/>
      <w:pStyle w:val="MainParanoChapter"/>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26CC1453"/>
    <w:multiLevelType w:val="multilevel"/>
    <w:tmpl w:val="26CC145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8" w15:restartNumberingAfterBreak="0">
    <w:nsid w:val="26E273D6"/>
    <w:multiLevelType w:val="multilevel"/>
    <w:tmpl w:val="26E273D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9" w15:restartNumberingAfterBreak="0">
    <w:nsid w:val="273961AF"/>
    <w:multiLevelType w:val="multilevel"/>
    <w:tmpl w:val="273961A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0" w15:restartNumberingAfterBreak="0">
    <w:nsid w:val="27842FE7"/>
    <w:multiLevelType w:val="multilevel"/>
    <w:tmpl w:val="27842FE7"/>
    <w:lvl w:ilvl="0">
      <w:start w:val="1"/>
      <w:numFmt w:val="bullet"/>
      <w:lvlText w:val=""/>
      <w:lvlJc w:val="left"/>
      <w:pPr>
        <w:ind w:left="720" w:hanging="360"/>
      </w:pPr>
      <w:rPr>
        <w:rFonts w:ascii="Symbol" w:hAnsi="Symbol" w:hint="default"/>
      </w:rPr>
    </w:lvl>
    <w:lvl w:ilvl="1">
      <w:start w:val="2"/>
      <w:numFmt w:val="bullet"/>
      <w:lvlText w:val="-"/>
      <w:lvlJc w:val="left"/>
      <w:pPr>
        <w:ind w:left="1440" w:hanging="360"/>
      </w:pPr>
      <w:rPr>
        <w:rFonts w:ascii="Calibri" w:eastAsiaTheme="minorHAnsi" w:hAnsi="Calibri" w:cs="Calibri"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280200DF"/>
    <w:multiLevelType w:val="multilevel"/>
    <w:tmpl w:val="280200DF"/>
    <w:lvl w:ilvl="0">
      <w:start w:val="2"/>
      <w:numFmt w:val="bullet"/>
      <w:lvlText w:val="-"/>
      <w:lvlJc w:val="left"/>
      <w:pPr>
        <w:ind w:left="720" w:hanging="360"/>
      </w:pPr>
      <w:rPr>
        <w:rFonts w:ascii="Calibri" w:eastAsia="SimSun"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2" w15:restartNumberingAfterBreak="0">
    <w:nsid w:val="2A827754"/>
    <w:multiLevelType w:val="multilevel"/>
    <w:tmpl w:val="2A827754"/>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53" w15:restartNumberingAfterBreak="0">
    <w:nsid w:val="2AB476CF"/>
    <w:multiLevelType w:val="multilevel"/>
    <w:tmpl w:val="2AB476C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4" w15:restartNumberingAfterBreak="0">
    <w:nsid w:val="2C213291"/>
    <w:multiLevelType w:val="multilevel"/>
    <w:tmpl w:val="2C213291"/>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5" w15:restartNumberingAfterBreak="0">
    <w:nsid w:val="2D0023E3"/>
    <w:multiLevelType w:val="multilevel"/>
    <w:tmpl w:val="2D0023E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6" w15:restartNumberingAfterBreak="0">
    <w:nsid w:val="2D6F416E"/>
    <w:multiLevelType w:val="multilevel"/>
    <w:tmpl w:val="2D6F416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7" w15:restartNumberingAfterBreak="0">
    <w:nsid w:val="2D7521FC"/>
    <w:multiLevelType w:val="multilevel"/>
    <w:tmpl w:val="2D7521FC"/>
    <w:lvl w:ilvl="0">
      <w:start w:val="1"/>
      <w:numFmt w:val="bullet"/>
      <w:pStyle w:val="UNDPBulletpointactivity"/>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8" w15:restartNumberingAfterBreak="0">
    <w:nsid w:val="2E7E5611"/>
    <w:multiLevelType w:val="multilevel"/>
    <w:tmpl w:val="2E7E5611"/>
    <w:lvl w:ilvl="0">
      <w:start w:val="1"/>
      <w:numFmt w:val="bullet"/>
      <w:lvlText w:val="●"/>
      <w:lvlJc w:val="left"/>
      <w:pPr>
        <w:ind w:left="360" w:hanging="360"/>
      </w:pPr>
      <w:rPr>
        <w:rFonts w:ascii="Noto Sans Symbols" w:eastAsia="Noto Sans Symbols" w:hAnsi="Noto Sans Symbols" w:cs="Noto Sans Symbols"/>
        <w:color w:val="00000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9" w15:restartNumberingAfterBreak="0">
    <w:nsid w:val="305B4777"/>
    <w:multiLevelType w:val="multilevel"/>
    <w:tmpl w:val="305B4777"/>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lowerLetter"/>
      <w:lvlText w:val="(%7)"/>
      <w:lvlJc w:val="left"/>
      <w:pPr>
        <w:ind w:left="5040" w:hanging="360"/>
      </w:pPr>
      <w:rPr>
        <w:rFonts w:hint="default"/>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307D6F06"/>
    <w:multiLevelType w:val="multilevel"/>
    <w:tmpl w:val="307D6F0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1" w15:restartNumberingAfterBreak="0">
    <w:nsid w:val="314D04AB"/>
    <w:multiLevelType w:val="multilevel"/>
    <w:tmpl w:val="314D04AB"/>
    <w:lvl w:ilvl="0">
      <w:start w:val="3"/>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2" w15:restartNumberingAfterBreak="0">
    <w:nsid w:val="324834F7"/>
    <w:multiLevelType w:val="multilevel"/>
    <w:tmpl w:val="324834F7"/>
    <w:lvl w:ilvl="0">
      <w:start w:val="7"/>
      <w:numFmt w:val="bullet"/>
      <w:lvlText w:val="-"/>
      <w:lvlJc w:val="left"/>
      <w:pPr>
        <w:ind w:left="720" w:hanging="360"/>
      </w:pPr>
      <w:rPr>
        <w:rFonts w:ascii="Quattrocento Sans" w:eastAsia="Quattrocento Sans" w:hAnsi="Quattrocento Sans" w:cs="Quattrocento Sans"/>
      </w:rPr>
    </w:lvl>
    <w:lvl w:ilvl="1">
      <w:start w:val="7"/>
      <w:numFmt w:val="bullet"/>
      <w:lvlText w:val="-"/>
      <w:lvlJc w:val="left"/>
      <w:pPr>
        <w:ind w:left="1440" w:hanging="360"/>
      </w:pPr>
      <w:rPr>
        <w:rFonts w:ascii="Quattrocento Sans" w:eastAsia="Quattrocento Sans" w:hAnsi="Quattrocento Sans" w:cs="Quattrocento San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 w15:restartNumberingAfterBreak="0">
    <w:nsid w:val="32CC6D48"/>
    <w:multiLevelType w:val="multilevel"/>
    <w:tmpl w:val="32CC6D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4" w15:restartNumberingAfterBreak="0">
    <w:nsid w:val="3422317C"/>
    <w:multiLevelType w:val="multilevel"/>
    <w:tmpl w:val="3422317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65" w15:restartNumberingAfterBreak="0">
    <w:nsid w:val="34460C82"/>
    <w:multiLevelType w:val="multilevel"/>
    <w:tmpl w:val="34460C82"/>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354839BC"/>
    <w:multiLevelType w:val="multilevel"/>
    <w:tmpl w:val="354839BC"/>
    <w:lvl w:ilvl="0">
      <w:start w:val="1"/>
      <w:numFmt w:val="bullet"/>
      <w:lvlText w:val="●"/>
      <w:lvlJc w:val="left"/>
      <w:pPr>
        <w:ind w:left="720" w:hanging="360"/>
      </w:pPr>
      <w:rPr>
        <w:rFonts w:ascii="Noto Sans Symbols" w:eastAsia="Noto Sans Symbols" w:hAnsi="Noto Sans Symbols" w:cs="Noto Sans Symbols"/>
      </w:rPr>
    </w:lvl>
    <w:lvl w:ilvl="1">
      <w:start w:val="7"/>
      <w:numFmt w:val="bullet"/>
      <w:lvlText w:val="-"/>
      <w:lvlJc w:val="left"/>
      <w:pPr>
        <w:ind w:left="1440" w:hanging="360"/>
      </w:pPr>
      <w:rPr>
        <w:rFonts w:ascii="Quattrocento Sans" w:eastAsia="Quattrocento Sans" w:hAnsi="Quattrocento Sans" w:cs="Quattrocento San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 w15:restartNumberingAfterBreak="0">
    <w:nsid w:val="35A41E10"/>
    <w:multiLevelType w:val="multilevel"/>
    <w:tmpl w:val="35A41E10"/>
    <w:lvl w:ilvl="0">
      <w:numFmt w:val="bullet"/>
      <w:lvlText w:val="-"/>
      <w:lvlJc w:val="left"/>
      <w:pPr>
        <w:ind w:left="760" w:hanging="360"/>
      </w:pPr>
      <w:rPr>
        <w:rFonts w:ascii="Times New Roman" w:eastAsia="Times New Roman" w:hAnsi="Times New Roman" w:cs="Times New Roman" w:hint="default"/>
      </w:rPr>
    </w:lvl>
    <w:lvl w:ilvl="1">
      <w:start w:val="1"/>
      <w:numFmt w:val="bullet"/>
      <w:lvlText w:val="o"/>
      <w:lvlJc w:val="left"/>
      <w:pPr>
        <w:ind w:left="1480" w:hanging="360"/>
      </w:pPr>
      <w:rPr>
        <w:rFonts w:ascii="Courier New" w:hAnsi="Courier New" w:cs="Courier New" w:hint="default"/>
      </w:rPr>
    </w:lvl>
    <w:lvl w:ilvl="2">
      <w:start w:val="1"/>
      <w:numFmt w:val="bullet"/>
      <w:lvlText w:val=""/>
      <w:lvlJc w:val="left"/>
      <w:pPr>
        <w:ind w:left="2200" w:hanging="360"/>
      </w:pPr>
      <w:rPr>
        <w:rFonts w:ascii="Wingdings" w:hAnsi="Wingdings" w:hint="default"/>
      </w:rPr>
    </w:lvl>
    <w:lvl w:ilvl="3">
      <w:start w:val="1"/>
      <w:numFmt w:val="bullet"/>
      <w:lvlText w:val=""/>
      <w:lvlJc w:val="left"/>
      <w:pPr>
        <w:ind w:left="2920" w:hanging="360"/>
      </w:pPr>
      <w:rPr>
        <w:rFonts w:ascii="Symbol" w:hAnsi="Symbol" w:hint="default"/>
      </w:rPr>
    </w:lvl>
    <w:lvl w:ilvl="4">
      <w:start w:val="1"/>
      <w:numFmt w:val="bullet"/>
      <w:lvlText w:val="o"/>
      <w:lvlJc w:val="left"/>
      <w:pPr>
        <w:ind w:left="3640" w:hanging="360"/>
      </w:pPr>
      <w:rPr>
        <w:rFonts w:ascii="Courier New" w:hAnsi="Courier New" w:cs="Courier New" w:hint="default"/>
      </w:rPr>
    </w:lvl>
    <w:lvl w:ilvl="5">
      <w:start w:val="1"/>
      <w:numFmt w:val="bullet"/>
      <w:lvlText w:val=""/>
      <w:lvlJc w:val="left"/>
      <w:pPr>
        <w:ind w:left="4360" w:hanging="360"/>
      </w:pPr>
      <w:rPr>
        <w:rFonts w:ascii="Wingdings" w:hAnsi="Wingdings" w:hint="default"/>
      </w:rPr>
    </w:lvl>
    <w:lvl w:ilvl="6">
      <w:start w:val="1"/>
      <w:numFmt w:val="bullet"/>
      <w:lvlText w:val=""/>
      <w:lvlJc w:val="left"/>
      <w:pPr>
        <w:ind w:left="5080" w:hanging="360"/>
      </w:pPr>
      <w:rPr>
        <w:rFonts w:ascii="Symbol" w:hAnsi="Symbol" w:hint="default"/>
      </w:rPr>
    </w:lvl>
    <w:lvl w:ilvl="7">
      <w:start w:val="1"/>
      <w:numFmt w:val="bullet"/>
      <w:lvlText w:val="o"/>
      <w:lvlJc w:val="left"/>
      <w:pPr>
        <w:ind w:left="5800" w:hanging="360"/>
      </w:pPr>
      <w:rPr>
        <w:rFonts w:ascii="Courier New" w:hAnsi="Courier New" w:cs="Courier New" w:hint="default"/>
      </w:rPr>
    </w:lvl>
    <w:lvl w:ilvl="8">
      <w:start w:val="1"/>
      <w:numFmt w:val="bullet"/>
      <w:lvlText w:val=""/>
      <w:lvlJc w:val="left"/>
      <w:pPr>
        <w:ind w:left="6520" w:hanging="360"/>
      </w:pPr>
      <w:rPr>
        <w:rFonts w:ascii="Wingdings" w:hAnsi="Wingdings" w:hint="default"/>
      </w:rPr>
    </w:lvl>
  </w:abstractNum>
  <w:abstractNum w:abstractNumId="68" w15:restartNumberingAfterBreak="0">
    <w:nsid w:val="360465F8"/>
    <w:multiLevelType w:val="multilevel"/>
    <w:tmpl w:val="360465F8"/>
    <w:lvl w:ilvl="0">
      <w:start w:val="1"/>
      <w:numFmt w:val="lowerRoman"/>
      <w:lvlText w:val="%1."/>
      <w:lvlJc w:val="right"/>
      <w:pPr>
        <w:ind w:left="4500" w:hanging="360"/>
      </w:pPr>
    </w:lvl>
    <w:lvl w:ilvl="1">
      <w:start w:val="1"/>
      <w:numFmt w:val="lowerLetter"/>
      <w:lvlText w:val="%2."/>
      <w:lvlJc w:val="left"/>
      <w:pPr>
        <w:ind w:left="5220" w:hanging="360"/>
      </w:pPr>
    </w:lvl>
    <w:lvl w:ilvl="2">
      <w:start w:val="1"/>
      <w:numFmt w:val="lowerRoman"/>
      <w:lvlText w:val="%3."/>
      <w:lvlJc w:val="right"/>
      <w:pPr>
        <w:ind w:left="5940" w:hanging="180"/>
      </w:pPr>
    </w:lvl>
    <w:lvl w:ilvl="3">
      <w:start w:val="1"/>
      <w:numFmt w:val="decimal"/>
      <w:lvlText w:val="%4."/>
      <w:lvlJc w:val="left"/>
      <w:pPr>
        <w:ind w:left="6660" w:hanging="360"/>
      </w:pPr>
    </w:lvl>
    <w:lvl w:ilvl="4">
      <w:start w:val="1"/>
      <w:numFmt w:val="lowerLetter"/>
      <w:lvlText w:val="%5."/>
      <w:lvlJc w:val="left"/>
      <w:pPr>
        <w:ind w:left="7380" w:hanging="360"/>
      </w:pPr>
    </w:lvl>
    <w:lvl w:ilvl="5">
      <w:start w:val="1"/>
      <w:numFmt w:val="lowerRoman"/>
      <w:lvlText w:val="%6."/>
      <w:lvlJc w:val="right"/>
      <w:pPr>
        <w:ind w:left="8100" w:hanging="180"/>
      </w:pPr>
    </w:lvl>
    <w:lvl w:ilvl="6">
      <w:start w:val="1"/>
      <w:numFmt w:val="decimal"/>
      <w:lvlText w:val="%7."/>
      <w:lvlJc w:val="left"/>
      <w:pPr>
        <w:ind w:left="8820" w:hanging="360"/>
      </w:pPr>
    </w:lvl>
    <w:lvl w:ilvl="7">
      <w:start w:val="1"/>
      <w:numFmt w:val="lowerLetter"/>
      <w:lvlText w:val="%8."/>
      <w:lvlJc w:val="left"/>
      <w:pPr>
        <w:ind w:left="9540" w:hanging="360"/>
      </w:pPr>
    </w:lvl>
    <w:lvl w:ilvl="8">
      <w:start w:val="1"/>
      <w:numFmt w:val="lowerRoman"/>
      <w:lvlText w:val="%9."/>
      <w:lvlJc w:val="right"/>
      <w:pPr>
        <w:ind w:left="10260" w:hanging="180"/>
      </w:pPr>
    </w:lvl>
  </w:abstractNum>
  <w:abstractNum w:abstractNumId="69" w15:restartNumberingAfterBreak="0">
    <w:nsid w:val="36F22905"/>
    <w:multiLevelType w:val="multilevel"/>
    <w:tmpl w:val="36F22905"/>
    <w:lvl w:ilvl="0">
      <w:start w:val="9"/>
      <w:numFmt w:val="lowerLetter"/>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37305D6A"/>
    <w:multiLevelType w:val="multilevel"/>
    <w:tmpl w:val="37305D6A"/>
    <w:lvl w:ilvl="0">
      <w:start w:val="1"/>
      <w:numFmt w:val="decimal"/>
      <w:lvlText w:val="%1."/>
      <w:lvlJc w:val="left"/>
      <w:pPr>
        <w:ind w:left="14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3872254E"/>
    <w:multiLevelType w:val="multilevel"/>
    <w:tmpl w:val="3872254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2" w15:restartNumberingAfterBreak="0">
    <w:nsid w:val="39786849"/>
    <w:multiLevelType w:val="multilevel"/>
    <w:tmpl w:val="39786849"/>
    <w:lvl w:ilvl="0">
      <w:start w:val="1"/>
      <w:numFmt w:val="bullet"/>
      <w:lvlText w:val=""/>
      <w:lvlJc w:val="left"/>
      <w:pPr>
        <w:ind w:left="720" w:hanging="360"/>
      </w:pPr>
      <w:rPr>
        <w:rFonts w:ascii="Symbol" w:hAnsi="Symbol" w:hint="default"/>
        <w:color w:val="000000"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3" w15:restartNumberingAfterBreak="0">
    <w:nsid w:val="39B0521E"/>
    <w:multiLevelType w:val="multilevel"/>
    <w:tmpl w:val="39B0521E"/>
    <w:lvl w:ilvl="0">
      <w:start w:val="1"/>
      <w:numFmt w:val="bullet"/>
      <w:lvlText w:val=""/>
      <w:lvlJc w:val="left"/>
      <w:pPr>
        <w:ind w:left="720" w:hanging="360"/>
      </w:pPr>
      <w:rPr>
        <w:rFonts w:ascii="Symbol" w:hAnsi="Symbol" w:hint="default"/>
      </w:rPr>
    </w:lvl>
    <w:lvl w:ilvl="1">
      <w:start w:val="2"/>
      <w:numFmt w:val="bullet"/>
      <w:lvlText w:val="-"/>
      <w:lvlJc w:val="left"/>
      <w:pPr>
        <w:ind w:left="1440" w:hanging="360"/>
      </w:pPr>
      <w:rPr>
        <w:rFonts w:ascii="Calibri" w:eastAsia="SimSun" w:hAnsi="Calibri" w:cs="Calibri"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4" w15:restartNumberingAfterBreak="0">
    <w:nsid w:val="3A005E94"/>
    <w:multiLevelType w:val="multilevel"/>
    <w:tmpl w:val="3A005E9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5" w15:restartNumberingAfterBreak="0">
    <w:nsid w:val="3B3C22C2"/>
    <w:multiLevelType w:val="multilevel"/>
    <w:tmpl w:val="3B3C22C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6" w15:restartNumberingAfterBreak="0">
    <w:nsid w:val="3D6F08B8"/>
    <w:multiLevelType w:val="multilevel"/>
    <w:tmpl w:val="3D6F08B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7" w15:restartNumberingAfterBreak="0">
    <w:nsid w:val="3DE4175C"/>
    <w:multiLevelType w:val="multilevel"/>
    <w:tmpl w:val="3DE4175C"/>
    <w:lvl w:ilvl="0">
      <w:start w:val="1"/>
      <w:numFmt w:val="bullet"/>
      <w:pStyle w:val="Bullets"/>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8" w15:restartNumberingAfterBreak="0">
    <w:nsid w:val="3E0E4E54"/>
    <w:multiLevelType w:val="multilevel"/>
    <w:tmpl w:val="3E0E4E5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9" w15:restartNumberingAfterBreak="0">
    <w:nsid w:val="3F9E4020"/>
    <w:multiLevelType w:val="multilevel"/>
    <w:tmpl w:val="3F9E4020"/>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0" w15:restartNumberingAfterBreak="0">
    <w:nsid w:val="402215C6"/>
    <w:multiLevelType w:val="multilevel"/>
    <w:tmpl w:val="402215C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1" w15:restartNumberingAfterBreak="0">
    <w:nsid w:val="42491A21"/>
    <w:multiLevelType w:val="multilevel"/>
    <w:tmpl w:val="42491A21"/>
    <w:lvl w:ilvl="0">
      <w:start w:val="1"/>
      <w:numFmt w:val="bullet"/>
      <w:lvlText w:val=""/>
      <w:lvlJc w:val="left"/>
      <w:pPr>
        <w:ind w:left="720" w:hanging="360"/>
      </w:pPr>
      <w:rPr>
        <w:rFonts w:ascii="Symbol" w:hAnsi="Symbol" w:hint="default"/>
        <w:sz w:val="24"/>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2" w15:restartNumberingAfterBreak="0">
    <w:nsid w:val="428113BE"/>
    <w:multiLevelType w:val="multilevel"/>
    <w:tmpl w:val="428113BE"/>
    <w:lvl w:ilvl="0">
      <w:start w:val="1"/>
      <w:numFmt w:val="bullet"/>
      <w:lvlText w:val=""/>
      <w:lvlJc w:val="left"/>
      <w:pPr>
        <w:ind w:left="720" w:hanging="360"/>
      </w:pPr>
      <w:rPr>
        <w:rFonts w:ascii="Symbol" w:hAnsi="Symbol" w:hint="default"/>
        <w:color w:val="0070C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3" w15:restartNumberingAfterBreak="0">
    <w:nsid w:val="43A54220"/>
    <w:multiLevelType w:val="multilevel"/>
    <w:tmpl w:val="43A54220"/>
    <w:lvl w:ilvl="0">
      <w:start w:val="2"/>
      <w:numFmt w:val="bullet"/>
      <w:lvlText w:val="-"/>
      <w:lvlJc w:val="left"/>
      <w:pPr>
        <w:ind w:left="760" w:hanging="360"/>
      </w:pPr>
      <w:rPr>
        <w:rFonts w:ascii="Calibri" w:eastAsia="SimSun" w:hAnsi="Calibri" w:cs="Calibri" w:hint="default"/>
      </w:rPr>
    </w:lvl>
    <w:lvl w:ilvl="1">
      <w:start w:val="1"/>
      <w:numFmt w:val="bullet"/>
      <w:lvlText w:val="o"/>
      <w:lvlJc w:val="left"/>
      <w:pPr>
        <w:ind w:left="1480" w:hanging="360"/>
      </w:pPr>
      <w:rPr>
        <w:rFonts w:ascii="Courier New" w:hAnsi="Courier New" w:cs="Courier New" w:hint="default"/>
      </w:rPr>
    </w:lvl>
    <w:lvl w:ilvl="2">
      <w:start w:val="1"/>
      <w:numFmt w:val="bullet"/>
      <w:lvlText w:val=""/>
      <w:lvlJc w:val="left"/>
      <w:pPr>
        <w:ind w:left="2200" w:hanging="360"/>
      </w:pPr>
      <w:rPr>
        <w:rFonts w:ascii="Wingdings" w:hAnsi="Wingdings" w:hint="default"/>
      </w:rPr>
    </w:lvl>
    <w:lvl w:ilvl="3">
      <w:start w:val="1"/>
      <w:numFmt w:val="bullet"/>
      <w:lvlText w:val=""/>
      <w:lvlJc w:val="left"/>
      <w:pPr>
        <w:ind w:left="2920" w:hanging="360"/>
      </w:pPr>
      <w:rPr>
        <w:rFonts w:ascii="Symbol" w:hAnsi="Symbol" w:hint="default"/>
      </w:rPr>
    </w:lvl>
    <w:lvl w:ilvl="4">
      <w:start w:val="1"/>
      <w:numFmt w:val="bullet"/>
      <w:lvlText w:val="o"/>
      <w:lvlJc w:val="left"/>
      <w:pPr>
        <w:ind w:left="3640" w:hanging="360"/>
      </w:pPr>
      <w:rPr>
        <w:rFonts w:ascii="Courier New" w:hAnsi="Courier New" w:cs="Courier New" w:hint="default"/>
      </w:rPr>
    </w:lvl>
    <w:lvl w:ilvl="5">
      <w:start w:val="1"/>
      <w:numFmt w:val="bullet"/>
      <w:lvlText w:val=""/>
      <w:lvlJc w:val="left"/>
      <w:pPr>
        <w:ind w:left="4360" w:hanging="360"/>
      </w:pPr>
      <w:rPr>
        <w:rFonts w:ascii="Wingdings" w:hAnsi="Wingdings" w:hint="default"/>
      </w:rPr>
    </w:lvl>
    <w:lvl w:ilvl="6">
      <w:start w:val="1"/>
      <w:numFmt w:val="bullet"/>
      <w:lvlText w:val=""/>
      <w:lvlJc w:val="left"/>
      <w:pPr>
        <w:ind w:left="5080" w:hanging="360"/>
      </w:pPr>
      <w:rPr>
        <w:rFonts w:ascii="Symbol" w:hAnsi="Symbol" w:hint="default"/>
      </w:rPr>
    </w:lvl>
    <w:lvl w:ilvl="7">
      <w:start w:val="1"/>
      <w:numFmt w:val="bullet"/>
      <w:lvlText w:val="o"/>
      <w:lvlJc w:val="left"/>
      <w:pPr>
        <w:ind w:left="5800" w:hanging="360"/>
      </w:pPr>
      <w:rPr>
        <w:rFonts w:ascii="Courier New" w:hAnsi="Courier New" w:cs="Courier New" w:hint="default"/>
      </w:rPr>
    </w:lvl>
    <w:lvl w:ilvl="8">
      <w:start w:val="1"/>
      <w:numFmt w:val="bullet"/>
      <w:lvlText w:val=""/>
      <w:lvlJc w:val="left"/>
      <w:pPr>
        <w:ind w:left="6520" w:hanging="360"/>
      </w:pPr>
      <w:rPr>
        <w:rFonts w:ascii="Wingdings" w:hAnsi="Wingdings" w:hint="default"/>
      </w:rPr>
    </w:lvl>
  </w:abstractNum>
  <w:abstractNum w:abstractNumId="84" w15:restartNumberingAfterBreak="0">
    <w:nsid w:val="44344DC3"/>
    <w:multiLevelType w:val="multilevel"/>
    <w:tmpl w:val="44344DC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5" w15:restartNumberingAfterBreak="0">
    <w:nsid w:val="45202FB9"/>
    <w:multiLevelType w:val="multilevel"/>
    <w:tmpl w:val="45202FB9"/>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6" w15:restartNumberingAfterBreak="0">
    <w:nsid w:val="45DB24BE"/>
    <w:multiLevelType w:val="multilevel"/>
    <w:tmpl w:val="45DB24BE"/>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87" w15:restartNumberingAfterBreak="0">
    <w:nsid w:val="46502AC8"/>
    <w:multiLevelType w:val="multilevel"/>
    <w:tmpl w:val="46502AC8"/>
    <w:lvl w:ilvl="0">
      <w:start w:val="2"/>
      <w:numFmt w:val="bullet"/>
      <w:lvlText w:val="-"/>
      <w:lvlJc w:val="left"/>
      <w:pPr>
        <w:ind w:left="720" w:hanging="360"/>
      </w:pPr>
      <w:rPr>
        <w:rFonts w:ascii="Calibri" w:eastAsia="SimSun"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8" w15:restartNumberingAfterBreak="0">
    <w:nsid w:val="478C1C26"/>
    <w:multiLevelType w:val="multilevel"/>
    <w:tmpl w:val="478C1C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9" w15:restartNumberingAfterBreak="0">
    <w:nsid w:val="47AF452E"/>
    <w:multiLevelType w:val="multilevel"/>
    <w:tmpl w:val="47AF452E"/>
    <w:lvl w:ilvl="0">
      <w:start w:val="3"/>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0" w15:restartNumberingAfterBreak="0">
    <w:nsid w:val="47B359EF"/>
    <w:multiLevelType w:val="multilevel"/>
    <w:tmpl w:val="47B359E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1" w15:restartNumberingAfterBreak="0">
    <w:nsid w:val="4845323A"/>
    <w:multiLevelType w:val="multilevel"/>
    <w:tmpl w:val="484532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2" w15:restartNumberingAfterBreak="0">
    <w:nsid w:val="48D318A1"/>
    <w:multiLevelType w:val="multilevel"/>
    <w:tmpl w:val="48D318A1"/>
    <w:lvl w:ilvl="0">
      <w:start w:val="3"/>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3" w15:restartNumberingAfterBreak="0">
    <w:nsid w:val="492A1063"/>
    <w:multiLevelType w:val="multilevel"/>
    <w:tmpl w:val="492A106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4" w15:restartNumberingAfterBreak="0">
    <w:nsid w:val="4B5E137C"/>
    <w:multiLevelType w:val="multilevel"/>
    <w:tmpl w:val="4B5E137C"/>
    <w:lvl w:ilvl="0">
      <w:start w:val="3"/>
      <w:numFmt w:val="bullet"/>
      <w:lvlText w:val="-"/>
      <w:lvlJc w:val="left"/>
      <w:pPr>
        <w:ind w:left="720" w:hanging="360"/>
      </w:pPr>
      <w:rPr>
        <w:rFonts w:ascii="Calibri" w:eastAsia="Calibri" w:hAnsi="Calibri" w:cs="Calibri"/>
        <w:shd w:val="clear" w:color="auto" w:fil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5" w15:restartNumberingAfterBreak="0">
    <w:nsid w:val="4B6760DA"/>
    <w:multiLevelType w:val="multilevel"/>
    <w:tmpl w:val="4B6760D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6" w15:restartNumberingAfterBreak="0">
    <w:nsid w:val="4B6D6400"/>
    <w:multiLevelType w:val="multilevel"/>
    <w:tmpl w:val="4B6D6400"/>
    <w:lvl w:ilvl="0">
      <w:start w:val="1"/>
      <w:numFmt w:val="bullet"/>
      <w:pStyle w:val="Paragraph"/>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7" w15:restartNumberingAfterBreak="0">
    <w:nsid w:val="4B820F9E"/>
    <w:multiLevelType w:val="multilevel"/>
    <w:tmpl w:val="4B820F9E"/>
    <w:lvl w:ilvl="0">
      <w:start w:val="1"/>
      <w:numFmt w:val="decimal"/>
      <w:lvlText w:val="%1."/>
      <w:lvlJc w:val="left"/>
      <w:pPr>
        <w:ind w:left="5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8" w15:restartNumberingAfterBreak="0">
    <w:nsid w:val="4D6C6D5B"/>
    <w:multiLevelType w:val="multilevel"/>
    <w:tmpl w:val="4D6C6D5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9" w15:restartNumberingAfterBreak="0">
    <w:nsid w:val="4E4A3533"/>
    <w:multiLevelType w:val="multilevel"/>
    <w:tmpl w:val="4E4A3533"/>
    <w:lvl w:ilvl="0">
      <w:start w:val="35"/>
      <w:numFmt w:val="lowerLetter"/>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0" w15:restartNumberingAfterBreak="0">
    <w:nsid w:val="50EF3891"/>
    <w:multiLevelType w:val="multilevel"/>
    <w:tmpl w:val="50EF389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1" w15:restartNumberingAfterBreak="0">
    <w:nsid w:val="51B833AA"/>
    <w:multiLevelType w:val="multilevel"/>
    <w:tmpl w:val="51B833AA"/>
    <w:lvl w:ilvl="0">
      <w:start w:val="1"/>
      <w:numFmt w:val="bullet"/>
      <w:pStyle w:val="Style1"/>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2" w15:restartNumberingAfterBreak="0">
    <w:nsid w:val="52007F78"/>
    <w:multiLevelType w:val="multilevel"/>
    <w:tmpl w:val="52007F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3" w15:restartNumberingAfterBreak="0">
    <w:nsid w:val="52140F10"/>
    <w:multiLevelType w:val="multilevel"/>
    <w:tmpl w:val="52140F1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4" w15:restartNumberingAfterBreak="0">
    <w:nsid w:val="526F42E8"/>
    <w:multiLevelType w:val="multilevel"/>
    <w:tmpl w:val="526F42E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5" w15:restartNumberingAfterBreak="0">
    <w:nsid w:val="5292697F"/>
    <w:multiLevelType w:val="multilevel"/>
    <w:tmpl w:val="5292697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6" w15:restartNumberingAfterBreak="0">
    <w:nsid w:val="53675782"/>
    <w:multiLevelType w:val="multilevel"/>
    <w:tmpl w:val="53675782"/>
    <w:lvl w:ilvl="0">
      <w:start w:val="1"/>
      <w:numFmt w:val="decimal"/>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07" w15:restartNumberingAfterBreak="0">
    <w:nsid w:val="5553296A"/>
    <w:multiLevelType w:val="multilevel"/>
    <w:tmpl w:val="5553296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8" w15:restartNumberingAfterBreak="0">
    <w:nsid w:val="55E4567E"/>
    <w:multiLevelType w:val="multilevel"/>
    <w:tmpl w:val="55E4567E"/>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9" w15:restartNumberingAfterBreak="0">
    <w:nsid w:val="56A411A3"/>
    <w:multiLevelType w:val="multilevel"/>
    <w:tmpl w:val="56A411A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0" w15:restartNumberingAfterBreak="0">
    <w:nsid w:val="5ADA2ACD"/>
    <w:multiLevelType w:val="multilevel"/>
    <w:tmpl w:val="5ADA2AC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1" w15:restartNumberingAfterBreak="0">
    <w:nsid w:val="5B063086"/>
    <w:multiLevelType w:val="multilevel"/>
    <w:tmpl w:val="5B06308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2" w15:restartNumberingAfterBreak="0">
    <w:nsid w:val="5B4A7AF3"/>
    <w:multiLevelType w:val="multilevel"/>
    <w:tmpl w:val="5B4A7AF3"/>
    <w:lvl w:ilvl="0">
      <w:start w:val="3"/>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3" w15:restartNumberingAfterBreak="0">
    <w:nsid w:val="5BC144B5"/>
    <w:multiLevelType w:val="multilevel"/>
    <w:tmpl w:val="5BC144B5"/>
    <w:lvl w:ilvl="0">
      <w:start w:val="2"/>
      <w:numFmt w:val="bullet"/>
      <w:lvlText w:val="-"/>
      <w:lvlJc w:val="left"/>
      <w:pPr>
        <w:ind w:left="720" w:hanging="360"/>
      </w:pPr>
      <w:rPr>
        <w:rFonts w:ascii="Calibri" w:eastAsia="SimSun"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4" w15:restartNumberingAfterBreak="0">
    <w:nsid w:val="5BC27C1F"/>
    <w:multiLevelType w:val="multilevel"/>
    <w:tmpl w:val="5BC27C1F"/>
    <w:lvl w:ilvl="0">
      <w:start w:val="1"/>
      <w:numFmt w:val="bullet"/>
      <w:pStyle w:val="Normal1"/>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5" w15:restartNumberingAfterBreak="0">
    <w:nsid w:val="5C420C17"/>
    <w:multiLevelType w:val="multilevel"/>
    <w:tmpl w:val="5C420C17"/>
    <w:lvl w:ilvl="0">
      <w:start w:val="3"/>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6" w15:restartNumberingAfterBreak="0">
    <w:nsid w:val="5D91408B"/>
    <w:multiLevelType w:val="multilevel"/>
    <w:tmpl w:val="5D91408B"/>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3"/>
      <w:numFmt w:val="bullet"/>
      <w:lvlText w:val=""/>
      <w:lvlJc w:val="left"/>
      <w:pPr>
        <w:ind w:left="2340" w:hanging="360"/>
      </w:pPr>
      <w:rPr>
        <w:rFonts w:ascii="Symbol" w:eastAsiaTheme="minorHAnsi" w:hAnsi="Symbol" w:cstheme="minorBidi" w:hint="default"/>
      </w:rPr>
    </w:lvl>
    <w:lvl w:ilvl="3">
      <w:start w:val="1"/>
      <w:numFmt w:val="decimal"/>
      <w:lvlText w:val="%4)"/>
      <w:lvlJc w:val="left"/>
      <w:pPr>
        <w:ind w:left="8724" w:hanging="360"/>
      </w:pPr>
      <w:rPr>
        <w:rFonts w:hint="default"/>
      </w:rPr>
    </w:lvl>
    <w:lvl w:ilvl="4">
      <w:start w:val="1"/>
      <w:numFmt w:val="upperRoman"/>
      <w:lvlText w:val="%5."/>
      <w:lvlJc w:val="left"/>
      <w:pPr>
        <w:ind w:left="3960" w:hanging="720"/>
      </w:pPr>
      <w:rPr>
        <w:rFonts w:hint="default"/>
      </w:rPr>
    </w:lvl>
    <w:lvl w:ilvl="5">
      <w:start w:val="1"/>
      <w:numFmt w:val="lowerRoman"/>
      <w:lvlText w:val="(%6)"/>
      <w:lvlJc w:val="left"/>
      <w:pPr>
        <w:ind w:left="4860" w:hanging="720"/>
      </w:pPr>
      <w:rPr>
        <w:rFonts w:hint="default"/>
      </w:rPr>
    </w:lvl>
    <w:lvl w:ilvl="6">
      <w:start w:val="1"/>
      <w:numFmt w:val="lowerLetter"/>
      <w:lvlText w:val="(%7)"/>
      <w:lvlJc w:val="left"/>
      <w:pPr>
        <w:ind w:left="5040" w:hanging="360"/>
      </w:pPr>
      <w:rPr>
        <w:rFonts w:hint="default"/>
      </w:rPr>
    </w:lvl>
    <w:lvl w:ilvl="7">
      <w:start w:val="1"/>
      <w:numFmt w:val="lowerRoman"/>
      <w:lvlText w:val="%8."/>
      <w:lvlJc w:val="left"/>
      <w:pPr>
        <w:ind w:left="6120" w:hanging="720"/>
      </w:pPr>
      <w:rPr>
        <w:rFonts w:hint="default"/>
      </w:rPr>
    </w:lvl>
    <w:lvl w:ilvl="8">
      <w:start w:val="1"/>
      <w:numFmt w:val="lowerRoman"/>
      <w:lvlText w:val="%9."/>
      <w:lvlJc w:val="right"/>
      <w:pPr>
        <w:ind w:left="6480" w:hanging="180"/>
      </w:pPr>
    </w:lvl>
  </w:abstractNum>
  <w:abstractNum w:abstractNumId="117" w15:restartNumberingAfterBreak="0">
    <w:nsid w:val="5E5D4EBE"/>
    <w:multiLevelType w:val="multilevel"/>
    <w:tmpl w:val="5E5D4E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8" w15:restartNumberingAfterBreak="0">
    <w:nsid w:val="5EAC4548"/>
    <w:multiLevelType w:val="multilevel"/>
    <w:tmpl w:val="5EAC4548"/>
    <w:lvl w:ilvl="0">
      <w:start w:val="1"/>
      <w:numFmt w:val="decimal"/>
      <w:lvlText w:val="%1."/>
      <w:lvlJc w:val="left"/>
      <w:pPr>
        <w:ind w:left="540" w:hanging="360"/>
      </w:pPr>
    </w:lvl>
    <w:lvl w:ilvl="1">
      <w:start w:val="1"/>
      <w:numFmt w:val="lowerRoman"/>
      <w:lvlText w:val="%2."/>
      <w:lvlJc w:val="righ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9" w15:restartNumberingAfterBreak="0">
    <w:nsid w:val="5F632D60"/>
    <w:multiLevelType w:val="multilevel"/>
    <w:tmpl w:val="5F632D60"/>
    <w:lvl w:ilvl="0">
      <w:start w:val="3"/>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0" w15:restartNumberingAfterBreak="0">
    <w:nsid w:val="5F946DE6"/>
    <w:multiLevelType w:val="multilevel"/>
    <w:tmpl w:val="5F946D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1" w15:restartNumberingAfterBreak="0">
    <w:nsid w:val="602B0A43"/>
    <w:multiLevelType w:val="multilevel"/>
    <w:tmpl w:val="602B0A4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2" w15:restartNumberingAfterBreak="0">
    <w:nsid w:val="605B5DA4"/>
    <w:multiLevelType w:val="multilevel"/>
    <w:tmpl w:val="605B5DA4"/>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3" w15:restartNumberingAfterBreak="0">
    <w:nsid w:val="60A44462"/>
    <w:multiLevelType w:val="multilevel"/>
    <w:tmpl w:val="60A44462"/>
    <w:lvl w:ilvl="0">
      <w:start w:val="1"/>
      <w:numFmt w:val="decimal"/>
      <w:lvlText w:val="%1."/>
      <w:lvlJc w:val="left"/>
      <w:pPr>
        <w:ind w:left="720" w:hanging="360"/>
      </w:pPr>
      <w:rPr>
        <w:rFonts w:hint="default"/>
        <w:b/>
        <w:bCs/>
        <w:color w:val="auto"/>
      </w:rPr>
    </w:lvl>
    <w:lvl w:ilvl="1">
      <w:start w:val="1"/>
      <w:numFmt w:val="decimal"/>
      <w:isLgl/>
      <w:lvlText w:val="%1.%2"/>
      <w:lvlJc w:val="left"/>
      <w:pPr>
        <w:ind w:left="740" w:hanging="380"/>
      </w:pPr>
      <w:rPr>
        <w:rFonts w:hint="default"/>
        <w:b w:val="0"/>
        <w:bCs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4" w15:restartNumberingAfterBreak="0">
    <w:nsid w:val="60CD5B36"/>
    <w:multiLevelType w:val="multilevel"/>
    <w:tmpl w:val="60CD5B3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5" w15:restartNumberingAfterBreak="0">
    <w:nsid w:val="63521E1D"/>
    <w:multiLevelType w:val="multilevel"/>
    <w:tmpl w:val="63521E1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6" w15:restartNumberingAfterBreak="0">
    <w:nsid w:val="65B775B7"/>
    <w:multiLevelType w:val="multilevel"/>
    <w:tmpl w:val="65B775B7"/>
    <w:lvl w:ilvl="0">
      <w:start w:val="3"/>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7" w15:restartNumberingAfterBreak="0">
    <w:nsid w:val="67C2581D"/>
    <w:multiLevelType w:val="multilevel"/>
    <w:tmpl w:val="67C2581D"/>
    <w:lvl w:ilvl="0">
      <w:start w:val="1"/>
      <w:numFmt w:val="bullet"/>
      <w:lvlText w:val=""/>
      <w:lvlJc w:val="left"/>
      <w:pPr>
        <w:ind w:left="663" w:hanging="360"/>
      </w:pPr>
      <w:rPr>
        <w:rFonts w:ascii="Symbol" w:hAnsi="Symbol" w:hint="default"/>
      </w:rPr>
    </w:lvl>
    <w:lvl w:ilvl="1">
      <w:start w:val="1"/>
      <w:numFmt w:val="bullet"/>
      <w:lvlText w:val="o"/>
      <w:lvlJc w:val="left"/>
      <w:pPr>
        <w:ind w:left="1383" w:hanging="360"/>
      </w:pPr>
      <w:rPr>
        <w:rFonts w:ascii="Courier New" w:hAnsi="Courier New" w:cs="Courier New" w:hint="default"/>
      </w:rPr>
    </w:lvl>
    <w:lvl w:ilvl="2">
      <w:start w:val="1"/>
      <w:numFmt w:val="bullet"/>
      <w:lvlText w:val=""/>
      <w:lvlJc w:val="left"/>
      <w:pPr>
        <w:ind w:left="2103" w:hanging="360"/>
      </w:pPr>
      <w:rPr>
        <w:rFonts w:ascii="Wingdings" w:hAnsi="Wingdings" w:hint="default"/>
      </w:rPr>
    </w:lvl>
    <w:lvl w:ilvl="3">
      <w:start w:val="1"/>
      <w:numFmt w:val="bullet"/>
      <w:lvlText w:val=""/>
      <w:lvlJc w:val="left"/>
      <w:pPr>
        <w:ind w:left="2823" w:hanging="360"/>
      </w:pPr>
      <w:rPr>
        <w:rFonts w:ascii="Symbol" w:hAnsi="Symbol" w:hint="default"/>
      </w:rPr>
    </w:lvl>
    <w:lvl w:ilvl="4">
      <w:start w:val="1"/>
      <w:numFmt w:val="bullet"/>
      <w:lvlText w:val="o"/>
      <w:lvlJc w:val="left"/>
      <w:pPr>
        <w:ind w:left="3543" w:hanging="360"/>
      </w:pPr>
      <w:rPr>
        <w:rFonts w:ascii="Courier New" w:hAnsi="Courier New" w:cs="Courier New" w:hint="default"/>
      </w:rPr>
    </w:lvl>
    <w:lvl w:ilvl="5">
      <w:start w:val="1"/>
      <w:numFmt w:val="bullet"/>
      <w:lvlText w:val=""/>
      <w:lvlJc w:val="left"/>
      <w:pPr>
        <w:ind w:left="4263" w:hanging="360"/>
      </w:pPr>
      <w:rPr>
        <w:rFonts w:ascii="Wingdings" w:hAnsi="Wingdings" w:hint="default"/>
      </w:rPr>
    </w:lvl>
    <w:lvl w:ilvl="6">
      <w:start w:val="1"/>
      <w:numFmt w:val="bullet"/>
      <w:lvlText w:val=""/>
      <w:lvlJc w:val="left"/>
      <w:pPr>
        <w:ind w:left="4983" w:hanging="360"/>
      </w:pPr>
      <w:rPr>
        <w:rFonts w:ascii="Symbol" w:hAnsi="Symbol" w:hint="default"/>
      </w:rPr>
    </w:lvl>
    <w:lvl w:ilvl="7">
      <w:start w:val="1"/>
      <w:numFmt w:val="bullet"/>
      <w:lvlText w:val="o"/>
      <w:lvlJc w:val="left"/>
      <w:pPr>
        <w:ind w:left="5703" w:hanging="360"/>
      </w:pPr>
      <w:rPr>
        <w:rFonts w:ascii="Courier New" w:hAnsi="Courier New" w:cs="Courier New" w:hint="default"/>
      </w:rPr>
    </w:lvl>
    <w:lvl w:ilvl="8">
      <w:start w:val="1"/>
      <w:numFmt w:val="bullet"/>
      <w:lvlText w:val=""/>
      <w:lvlJc w:val="left"/>
      <w:pPr>
        <w:ind w:left="6423" w:hanging="360"/>
      </w:pPr>
      <w:rPr>
        <w:rFonts w:ascii="Wingdings" w:hAnsi="Wingdings" w:hint="default"/>
      </w:rPr>
    </w:lvl>
  </w:abstractNum>
  <w:abstractNum w:abstractNumId="128" w15:restartNumberingAfterBreak="0">
    <w:nsid w:val="682F2AD4"/>
    <w:multiLevelType w:val="multilevel"/>
    <w:tmpl w:val="682F2AD4"/>
    <w:lvl w:ilvl="0">
      <w:start w:val="3"/>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9" w15:restartNumberingAfterBreak="0">
    <w:nsid w:val="688C0A56"/>
    <w:multiLevelType w:val="multilevel"/>
    <w:tmpl w:val="688C0A56"/>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0" w15:restartNumberingAfterBreak="0">
    <w:nsid w:val="69245D28"/>
    <w:multiLevelType w:val="multilevel"/>
    <w:tmpl w:val="69245D2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1" w15:restartNumberingAfterBreak="0">
    <w:nsid w:val="6A614C15"/>
    <w:multiLevelType w:val="multilevel"/>
    <w:tmpl w:val="6A614C15"/>
    <w:lvl w:ilvl="0">
      <w:start w:val="7"/>
      <w:numFmt w:val="bullet"/>
      <w:lvlText w:val="-"/>
      <w:lvlJc w:val="left"/>
      <w:pPr>
        <w:ind w:left="720" w:hanging="360"/>
      </w:pPr>
      <w:rPr>
        <w:rFonts w:ascii="Segoe UI Symbol" w:eastAsia="Times New Roman" w:hAnsi="Segoe UI Symbol" w:cs="Segoe UI 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2" w15:restartNumberingAfterBreak="0">
    <w:nsid w:val="6A6E49C4"/>
    <w:multiLevelType w:val="multilevel"/>
    <w:tmpl w:val="6A6E49C4"/>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3" w15:restartNumberingAfterBreak="0">
    <w:nsid w:val="6A853C9F"/>
    <w:multiLevelType w:val="multilevel"/>
    <w:tmpl w:val="6A853C9F"/>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4" w15:restartNumberingAfterBreak="0">
    <w:nsid w:val="6A882271"/>
    <w:multiLevelType w:val="multilevel"/>
    <w:tmpl w:val="6A882271"/>
    <w:lvl w:ilvl="0">
      <w:start w:val="1"/>
      <w:numFmt w:val="bullet"/>
      <w:pStyle w:val="NumberedParasPIF"/>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5" w15:restartNumberingAfterBreak="0">
    <w:nsid w:val="6B41641D"/>
    <w:multiLevelType w:val="multilevel"/>
    <w:tmpl w:val="6B41641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6" w15:restartNumberingAfterBreak="0">
    <w:nsid w:val="6D952F18"/>
    <w:multiLevelType w:val="multilevel"/>
    <w:tmpl w:val="6D952F18"/>
    <w:lvl w:ilvl="0">
      <w:start w:val="2"/>
      <w:numFmt w:val="bullet"/>
      <w:lvlText w:val="-"/>
      <w:lvlJc w:val="left"/>
      <w:pPr>
        <w:ind w:left="720" w:hanging="360"/>
      </w:pPr>
      <w:rPr>
        <w:rFonts w:ascii="Calibri" w:eastAsia="SimSun" w:hAnsi="Calibri" w:cs="Calibri" w:hint="default"/>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37" w15:restartNumberingAfterBreak="0">
    <w:nsid w:val="6E102A51"/>
    <w:multiLevelType w:val="multilevel"/>
    <w:tmpl w:val="6E102A51"/>
    <w:lvl w:ilvl="0">
      <w:start w:val="2"/>
      <w:numFmt w:val="bullet"/>
      <w:lvlText w:val="-"/>
      <w:lvlJc w:val="left"/>
      <w:pPr>
        <w:ind w:left="720" w:hanging="360"/>
      </w:pPr>
      <w:rPr>
        <w:rFonts w:ascii="Calibri" w:eastAsia="SimSun"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8" w15:restartNumberingAfterBreak="0">
    <w:nsid w:val="709C5776"/>
    <w:multiLevelType w:val="multilevel"/>
    <w:tmpl w:val="709C5776"/>
    <w:lvl w:ilvl="0">
      <w:start w:val="3"/>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9" w15:restartNumberingAfterBreak="0">
    <w:nsid w:val="72CB3197"/>
    <w:multiLevelType w:val="multilevel"/>
    <w:tmpl w:val="72CB3197"/>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0" w15:restartNumberingAfterBreak="0">
    <w:nsid w:val="73E84A36"/>
    <w:multiLevelType w:val="multilevel"/>
    <w:tmpl w:val="73E84A3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1" w15:restartNumberingAfterBreak="0">
    <w:nsid w:val="75383585"/>
    <w:multiLevelType w:val="multilevel"/>
    <w:tmpl w:val="7538358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2" w15:restartNumberingAfterBreak="0">
    <w:nsid w:val="756C042B"/>
    <w:multiLevelType w:val="multilevel"/>
    <w:tmpl w:val="756C042B"/>
    <w:lvl w:ilvl="0">
      <w:start w:val="1"/>
      <w:numFmt w:val="lowerRoman"/>
      <w:lvlText w:val="%1."/>
      <w:lvlJc w:val="righ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3" w15:restartNumberingAfterBreak="0">
    <w:nsid w:val="78442381"/>
    <w:multiLevelType w:val="multilevel"/>
    <w:tmpl w:val="78442381"/>
    <w:lvl w:ilvl="0">
      <w:start w:val="1"/>
      <w:numFmt w:val="bullet"/>
      <w:lvlText w:val=""/>
      <w:lvlJc w:val="left"/>
      <w:pPr>
        <w:ind w:left="720" w:hanging="360"/>
      </w:pPr>
      <w:rPr>
        <w:rFonts w:ascii="Symbol" w:hAnsi="Symbol" w:hint="default"/>
        <w:color w:val="000000"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4" w15:restartNumberingAfterBreak="0">
    <w:nsid w:val="798E7C6A"/>
    <w:multiLevelType w:val="multilevel"/>
    <w:tmpl w:val="798E7C6A"/>
    <w:lvl w:ilvl="0">
      <w:start w:val="1"/>
      <w:numFmt w:val="decimal"/>
      <w:lvlText w:val="%1)"/>
      <w:lvlJc w:val="left"/>
      <w:pPr>
        <w:ind w:left="720" w:hanging="360"/>
      </w:pPr>
      <w:rPr>
        <w:rFonts w:asciiTheme="minorHAnsi" w:hAnsiTheme="minorHAnsi" w:cstheme="minorHAns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5" w15:restartNumberingAfterBreak="0">
    <w:nsid w:val="79E634E3"/>
    <w:multiLevelType w:val="multilevel"/>
    <w:tmpl w:val="79E634E3"/>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6" w15:restartNumberingAfterBreak="0">
    <w:nsid w:val="7A3631EC"/>
    <w:multiLevelType w:val="multilevel"/>
    <w:tmpl w:val="7A3631E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7" w15:restartNumberingAfterBreak="0">
    <w:nsid w:val="7AAD088A"/>
    <w:multiLevelType w:val="multilevel"/>
    <w:tmpl w:val="7AAD088A"/>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8" w15:restartNumberingAfterBreak="0">
    <w:nsid w:val="7B4E43B5"/>
    <w:multiLevelType w:val="multilevel"/>
    <w:tmpl w:val="7B4E43B5"/>
    <w:lvl w:ilvl="0">
      <w:start w:val="3"/>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9" w15:restartNumberingAfterBreak="0">
    <w:nsid w:val="7C6A4DAC"/>
    <w:multiLevelType w:val="multilevel"/>
    <w:tmpl w:val="7C6A4DA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0" w15:restartNumberingAfterBreak="0">
    <w:nsid w:val="7DD70781"/>
    <w:multiLevelType w:val="multilevel"/>
    <w:tmpl w:val="7DD70781"/>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1" w15:restartNumberingAfterBreak="0">
    <w:nsid w:val="7F0A6726"/>
    <w:multiLevelType w:val="multilevel"/>
    <w:tmpl w:val="7F0A672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2" w15:restartNumberingAfterBreak="0">
    <w:nsid w:val="7FFC4CE5"/>
    <w:multiLevelType w:val="multilevel"/>
    <w:tmpl w:val="7FFC4CE5"/>
    <w:lvl w:ilvl="0">
      <w:start w:val="10"/>
      <w:numFmt w:val="bullet"/>
      <w:lvlText w:val="-"/>
      <w:lvlJc w:val="left"/>
      <w:pPr>
        <w:ind w:left="760" w:hanging="360"/>
      </w:pPr>
      <w:rPr>
        <w:rFonts w:ascii="Times New Roman" w:eastAsia="Times New Roman" w:hAnsi="Times New Roman" w:cs="Times New Roman" w:hint="default"/>
      </w:rPr>
    </w:lvl>
    <w:lvl w:ilvl="1">
      <w:start w:val="1"/>
      <w:numFmt w:val="bullet"/>
      <w:lvlText w:val="o"/>
      <w:lvlJc w:val="left"/>
      <w:pPr>
        <w:ind w:left="1480" w:hanging="360"/>
      </w:pPr>
      <w:rPr>
        <w:rFonts w:ascii="Courier New" w:hAnsi="Courier New" w:cs="Courier New" w:hint="default"/>
      </w:rPr>
    </w:lvl>
    <w:lvl w:ilvl="2">
      <w:start w:val="1"/>
      <w:numFmt w:val="bullet"/>
      <w:lvlText w:val=""/>
      <w:lvlJc w:val="left"/>
      <w:pPr>
        <w:ind w:left="2200" w:hanging="360"/>
      </w:pPr>
      <w:rPr>
        <w:rFonts w:ascii="Wingdings" w:hAnsi="Wingdings" w:hint="default"/>
      </w:rPr>
    </w:lvl>
    <w:lvl w:ilvl="3">
      <w:start w:val="1"/>
      <w:numFmt w:val="bullet"/>
      <w:lvlText w:val=""/>
      <w:lvlJc w:val="left"/>
      <w:pPr>
        <w:ind w:left="2920" w:hanging="360"/>
      </w:pPr>
      <w:rPr>
        <w:rFonts w:ascii="Symbol" w:hAnsi="Symbol" w:hint="default"/>
      </w:rPr>
    </w:lvl>
    <w:lvl w:ilvl="4">
      <w:start w:val="1"/>
      <w:numFmt w:val="bullet"/>
      <w:lvlText w:val="o"/>
      <w:lvlJc w:val="left"/>
      <w:pPr>
        <w:ind w:left="3640" w:hanging="360"/>
      </w:pPr>
      <w:rPr>
        <w:rFonts w:ascii="Courier New" w:hAnsi="Courier New" w:cs="Courier New" w:hint="default"/>
      </w:rPr>
    </w:lvl>
    <w:lvl w:ilvl="5">
      <w:start w:val="1"/>
      <w:numFmt w:val="bullet"/>
      <w:lvlText w:val=""/>
      <w:lvlJc w:val="left"/>
      <w:pPr>
        <w:ind w:left="4360" w:hanging="360"/>
      </w:pPr>
      <w:rPr>
        <w:rFonts w:ascii="Wingdings" w:hAnsi="Wingdings" w:hint="default"/>
      </w:rPr>
    </w:lvl>
    <w:lvl w:ilvl="6">
      <w:start w:val="1"/>
      <w:numFmt w:val="bullet"/>
      <w:lvlText w:val=""/>
      <w:lvlJc w:val="left"/>
      <w:pPr>
        <w:ind w:left="5080" w:hanging="360"/>
      </w:pPr>
      <w:rPr>
        <w:rFonts w:ascii="Symbol" w:hAnsi="Symbol" w:hint="default"/>
      </w:rPr>
    </w:lvl>
    <w:lvl w:ilvl="7">
      <w:start w:val="1"/>
      <w:numFmt w:val="bullet"/>
      <w:lvlText w:val="o"/>
      <w:lvlJc w:val="left"/>
      <w:pPr>
        <w:ind w:left="5800" w:hanging="360"/>
      </w:pPr>
      <w:rPr>
        <w:rFonts w:ascii="Courier New" w:hAnsi="Courier New" w:cs="Courier New" w:hint="default"/>
      </w:rPr>
    </w:lvl>
    <w:lvl w:ilvl="8">
      <w:start w:val="1"/>
      <w:numFmt w:val="bullet"/>
      <w:lvlText w:val=""/>
      <w:lvlJc w:val="left"/>
      <w:pPr>
        <w:ind w:left="6520" w:hanging="360"/>
      </w:pPr>
      <w:rPr>
        <w:rFonts w:ascii="Wingdings" w:hAnsi="Wingdings" w:hint="default"/>
      </w:rPr>
    </w:lvl>
  </w:abstractNum>
  <w:num w:numId="1" w16cid:durableId="1412317850">
    <w:abstractNumId w:val="29"/>
  </w:num>
  <w:num w:numId="2" w16cid:durableId="1593930014">
    <w:abstractNumId w:val="96"/>
  </w:num>
  <w:num w:numId="3" w16cid:durableId="1976835245">
    <w:abstractNumId w:val="77"/>
  </w:num>
  <w:num w:numId="4" w16cid:durableId="1225602335">
    <w:abstractNumId w:val="35"/>
  </w:num>
  <w:num w:numId="5" w16cid:durableId="1546720721">
    <w:abstractNumId w:val="114"/>
  </w:num>
  <w:num w:numId="6" w16cid:durableId="800537546">
    <w:abstractNumId w:val="46"/>
  </w:num>
  <w:num w:numId="7" w16cid:durableId="137113578">
    <w:abstractNumId w:val="134"/>
  </w:num>
  <w:num w:numId="8" w16cid:durableId="2108842147">
    <w:abstractNumId w:val="57"/>
  </w:num>
  <w:num w:numId="9" w16cid:durableId="239565696">
    <w:abstractNumId w:val="101"/>
  </w:num>
  <w:num w:numId="10" w16cid:durableId="1765682140">
    <w:abstractNumId w:val="7"/>
  </w:num>
  <w:num w:numId="11" w16cid:durableId="881939562">
    <w:abstractNumId w:val="30"/>
  </w:num>
  <w:num w:numId="12" w16cid:durableId="971977372">
    <w:abstractNumId w:val="6"/>
  </w:num>
  <w:num w:numId="13" w16cid:durableId="1871914772">
    <w:abstractNumId w:val="66"/>
  </w:num>
  <w:num w:numId="14" w16cid:durableId="820923539">
    <w:abstractNumId w:val="62"/>
  </w:num>
  <w:num w:numId="15" w16cid:durableId="1325013312">
    <w:abstractNumId w:val="22"/>
  </w:num>
  <w:num w:numId="16" w16cid:durableId="1218273559">
    <w:abstractNumId w:val="31"/>
  </w:num>
  <w:num w:numId="17" w16cid:durableId="980187118">
    <w:abstractNumId w:val="110"/>
  </w:num>
  <w:num w:numId="18" w16cid:durableId="1426921227">
    <w:abstractNumId w:val="107"/>
  </w:num>
  <w:num w:numId="19" w16cid:durableId="1373573181">
    <w:abstractNumId w:val="103"/>
  </w:num>
  <w:num w:numId="20" w16cid:durableId="262153927">
    <w:abstractNumId w:val="13"/>
  </w:num>
  <w:num w:numId="21" w16cid:durableId="224920287">
    <w:abstractNumId w:val="105"/>
  </w:num>
  <w:num w:numId="22" w16cid:durableId="1188526685">
    <w:abstractNumId w:val="75"/>
  </w:num>
  <w:num w:numId="23" w16cid:durableId="872958989">
    <w:abstractNumId w:val="104"/>
  </w:num>
  <w:num w:numId="24" w16cid:durableId="1574778107">
    <w:abstractNumId w:val="28"/>
  </w:num>
  <w:num w:numId="25" w16cid:durableId="253437505">
    <w:abstractNumId w:val="71"/>
  </w:num>
  <w:num w:numId="26" w16cid:durableId="588001718">
    <w:abstractNumId w:val="133"/>
  </w:num>
  <w:num w:numId="27" w16cid:durableId="1414862428">
    <w:abstractNumId w:val="63"/>
  </w:num>
  <w:num w:numId="28" w16cid:durableId="49157181">
    <w:abstractNumId w:val="23"/>
  </w:num>
  <w:num w:numId="29" w16cid:durableId="266666779">
    <w:abstractNumId w:val="60"/>
  </w:num>
  <w:num w:numId="30" w16cid:durableId="1765567138">
    <w:abstractNumId w:val="102"/>
  </w:num>
  <w:num w:numId="31" w16cid:durableId="1417358890">
    <w:abstractNumId w:val="117"/>
  </w:num>
  <w:num w:numId="32" w16cid:durableId="755636734">
    <w:abstractNumId w:val="139"/>
  </w:num>
  <w:num w:numId="33" w16cid:durableId="1549955208">
    <w:abstractNumId w:val="14"/>
  </w:num>
  <w:num w:numId="34" w16cid:durableId="1783189594">
    <w:abstractNumId w:val="148"/>
  </w:num>
  <w:num w:numId="35" w16cid:durableId="615790171">
    <w:abstractNumId w:val="112"/>
  </w:num>
  <w:num w:numId="36" w16cid:durableId="1251769363">
    <w:abstractNumId w:val="89"/>
  </w:num>
  <w:num w:numId="37" w16cid:durableId="909121322">
    <w:abstractNumId w:val="128"/>
  </w:num>
  <w:num w:numId="38" w16cid:durableId="81492050">
    <w:abstractNumId w:val="138"/>
  </w:num>
  <w:num w:numId="39" w16cid:durableId="1154954263">
    <w:abstractNumId w:val="43"/>
  </w:num>
  <w:num w:numId="40" w16cid:durableId="1040202474">
    <w:abstractNumId w:val="15"/>
  </w:num>
  <w:num w:numId="41" w16cid:durableId="1962875752">
    <w:abstractNumId w:val="126"/>
  </w:num>
  <w:num w:numId="42" w16cid:durableId="521170154">
    <w:abstractNumId w:val="119"/>
  </w:num>
  <w:num w:numId="43" w16cid:durableId="1021126614">
    <w:abstractNumId w:val="37"/>
  </w:num>
  <w:num w:numId="44" w16cid:durableId="444234615">
    <w:abstractNumId w:val="92"/>
  </w:num>
  <w:num w:numId="45" w16cid:durableId="1672413965">
    <w:abstractNumId w:val="61"/>
  </w:num>
  <w:num w:numId="46" w16cid:durableId="1101880709">
    <w:abstractNumId w:val="115"/>
  </w:num>
  <w:num w:numId="47" w16cid:durableId="1792284211">
    <w:abstractNumId w:val="32"/>
  </w:num>
  <w:num w:numId="48" w16cid:durableId="1028070027">
    <w:abstractNumId w:val="94"/>
  </w:num>
  <w:num w:numId="49" w16cid:durableId="1342317900">
    <w:abstractNumId w:val="4"/>
  </w:num>
  <w:num w:numId="50" w16cid:durableId="747962994">
    <w:abstractNumId w:val="83"/>
  </w:num>
  <w:num w:numId="51" w16cid:durableId="1929539521">
    <w:abstractNumId w:val="12"/>
  </w:num>
  <w:num w:numId="52" w16cid:durableId="1177966795">
    <w:abstractNumId w:val="51"/>
  </w:num>
  <w:num w:numId="53" w16cid:durableId="11148058">
    <w:abstractNumId w:val="137"/>
  </w:num>
  <w:num w:numId="54" w16cid:durableId="1864897101">
    <w:abstractNumId w:val="87"/>
  </w:num>
  <w:num w:numId="55" w16cid:durableId="1126507315">
    <w:abstractNumId w:val="113"/>
  </w:num>
  <w:num w:numId="56" w16cid:durableId="377973834">
    <w:abstractNumId w:val="11"/>
  </w:num>
  <w:num w:numId="57" w16cid:durableId="918367899">
    <w:abstractNumId w:val="88"/>
  </w:num>
  <w:num w:numId="58" w16cid:durableId="561212749">
    <w:abstractNumId w:val="54"/>
  </w:num>
  <w:num w:numId="59" w16cid:durableId="938635803">
    <w:abstractNumId w:val="144"/>
  </w:num>
  <w:num w:numId="60" w16cid:durableId="1689679848">
    <w:abstractNumId w:val="90"/>
  </w:num>
  <w:num w:numId="61" w16cid:durableId="484903713">
    <w:abstractNumId w:val="73"/>
  </w:num>
  <w:num w:numId="62" w16cid:durableId="894850197">
    <w:abstractNumId w:val="136"/>
  </w:num>
  <w:num w:numId="63" w16cid:durableId="1528372863">
    <w:abstractNumId w:val="26"/>
  </w:num>
  <w:num w:numId="64" w16cid:durableId="1321612756">
    <w:abstractNumId w:val="50"/>
  </w:num>
  <w:num w:numId="65" w16cid:durableId="1638682928">
    <w:abstractNumId w:val="27"/>
  </w:num>
  <w:num w:numId="66" w16cid:durableId="1585338990">
    <w:abstractNumId w:val="141"/>
  </w:num>
  <w:num w:numId="67" w16cid:durableId="674458544">
    <w:abstractNumId w:val="2"/>
  </w:num>
  <w:num w:numId="68" w16cid:durableId="318122314">
    <w:abstractNumId w:val="97"/>
  </w:num>
  <w:num w:numId="69" w16cid:durableId="377776927">
    <w:abstractNumId w:val="140"/>
  </w:num>
  <w:num w:numId="70" w16cid:durableId="1837770007">
    <w:abstractNumId w:val="118"/>
  </w:num>
  <w:num w:numId="71" w16cid:durableId="2084135972">
    <w:abstractNumId w:val="142"/>
  </w:num>
  <w:num w:numId="72" w16cid:durableId="926883373">
    <w:abstractNumId w:val="69"/>
  </w:num>
  <w:num w:numId="73" w16cid:durableId="1993093334">
    <w:abstractNumId w:val="99"/>
  </w:num>
  <w:num w:numId="74" w16cid:durableId="510602713">
    <w:abstractNumId w:val="58"/>
  </w:num>
  <w:num w:numId="75" w16cid:durableId="1844004195">
    <w:abstractNumId w:val="123"/>
  </w:num>
  <w:num w:numId="76" w16cid:durableId="1673138577">
    <w:abstractNumId w:val="25"/>
  </w:num>
  <w:num w:numId="77" w16cid:durableId="1242060785">
    <w:abstractNumId w:val="44"/>
  </w:num>
  <w:num w:numId="78" w16cid:durableId="1778794304">
    <w:abstractNumId w:val="91"/>
  </w:num>
  <w:num w:numId="79" w16cid:durableId="104663009">
    <w:abstractNumId w:val="5"/>
  </w:num>
  <w:num w:numId="80" w16cid:durableId="2002342879">
    <w:abstractNumId w:val="146"/>
  </w:num>
  <w:num w:numId="81" w16cid:durableId="1197625242">
    <w:abstractNumId w:val="145"/>
  </w:num>
  <w:num w:numId="82" w16cid:durableId="386539369">
    <w:abstractNumId w:val="149"/>
  </w:num>
  <w:num w:numId="83" w16cid:durableId="838428919">
    <w:abstractNumId w:val="52"/>
  </w:num>
  <w:num w:numId="84" w16cid:durableId="36051477">
    <w:abstractNumId w:val="74"/>
  </w:num>
  <w:num w:numId="85" w16cid:durableId="1057510339">
    <w:abstractNumId w:val="100"/>
  </w:num>
  <w:num w:numId="86" w16cid:durableId="977688252">
    <w:abstractNumId w:val="3"/>
  </w:num>
  <w:num w:numId="87" w16cid:durableId="676470478">
    <w:abstractNumId w:val="72"/>
  </w:num>
  <w:num w:numId="88" w16cid:durableId="958488188">
    <w:abstractNumId w:val="81"/>
  </w:num>
  <w:num w:numId="89" w16cid:durableId="1701395006">
    <w:abstractNumId w:val="127"/>
  </w:num>
  <w:num w:numId="90" w16cid:durableId="73362698">
    <w:abstractNumId w:val="82"/>
  </w:num>
  <w:num w:numId="91" w16cid:durableId="1446460342">
    <w:abstractNumId w:val="80"/>
  </w:num>
  <w:num w:numId="92" w16cid:durableId="223874806">
    <w:abstractNumId w:val="42"/>
  </w:num>
  <w:num w:numId="93" w16cid:durableId="1439325773">
    <w:abstractNumId w:val="39"/>
  </w:num>
  <w:num w:numId="94" w16cid:durableId="416288635">
    <w:abstractNumId w:val="16"/>
  </w:num>
  <w:num w:numId="95" w16cid:durableId="657151939">
    <w:abstractNumId w:val="124"/>
  </w:num>
  <w:num w:numId="96" w16cid:durableId="1197278416">
    <w:abstractNumId w:val="47"/>
  </w:num>
  <w:num w:numId="97" w16cid:durableId="1211259771">
    <w:abstractNumId w:val="143"/>
  </w:num>
  <w:num w:numId="98" w16cid:durableId="1376269300">
    <w:abstractNumId w:val="98"/>
  </w:num>
  <w:num w:numId="99" w16cid:durableId="200287958">
    <w:abstractNumId w:val="125"/>
  </w:num>
  <w:num w:numId="100" w16cid:durableId="105514177">
    <w:abstractNumId w:val="17"/>
  </w:num>
  <w:num w:numId="101" w16cid:durableId="1530794587">
    <w:abstractNumId w:val="76"/>
  </w:num>
  <w:num w:numId="102" w16cid:durableId="525484508">
    <w:abstractNumId w:val="55"/>
  </w:num>
  <w:num w:numId="103" w16cid:durableId="907493122">
    <w:abstractNumId w:val="120"/>
  </w:num>
  <w:num w:numId="104" w16cid:durableId="1827473069">
    <w:abstractNumId w:val="1"/>
  </w:num>
  <w:num w:numId="105" w16cid:durableId="1061296363">
    <w:abstractNumId w:val="121"/>
  </w:num>
  <w:num w:numId="106" w16cid:durableId="173962945">
    <w:abstractNumId w:val="0"/>
  </w:num>
  <w:num w:numId="107" w16cid:durableId="1926453207">
    <w:abstractNumId w:val="116"/>
  </w:num>
  <w:num w:numId="108" w16cid:durableId="1278220987">
    <w:abstractNumId w:val="8"/>
  </w:num>
  <w:num w:numId="109" w16cid:durableId="2046326144">
    <w:abstractNumId w:val="131"/>
  </w:num>
  <w:num w:numId="110" w16cid:durableId="559751996">
    <w:abstractNumId w:val="130"/>
  </w:num>
  <w:num w:numId="111" w16cid:durableId="814681813">
    <w:abstractNumId w:val="10"/>
  </w:num>
  <w:num w:numId="112" w16cid:durableId="1431588545">
    <w:abstractNumId w:val="45"/>
  </w:num>
  <w:num w:numId="113" w16cid:durableId="1276331064">
    <w:abstractNumId w:val="151"/>
  </w:num>
  <w:num w:numId="114" w16cid:durableId="1835104584">
    <w:abstractNumId w:val="64"/>
  </w:num>
  <w:num w:numId="115" w16cid:durableId="1078866961">
    <w:abstractNumId w:val="38"/>
  </w:num>
  <w:num w:numId="116" w16cid:durableId="1575160259">
    <w:abstractNumId w:val="9"/>
  </w:num>
  <w:num w:numId="117" w16cid:durableId="1849327006">
    <w:abstractNumId w:val="147"/>
  </w:num>
  <w:num w:numId="118" w16cid:durableId="831067178">
    <w:abstractNumId w:val="108"/>
  </w:num>
  <w:num w:numId="119" w16cid:durableId="1751389042">
    <w:abstractNumId w:val="19"/>
  </w:num>
  <w:num w:numId="120" w16cid:durableId="1562790187">
    <w:abstractNumId w:val="67"/>
  </w:num>
  <w:num w:numId="121" w16cid:durableId="237860897">
    <w:abstractNumId w:val="129"/>
  </w:num>
  <w:num w:numId="122" w16cid:durableId="652106184">
    <w:abstractNumId w:val="152"/>
  </w:num>
  <w:num w:numId="123" w16cid:durableId="361174411">
    <w:abstractNumId w:val="132"/>
  </w:num>
  <w:num w:numId="124" w16cid:durableId="937910024">
    <w:abstractNumId w:val="36"/>
  </w:num>
  <w:num w:numId="125" w16cid:durableId="1312634076">
    <w:abstractNumId w:val="48"/>
  </w:num>
  <w:num w:numId="126" w16cid:durableId="200554164">
    <w:abstractNumId w:val="79"/>
  </w:num>
  <w:num w:numId="127" w16cid:durableId="1908609812">
    <w:abstractNumId w:val="95"/>
  </w:num>
  <w:num w:numId="128" w16cid:durableId="1030380819">
    <w:abstractNumId w:val="122"/>
  </w:num>
  <w:num w:numId="129" w16cid:durableId="738601925">
    <w:abstractNumId w:val="56"/>
  </w:num>
  <w:num w:numId="130" w16cid:durableId="857084324">
    <w:abstractNumId w:val="18"/>
  </w:num>
  <w:num w:numId="131" w16cid:durableId="1299649537">
    <w:abstractNumId w:val="106"/>
  </w:num>
  <w:num w:numId="132" w16cid:durableId="553320619">
    <w:abstractNumId w:val="33"/>
  </w:num>
  <w:num w:numId="133" w16cid:durableId="1032725678">
    <w:abstractNumId w:val="21"/>
  </w:num>
  <w:num w:numId="134" w16cid:durableId="1184174141">
    <w:abstractNumId w:val="41"/>
  </w:num>
  <w:num w:numId="135" w16cid:durableId="67504146">
    <w:abstractNumId w:val="70"/>
  </w:num>
  <w:num w:numId="136" w16cid:durableId="925499865">
    <w:abstractNumId w:val="34"/>
  </w:num>
  <w:num w:numId="137" w16cid:durableId="1086000844">
    <w:abstractNumId w:val="40"/>
  </w:num>
  <w:num w:numId="138" w16cid:durableId="1509128998">
    <w:abstractNumId w:val="135"/>
  </w:num>
  <w:num w:numId="139" w16cid:durableId="339627324">
    <w:abstractNumId w:val="93"/>
  </w:num>
  <w:num w:numId="140" w16cid:durableId="1414353872">
    <w:abstractNumId w:val="20"/>
  </w:num>
  <w:num w:numId="141" w16cid:durableId="707729308">
    <w:abstractNumId w:val="111"/>
  </w:num>
  <w:num w:numId="142" w16cid:durableId="1895971421">
    <w:abstractNumId w:val="109"/>
  </w:num>
  <w:num w:numId="143" w16cid:durableId="1037044378">
    <w:abstractNumId w:val="86"/>
  </w:num>
  <w:num w:numId="144" w16cid:durableId="292101761">
    <w:abstractNumId w:val="65"/>
  </w:num>
  <w:num w:numId="145" w16cid:durableId="1472357579">
    <w:abstractNumId w:val="68"/>
  </w:num>
  <w:num w:numId="146" w16cid:durableId="1901135750">
    <w:abstractNumId w:val="24"/>
  </w:num>
  <w:num w:numId="147" w16cid:durableId="760030909">
    <w:abstractNumId w:val="84"/>
  </w:num>
  <w:num w:numId="148" w16cid:durableId="716047274">
    <w:abstractNumId w:val="49"/>
  </w:num>
  <w:num w:numId="149" w16cid:durableId="1105660069">
    <w:abstractNumId w:val="59"/>
  </w:num>
  <w:num w:numId="150" w16cid:durableId="1620916622">
    <w:abstractNumId w:val="150"/>
  </w:num>
  <w:num w:numId="151" w16cid:durableId="1125612683">
    <w:abstractNumId w:val="85"/>
  </w:num>
  <w:num w:numId="152" w16cid:durableId="235749052">
    <w:abstractNumId w:val="53"/>
  </w:num>
  <w:num w:numId="153" w16cid:durableId="1913421619">
    <w:abstractNumId w:val="78"/>
  </w:num>
  <w:numIdMacAtCleanup w:val="1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trackRevisions/>
  <w:defaultTabStop w:val="720"/>
  <w:characterSpacingControl w:val="doNotCompress"/>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1B10"/>
    <w:rsid w:val="000023F3"/>
    <w:rsid w:val="000123E1"/>
    <w:rsid w:val="00013C2F"/>
    <w:rsid w:val="00033B40"/>
    <w:rsid w:val="00053FF6"/>
    <w:rsid w:val="00074E37"/>
    <w:rsid w:val="00084F3D"/>
    <w:rsid w:val="0009260D"/>
    <w:rsid w:val="000A5841"/>
    <w:rsid w:val="000B7247"/>
    <w:rsid w:val="000D430F"/>
    <w:rsid w:val="000F3A84"/>
    <w:rsid w:val="000F776C"/>
    <w:rsid w:val="00105C37"/>
    <w:rsid w:val="00113A5A"/>
    <w:rsid w:val="0012385F"/>
    <w:rsid w:val="001338C4"/>
    <w:rsid w:val="001342ED"/>
    <w:rsid w:val="00145A28"/>
    <w:rsid w:val="001467BE"/>
    <w:rsid w:val="00150E33"/>
    <w:rsid w:val="00154F6C"/>
    <w:rsid w:val="00161B45"/>
    <w:rsid w:val="00172378"/>
    <w:rsid w:val="001866F8"/>
    <w:rsid w:val="001A09DA"/>
    <w:rsid w:val="001A0AB8"/>
    <w:rsid w:val="001B1B45"/>
    <w:rsid w:val="001B7C53"/>
    <w:rsid w:val="001C2E89"/>
    <w:rsid w:val="001D0CCE"/>
    <w:rsid w:val="001D22DD"/>
    <w:rsid w:val="001E48C2"/>
    <w:rsid w:val="001F2CF4"/>
    <w:rsid w:val="00202296"/>
    <w:rsid w:val="0020594A"/>
    <w:rsid w:val="002076B9"/>
    <w:rsid w:val="002229D2"/>
    <w:rsid w:val="00264C14"/>
    <w:rsid w:val="00296BB6"/>
    <w:rsid w:val="002D2FBA"/>
    <w:rsid w:val="002F47D4"/>
    <w:rsid w:val="00302D41"/>
    <w:rsid w:val="00311EA6"/>
    <w:rsid w:val="003133D7"/>
    <w:rsid w:val="0032688D"/>
    <w:rsid w:val="00331049"/>
    <w:rsid w:val="00332468"/>
    <w:rsid w:val="0034576A"/>
    <w:rsid w:val="00354965"/>
    <w:rsid w:val="00366405"/>
    <w:rsid w:val="003664EE"/>
    <w:rsid w:val="00366591"/>
    <w:rsid w:val="0037341C"/>
    <w:rsid w:val="00391B3D"/>
    <w:rsid w:val="003939F9"/>
    <w:rsid w:val="003A09E1"/>
    <w:rsid w:val="003A3270"/>
    <w:rsid w:val="003C183D"/>
    <w:rsid w:val="003C5FFA"/>
    <w:rsid w:val="003F5322"/>
    <w:rsid w:val="004061F5"/>
    <w:rsid w:val="0041069F"/>
    <w:rsid w:val="0041084E"/>
    <w:rsid w:val="00436E54"/>
    <w:rsid w:val="00441A6D"/>
    <w:rsid w:val="00464521"/>
    <w:rsid w:val="00464DAF"/>
    <w:rsid w:val="004651EB"/>
    <w:rsid w:val="00470EE0"/>
    <w:rsid w:val="0047131F"/>
    <w:rsid w:val="00474A55"/>
    <w:rsid w:val="00480D3C"/>
    <w:rsid w:val="00492162"/>
    <w:rsid w:val="004B06AB"/>
    <w:rsid w:val="004C76C5"/>
    <w:rsid w:val="004D0C2A"/>
    <w:rsid w:val="004D13F9"/>
    <w:rsid w:val="004E5559"/>
    <w:rsid w:val="004F6540"/>
    <w:rsid w:val="00501353"/>
    <w:rsid w:val="005432F5"/>
    <w:rsid w:val="00555D5C"/>
    <w:rsid w:val="00577C00"/>
    <w:rsid w:val="00580C6A"/>
    <w:rsid w:val="005B5AEF"/>
    <w:rsid w:val="005C79F8"/>
    <w:rsid w:val="005D3F7B"/>
    <w:rsid w:val="005F1B4C"/>
    <w:rsid w:val="005F273C"/>
    <w:rsid w:val="0061408E"/>
    <w:rsid w:val="006208DD"/>
    <w:rsid w:val="006301EC"/>
    <w:rsid w:val="00630AC7"/>
    <w:rsid w:val="00644413"/>
    <w:rsid w:val="00684296"/>
    <w:rsid w:val="00694465"/>
    <w:rsid w:val="00695246"/>
    <w:rsid w:val="006A0CBE"/>
    <w:rsid w:val="006B5D0D"/>
    <w:rsid w:val="006C7955"/>
    <w:rsid w:val="006D7EE5"/>
    <w:rsid w:val="00724941"/>
    <w:rsid w:val="0072771F"/>
    <w:rsid w:val="007355E1"/>
    <w:rsid w:val="007501BA"/>
    <w:rsid w:val="007536DC"/>
    <w:rsid w:val="0076475D"/>
    <w:rsid w:val="007764FD"/>
    <w:rsid w:val="00784262"/>
    <w:rsid w:val="007860AA"/>
    <w:rsid w:val="00793E8A"/>
    <w:rsid w:val="007A7FA3"/>
    <w:rsid w:val="007B34CF"/>
    <w:rsid w:val="007D4170"/>
    <w:rsid w:val="007E1AB5"/>
    <w:rsid w:val="00803BEC"/>
    <w:rsid w:val="0080626E"/>
    <w:rsid w:val="0083523A"/>
    <w:rsid w:val="00844318"/>
    <w:rsid w:val="008446B1"/>
    <w:rsid w:val="0085255C"/>
    <w:rsid w:val="0086106C"/>
    <w:rsid w:val="008616DC"/>
    <w:rsid w:val="00862CD4"/>
    <w:rsid w:val="00872F59"/>
    <w:rsid w:val="00873FB1"/>
    <w:rsid w:val="00887E36"/>
    <w:rsid w:val="008A0DF8"/>
    <w:rsid w:val="008B4238"/>
    <w:rsid w:val="008B6407"/>
    <w:rsid w:val="008D2AD2"/>
    <w:rsid w:val="008D4980"/>
    <w:rsid w:val="008D54AE"/>
    <w:rsid w:val="008E6530"/>
    <w:rsid w:val="00907974"/>
    <w:rsid w:val="00911993"/>
    <w:rsid w:val="00930A1E"/>
    <w:rsid w:val="0096191A"/>
    <w:rsid w:val="00962A58"/>
    <w:rsid w:val="009643BC"/>
    <w:rsid w:val="009761FF"/>
    <w:rsid w:val="00982ECD"/>
    <w:rsid w:val="00984BA8"/>
    <w:rsid w:val="009A7AF5"/>
    <w:rsid w:val="009B0270"/>
    <w:rsid w:val="009D6532"/>
    <w:rsid w:val="009D6E17"/>
    <w:rsid w:val="009E244B"/>
    <w:rsid w:val="009F00B6"/>
    <w:rsid w:val="00A07AA1"/>
    <w:rsid w:val="00A107AD"/>
    <w:rsid w:val="00A365D9"/>
    <w:rsid w:val="00A517C5"/>
    <w:rsid w:val="00A552D0"/>
    <w:rsid w:val="00A616D9"/>
    <w:rsid w:val="00A66BED"/>
    <w:rsid w:val="00A81755"/>
    <w:rsid w:val="00A827FA"/>
    <w:rsid w:val="00AA01F9"/>
    <w:rsid w:val="00AC3299"/>
    <w:rsid w:val="00AD19F2"/>
    <w:rsid w:val="00AD5517"/>
    <w:rsid w:val="00AD64BD"/>
    <w:rsid w:val="00AE1134"/>
    <w:rsid w:val="00AE6D8E"/>
    <w:rsid w:val="00AF26AB"/>
    <w:rsid w:val="00B03F9E"/>
    <w:rsid w:val="00B3130B"/>
    <w:rsid w:val="00B36C7A"/>
    <w:rsid w:val="00B418D2"/>
    <w:rsid w:val="00B437FA"/>
    <w:rsid w:val="00B67A6B"/>
    <w:rsid w:val="00B746CE"/>
    <w:rsid w:val="00B87F07"/>
    <w:rsid w:val="00B9759B"/>
    <w:rsid w:val="00BB30B4"/>
    <w:rsid w:val="00BD1376"/>
    <w:rsid w:val="00C43FBC"/>
    <w:rsid w:val="00C61E4C"/>
    <w:rsid w:val="00C632B0"/>
    <w:rsid w:val="00C71044"/>
    <w:rsid w:val="00C71B10"/>
    <w:rsid w:val="00C7680D"/>
    <w:rsid w:val="00CA248D"/>
    <w:rsid w:val="00CA2C0E"/>
    <w:rsid w:val="00CA6567"/>
    <w:rsid w:val="00CB1EC1"/>
    <w:rsid w:val="00CE03F5"/>
    <w:rsid w:val="00CF33D9"/>
    <w:rsid w:val="00CF4342"/>
    <w:rsid w:val="00D02277"/>
    <w:rsid w:val="00D04CEC"/>
    <w:rsid w:val="00D12A72"/>
    <w:rsid w:val="00D303D4"/>
    <w:rsid w:val="00D41F06"/>
    <w:rsid w:val="00D55633"/>
    <w:rsid w:val="00D61E13"/>
    <w:rsid w:val="00D8321C"/>
    <w:rsid w:val="00D93CCF"/>
    <w:rsid w:val="00D940A6"/>
    <w:rsid w:val="00D95B6E"/>
    <w:rsid w:val="00DB5C5C"/>
    <w:rsid w:val="00DC1F18"/>
    <w:rsid w:val="00DC2650"/>
    <w:rsid w:val="00DD71FD"/>
    <w:rsid w:val="00DF3CEB"/>
    <w:rsid w:val="00DF693B"/>
    <w:rsid w:val="00DF7E83"/>
    <w:rsid w:val="00E00B51"/>
    <w:rsid w:val="00E0617A"/>
    <w:rsid w:val="00E06ADB"/>
    <w:rsid w:val="00E07DBF"/>
    <w:rsid w:val="00E16F51"/>
    <w:rsid w:val="00E22772"/>
    <w:rsid w:val="00E31D6E"/>
    <w:rsid w:val="00E3332A"/>
    <w:rsid w:val="00E451F2"/>
    <w:rsid w:val="00E45D1A"/>
    <w:rsid w:val="00E74568"/>
    <w:rsid w:val="00E746B6"/>
    <w:rsid w:val="00E9704C"/>
    <w:rsid w:val="00EC087E"/>
    <w:rsid w:val="00ED24EF"/>
    <w:rsid w:val="00EE22AC"/>
    <w:rsid w:val="00EF49CE"/>
    <w:rsid w:val="00F41133"/>
    <w:rsid w:val="00F56295"/>
    <w:rsid w:val="00F900B6"/>
    <w:rsid w:val="00F946B1"/>
    <w:rsid w:val="00FD0D3C"/>
    <w:rsid w:val="00FD41DD"/>
    <w:rsid w:val="00FE47CB"/>
    <w:rsid w:val="15BD47E2"/>
    <w:rsid w:val="1C577AAB"/>
    <w:rsid w:val="210B3144"/>
    <w:rsid w:val="221435F7"/>
    <w:rsid w:val="281F7B10"/>
    <w:rsid w:val="3E6D57EA"/>
    <w:rsid w:val="45E83D92"/>
    <w:rsid w:val="78146CA4"/>
    <w:rsid w:val="7F9D2E05"/>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808F656"/>
  <w15:docId w15:val="{F103118C-3A0A-4B30-8F53-4E6CC44A2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qFormat="1"/>
    <w:lsdException w:name="heading 8"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unhideWhenUsed="1" w:qFormat="1"/>
    <w:lsdException w:name="toc 4" w:uiPriority="39" w:qFormat="1"/>
    <w:lsdException w:name="toc 5" w:uiPriority="39"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qFormat="1"/>
    <w:lsdException w:name="header" w:uiPriority="0" w:qFormat="1"/>
    <w:lsdException w:name="footer" w:qFormat="1"/>
    <w:lsdException w:name="index heading" w:semiHidden="1" w:unhideWhenUsed="1"/>
    <w:lsdException w:name="caption" w:uiPriority="35" w:qFormat="1"/>
    <w:lsdException w:name="table of figures" w:unhideWhenUsed="1"/>
    <w:lsdException w:name="envelope address" w:semiHidden="1" w:unhideWhenUsed="1"/>
    <w:lsdException w:name="envelope return" w:semiHidden="1" w:unhideWhenUsed="1"/>
    <w:lsdException w:name="footnote reference" w:qFormat="1"/>
    <w:lsdException w:name="annotation reference" w:qFormat="1"/>
    <w:lsdException w:name="line number" w:semiHidden="1" w:unhideWhenUsed="1"/>
    <w:lsdException w:name="page number" w:qFormat="1"/>
    <w:lsdException w:name="endnote reference" w:semiHidden="1" w:uiPriority="0" w:qFormat="1"/>
    <w:lsdException w:name="endnote text" w:semiHidden="1" w:uiPriority="0"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uiPriority="0"/>
    <w:lsdException w:name="Body Text Indent 3" w:uiPriority="0"/>
    <w:lsdException w:name="Block Text" w:semiHidden="1" w:unhideWhenUsed="1"/>
    <w:lsdException w:name="Hyperlink" w:qFormat="1"/>
    <w:lsdException w:name="FollowedHyperlink" w:qFormat="1"/>
    <w:lsdException w:name="Strong" w:uiPriority="22" w:qFormat="1"/>
    <w:lsdException w:name="Emphasis" w:uiPriority="0" w:qFormat="1"/>
    <w:lsdException w:name="Document Map" w:semiHidden="1" w:uiPriority="0" w:qFormat="1"/>
    <w:lsdException w:name="Plain Text" w:unhideWhenUsed="1"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unhideWhenUsed="1" w:qFormat="1"/>
    <w:lsdException w:name="Intense Quote"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4"/>
      <w:szCs w:val="24"/>
      <w:lang w:val="en-GB" w:eastAsia="en-GB"/>
    </w:rPr>
  </w:style>
  <w:style w:type="paragraph" w:styleId="Heading1">
    <w:name w:val="heading 1"/>
    <w:basedOn w:val="Normal"/>
    <w:next w:val="Normal"/>
    <w:link w:val="Heading1Char1"/>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uiPriority w:val="9"/>
    <w:unhideWhenUsed/>
    <w:qFormat/>
    <w:pPr>
      <w:keepNext/>
      <w:spacing w:after="60"/>
      <w:ind w:left="720"/>
      <w:jc w:val="both"/>
      <w:outlineLvl w:val="1"/>
    </w:pPr>
    <w:rPr>
      <w:rFonts w:ascii="Arial Narrow" w:eastAsia="SimSun" w:hAnsi="Arial Narrow"/>
      <w:b/>
      <w:bCs/>
      <w:sz w:val="20"/>
    </w:rPr>
  </w:style>
  <w:style w:type="paragraph" w:styleId="Heading3">
    <w:name w:val="heading 3"/>
    <w:basedOn w:val="Normal"/>
    <w:next w:val="Normal"/>
    <w:link w:val="Heading3Char"/>
    <w:uiPriority w:val="9"/>
    <w:unhideWhenUsed/>
    <w:qFormat/>
    <w:pPr>
      <w:keepNext/>
      <w:widowControl w:val="0"/>
      <w:tabs>
        <w:tab w:val="left" w:pos="2160"/>
        <w:tab w:val="left" w:pos="9360"/>
      </w:tabs>
      <w:spacing w:after="60"/>
      <w:jc w:val="both"/>
      <w:outlineLvl w:val="2"/>
    </w:pPr>
    <w:rPr>
      <w:rFonts w:ascii="Courier" w:eastAsia="SimSun" w:hAnsi="Courier"/>
      <w:b/>
      <w:sz w:val="28"/>
      <w:szCs w:val="20"/>
    </w:rPr>
  </w:style>
  <w:style w:type="paragraph" w:styleId="Heading4">
    <w:name w:val="heading 4"/>
    <w:basedOn w:val="Normal"/>
    <w:next w:val="Normal"/>
    <w:link w:val="Heading4Char"/>
    <w:uiPriority w:val="9"/>
    <w:unhideWhenUsed/>
    <w:qFormat/>
    <w:pPr>
      <w:keepNext/>
      <w:widowControl w:val="0"/>
      <w:spacing w:after="540"/>
      <w:ind w:left="116"/>
      <w:jc w:val="both"/>
      <w:outlineLvl w:val="3"/>
    </w:pPr>
    <w:rPr>
      <w:rFonts w:ascii="Calibri" w:eastAsia="SimSun" w:hAnsi="Calibri"/>
      <w:b/>
      <w:spacing w:val="15"/>
      <w:sz w:val="28"/>
    </w:rPr>
  </w:style>
  <w:style w:type="paragraph" w:styleId="Heading5">
    <w:name w:val="heading 5"/>
    <w:basedOn w:val="Normal"/>
    <w:next w:val="Normal"/>
    <w:link w:val="Heading5Char"/>
    <w:uiPriority w:val="9"/>
    <w:unhideWhenUsed/>
    <w:qFormat/>
    <w:pPr>
      <w:keepNext/>
      <w:pBdr>
        <w:top w:val="single" w:sz="4" w:space="1" w:color="auto"/>
        <w:left w:val="single" w:sz="4" w:space="4" w:color="auto"/>
        <w:bottom w:val="single" w:sz="4" w:space="1" w:color="auto"/>
        <w:right w:val="single" w:sz="4" w:space="4" w:color="auto"/>
      </w:pBdr>
      <w:spacing w:before="120" w:after="120"/>
      <w:jc w:val="center"/>
      <w:outlineLvl w:val="4"/>
    </w:pPr>
    <w:rPr>
      <w:rFonts w:ascii="Calibri" w:eastAsia="SimSun" w:hAnsi="Calibri"/>
      <w:b/>
      <w:bCs/>
    </w:rPr>
  </w:style>
  <w:style w:type="paragraph" w:styleId="Heading6">
    <w:name w:val="heading 6"/>
    <w:basedOn w:val="Normal"/>
    <w:next w:val="Normal"/>
    <w:link w:val="Heading6Char"/>
    <w:uiPriority w:val="9"/>
    <w:unhideWhenUsed/>
    <w:qFormat/>
    <w:pPr>
      <w:keepNext/>
      <w:ind w:left="360"/>
      <w:outlineLvl w:val="5"/>
    </w:pPr>
    <w:rPr>
      <w:b/>
      <w:bCs/>
      <w:smallCaps/>
      <w:lang w:val="zh-CN" w:eastAsia="zh-CN"/>
    </w:rPr>
  </w:style>
  <w:style w:type="paragraph" w:styleId="Heading7">
    <w:name w:val="heading 7"/>
    <w:basedOn w:val="Normal"/>
    <w:next w:val="Normal"/>
    <w:link w:val="Heading7Char"/>
    <w:uiPriority w:val="9"/>
    <w:qFormat/>
    <w:pPr>
      <w:keepNext/>
      <w:outlineLvl w:val="6"/>
    </w:pPr>
    <w:rPr>
      <w:b/>
      <w:bCs/>
      <w:sz w:val="20"/>
      <w:lang w:val="zh-CN" w:eastAsia="zh-CN"/>
    </w:rPr>
  </w:style>
  <w:style w:type="paragraph" w:styleId="Heading8">
    <w:name w:val="heading 8"/>
    <w:basedOn w:val="Normal"/>
    <w:next w:val="Normal"/>
    <w:link w:val="Heading8Char"/>
    <w:uiPriority w:val="9"/>
    <w:unhideWhenUsed/>
    <w:qFormat/>
    <w:pPr>
      <w:spacing w:before="240" w:after="60"/>
      <w:jc w:val="both"/>
      <w:outlineLvl w:val="7"/>
    </w:pPr>
    <w:rPr>
      <w:rFonts w:ascii="Calibri" w:eastAsia="SimSun" w:hAnsi="Calibri"/>
      <w:i/>
      <w:iCs/>
    </w:rPr>
  </w:style>
  <w:style w:type="paragraph" w:styleId="Heading9">
    <w:name w:val="heading 9"/>
    <w:basedOn w:val="Normal"/>
    <w:next w:val="Normal"/>
    <w:link w:val="Heading9Char"/>
    <w:uiPriority w:val="9"/>
    <w:qFormat/>
    <w:pPr>
      <w:keepNext/>
      <w:framePr w:w="3801" w:h="4681" w:hSpace="180" w:wrap="around" w:vAnchor="text" w:hAnchor="page" w:x="7141" w:y="1441"/>
      <w:outlineLvl w:val="8"/>
    </w:pPr>
    <w:rPr>
      <w:b/>
      <w:bCs/>
      <w:lang w:val="zh-CN"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qFormat/>
    <w:pPr>
      <w:spacing w:after="60"/>
      <w:jc w:val="both"/>
    </w:pPr>
    <w:rPr>
      <w:rFonts w:ascii="Tahoma" w:eastAsia="SimSun" w:hAnsi="Tahoma" w:cs="Tahoma"/>
      <w:sz w:val="16"/>
      <w:szCs w:val="16"/>
    </w:rPr>
  </w:style>
  <w:style w:type="paragraph" w:styleId="BodyText">
    <w:name w:val="Body Text"/>
    <w:basedOn w:val="Normal"/>
    <w:link w:val="BodyTextChar"/>
    <w:qFormat/>
    <w:pPr>
      <w:pBdr>
        <w:bottom w:val="single" w:sz="4" w:space="1" w:color="auto"/>
      </w:pBdr>
      <w:spacing w:after="60"/>
      <w:jc w:val="both"/>
    </w:pPr>
    <w:rPr>
      <w:rFonts w:ascii="Arial Narrow" w:eastAsia="SimSun" w:hAnsi="Arial Narrow"/>
      <w:i/>
      <w:iCs/>
      <w:sz w:val="20"/>
    </w:rPr>
  </w:style>
  <w:style w:type="paragraph" w:styleId="BodyText2">
    <w:name w:val="Body Text 2"/>
    <w:basedOn w:val="Normal"/>
    <w:link w:val="BodyText2Char"/>
    <w:qFormat/>
    <w:pPr>
      <w:spacing w:before="120" w:after="120"/>
      <w:jc w:val="both"/>
    </w:pPr>
    <w:rPr>
      <w:rFonts w:ascii="Arial Narrow" w:eastAsia="SimSun" w:hAnsi="Arial Narrow"/>
      <w:sz w:val="20"/>
    </w:rPr>
  </w:style>
  <w:style w:type="paragraph" w:styleId="BodyText3">
    <w:name w:val="Body Text 3"/>
    <w:basedOn w:val="Normal"/>
    <w:link w:val="BodyText3Char"/>
    <w:qFormat/>
    <w:pPr>
      <w:spacing w:after="60"/>
      <w:jc w:val="both"/>
    </w:pPr>
    <w:rPr>
      <w:rFonts w:ascii="Calibri" w:eastAsia="SimSun" w:hAnsi="Calibri"/>
      <w:sz w:val="20"/>
      <w:szCs w:val="20"/>
    </w:rPr>
  </w:style>
  <w:style w:type="paragraph" w:styleId="BodyTextIndent">
    <w:name w:val="Body Text Indent"/>
    <w:basedOn w:val="Normal"/>
    <w:link w:val="BodyTextIndentChar"/>
    <w:qFormat/>
    <w:pPr>
      <w:tabs>
        <w:tab w:val="left" w:pos="360"/>
      </w:tabs>
      <w:spacing w:after="60"/>
      <w:jc w:val="both"/>
    </w:pPr>
    <w:rPr>
      <w:rFonts w:ascii="Calibri" w:eastAsia="SimSun" w:hAnsi="Calibri"/>
      <w:b/>
      <w:i/>
      <w:sz w:val="28"/>
      <w:szCs w:val="20"/>
    </w:rPr>
  </w:style>
  <w:style w:type="paragraph" w:styleId="BodyTextIndent2">
    <w:name w:val="Body Text Indent 2"/>
    <w:basedOn w:val="Normal"/>
    <w:link w:val="BodyTextIndent2Char"/>
    <w:pPr>
      <w:ind w:left="360"/>
    </w:pPr>
    <w:rPr>
      <w:i/>
      <w:iCs/>
      <w:sz w:val="20"/>
      <w:lang w:val="zh-CN" w:eastAsia="zh-CN"/>
    </w:rPr>
  </w:style>
  <w:style w:type="paragraph" w:styleId="BodyTextIndent3">
    <w:name w:val="Body Text Indent 3"/>
    <w:basedOn w:val="Normal"/>
    <w:link w:val="BodyTextIndent3Char"/>
    <w:pPr>
      <w:ind w:left="540"/>
    </w:pPr>
    <w:rPr>
      <w:lang w:val="zh-CN" w:eastAsia="zh-CN"/>
    </w:rPr>
  </w:style>
  <w:style w:type="paragraph" w:styleId="Caption">
    <w:name w:val="caption"/>
    <w:basedOn w:val="Normal"/>
    <w:next w:val="Normal"/>
    <w:link w:val="CaptionChar"/>
    <w:uiPriority w:val="35"/>
    <w:qFormat/>
    <w:rPr>
      <w:rFonts w:eastAsia="SimSun"/>
      <w:b/>
      <w:bCs/>
      <w:sz w:val="28"/>
    </w:rPr>
  </w:style>
  <w:style w:type="character" w:styleId="CommentReference">
    <w:name w:val="annotation reference"/>
    <w:uiPriority w:val="99"/>
    <w:qFormat/>
    <w:rPr>
      <w:rFonts w:cs="Times New Roman"/>
      <w:sz w:val="16"/>
      <w:szCs w:val="16"/>
    </w:rPr>
  </w:style>
  <w:style w:type="paragraph" w:styleId="CommentText">
    <w:name w:val="annotation text"/>
    <w:basedOn w:val="Normal"/>
    <w:link w:val="CommentTextChar"/>
    <w:uiPriority w:val="99"/>
    <w:qFormat/>
    <w:pPr>
      <w:spacing w:after="60"/>
      <w:jc w:val="both"/>
    </w:pPr>
    <w:rPr>
      <w:rFonts w:ascii="Calibri" w:eastAsia="SimSun" w:hAnsi="Calibri"/>
      <w:sz w:val="20"/>
      <w:szCs w:val="20"/>
    </w:rPr>
  </w:style>
  <w:style w:type="paragraph" w:styleId="CommentSubject">
    <w:name w:val="annotation subject"/>
    <w:basedOn w:val="CommentText"/>
    <w:next w:val="CommentText"/>
    <w:link w:val="CommentSubjectChar"/>
    <w:uiPriority w:val="99"/>
    <w:qFormat/>
    <w:rPr>
      <w:b/>
      <w:bCs/>
    </w:rPr>
  </w:style>
  <w:style w:type="paragraph" w:styleId="DocumentMap">
    <w:name w:val="Document Map"/>
    <w:basedOn w:val="Normal"/>
    <w:link w:val="DocumentMapChar"/>
    <w:semiHidden/>
    <w:qFormat/>
    <w:pPr>
      <w:shd w:val="clear" w:color="auto" w:fill="000080"/>
    </w:pPr>
    <w:rPr>
      <w:rFonts w:ascii="Tahoma" w:hAnsi="Tahoma"/>
      <w:sz w:val="20"/>
      <w:szCs w:val="20"/>
      <w:lang w:val="zh-CN" w:eastAsia="zh-CN"/>
    </w:rPr>
  </w:style>
  <w:style w:type="character" w:styleId="Emphasis">
    <w:name w:val="Emphasis"/>
    <w:qFormat/>
    <w:rPr>
      <w:rFonts w:cs="Times New Roman"/>
      <w:i/>
      <w:iCs/>
    </w:rPr>
  </w:style>
  <w:style w:type="character" w:styleId="EndnoteReference">
    <w:name w:val="endnote reference"/>
    <w:semiHidden/>
    <w:qFormat/>
    <w:rPr>
      <w:rFonts w:cs="Times New Roman"/>
      <w:vertAlign w:val="superscript"/>
    </w:rPr>
  </w:style>
  <w:style w:type="paragraph" w:styleId="EndnoteText">
    <w:name w:val="endnote text"/>
    <w:basedOn w:val="Normal"/>
    <w:link w:val="EndnoteTextChar"/>
    <w:semiHidden/>
    <w:qFormat/>
    <w:rPr>
      <w:rFonts w:ascii="Calibri" w:eastAsia="MS Mincho" w:hAnsi="Calibri"/>
      <w:sz w:val="20"/>
      <w:szCs w:val="20"/>
      <w:lang w:eastAsia="ja-JP"/>
    </w:rPr>
  </w:style>
  <w:style w:type="character" w:styleId="FollowedHyperlink">
    <w:name w:val="FollowedHyperlink"/>
    <w:uiPriority w:val="99"/>
    <w:qFormat/>
    <w:rPr>
      <w:rFonts w:cs="Times New Roman"/>
      <w:color w:val="800080"/>
      <w:u w:val="single"/>
    </w:rPr>
  </w:style>
  <w:style w:type="paragraph" w:styleId="Footer">
    <w:name w:val="footer"/>
    <w:basedOn w:val="Normal"/>
    <w:link w:val="FooterChar"/>
    <w:uiPriority w:val="99"/>
    <w:qFormat/>
    <w:pPr>
      <w:tabs>
        <w:tab w:val="center" w:pos="4153"/>
        <w:tab w:val="right" w:pos="8306"/>
      </w:tabs>
      <w:spacing w:after="60"/>
      <w:jc w:val="both"/>
    </w:pPr>
    <w:rPr>
      <w:rFonts w:ascii="Calibri" w:eastAsia="SimSun" w:hAnsi="Calibri"/>
      <w:sz w:val="20"/>
    </w:rPr>
  </w:style>
  <w:style w:type="character" w:styleId="FootnoteReference">
    <w:name w:val="footnote reference"/>
    <w:link w:val="CharCharCharCharCarChar"/>
    <w:uiPriority w:val="99"/>
    <w:qFormat/>
    <w:rPr>
      <w:rFonts w:ascii="Arial" w:hAnsi="Arial"/>
      <w:sz w:val="18"/>
      <w:vertAlign w:val="superscript"/>
    </w:rPr>
  </w:style>
  <w:style w:type="paragraph" w:customStyle="1" w:styleId="CharCharCharCharCarChar">
    <w:name w:val="Char Char Char Char Car Char"/>
    <w:basedOn w:val="Normal"/>
    <w:link w:val="FootnoteReference"/>
    <w:uiPriority w:val="99"/>
    <w:qFormat/>
    <w:pPr>
      <w:spacing w:line="240" w:lineRule="exact"/>
      <w:jc w:val="both"/>
    </w:pPr>
    <w:rPr>
      <w:rFonts w:ascii="Arial" w:hAnsi="Arial"/>
      <w:sz w:val="18"/>
      <w:vertAlign w:val="superscript"/>
    </w:rPr>
  </w:style>
  <w:style w:type="paragraph" w:styleId="FootnoteText">
    <w:name w:val="footnote text"/>
    <w:basedOn w:val="Normal"/>
    <w:link w:val="FootnoteTextChar2"/>
    <w:uiPriority w:val="99"/>
    <w:unhideWhenUsed/>
    <w:qFormat/>
    <w:rPr>
      <w:sz w:val="20"/>
      <w:szCs w:val="20"/>
    </w:rPr>
  </w:style>
  <w:style w:type="paragraph" w:styleId="Header">
    <w:name w:val="header"/>
    <w:basedOn w:val="Normal"/>
    <w:link w:val="HeaderChar"/>
    <w:qFormat/>
    <w:pPr>
      <w:tabs>
        <w:tab w:val="center" w:pos="4153"/>
        <w:tab w:val="right" w:pos="8306"/>
      </w:tabs>
      <w:spacing w:after="60"/>
      <w:jc w:val="both"/>
    </w:pPr>
    <w:rPr>
      <w:rFonts w:ascii="Calibri" w:eastAsia="SimSun" w:hAnsi="Calibri"/>
      <w:sz w:val="20"/>
    </w:rPr>
  </w:style>
  <w:style w:type="character" w:styleId="Hyperlink">
    <w:name w:val="Hyperlink"/>
    <w:uiPriority w:val="99"/>
    <w:qFormat/>
    <w:rPr>
      <w:rFonts w:cs="Times New Roman"/>
      <w:color w:val="0000FF"/>
      <w:u w:val="single"/>
    </w:rPr>
  </w:style>
  <w:style w:type="paragraph" w:styleId="NormalWeb">
    <w:name w:val="Normal (Web)"/>
    <w:basedOn w:val="Normal"/>
    <w:uiPriority w:val="99"/>
    <w:qFormat/>
    <w:pPr>
      <w:spacing w:before="100" w:beforeAutospacing="1" w:after="100" w:afterAutospacing="1"/>
      <w:jc w:val="both"/>
    </w:pPr>
    <w:rPr>
      <w:rFonts w:eastAsia="SimSun"/>
    </w:rPr>
  </w:style>
  <w:style w:type="character" w:styleId="PageNumber">
    <w:name w:val="page number"/>
    <w:uiPriority w:val="99"/>
    <w:qFormat/>
    <w:rPr>
      <w:rFonts w:cs="Times New Roman"/>
    </w:rPr>
  </w:style>
  <w:style w:type="paragraph" w:styleId="PlainText">
    <w:name w:val="Plain Text"/>
    <w:basedOn w:val="Normal"/>
    <w:link w:val="PlainTextChar"/>
    <w:uiPriority w:val="99"/>
    <w:unhideWhenUsed/>
    <w:qFormat/>
    <w:rPr>
      <w:rFonts w:ascii="Consolas" w:eastAsia="Calibri" w:hAnsi="Consolas"/>
      <w:sz w:val="21"/>
      <w:szCs w:val="21"/>
    </w:rPr>
  </w:style>
  <w:style w:type="character" w:styleId="Strong">
    <w:name w:val="Strong"/>
    <w:uiPriority w:val="22"/>
    <w:qFormat/>
    <w:rPr>
      <w:rFonts w:cs="Times New Roman"/>
      <w:b/>
      <w:bCs/>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styleId="TableGrid">
    <w:name w:val="Table Grid"/>
    <w:basedOn w:val="TableNormal"/>
    <w:uiPriority w:val="3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pPr>
      <w:spacing w:line="259" w:lineRule="auto"/>
    </w:pPr>
    <w:rPr>
      <w:rFonts w:asciiTheme="minorHAnsi" w:eastAsiaTheme="minorHAnsi" w:hAnsiTheme="minorHAnsi" w:cstheme="minorBidi"/>
      <w:sz w:val="22"/>
      <w:szCs w:val="22"/>
      <w:lang w:eastAsia="en-US"/>
    </w:rPr>
  </w:style>
  <w:style w:type="paragraph" w:styleId="Title">
    <w:name w:val="Title"/>
    <w:basedOn w:val="Normal"/>
    <w:link w:val="TitleChar"/>
    <w:uiPriority w:val="10"/>
    <w:qFormat/>
    <w:pPr>
      <w:pBdr>
        <w:top w:val="single" w:sz="4" w:space="1" w:color="auto"/>
        <w:left w:val="single" w:sz="4" w:space="4" w:color="auto"/>
        <w:bottom w:val="single" w:sz="4" w:space="1" w:color="auto"/>
        <w:right w:val="single" w:sz="4" w:space="4" w:color="auto"/>
      </w:pBdr>
      <w:spacing w:before="240" w:after="60"/>
      <w:jc w:val="center"/>
      <w:outlineLvl w:val="0"/>
    </w:pPr>
    <w:rPr>
      <w:rFonts w:ascii="Calibri" w:eastAsia="SimSun" w:hAnsi="Calibri" w:cs="Arial"/>
      <w:b/>
      <w:bCs/>
      <w:kern w:val="28"/>
      <w:sz w:val="32"/>
      <w:szCs w:val="32"/>
    </w:rPr>
  </w:style>
  <w:style w:type="paragraph" w:styleId="TOC1">
    <w:name w:val="toc 1"/>
    <w:basedOn w:val="Normal"/>
    <w:next w:val="Normal"/>
    <w:autoRedefine/>
    <w:uiPriority w:val="39"/>
    <w:qFormat/>
    <w:pPr>
      <w:tabs>
        <w:tab w:val="right" w:leader="dot" w:pos="9350"/>
      </w:tabs>
      <w:spacing w:before="120"/>
    </w:pPr>
    <w:rPr>
      <w:rFonts w:asciiTheme="minorHAnsi" w:eastAsiaTheme="minorHAnsi"/>
      <w:b/>
      <w:bCs/>
      <w:i/>
      <w:iCs/>
    </w:rPr>
  </w:style>
  <w:style w:type="paragraph" w:styleId="TOC2">
    <w:name w:val="toc 2"/>
    <w:basedOn w:val="Normal"/>
    <w:next w:val="Normal"/>
    <w:autoRedefine/>
    <w:uiPriority w:val="39"/>
    <w:qFormat/>
    <w:pPr>
      <w:spacing w:before="120"/>
      <w:ind w:left="240"/>
    </w:pPr>
    <w:rPr>
      <w:rFonts w:asciiTheme="minorHAnsi" w:eastAsiaTheme="minorHAnsi"/>
      <w:b/>
      <w:bCs/>
      <w:sz w:val="22"/>
      <w:szCs w:val="22"/>
    </w:rPr>
  </w:style>
  <w:style w:type="paragraph" w:styleId="TOC3">
    <w:name w:val="toc 3"/>
    <w:basedOn w:val="Normal"/>
    <w:next w:val="Normal"/>
    <w:autoRedefine/>
    <w:uiPriority w:val="39"/>
    <w:unhideWhenUsed/>
    <w:qFormat/>
    <w:pPr>
      <w:ind w:left="480"/>
    </w:pPr>
    <w:rPr>
      <w:rFonts w:asciiTheme="minorHAnsi" w:eastAsiaTheme="minorHAnsi"/>
      <w:sz w:val="20"/>
      <w:szCs w:val="20"/>
    </w:rPr>
  </w:style>
  <w:style w:type="paragraph" w:styleId="TOC4">
    <w:name w:val="toc 4"/>
    <w:basedOn w:val="Normal"/>
    <w:uiPriority w:val="39"/>
    <w:qFormat/>
    <w:pPr>
      <w:ind w:left="720"/>
    </w:pPr>
    <w:rPr>
      <w:rFonts w:asciiTheme="minorHAnsi" w:eastAsiaTheme="minorHAnsi"/>
      <w:sz w:val="20"/>
      <w:szCs w:val="20"/>
    </w:rPr>
  </w:style>
  <w:style w:type="paragraph" w:styleId="TOC5">
    <w:name w:val="toc 5"/>
    <w:basedOn w:val="Normal"/>
    <w:uiPriority w:val="39"/>
    <w:qFormat/>
    <w:pPr>
      <w:ind w:left="960"/>
    </w:pPr>
    <w:rPr>
      <w:rFonts w:asciiTheme="minorHAnsi" w:eastAsiaTheme="minorHAnsi"/>
      <w:sz w:val="20"/>
      <w:szCs w:val="20"/>
    </w:rPr>
  </w:style>
  <w:style w:type="paragraph" w:styleId="TOC6">
    <w:name w:val="toc 6"/>
    <w:basedOn w:val="Normal"/>
    <w:next w:val="Normal"/>
    <w:autoRedefine/>
    <w:uiPriority w:val="39"/>
    <w:semiHidden/>
    <w:unhideWhenUsed/>
    <w:pPr>
      <w:ind w:left="1200"/>
    </w:pPr>
    <w:rPr>
      <w:rFonts w:asciiTheme="minorHAnsi" w:eastAsiaTheme="minorHAnsi"/>
      <w:sz w:val="20"/>
      <w:szCs w:val="20"/>
    </w:rPr>
  </w:style>
  <w:style w:type="paragraph" w:styleId="TOC7">
    <w:name w:val="toc 7"/>
    <w:basedOn w:val="Normal"/>
    <w:next w:val="Normal"/>
    <w:autoRedefine/>
    <w:uiPriority w:val="39"/>
    <w:semiHidden/>
    <w:unhideWhenUsed/>
    <w:pPr>
      <w:ind w:left="1440"/>
    </w:pPr>
    <w:rPr>
      <w:rFonts w:asciiTheme="minorHAnsi" w:eastAsiaTheme="minorHAnsi"/>
      <w:sz w:val="20"/>
      <w:szCs w:val="20"/>
    </w:rPr>
  </w:style>
  <w:style w:type="paragraph" w:styleId="TOC8">
    <w:name w:val="toc 8"/>
    <w:basedOn w:val="Normal"/>
    <w:next w:val="Normal"/>
    <w:autoRedefine/>
    <w:uiPriority w:val="39"/>
    <w:semiHidden/>
    <w:unhideWhenUsed/>
    <w:pPr>
      <w:ind w:left="1680"/>
    </w:pPr>
    <w:rPr>
      <w:rFonts w:asciiTheme="minorHAnsi" w:eastAsiaTheme="minorHAnsi"/>
      <w:sz w:val="20"/>
      <w:szCs w:val="20"/>
    </w:rPr>
  </w:style>
  <w:style w:type="paragraph" w:styleId="TOC9">
    <w:name w:val="toc 9"/>
    <w:basedOn w:val="Normal"/>
    <w:next w:val="Normal"/>
    <w:autoRedefine/>
    <w:uiPriority w:val="39"/>
    <w:semiHidden/>
    <w:unhideWhenUsed/>
    <w:pPr>
      <w:ind w:left="1920"/>
    </w:pPr>
    <w:rPr>
      <w:rFonts w:asciiTheme="minorHAnsi" w:eastAsiaTheme="minorHAnsi"/>
      <w:sz w:val="20"/>
      <w:szCs w:val="20"/>
    </w:rPr>
  </w:style>
  <w:style w:type="paragraph" w:customStyle="1" w:styleId="Heading11">
    <w:name w:val="Heading 11"/>
    <w:basedOn w:val="Normal"/>
    <w:next w:val="Normal"/>
    <w:link w:val="Heading1Char"/>
    <w:qFormat/>
    <w:pPr>
      <w:keepNext/>
      <w:numPr>
        <w:numId w:val="1"/>
      </w:numPr>
      <w:pBdr>
        <w:top w:val="single" w:sz="4" w:space="1" w:color="auto"/>
      </w:pBdr>
      <w:suppressAutoHyphens/>
      <w:spacing w:before="104" w:after="226"/>
      <w:jc w:val="both"/>
      <w:outlineLvl w:val="0"/>
    </w:pPr>
    <w:rPr>
      <w:rFonts w:ascii="Calibri" w:hAnsi="Calibri"/>
      <w:b/>
      <w:smallCaps/>
      <w:spacing w:val="-2"/>
      <w:sz w:val="28"/>
    </w:rPr>
  </w:style>
  <w:style w:type="character" w:customStyle="1" w:styleId="Heading2Char">
    <w:name w:val="Heading 2 Char"/>
    <w:basedOn w:val="DefaultParagraphFont"/>
    <w:uiPriority w:val="9"/>
    <w:qFormat/>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qFormat/>
    <w:rPr>
      <w:rFonts w:ascii="Courier" w:eastAsia="SimSun" w:hAnsi="Courier" w:cs="Times New Roman"/>
      <w:b/>
      <w:sz w:val="28"/>
      <w:szCs w:val="20"/>
    </w:rPr>
  </w:style>
  <w:style w:type="character" w:customStyle="1" w:styleId="Heading4Char">
    <w:name w:val="Heading 4 Char"/>
    <w:basedOn w:val="DefaultParagraphFont"/>
    <w:link w:val="Heading4"/>
    <w:uiPriority w:val="9"/>
    <w:qFormat/>
    <w:rPr>
      <w:rFonts w:ascii="Calibri" w:eastAsia="SimSun" w:hAnsi="Calibri" w:cs="Times New Roman"/>
      <w:b/>
      <w:spacing w:val="15"/>
      <w:sz w:val="28"/>
      <w:szCs w:val="24"/>
    </w:rPr>
  </w:style>
  <w:style w:type="character" w:customStyle="1" w:styleId="Heading5Char">
    <w:name w:val="Heading 5 Char"/>
    <w:basedOn w:val="DefaultParagraphFont"/>
    <w:link w:val="Heading5"/>
    <w:uiPriority w:val="9"/>
    <w:qFormat/>
    <w:rPr>
      <w:rFonts w:ascii="Calibri" w:eastAsia="SimSun" w:hAnsi="Calibri" w:cs="Times New Roman"/>
      <w:b/>
      <w:bCs/>
      <w:sz w:val="24"/>
      <w:szCs w:val="24"/>
    </w:rPr>
  </w:style>
  <w:style w:type="character" w:customStyle="1" w:styleId="Heading6Char">
    <w:name w:val="Heading 6 Char"/>
    <w:basedOn w:val="DefaultParagraphFont"/>
    <w:link w:val="Heading6"/>
    <w:uiPriority w:val="9"/>
    <w:qFormat/>
    <w:rPr>
      <w:rFonts w:ascii="Times New Roman" w:eastAsia="Times New Roman" w:hAnsi="Times New Roman" w:cs="Times New Roman"/>
      <w:b/>
      <w:bCs/>
      <w:smallCaps/>
      <w:sz w:val="24"/>
      <w:szCs w:val="24"/>
      <w:lang w:val="zh-CN" w:eastAsia="zh-CN"/>
    </w:rPr>
  </w:style>
  <w:style w:type="character" w:customStyle="1" w:styleId="Heading7Char">
    <w:name w:val="Heading 7 Char"/>
    <w:basedOn w:val="DefaultParagraphFont"/>
    <w:link w:val="Heading7"/>
    <w:uiPriority w:val="9"/>
    <w:qFormat/>
    <w:rPr>
      <w:rFonts w:ascii="Times New Roman" w:eastAsia="Times New Roman" w:hAnsi="Times New Roman" w:cs="Times New Roman"/>
      <w:b/>
      <w:bCs/>
      <w:sz w:val="20"/>
      <w:szCs w:val="24"/>
      <w:lang w:val="zh-CN" w:eastAsia="zh-CN"/>
    </w:rPr>
  </w:style>
  <w:style w:type="character" w:customStyle="1" w:styleId="Heading8Char">
    <w:name w:val="Heading 8 Char"/>
    <w:basedOn w:val="DefaultParagraphFont"/>
    <w:link w:val="Heading8"/>
    <w:uiPriority w:val="9"/>
    <w:qFormat/>
    <w:rPr>
      <w:rFonts w:ascii="Calibri" w:eastAsia="SimSun" w:hAnsi="Calibri" w:cs="Times New Roman"/>
      <w:i/>
      <w:iCs/>
      <w:sz w:val="24"/>
      <w:szCs w:val="24"/>
    </w:rPr>
  </w:style>
  <w:style w:type="character" w:customStyle="1" w:styleId="Heading9Char">
    <w:name w:val="Heading 9 Char"/>
    <w:basedOn w:val="DefaultParagraphFont"/>
    <w:link w:val="Heading9"/>
    <w:uiPriority w:val="9"/>
    <w:qFormat/>
    <w:rPr>
      <w:rFonts w:ascii="Times New Roman" w:eastAsia="Times New Roman" w:hAnsi="Times New Roman" w:cs="Times New Roman"/>
      <w:b/>
      <w:bCs/>
      <w:sz w:val="24"/>
      <w:szCs w:val="24"/>
      <w:lang w:val="zh-CN" w:eastAsia="zh-CN"/>
    </w:rPr>
  </w:style>
  <w:style w:type="character" w:customStyle="1" w:styleId="Heading1Char">
    <w:name w:val="Heading 1 Char"/>
    <w:basedOn w:val="DefaultParagraphFont"/>
    <w:link w:val="Heading11"/>
    <w:uiPriority w:val="9"/>
    <w:qFormat/>
    <w:rPr>
      <w:rFonts w:ascii="Calibri" w:hAnsi="Calibri"/>
      <w:b/>
      <w:smallCaps/>
      <w:spacing w:val="-2"/>
      <w:sz w:val="28"/>
      <w:szCs w:val="24"/>
    </w:rPr>
  </w:style>
  <w:style w:type="character" w:customStyle="1" w:styleId="BalloonTextChar">
    <w:name w:val="Balloon Text Char"/>
    <w:basedOn w:val="DefaultParagraphFont"/>
    <w:link w:val="BalloonText"/>
    <w:uiPriority w:val="99"/>
    <w:semiHidden/>
    <w:qFormat/>
    <w:rPr>
      <w:rFonts w:ascii="Tahoma" w:eastAsia="SimSun" w:hAnsi="Tahoma" w:cs="Tahoma"/>
      <w:sz w:val="16"/>
      <w:szCs w:val="16"/>
    </w:rPr>
  </w:style>
  <w:style w:type="character" w:customStyle="1" w:styleId="Heading2Char1">
    <w:name w:val="Heading 2 Char1"/>
    <w:link w:val="Heading2"/>
    <w:uiPriority w:val="9"/>
    <w:qFormat/>
    <w:locked/>
    <w:rPr>
      <w:rFonts w:ascii="Arial Narrow" w:eastAsia="SimSun" w:hAnsi="Arial Narrow" w:cs="Times New Roman"/>
      <w:b/>
      <w:bCs/>
      <w:sz w:val="20"/>
      <w:szCs w:val="24"/>
    </w:rPr>
  </w:style>
  <w:style w:type="character" w:customStyle="1" w:styleId="HeaderChar">
    <w:name w:val="Header Char"/>
    <w:basedOn w:val="DefaultParagraphFont"/>
    <w:link w:val="Header"/>
    <w:qFormat/>
    <w:rPr>
      <w:rFonts w:ascii="Calibri" w:eastAsia="SimSun" w:hAnsi="Calibri" w:cs="Times New Roman"/>
      <w:sz w:val="20"/>
      <w:szCs w:val="24"/>
    </w:rPr>
  </w:style>
  <w:style w:type="character" w:customStyle="1" w:styleId="FooterChar">
    <w:name w:val="Footer Char"/>
    <w:basedOn w:val="DefaultParagraphFont"/>
    <w:link w:val="Footer"/>
    <w:uiPriority w:val="99"/>
    <w:qFormat/>
    <w:rPr>
      <w:rFonts w:ascii="Calibri" w:eastAsia="SimSun" w:hAnsi="Calibri" w:cs="Times New Roman"/>
      <w:sz w:val="20"/>
      <w:szCs w:val="24"/>
    </w:rPr>
  </w:style>
  <w:style w:type="paragraph" w:customStyle="1" w:styleId="fn1">
    <w:name w:val="fn1"/>
    <w:basedOn w:val="Normal"/>
    <w:next w:val="FootnoteText"/>
    <w:link w:val="FootnoteTextChar1"/>
    <w:uiPriority w:val="99"/>
    <w:qFormat/>
    <w:pPr>
      <w:widowControl w:val="0"/>
      <w:jc w:val="both"/>
    </w:pPr>
    <w:rPr>
      <w:rFonts w:ascii="Calibri" w:hAnsi="Calibri"/>
      <w:sz w:val="18"/>
    </w:rPr>
  </w:style>
  <w:style w:type="character" w:customStyle="1" w:styleId="FootnoteTextChar">
    <w:name w:val="Footnote Text Char"/>
    <w:basedOn w:val="DefaultParagraphFont"/>
    <w:uiPriority w:val="99"/>
    <w:qFormat/>
  </w:style>
  <w:style w:type="character" w:customStyle="1" w:styleId="FootnoteTextChar1">
    <w:name w:val="Footnote Text Char1"/>
    <w:link w:val="fn1"/>
    <w:uiPriority w:val="99"/>
    <w:qFormat/>
    <w:locked/>
    <w:rPr>
      <w:rFonts w:ascii="Calibri" w:hAnsi="Calibri"/>
      <w:sz w:val="18"/>
    </w:rPr>
  </w:style>
  <w:style w:type="character" w:customStyle="1" w:styleId="BodyText3Char">
    <w:name w:val="Body Text 3 Char"/>
    <w:basedOn w:val="DefaultParagraphFont"/>
    <w:link w:val="BodyText3"/>
    <w:qFormat/>
    <w:rPr>
      <w:rFonts w:ascii="Calibri" w:eastAsia="SimSun" w:hAnsi="Calibri" w:cs="Times New Roman"/>
      <w:sz w:val="20"/>
      <w:szCs w:val="20"/>
    </w:rPr>
  </w:style>
  <w:style w:type="character" w:customStyle="1" w:styleId="BodyTextIndentChar">
    <w:name w:val="Body Text Indent Char"/>
    <w:basedOn w:val="DefaultParagraphFont"/>
    <w:link w:val="BodyTextIndent"/>
    <w:qFormat/>
    <w:rPr>
      <w:rFonts w:ascii="Calibri" w:eastAsia="SimSun" w:hAnsi="Calibri" w:cs="Times New Roman"/>
      <w:b/>
      <w:i/>
      <w:sz w:val="28"/>
      <w:szCs w:val="20"/>
    </w:rPr>
  </w:style>
  <w:style w:type="character" w:customStyle="1" w:styleId="BodyTextChar">
    <w:name w:val="Body Text Char"/>
    <w:basedOn w:val="DefaultParagraphFont"/>
    <w:link w:val="BodyText"/>
    <w:qFormat/>
    <w:rPr>
      <w:rFonts w:ascii="Arial Narrow" w:eastAsia="SimSun" w:hAnsi="Arial Narrow" w:cs="Times New Roman"/>
      <w:i/>
      <w:iCs/>
      <w:sz w:val="20"/>
      <w:szCs w:val="24"/>
    </w:rPr>
  </w:style>
  <w:style w:type="character" w:customStyle="1" w:styleId="BodyText2Char">
    <w:name w:val="Body Text 2 Char"/>
    <w:basedOn w:val="DefaultParagraphFont"/>
    <w:link w:val="BodyText2"/>
    <w:qFormat/>
    <w:rPr>
      <w:rFonts w:ascii="Arial Narrow" w:eastAsia="SimSun" w:hAnsi="Arial Narrow" w:cs="Times New Roman"/>
      <w:sz w:val="20"/>
      <w:szCs w:val="24"/>
    </w:rPr>
  </w:style>
  <w:style w:type="character" w:customStyle="1" w:styleId="CommentTextChar">
    <w:name w:val="Comment Text Char"/>
    <w:basedOn w:val="DefaultParagraphFont"/>
    <w:link w:val="CommentText"/>
    <w:uiPriority w:val="99"/>
    <w:qFormat/>
    <w:rPr>
      <w:rFonts w:ascii="Calibri" w:eastAsia="SimSun" w:hAnsi="Calibri" w:cs="Times New Roman"/>
      <w:sz w:val="20"/>
      <w:szCs w:val="20"/>
    </w:rPr>
  </w:style>
  <w:style w:type="character" w:customStyle="1" w:styleId="CommentSubjectChar">
    <w:name w:val="Comment Subject Char"/>
    <w:basedOn w:val="CommentTextChar"/>
    <w:link w:val="CommentSubject"/>
    <w:uiPriority w:val="99"/>
    <w:qFormat/>
    <w:rPr>
      <w:rFonts w:ascii="Calibri" w:eastAsia="SimSun" w:hAnsi="Calibri" w:cs="Times New Roman"/>
      <w:b/>
      <w:bCs/>
      <w:sz w:val="20"/>
      <w:szCs w:val="20"/>
    </w:rPr>
  </w:style>
  <w:style w:type="paragraph" w:customStyle="1" w:styleId="Char">
    <w:name w:val="Char"/>
    <w:basedOn w:val="Heading2"/>
    <w:qFormat/>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ListParagraph">
    <w:name w:val="List Paragraph"/>
    <w:basedOn w:val="Normal"/>
    <w:link w:val="ListParagraphChar"/>
    <w:uiPriority w:val="34"/>
    <w:qFormat/>
    <w:pPr>
      <w:ind w:left="720"/>
    </w:pPr>
    <w:rPr>
      <w:rFonts w:eastAsia="SimSun"/>
    </w:rPr>
  </w:style>
  <w:style w:type="character" w:customStyle="1" w:styleId="TitleChar">
    <w:name w:val="Title Char"/>
    <w:basedOn w:val="DefaultParagraphFont"/>
    <w:link w:val="Title"/>
    <w:uiPriority w:val="10"/>
    <w:qFormat/>
    <w:rPr>
      <w:rFonts w:ascii="Calibri" w:eastAsia="SimSun" w:hAnsi="Calibri" w:cs="Arial"/>
      <w:b/>
      <w:bCs/>
      <w:kern w:val="28"/>
      <w:sz w:val="32"/>
      <w:szCs w:val="32"/>
    </w:rPr>
  </w:style>
  <w:style w:type="paragraph" w:customStyle="1" w:styleId="CharCharChar1">
    <w:name w:val="Char Char Char1"/>
    <w:basedOn w:val="Normal"/>
    <w:uiPriority w:val="99"/>
    <w:qFormat/>
    <w:pPr>
      <w:spacing w:line="240" w:lineRule="exact"/>
    </w:pPr>
    <w:rPr>
      <w:rFonts w:ascii="Calibri" w:eastAsia="SimSun" w:hAnsi="Calibri" w:cs="Arial"/>
      <w:sz w:val="20"/>
      <w:szCs w:val="20"/>
    </w:rPr>
  </w:style>
  <w:style w:type="paragraph" w:customStyle="1" w:styleId="JFHeading3">
    <w:name w:val="JF Heading 3"/>
    <w:basedOn w:val="Heading3"/>
    <w:qFormat/>
    <w:pPr>
      <w:keepNext w:val="0"/>
      <w:widowControl/>
      <w:pBdr>
        <w:bottom w:val="dotted" w:sz="4" w:space="2" w:color="666666"/>
      </w:pBdr>
      <w:tabs>
        <w:tab w:val="clear" w:pos="2160"/>
        <w:tab w:val="clear" w:pos="9360"/>
      </w:tabs>
      <w:spacing w:after="0"/>
      <w:jc w:val="left"/>
    </w:pPr>
    <w:rPr>
      <w:rFonts w:ascii="Times New Roman" w:eastAsia="MS Mincho" w:hAnsi="Times New Roman"/>
      <w:b w:val="0"/>
      <w:i/>
      <w:sz w:val="22"/>
      <w:szCs w:val="22"/>
      <w:lang w:eastAsia="ja-JP"/>
    </w:rPr>
  </w:style>
  <w:style w:type="paragraph" w:customStyle="1" w:styleId="Default">
    <w:name w:val="Default"/>
    <w:pPr>
      <w:autoSpaceDE w:val="0"/>
      <w:autoSpaceDN w:val="0"/>
      <w:adjustRightInd w:val="0"/>
    </w:pPr>
    <w:rPr>
      <w:rFonts w:ascii="Arial" w:eastAsia="MS Mincho" w:hAnsi="Arial" w:cs="Arial"/>
      <w:color w:val="000000"/>
      <w:sz w:val="24"/>
      <w:szCs w:val="24"/>
      <w:lang w:val="en-GB" w:eastAsia="ja-JP"/>
    </w:rPr>
  </w:style>
  <w:style w:type="paragraph" w:customStyle="1" w:styleId="bodyfont">
    <w:name w:val="bodyfont"/>
    <w:basedOn w:val="Normal"/>
    <w:pPr>
      <w:spacing w:before="100" w:beforeAutospacing="1" w:after="100" w:afterAutospacing="1"/>
    </w:pPr>
    <w:rPr>
      <w:rFonts w:ascii="Calibri" w:eastAsia="MS Mincho" w:hAnsi="Calibri" w:cs="Arial"/>
      <w:sz w:val="12"/>
      <w:szCs w:val="12"/>
      <w:lang w:eastAsia="ja-JP"/>
    </w:rPr>
  </w:style>
  <w:style w:type="paragraph" w:customStyle="1" w:styleId="JFHeading1">
    <w:name w:val="JF Heading 1"/>
    <w:basedOn w:val="Heading1"/>
    <w:pPr>
      <w:keepLines w:val="0"/>
      <w:tabs>
        <w:tab w:val="left" w:pos="720"/>
      </w:tabs>
      <w:spacing w:after="60"/>
      <w:ind w:left="720" w:hanging="720"/>
    </w:pPr>
    <w:rPr>
      <w:rFonts w:ascii="Times New Roman" w:eastAsia="SimSun" w:hAnsi="Times New Roman" w:cs="Arial"/>
      <w:b/>
      <w:bCs/>
      <w:color w:val="auto"/>
      <w:kern w:val="32"/>
      <w:sz w:val="24"/>
      <w:u w:val="single"/>
    </w:rPr>
  </w:style>
  <w:style w:type="paragraph" w:customStyle="1" w:styleId="Pa2">
    <w:name w:val="Pa2"/>
    <w:basedOn w:val="Default"/>
    <w:next w:val="Default"/>
    <w:pPr>
      <w:spacing w:line="191" w:lineRule="atLeast"/>
    </w:pPr>
    <w:rPr>
      <w:rFonts w:ascii="Adobe Garamond Pro" w:hAnsi="Adobe Garamond Pro" w:cs="Times New Roman"/>
      <w:color w:val="auto"/>
    </w:rPr>
  </w:style>
  <w:style w:type="character" w:customStyle="1" w:styleId="bodytag3">
    <w:name w:val="bodytag3"/>
    <w:rPr>
      <w:rFonts w:ascii="Trebuchet MS" w:hAnsi="Trebuchet MS" w:cs="Times New Roman"/>
      <w:sz w:val="15"/>
      <w:szCs w:val="15"/>
    </w:rPr>
  </w:style>
  <w:style w:type="character" w:customStyle="1" w:styleId="EndnoteTextChar">
    <w:name w:val="Endnote Text Char"/>
    <w:basedOn w:val="DefaultParagraphFont"/>
    <w:link w:val="EndnoteText"/>
    <w:semiHidden/>
    <w:rPr>
      <w:rFonts w:ascii="Calibri" w:eastAsia="MS Mincho" w:hAnsi="Calibri" w:cs="Times New Roman"/>
      <w:sz w:val="20"/>
      <w:szCs w:val="20"/>
      <w:lang w:eastAsia="ja-JP"/>
    </w:rPr>
  </w:style>
  <w:style w:type="character" w:customStyle="1" w:styleId="mw-headline">
    <w:name w:val="mw-headline"/>
    <w:rPr>
      <w:rFonts w:cs="Times New Roman"/>
    </w:rPr>
  </w:style>
  <w:style w:type="paragraph" w:customStyle="1" w:styleId="CharCharCharCharCharCharChar">
    <w:name w:val="Char Char Char Char Char Char Char"/>
    <w:basedOn w:val="Heading2"/>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CarCar">
    <w:name w:val="Car Car"/>
    <w:basedOn w:val="Heading2"/>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Arial">
    <w:name w:val="Arial"/>
    <w:basedOn w:val="Normal"/>
    <w:pPr>
      <w:jc w:val="both"/>
    </w:pPr>
    <w:rPr>
      <w:rFonts w:ascii="Arial Narrow" w:eastAsia="SimSun" w:hAnsi="Arial Narrow" w:cs="Arial"/>
      <w:sz w:val="20"/>
      <w:szCs w:val="20"/>
    </w:rPr>
  </w:style>
  <w:style w:type="paragraph" w:customStyle="1" w:styleId="Paragraph">
    <w:name w:val="Paragraph"/>
    <w:basedOn w:val="Normal"/>
    <w:link w:val="ParagraphChar"/>
    <w:qFormat/>
    <w:pPr>
      <w:numPr>
        <w:numId w:val="2"/>
      </w:numPr>
      <w:spacing w:after="240"/>
    </w:pPr>
    <w:rPr>
      <w:rFonts w:eastAsia="SimSun" w:cs="Angsana New"/>
      <w:sz w:val="20"/>
    </w:rPr>
  </w:style>
  <w:style w:type="character" w:customStyle="1" w:styleId="ParagraphChar">
    <w:name w:val="Paragraph Char"/>
    <w:link w:val="Paragraph"/>
    <w:rPr>
      <w:rFonts w:eastAsia="SimSun" w:cs="Angsana New"/>
      <w:szCs w:val="24"/>
    </w:rPr>
  </w:style>
  <w:style w:type="paragraph" w:customStyle="1" w:styleId="Bullets">
    <w:name w:val="Bullets"/>
    <w:basedOn w:val="Paragraph"/>
    <w:link w:val="BulletsChar"/>
    <w:qFormat/>
    <w:pPr>
      <w:numPr>
        <w:numId w:val="3"/>
      </w:numPr>
      <w:spacing w:before="60" w:after="0"/>
    </w:pPr>
  </w:style>
  <w:style w:type="character" w:customStyle="1" w:styleId="BulletsChar">
    <w:name w:val="Bullets Char"/>
    <w:link w:val="Bullets"/>
    <w:rPr>
      <w:rFonts w:eastAsia="SimSun" w:cs="Angsana New"/>
      <w:szCs w:val="24"/>
    </w:rPr>
  </w:style>
  <w:style w:type="paragraph" w:customStyle="1" w:styleId="Normalbullets">
    <w:name w:val="Normal bullets"/>
    <w:basedOn w:val="Normal"/>
    <w:pPr>
      <w:numPr>
        <w:numId w:val="4"/>
      </w:numPr>
      <w:spacing w:after="60"/>
      <w:jc w:val="both"/>
    </w:pPr>
    <w:rPr>
      <w:rFonts w:ascii="Calibri" w:eastAsia="SimSun" w:hAnsi="Calibri"/>
      <w:sz w:val="20"/>
    </w:rPr>
  </w:style>
  <w:style w:type="paragraph" w:customStyle="1" w:styleId="Text">
    <w:name w:val="Text"/>
    <w:basedOn w:val="Normal"/>
    <w:pPr>
      <w:spacing w:before="240" w:line="252" w:lineRule="auto"/>
      <w:jc w:val="both"/>
    </w:pPr>
    <w:rPr>
      <w:rFonts w:eastAsia="SimSun"/>
      <w:sz w:val="20"/>
      <w:szCs w:val="20"/>
    </w:rPr>
  </w:style>
  <w:style w:type="paragraph" w:customStyle="1" w:styleId="CharCharChar11">
    <w:name w:val="Char Char Char11"/>
    <w:basedOn w:val="Normal"/>
    <w:pPr>
      <w:spacing w:line="240" w:lineRule="exact"/>
    </w:pPr>
    <w:rPr>
      <w:rFonts w:ascii="Calibri" w:eastAsia="SimSun" w:hAnsi="Calibri" w:cs="Arial"/>
      <w:sz w:val="20"/>
      <w:szCs w:val="20"/>
    </w:rPr>
  </w:style>
  <w:style w:type="paragraph" w:customStyle="1" w:styleId="BodyText23">
    <w:name w:val="Body Text 23"/>
    <w:basedOn w:val="Normal"/>
    <w:pPr>
      <w:widowControl w:val="0"/>
      <w:tabs>
        <w:tab w:val="left" w:pos="547"/>
      </w:tabs>
    </w:pPr>
    <w:rPr>
      <w:rFonts w:eastAsia="SimSun"/>
      <w:snapToGrid w:val="0"/>
      <w:sz w:val="20"/>
      <w:szCs w:val="20"/>
    </w:rPr>
  </w:style>
  <w:style w:type="paragraph" w:customStyle="1" w:styleId="TableT">
    <w:name w:val="TableT"/>
    <w:basedOn w:val="Normal"/>
    <w:autoRedefine/>
    <w:pPr>
      <w:spacing w:after="60"/>
    </w:pPr>
    <w:rPr>
      <w:rFonts w:eastAsia="SimSun"/>
      <w:sz w:val="20"/>
      <w:szCs w:val="20"/>
    </w:rPr>
  </w:style>
  <w:style w:type="paragraph" w:customStyle="1" w:styleId="ParaCharChar">
    <w:name w:val="Para Char Char"/>
    <w:basedOn w:val="Normal"/>
    <w:link w:val="ParaCharCharChar"/>
    <w:autoRedefine/>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right="-7"/>
    </w:pPr>
    <w:rPr>
      <w:rFonts w:ascii="Calibri" w:eastAsia="Arial Unicode MS" w:hAnsi="Calibri" w:cs="Arial"/>
      <w:sz w:val="20"/>
      <w:szCs w:val="20"/>
    </w:rPr>
  </w:style>
  <w:style w:type="character" w:customStyle="1" w:styleId="ParaCharCharChar">
    <w:name w:val="Para Char Char Char"/>
    <w:link w:val="ParaCharChar"/>
    <w:rPr>
      <w:rFonts w:ascii="Calibri" w:eastAsia="Arial Unicode MS" w:hAnsi="Calibri" w:cs="Arial"/>
      <w:sz w:val="20"/>
      <w:szCs w:val="20"/>
    </w:rPr>
  </w:style>
  <w:style w:type="paragraph" w:customStyle="1" w:styleId="TableHCharCharChar">
    <w:name w:val="TableH Char Char Char"/>
    <w:basedOn w:val="Normal"/>
    <w:link w:val="TableHCharCharCharChar"/>
    <w:autoRedefine/>
    <w:pPr>
      <w:spacing w:before="240" w:after="60"/>
    </w:pPr>
    <w:rPr>
      <w:rFonts w:eastAsia="SimSun"/>
      <w:b/>
      <w:sz w:val="21"/>
    </w:rPr>
  </w:style>
  <w:style w:type="character" w:customStyle="1" w:styleId="TableHCharCharCharChar">
    <w:name w:val="TableH Char Char Char Char"/>
    <w:link w:val="TableHCharCharChar"/>
    <w:rPr>
      <w:rFonts w:ascii="Times New Roman" w:eastAsia="SimSun" w:hAnsi="Times New Roman" w:cs="Times New Roman"/>
      <w:b/>
      <w:sz w:val="21"/>
    </w:rPr>
  </w:style>
  <w:style w:type="character" w:customStyle="1" w:styleId="highlighttext">
    <w:name w:val="highlighttext"/>
    <w:rPr>
      <w:rFonts w:ascii="Times New Roman" w:hAnsi="Times New Roman"/>
      <w:sz w:val="22"/>
      <w:shd w:val="clear" w:color="auto" w:fill="B3B3B3"/>
    </w:rPr>
  </w:style>
  <w:style w:type="paragraph" w:customStyle="1" w:styleId="steptext">
    <w:name w:val="steptext"/>
    <w:basedOn w:val="Normal"/>
    <w:rPr>
      <w:rFonts w:eastAsia="SimSun"/>
      <w:sz w:val="20"/>
    </w:rPr>
  </w:style>
  <w:style w:type="paragraph" w:customStyle="1" w:styleId="NumberedList2">
    <w:name w:val="Numbered List 2"/>
    <w:basedOn w:val="Normal"/>
    <w:pPr>
      <w:spacing w:line="240" w:lineRule="atLeast"/>
      <w:ind w:hanging="360"/>
    </w:pPr>
    <w:rPr>
      <w:rFonts w:ascii="Arial Unicode MS" w:eastAsia="SimSun" w:hAnsi="Arial Unicode MS"/>
      <w:sz w:val="20"/>
    </w:rPr>
  </w:style>
  <w:style w:type="paragraph" w:customStyle="1" w:styleId="CharChar">
    <w:name w:val="Char Char Знак Знак"/>
    <w:basedOn w:val="Normal"/>
    <w:pPr>
      <w:spacing w:line="240" w:lineRule="exact"/>
    </w:pPr>
    <w:rPr>
      <w:rFonts w:eastAsia="SimSun" w:cs="Arial"/>
      <w:sz w:val="20"/>
      <w:szCs w:val="20"/>
      <w:lang w:val="de-CH" w:eastAsia="de-CH"/>
    </w:rPr>
  </w:style>
  <w:style w:type="character" w:customStyle="1" w:styleId="PlainTextChar">
    <w:name w:val="Plain Text Char"/>
    <w:basedOn w:val="DefaultParagraphFont"/>
    <w:link w:val="PlainText"/>
    <w:uiPriority w:val="99"/>
    <w:rPr>
      <w:rFonts w:ascii="Consolas" w:eastAsia="Calibri" w:hAnsi="Consolas" w:cs="Times New Roman"/>
      <w:sz w:val="21"/>
      <w:szCs w:val="21"/>
    </w:rPr>
  </w:style>
  <w:style w:type="character" w:customStyle="1" w:styleId="Heading1Char1">
    <w:name w:val="Heading 1 Char1"/>
    <w:basedOn w:val="DefaultParagraphFont"/>
    <w:link w:val="Heading1"/>
    <w:uiPriority w:val="9"/>
    <w:rPr>
      <w:rFonts w:asciiTheme="majorHAnsi" w:eastAsiaTheme="majorEastAsia" w:hAnsiTheme="majorHAnsi" w:cstheme="majorBidi"/>
      <w:color w:val="2E74B5" w:themeColor="accent1" w:themeShade="BF"/>
      <w:sz w:val="32"/>
      <w:szCs w:val="32"/>
    </w:rPr>
  </w:style>
  <w:style w:type="paragraph" w:customStyle="1" w:styleId="TOCHeading1">
    <w:name w:val="TOC Heading1"/>
    <w:basedOn w:val="Heading1"/>
    <w:next w:val="Normal"/>
    <w:uiPriority w:val="39"/>
    <w:unhideWhenUsed/>
    <w:qFormat/>
    <w:pPr>
      <w:spacing w:before="480" w:line="276" w:lineRule="auto"/>
      <w:outlineLvl w:val="9"/>
    </w:pPr>
    <w:rPr>
      <w:rFonts w:ascii="Cambria" w:eastAsia="SimSun" w:hAnsi="Cambria" w:cs="Times New Roman"/>
      <w:b/>
      <w:bCs/>
      <w:color w:val="365F91"/>
      <w:sz w:val="28"/>
      <w:szCs w:val="28"/>
    </w:rPr>
  </w:style>
  <w:style w:type="paragraph" w:styleId="NoSpacing">
    <w:name w:val="No Spacing"/>
    <w:link w:val="NoSpacingChar"/>
    <w:uiPriority w:val="1"/>
    <w:qFormat/>
    <w:rPr>
      <w:rFonts w:ascii="Times" w:eastAsia="Times" w:hAnsi="Times"/>
      <w:sz w:val="24"/>
      <w:szCs w:val="24"/>
      <w:lang w:val="en-GB" w:eastAsia="en-GB"/>
    </w:rPr>
  </w:style>
  <w:style w:type="character" w:customStyle="1" w:styleId="NoSpacingChar">
    <w:name w:val="No Spacing Char"/>
    <w:link w:val="NoSpacing"/>
    <w:uiPriority w:val="1"/>
    <w:rPr>
      <w:rFonts w:ascii="Times" w:eastAsia="Times" w:hAnsi="Times" w:cs="Times New Roman"/>
      <w:sz w:val="24"/>
      <w:szCs w:val="24"/>
    </w:rPr>
  </w:style>
  <w:style w:type="character" w:customStyle="1" w:styleId="ListParagraphChar">
    <w:name w:val="List Paragraph Char"/>
    <w:link w:val="ListParagraph"/>
    <w:uiPriority w:val="34"/>
    <w:qFormat/>
    <w:rPr>
      <w:rFonts w:ascii="Times New Roman" w:eastAsia="SimSun" w:hAnsi="Times New Roman" w:cs="Times New Roman"/>
      <w:sz w:val="24"/>
      <w:szCs w:val="24"/>
    </w:rPr>
  </w:style>
  <w:style w:type="character" w:customStyle="1" w:styleId="PlainTextChar1">
    <w:name w:val="Plain Text Char1"/>
    <w:uiPriority w:val="99"/>
    <w:locked/>
    <w:rPr>
      <w:rFonts w:ascii="Consolas" w:eastAsia="Times New Roman" w:hAnsi="Consolas" w:cs="Times New Roman"/>
      <w:sz w:val="20"/>
      <w:szCs w:val="20"/>
    </w:rPr>
  </w:style>
  <w:style w:type="character" w:customStyle="1" w:styleId="IntenseReference1">
    <w:name w:val="Intense Reference1"/>
    <w:uiPriority w:val="32"/>
    <w:qFormat/>
    <w:rPr>
      <w:b/>
      <w:bCs/>
      <w:smallCaps/>
      <w:color w:val="C0504D"/>
      <w:spacing w:val="5"/>
      <w:u w:val="single"/>
    </w:rPr>
  </w:style>
  <w:style w:type="character" w:customStyle="1" w:styleId="StyleHeading2NotBoldChar">
    <w:name w:val="Style Heading 2 + Not Bold Char"/>
    <w:rPr>
      <w:rFonts w:ascii="Book Antiqua" w:hAnsi="Book Antiqua" w:cs="Arial"/>
      <w:b/>
      <w:i/>
      <w:sz w:val="22"/>
      <w:szCs w:val="28"/>
      <w:lang w:val="en-US" w:eastAsia="ar-SA"/>
    </w:rPr>
  </w:style>
  <w:style w:type="character" w:customStyle="1" w:styleId="apple-converted-space">
    <w:name w:val="apple-converted-space"/>
    <w:basedOn w:val="DefaultParagraphFont"/>
  </w:style>
  <w:style w:type="paragraph" w:customStyle="1" w:styleId="Normal1">
    <w:name w:val="Normal1"/>
    <w:basedOn w:val="Normal"/>
    <w:next w:val="Normal"/>
    <w:pPr>
      <w:numPr>
        <w:numId w:val="5"/>
      </w:numPr>
    </w:pPr>
    <w:rPr>
      <w:rFonts w:ascii="Calibri" w:hAnsi="Calibri"/>
      <w:sz w:val="20"/>
      <w:lang w:eastAsia="ja-JP"/>
    </w:rPr>
  </w:style>
  <w:style w:type="character" w:customStyle="1" w:styleId="ColorfulList-Accent1Char">
    <w:name w:val="Colorful List - Accent 1 Char"/>
    <w:link w:val="ColorfulList-Accent12"/>
    <w:uiPriority w:val="34"/>
    <w:qFormat/>
    <w:locked/>
  </w:style>
  <w:style w:type="paragraph" w:customStyle="1" w:styleId="ColorfulList-Accent12">
    <w:name w:val="Colorful List - Accent 12"/>
    <w:basedOn w:val="Normal"/>
    <w:link w:val="ColorfulList-Accent1Char"/>
    <w:uiPriority w:val="34"/>
    <w:pPr>
      <w:ind w:left="720"/>
    </w:pPr>
  </w:style>
  <w:style w:type="character" w:customStyle="1" w:styleId="Mention1">
    <w:name w:val="Mention1"/>
    <w:uiPriority w:val="99"/>
    <w:unhideWhenUsed/>
    <w:rPr>
      <w:color w:val="2B579A"/>
      <w:shd w:val="clear" w:color="auto" w:fill="E6E6E6"/>
    </w:rPr>
  </w:style>
  <w:style w:type="paragraph" w:customStyle="1" w:styleId="xmsonormal">
    <w:name w:val="x_msonormal"/>
    <w:basedOn w:val="Normal"/>
    <w:pPr>
      <w:spacing w:before="100" w:beforeAutospacing="1" w:after="100" w:afterAutospacing="1"/>
    </w:pPr>
    <w:rPr>
      <w:lang w:val="es-ES" w:eastAsia="es-ES"/>
    </w:rPr>
  </w:style>
  <w:style w:type="character" w:customStyle="1" w:styleId="UnresolvedMention1">
    <w:name w:val="Unresolved Mention1"/>
    <w:uiPriority w:val="99"/>
    <w:unhideWhenUsed/>
    <w:rPr>
      <w:color w:val="605E5C"/>
      <w:shd w:val="clear" w:color="auto" w:fill="E1DFDD"/>
    </w:rPr>
  </w:style>
  <w:style w:type="paragraph" w:customStyle="1" w:styleId="GEFQuestion">
    <w:name w:val="GEF Question"/>
    <w:basedOn w:val="Normal"/>
    <w:next w:val="Normal"/>
    <w:qFormat/>
    <w:pPr>
      <w:ind w:left="-720"/>
    </w:pPr>
  </w:style>
  <w:style w:type="character" w:customStyle="1" w:styleId="GEFFieldtoFilloutChar">
    <w:name w:val="GEF Field to Fill out Char"/>
    <w:link w:val="GEFFieldtoFillout"/>
    <w:locked/>
    <w:rPr>
      <w:rFonts w:ascii="Times New Roman" w:eastAsia="Times New Roman" w:hAnsi="Times New Roman"/>
      <w:color w:val="000000"/>
    </w:rPr>
  </w:style>
  <w:style w:type="paragraph" w:customStyle="1" w:styleId="GEFFieldtoFillout">
    <w:name w:val="GEF Field to Fill out"/>
    <w:basedOn w:val="Normal"/>
    <w:link w:val="GEFFieldtoFilloutChar"/>
    <w:qFormat/>
    <w:pPr>
      <w:ind w:left="-720"/>
    </w:pPr>
    <w:rPr>
      <w:color w:val="000000"/>
    </w:rPr>
  </w:style>
  <w:style w:type="paragraph" w:customStyle="1" w:styleId="GEFTableHeading">
    <w:name w:val="GEF Table Heading"/>
    <w:basedOn w:val="Normal"/>
    <w:next w:val="Normal"/>
    <w:qFormat/>
    <w:pPr>
      <w:ind w:left="-720"/>
    </w:pPr>
    <w:rPr>
      <w:rFonts w:ascii="Times New Roman Bold" w:hAnsi="Times New Roman Bold"/>
      <w:b/>
      <w:bCs/>
      <w:smallCaps/>
      <w:color w:val="000000"/>
    </w:rPr>
  </w:style>
  <w:style w:type="paragraph" w:customStyle="1" w:styleId="GEFInstruction">
    <w:name w:val="GEF Instruction"/>
    <w:basedOn w:val="Normal"/>
    <w:next w:val="Normal"/>
    <w:qFormat/>
    <w:pPr>
      <w:ind w:left="-540"/>
    </w:pPr>
    <w:rPr>
      <w:sz w:val="20"/>
    </w:rPr>
  </w:style>
  <w:style w:type="table" w:customStyle="1" w:styleId="TableGrid1">
    <w:name w:val="Table Grid1"/>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bullets">
    <w:name w:val="body bullets"/>
    <w:basedOn w:val="Normal"/>
    <w:next w:val="Normal"/>
    <w:qFormat/>
    <w:pPr>
      <w:spacing w:before="60" w:after="60" w:line="260" w:lineRule="exact"/>
      <w:ind w:left="720" w:hanging="360"/>
    </w:pPr>
    <w:rPr>
      <w:rFonts w:ascii="Calibri" w:hAnsi="Calibri"/>
      <w:sz w:val="20"/>
      <w:lang w:eastAsia="ja-JP"/>
    </w:rPr>
  </w:style>
  <w:style w:type="character" w:customStyle="1" w:styleId="Mention11">
    <w:name w:val="Mention11"/>
    <w:uiPriority w:val="99"/>
    <w:unhideWhenUsed/>
    <w:rPr>
      <w:color w:val="2B579A"/>
      <w:shd w:val="clear" w:color="auto" w:fill="E6E6E6"/>
    </w:rPr>
  </w:style>
  <w:style w:type="paragraph" w:customStyle="1" w:styleId="Outline">
    <w:name w:val="Outline"/>
    <w:basedOn w:val="Normal"/>
    <w:pPr>
      <w:spacing w:before="240"/>
    </w:pPr>
    <w:rPr>
      <w:kern w:val="28"/>
      <w:szCs w:val="20"/>
    </w:rPr>
  </w:style>
  <w:style w:type="character" w:customStyle="1" w:styleId="BodyTextIndent2Char">
    <w:name w:val="Body Text Indent 2 Char"/>
    <w:basedOn w:val="DefaultParagraphFont"/>
    <w:link w:val="BodyTextIndent2"/>
    <w:rPr>
      <w:rFonts w:ascii="Times New Roman" w:eastAsia="Times New Roman" w:hAnsi="Times New Roman" w:cs="Times New Roman"/>
      <w:i/>
      <w:iCs/>
      <w:sz w:val="20"/>
      <w:szCs w:val="24"/>
      <w:lang w:val="zh-CN" w:eastAsia="zh-CN"/>
    </w:rPr>
  </w:style>
  <w:style w:type="character" w:customStyle="1" w:styleId="BodyTextIndent3Char">
    <w:name w:val="Body Text Indent 3 Char"/>
    <w:basedOn w:val="DefaultParagraphFont"/>
    <w:link w:val="BodyTextIndent3"/>
    <w:rPr>
      <w:rFonts w:ascii="Times New Roman" w:eastAsia="Times New Roman" w:hAnsi="Times New Roman" w:cs="Times New Roman"/>
      <w:sz w:val="24"/>
      <w:szCs w:val="24"/>
      <w:lang w:val="zh-CN" w:eastAsia="zh-CN"/>
    </w:rPr>
  </w:style>
  <w:style w:type="character" w:customStyle="1" w:styleId="DocumentMapChar">
    <w:name w:val="Document Map Char"/>
    <w:basedOn w:val="DefaultParagraphFont"/>
    <w:link w:val="DocumentMap"/>
    <w:semiHidden/>
    <w:rPr>
      <w:rFonts w:ascii="Tahoma" w:eastAsia="Times New Roman" w:hAnsi="Tahoma" w:cs="Times New Roman"/>
      <w:sz w:val="20"/>
      <w:szCs w:val="20"/>
      <w:shd w:val="clear" w:color="auto" w:fill="000080"/>
      <w:lang w:val="zh-CN" w:eastAsia="zh-CN"/>
    </w:rPr>
  </w:style>
  <w:style w:type="paragraph" w:customStyle="1" w:styleId="MainParanoChapter">
    <w:name w:val="Main Para no Chapter #"/>
    <w:basedOn w:val="Normal"/>
    <w:link w:val="MainParanoChapterChar"/>
    <w:autoRedefine/>
    <w:uiPriority w:val="99"/>
    <w:qFormat/>
    <w:pPr>
      <w:numPr>
        <w:numId w:val="6"/>
      </w:numPr>
      <w:spacing w:before="120" w:after="240"/>
      <w:ind w:left="0" w:firstLine="0"/>
      <w:outlineLvl w:val="1"/>
    </w:pPr>
    <w:rPr>
      <w:color w:val="000000"/>
      <w:lang w:val="zh-CN" w:eastAsia="zh-CN"/>
    </w:rPr>
  </w:style>
  <w:style w:type="character" w:customStyle="1" w:styleId="MainParanoChapterChar">
    <w:name w:val="Main Para no Chapter # Char"/>
    <w:link w:val="MainParanoChapter"/>
    <w:uiPriority w:val="99"/>
    <w:locked/>
    <w:rPr>
      <w:color w:val="000000"/>
      <w:sz w:val="24"/>
      <w:szCs w:val="24"/>
      <w:lang w:val="zh-CN" w:eastAsia="zh-CN"/>
    </w:rPr>
  </w:style>
  <w:style w:type="paragraph" w:customStyle="1" w:styleId="z-TopofForm1">
    <w:name w:val="z-Top of Form1"/>
    <w:basedOn w:val="Normal"/>
    <w:next w:val="Normal"/>
    <w:link w:val="z-TopofFormChar"/>
    <w:pPr>
      <w:pBdr>
        <w:bottom w:val="single" w:sz="6" w:space="1" w:color="auto"/>
      </w:pBdr>
      <w:jc w:val="center"/>
    </w:pPr>
    <w:rPr>
      <w:rFonts w:ascii="Arial" w:hAnsi="Arial"/>
      <w:vanish/>
      <w:sz w:val="16"/>
      <w:szCs w:val="16"/>
      <w:lang w:val="zh-CN" w:eastAsia="zh-CN"/>
    </w:rPr>
  </w:style>
  <w:style w:type="character" w:customStyle="1" w:styleId="z-TopofFormChar">
    <w:name w:val="z-Top of Form Char"/>
    <w:basedOn w:val="DefaultParagraphFont"/>
    <w:link w:val="z-TopofForm1"/>
    <w:rPr>
      <w:rFonts w:ascii="Arial" w:eastAsia="Times New Roman" w:hAnsi="Arial" w:cs="Times New Roman"/>
      <w:vanish/>
      <w:sz w:val="16"/>
      <w:szCs w:val="16"/>
      <w:lang w:val="zh-CN" w:eastAsia="zh-CN"/>
    </w:rPr>
  </w:style>
  <w:style w:type="paragraph" w:customStyle="1" w:styleId="z-BottomofForm1">
    <w:name w:val="z-Bottom of Form1"/>
    <w:basedOn w:val="Normal"/>
    <w:next w:val="Normal"/>
    <w:link w:val="z-BottomofFormChar"/>
    <w:qFormat/>
    <w:pPr>
      <w:pBdr>
        <w:top w:val="single" w:sz="6" w:space="1" w:color="auto"/>
      </w:pBdr>
      <w:jc w:val="center"/>
    </w:pPr>
    <w:rPr>
      <w:rFonts w:ascii="Arial" w:hAnsi="Arial"/>
      <w:vanish/>
      <w:sz w:val="16"/>
      <w:szCs w:val="16"/>
      <w:lang w:val="zh-CN" w:eastAsia="zh-CN"/>
    </w:rPr>
  </w:style>
  <w:style w:type="character" w:customStyle="1" w:styleId="z-BottomofFormChar">
    <w:name w:val="z-Bottom of Form Char"/>
    <w:basedOn w:val="DefaultParagraphFont"/>
    <w:link w:val="z-BottomofForm1"/>
    <w:rPr>
      <w:rFonts w:ascii="Arial" w:eastAsia="Times New Roman" w:hAnsi="Arial" w:cs="Times New Roman"/>
      <w:vanish/>
      <w:sz w:val="16"/>
      <w:szCs w:val="16"/>
      <w:lang w:val="zh-CN" w:eastAsia="zh-CN"/>
    </w:rPr>
  </w:style>
  <w:style w:type="paragraph" w:customStyle="1" w:styleId="GEFPartHeading">
    <w:name w:val="GEF Part Heading"/>
    <w:basedOn w:val="ListParagraph"/>
    <w:qFormat/>
    <w:pPr>
      <w:snapToGrid w:val="0"/>
      <w:spacing w:before="120" w:after="120"/>
      <w:ind w:left="-720"/>
      <w:outlineLvl w:val="0"/>
    </w:pPr>
    <w:rPr>
      <w:rFonts w:ascii="Times New Roman Bold" w:eastAsia="Times New Roman" w:hAnsi="Times New Roman Bold"/>
      <w:b/>
      <w:caps/>
      <w:color w:val="000000"/>
      <w:sz w:val="22"/>
      <w:szCs w:val="22"/>
      <w:u w:val="single"/>
    </w:rPr>
  </w:style>
  <w:style w:type="paragraph" w:customStyle="1" w:styleId="NumberedParasPIF">
    <w:name w:val="Numbered Paras PIF"/>
    <w:basedOn w:val="Normal"/>
    <w:qFormat/>
    <w:pPr>
      <w:numPr>
        <w:numId w:val="7"/>
      </w:numPr>
      <w:spacing w:after="100"/>
      <w:jc w:val="both"/>
    </w:pPr>
    <w:rPr>
      <w:sz w:val="20"/>
      <w:szCs w:val="18"/>
    </w:rPr>
  </w:style>
  <w:style w:type="paragraph" w:customStyle="1" w:styleId="Revision1">
    <w:name w:val="Revision1"/>
    <w:hidden/>
    <w:uiPriority w:val="99"/>
    <w:semiHidden/>
    <w:rPr>
      <w:rFonts w:ascii="Calibri" w:hAnsi="Calibri"/>
      <w:szCs w:val="24"/>
      <w:lang w:val="en-GB" w:eastAsia="en-GB"/>
    </w:rPr>
  </w:style>
  <w:style w:type="table" w:customStyle="1" w:styleId="TableGrid2">
    <w:name w:val="Table Grid2"/>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uiPriority w:val="99"/>
  </w:style>
  <w:style w:type="character" w:customStyle="1" w:styleId="shorttext">
    <w:name w:val="short_text"/>
  </w:style>
  <w:style w:type="character" w:customStyle="1" w:styleId="ts-alignment-element">
    <w:name w:val="ts-alignment-element"/>
    <w:basedOn w:val="DefaultParagraphFont"/>
  </w:style>
  <w:style w:type="character" w:customStyle="1" w:styleId="FootnoteTextChar2">
    <w:name w:val="Footnote Text Char2"/>
    <w:basedOn w:val="DefaultParagraphFont"/>
    <w:link w:val="FootnoteText"/>
    <w:uiPriority w:val="99"/>
    <w:rPr>
      <w:sz w:val="20"/>
      <w:szCs w:val="20"/>
    </w:rPr>
  </w:style>
  <w:style w:type="character" w:customStyle="1" w:styleId="UnresolvedMention11">
    <w:name w:val="Unresolved Mention11"/>
    <w:uiPriority w:val="99"/>
    <w:unhideWhenUsed/>
    <w:rPr>
      <w:color w:val="605E5C"/>
      <w:shd w:val="clear" w:color="auto" w:fill="E1DFDD"/>
    </w:rPr>
  </w:style>
  <w:style w:type="character" w:customStyle="1" w:styleId="Mention10">
    <w:name w:val="Mention10"/>
    <w:uiPriority w:val="99"/>
    <w:semiHidden/>
    <w:unhideWhenUsed/>
    <w:rPr>
      <w:color w:val="2B579A"/>
      <w:shd w:val="clear" w:color="auto" w:fill="E6E6E6"/>
    </w:rPr>
  </w:style>
  <w:style w:type="character" w:customStyle="1" w:styleId="UnresolvedMention2">
    <w:name w:val="Unresolved Mention2"/>
    <w:basedOn w:val="DefaultParagraphFont"/>
    <w:uiPriority w:val="99"/>
    <w:unhideWhenUsed/>
    <w:rPr>
      <w:color w:val="605E5C"/>
      <w:shd w:val="clear" w:color="auto" w:fill="E1DFDD"/>
    </w:rPr>
  </w:style>
  <w:style w:type="paragraph" w:customStyle="1" w:styleId="xxxmsolistparagraph">
    <w:name w:val="x_xxmsolistparagraph"/>
    <w:basedOn w:val="Normal"/>
    <w:pPr>
      <w:spacing w:before="100" w:beforeAutospacing="1" w:after="100" w:afterAutospacing="1"/>
    </w:pPr>
    <w:rPr>
      <w:rFonts w:ascii="Calibri" w:hAnsi="Calibri" w:cs="Calibri"/>
    </w:rPr>
  </w:style>
  <w:style w:type="character" w:customStyle="1" w:styleId="Mention2">
    <w:name w:val="Mention2"/>
    <w:basedOn w:val="DefaultParagraphFont"/>
    <w:uiPriority w:val="99"/>
    <w:unhideWhenUsed/>
    <w:rPr>
      <w:color w:val="2B579A"/>
      <w:shd w:val="clear" w:color="auto" w:fill="E6E6E6"/>
    </w:rPr>
  </w:style>
  <w:style w:type="character" w:customStyle="1" w:styleId="UnresolvedMention3">
    <w:name w:val="Unresolved Mention3"/>
    <w:basedOn w:val="DefaultParagraphFont"/>
    <w:uiPriority w:val="99"/>
    <w:semiHidden/>
    <w:unhideWhenUsed/>
    <w:rPr>
      <w:color w:val="605E5C"/>
      <w:shd w:val="clear" w:color="auto" w:fill="E1DFDD"/>
    </w:rPr>
  </w:style>
  <w:style w:type="character" w:customStyle="1" w:styleId="markejj6ni1d0">
    <w:name w:val="markejj6ni1d0"/>
    <w:basedOn w:val="DefaultParagraphFont"/>
  </w:style>
  <w:style w:type="character" w:customStyle="1" w:styleId="UnresolvedMention4">
    <w:name w:val="Unresolved Mention4"/>
    <w:basedOn w:val="DefaultParagraphFont"/>
    <w:uiPriority w:val="99"/>
    <w:unhideWhenUsed/>
    <w:rPr>
      <w:color w:val="605E5C"/>
      <w:shd w:val="clear" w:color="auto" w:fill="E1DFDD"/>
    </w:rPr>
  </w:style>
  <w:style w:type="character" w:customStyle="1" w:styleId="Mention3">
    <w:name w:val="Mention3"/>
    <w:basedOn w:val="DefaultParagraphFont"/>
    <w:uiPriority w:val="99"/>
    <w:unhideWhenUsed/>
    <w:rPr>
      <w:color w:val="2B579A"/>
      <w:shd w:val="clear" w:color="auto" w:fill="E1DFDD"/>
    </w:rPr>
  </w:style>
  <w:style w:type="paragraph" w:customStyle="1" w:styleId="msonormal0">
    <w:name w:val="msonormal"/>
    <w:basedOn w:val="Normal"/>
    <w:pPr>
      <w:spacing w:before="100" w:beforeAutospacing="1" w:after="100" w:afterAutospacing="1"/>
    </w:pPr>
  </w:style>
  <w:style w:type="paragraph" w:customStyle="1" w:styleId="font5">
    <w:name w:val="font5"/>
    <w:basedOn w:val="Normal"/>
    <w:pPr>
      <w:spacing w:before="100" w:beforeAutospacing="1" w:after="100" w:afterAutospacing="1"/>
    </w:pPr>
    <w:rPr>
      <w:rFonts w:ascii="Calibri" w:hAnsi="Calibri" w:cs="Calibri"/>
      <w:b/>
      <w:bCs/>
      <w:color w:val="000000"/>
      <w:sz w:val="16"/>
      <w:szCs w:val="16"/>
    </w:rPr>
  </w:style>
  <w:style w:type="paragraph" w:customStyle="1" w:styleId="font6">
    <w:name w:val="font6"/>
    <w:basedOn w:val="Normal"/>
    <w:pPr>
      <w:spacing w:before="100" w:beforeAutospacing="1" w:after="100" w:afterAutospacing="1"/>
    </w:pPr>
    <w:rPr>
      <w:rFonts w:ascii="Calibri" w:hAnsi="Calibri" w:cs="Calibri"/>
      <w:b/>
      <w:bCs/>
      <w:i/>
      <w:iCs/>
      <w:color w:val="000000"/>
      <w:sz w:val="16"/>
      <w:szCs w:val="16"/>
    </w:rPr>
  </w:style>
  <w:style w:type="paragraph" w:customStyle="1" w:styleId="xl65">
    <w:name w:val="xl65"/>
    <w:basedOn w:val="Normal"/>
    <w:pPr>
      <w:spacing w:before="100" w:beforeAutospacing="1" w:after="100" w:afterAutospacing="1"/>
    </w:pPr>
    <w:rPr>
      <w:sz w:val="16"/>
      <w:szCs w:val="16"/>
    </w:rPr>
  </w:style>
  <w:style w:type="paragraph" w:customStyle="1" w:styleId="xl66">
    <w:name w:val="xl6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sz w:val="16"/>
      <w:szCs w:val="16"/>
    </w:rPr>
  </w:style>
  <w:style w:type="paragraph" w:customStyle="1" w:styleId="xl67">
    <w:name w:val="xl67"/>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68">
    <w:name w:val="xl68"/>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69">
    <w:name w:val="xl69"/>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0">
    <w:name w:val="xl70"/>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color w:val="000000"/>
      <w:sz w:val="16"/>
      <w:szCs w:val="16"/>
    </w:rPr>
  </w:style>
  <w:style w:type="paragraph" w:customStyle="1" w:styleId="xl71">
    <w:name w:val="xl71"/>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2">
    <w:name w:val="xl72"/>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sz w:val="16"/>
      <w:szCs w:val="16"/>
    </w:rPr>
  </w:style>
  <w:style w:type="paragraph" w:customStyle="1" w:styleId="xl73">
    <w:name w:val="xl73"/>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i/>
      <w:iCs/>
      <w:sz w:val="16"/>
      <w:szCs w:val="16"/>
    </w:rPr>
  </w:style>
  <w:style w:type="paragraph" w:customStyle="1" w:styleId="xl74">
    <w:name w:val="xl74"/>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i/>
      <w:iCs/>
      <w:sz w:val="16"/>
      <w:szCs w:val="16"/>
    </w:rPr>
  </w:style>
  <w:style w:type="paragraph" w:customStyle="1" w:styleId="xl75">
    <w:name w:val="xl75"/>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76">
    <w:name w:val="xl76"/>
    <w:basedOn w:val="Normal"/>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sz w:val="16"/>
      <w:szCs w:val="16"/>
    </w:rPr>
  </w:style>
  <w:style w:type="paragraph" w:customStyle="1" w:styleId="xl77">
    <w:name w:val="xl77"/>
    <w:basedOn w:val="Normal"/>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sz w:val="16"/>
      <w:szCs w:val="16"/>
    </w:rPr>
  </w:style>
  <w:style w:type="paragraph" w:customStyle="1" w:styleId="xl78">
    <w:name w:val="xl78"/>
    <w:basedOn w:val="Normal"/>
    <w:pPr>
      <w:pBdr>
        <w:top w:val="single" w:sz="8"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9">
    <w:name w:val="xl79"/>
    <w:basedOn w:val="Normal"/>
    <w:pPr>
      <w:pBdr>
        <w:top w:val="single" w:sz="8"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80">
    <w:name w:val="xl80"/>
    <w:basedOn w:val="Normal"/>
    <w:pPr>
      <w:pBdr>
        <w:top w:val="single" w:sz="8" w:space="0" w:color="auto"/>
        <w:left w:val="single" w:sz="4" w:space="0" w:color="auto"/>
        <w:bottom w:val="single" w:sz="4" w:space="0" w:color="auto"/>
        <w:right w:val="single" w:sz="8" w:space="0" w:color="auto"/>
      </w:pBdr>
      <w:spacing w:before="100" w:beforeAutospacing="1" w:after="100" w:afterAutospacing="1"/>
      <w:jc w:val="center"/>
    </w:pPr>
    <w:rPr>
      <w:sz w:val="16"/>
      <w:szCs w:val="16"/>
    </w:rPr>
  </w:style>
  <w:style w:type="paragraph" w:customStyle="1" w:styleId="xl81">
    <w:name w:val="xl81"/>
    <w:basedOn w:val="Normal"/>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16"/>
      <w:szCs w:val="16"/>
    </w:rPr>
  </w:style>
  <w:style w:type="paragraph" w:customStyle="1" w:styleId="xl82">
    <w:name w:val="xl82"/>
    <w:basedOn w:val="Normal"/>
    <w:pPr>
      <w:pBdr>
        <w:top w:val="single" w:sz="4" w:space="0" w:color="auto"/>
        <w:left w:val="single" w:sz="4" w:space="0" w:color="auto"/>
        <w:bottom w:val="single" w:sz="4" w:space="0" w:color="auto"/>
        <w:right w:val="single" w:sz="8" w:space="0" w:color="auto"/>
      </w:pBdr>
      <w:spacing w:before="100" w:beforeAutospacing="1" w:after="100" w:afterAutospacing="1"/>
    </w:pPr>
    <w:rPr>
      <w:sz w:val="16"/>
      <w:szCs w:val="16"/>
    </w:rPr>
  </w:style>
  <w:style w:type="paragraph" w:customStyle="1" w:styleId="xl83">
    <w:name w:val="xl83"/>
    <w:basedOn w:val="Normal"/>
    <w:pPr>
      <w:pBdr>
        <w:top w:val="single" w:sz="4" w:space="0" w:color="auto"/>
        <w:left w:val="single" w:sz="4" w:space="0" w:color="auto"/>
        <w:bottom w:val="single" w:sz="8" w:space="0" w:color="auto"/>
        <w:right w:val="single" w:sz="4" w:space="0" w:color="auto"/>
      </w:pBdr>
      <w:spacing w:before="100" w:beforeAutospacing="1" w:after="100" w:afterAutospacing="1"/>
    </w:pPr>
    <w:rPr>
      <w:rFonts w:ascii="Calibri" w:hAnsi="Calibri" w:cs="Calibri"/>
      <w:b/>
      <w:bCs/>
      <w:sz w:val="16"/>
      <w:szCs w:val="16"/>
    </w:rPr>
  </w:style>
  <w:style w:type="paragraph" w:customStyle="1" w:styleId="xl84">
    <w:name w:val="xl84"/>
    <w:basedOn w:val="Normal"/>
    <w:pPr>
      <w:pBdr>
        <w:top w:val="single" w:sz="4" w:space="0" w:color="auto"/>
        <w:left w:val="single" w:sz="4" w:space="0" w:color="auto"/>
        <w:bottom w:val="single" w:sz="8" w:space="0" w:color="auto"/>
        <w:right w:val="single" w:sz="4" w:space="0" w:color="auto"/>
      </w:pBdr>
      <w:spacing w:before="100" w:beforeAutospacing="1" w:after="100" w:afterAutospacing="1"/>
    </w:pPr>
    <w:rPr>
      <w:sz w:val="16"/>
      <w:szCs w:val="16"/>
    </w:rPr>
  </w:style>
  <w:style w:type="paragraph" w:customStyle="1" w:styleId="xl85">
    <w:name w:val="xl85"/>
    <w:basedOn w:val="Normal"/>
    <w:pPr>
      <w:pBdr>
        <w:top w:val="single" w:sz="4" w:space="0" w:color="auto"/>
        <w:left w:val="single" w:sz="4" w:space="0" w:color="auto"/>
        <w:bottom w:val="single" w:sz="8" w:space="0" w:color="auto"/>
        <w:right w:val="single" w:sz="8" w:space="0" w:color="auto"/>
      </w:pBdr>
      <w:spacing w:before="100" w:beforeAutospacing="1" w:after="100" w:afterAutospacing="1"/>
    </w:pPr>
    <w:rPr>
      <w:sz w:val="16"/>
      <w:szCs w:val="16"/>
    </w:rPr>
  </w:style>
  <w:style w:type="paragraph" w:customStyle="1" w:styleId="xl86">
    <w:name w:val="xl86"/>
    <w:basedOn w:val="Normal"/>
    <w:pPr>
      <w:pBdr>
        <w:top w:val="single" w:sz="8" w:space="0" w:color="auto"/>
        <w:left w:val="single" w:sz="4" w:space="0" w:color="auto"/>
        <w:bottom w:val="single" w:sz="4" w:space="0" w:color="auto"/>
        <w:right w:val="single" w:sz="8" w:space="0" w:color="auto"/>
      </w:pBdr>
      <w:spacing w:before="100" w:beforeAutospacing="1" w:after="100" w:afterAutospacing="1"/>
    </w:pPr>
    <w:rPr>
      <w:sz w:val="16"/>
      <w:szCs w:val="16"/>
    </w:rPr>
  </w:style>
  <w:style w:type="paragraph" w:customStyle="1" w:styleId="xl87">
    <w:name w:val="xl87"/>
    <w:basedOn w:val="Normal"/>
    <w:pPr>
      <w:pBdr>
        <w:top w:val="single" w:sz="4" w:space="0" w:color="auto"/>
        <w:left w:val="single" w:sz="4" w:space="0" w:color="auto"/>
        <w:bottom w:val="single" w:sz="8" w:space="0" w:color="auto"/>
        <w:right w:val="single" w:sz="4" w:space="0" w:color="auto"/>
      </w:pBdr>
      <w:spacing w:before="100" w:beforeAutospacing="1" w:after="100" w:afterAutospacing="1"/>
    </w:pPr>
    <w:rPr>
      <w:b/>
      <w:bCs/>
      <w:sz w:val="16"/>
      <w:szCs w:val="16"/>
    </w:rPr>
  </w:style>
  <w:style w:type="paragraph" w:customStyle="1" w:styleId="xl88">
    <w:name w:val="xl88"/>
    <w:basedOn w:val="Normal"/>
    <w:qFormat/>
    <w:pPr>
      <w:pBdr>
        <w:top w:val="single" w:sz="8" w:space="0" w:color="auto"/>
        <w:left w:val="single" w:sz="4" w:space="0" w:color="auto"/>
        <w:bottom w:val="single" w:sz="4" w:space="0" w:color="auto"/>
        <w:right w:val="single" w:sz="4" w:space="0" w:color="auto"/>
      </w:pBdr>
      <w:spacing w:before="100" w:beforeAutospacing="1" w:after="100" w:afterAutospacing="1"/>
      <w:jc w:val="both"/>
      <w:textAlignment w:val="center"/>
    </w:pPr>
    <w:rPr>
      <w:i/>
      <w:iCs/>
      <w:sz w:val="16"/>
      <w:szCs w:val="16"/>
    </w:rPr>
  </w:style>
  <w:style w:type="paragraph" w:customStyle="1" w:styleId="xl89">
    <w:name w:val="xl89"/>
    <w:basedOn w:val="Normal"/>
    <w:pPr>
      <w:pBdr>
        <w:top w:val="single" w:sz="8" w:space="0" w:color="auto"/>
        <w:left w:val="single" w:sz="4" w:space="0" w:color="auto"/>
        <w:bottom w:val="single" w:sz="4" w:space="0" w:color="auto"/>
        <w:right w:val="single" w:sz="4" w:space="0" w:color="auto"/>
      </w:pBdr>
      <w:spacing w:before="100" w:beforeAutospacing="1" w:after="100" w:afterAutospacing="1"/>
      <w:jc w:val="both"/>
      <w:textAlignment w:val="center"/>
    </w:pPr>
    <w:rPr>
      <w:i/>
      <w:iCs/>
      <w:sz w:val="16"/>
      <w:szCs w:val="16"/>
    </w:rPr>
  </w:style>
  <w:style w:type="paragraph" w:customStyle="1" w:styleId="xl90">
    <w:name w:val="xl90"/>
    <w:basedOn w:val="Normal"/>
    <w:pPr>
      <w:pBdr>
        <w:top w:val="single" w:sz="8" w:space="0" w:color="auto"/>
        <w:left w:val="single" w:sz="4" w:space="0" w:color="auto"/>
        <w:bottom w:val="single" w:sz="8" w:space="0" w:color="auto"/>
        <w:right w:val="single" w:sz="4" w:space="0" w:color="auto"/>
      </w:pBdr>
      <w:spacing w:before="100" w:beforeAutospacing="1" w:after="100" w:afterAutospacing="1"/>
    </w:pPr>
    <w:rPr>
      <w:rFonts w:ascii="Calibri" w:hAnsi="Calibri" w:cs="Calibri"/>
      <w:b/>
      <w:bCs/>
      <w:sz w:val="16"/>
      <w:szCs w:val="16"/>
    </w:rPr>
  </w:style>
  <w:style w:type="paragraph" w:customStyle="1" w:styleId="xl91">
    <w:name w:val="xl91"/>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ascii="Calibri" w:hAnsi="Calibri" w:cs="Calibri"/>
      <w:b/>
      <w:bCs/>
      <w:sz w:val="16"/>
      <w:szCs w:val="16"/>
    </w:rPr>
  </w:style>
  <w:style w:type="paragraph" w:customStyle="1" w:styleId="xl92">
    <w:name w:val="xl92"/>
    <w:basedOn w:val="Normal"/>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color w:val="000000"/>
      <w:sz w:val="16"/>
      <w:szCs w:val="16"/>
    </w:rPr>
  </w:style>
  <w:style w:type="paragraph" w:customStyle="1" w:styleId="xl93">
    <w:name w:val="xl93"/>
    <w:basedOn w:val="Normal"/>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color w:val="000000"/>
      <w:sz w:val="16"/>
      <w:szCs w:val="16"/>
    </w:rPr>
  </w:style>
  <w:style w:type="paragraph" w:customStyle="1" w:styleId="xl94">
    <w:name w:val="xl94"/>
    <w:basedOn w:val="Normal"/>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6"/>
      <w:szCs w:val="16"/>
    </w:rPr>
  </w:style>
  <w:style w:type="paragraph" w:customStyle="1" w:styleId="xl95">
    <w:name w:val="xl95"/>
    <w:basedOn w:val="Normal"/>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96">
    <w:name w:val="xl96"/>
    <w:basedOn w:val="Normal"/>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6"/>
      <w:szCs w:val="16"/>
    </w:rPr>
  </w:style>
  <w:style w:type="paragraph" w:customStyle="1" w:styleId="xl97">
    <w:name w:val="xl97"/>
    <w:basedOn w:val="Normal"/>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98">
    <w:name w:val="xl98"/>
    <w:basedOn w:val="Normal"/>
    <w:qFormat/>
    <w:pPr>
      <w:pBdr>
        <w:top w:val="single" w:sz="4" w:space="0" w:color="auto"/>
        <w:left w:val="single" w:sz="8" w:space="0" w:color="auto"/>
        <w:bottom w:val="single" w:sz="8" w:space="0" w:color="auto"/>
      </w:pBdr>
      <w:spacing w:before="100" w:beforeAutospacing="1" w:after="100" w:afterAutospacing="1"/>
      <w:textAlignment w:val="center"/>
    </w:pPr>
    <w:rPr>
      <w:b/>
      <w:bCs/>
      <w:i/>
      <w:iCs/>
      <w:color w:val="000000"/>
      <w:sz w:val="16"/>
      <w:szCs w:val="16"/>
    </w:rPr>
  </w:style>
  <w:style w:type="paragraph" w:customStyle="1" w:styleId="xl99">
    <w:name w:val="xl99"/>
    <w:basedOn w:val="Normal"/>
    <w:pPr>
      <w:pBdr>
        <w:top w:val="single" w:sz="4" w:space="0" w:color="auto"/>
        <w:bottom w:val="single" w:sz="8" w:space="0" w:color="auto"/>
      </w:pBdr>
      <w:spacing w:before="100" w:beforeAutospacing="1" w:after="100" w:afterAutospacing="1"/>
      <w:textAlignment w:val="center"/>
    </w:pPr>
    <w:rPr>
      <w:b/>
      <w:bCs/>
      <w:i/>
      <w:iCs/>
      <w:color w:val="000000"/>
      <w:sz w:val="16"/>
      <w:szCs w:val="16"/>
    </w:rPr>
  </w:style>
  <w:style w:type="paragraph" w:customStyle="1" w:styleId="xl100">
    <w:name w:val="xl100"/>
    <w:basedOn w:val="Normal"/>
    <w:pPr>
      <w:pBdr>
        <w:top w:val="single" w:sz="4" w:space="0" w:color="auto"/>
        <w:bottom w:val="single" w:sz="8" w:space="0" w:color="auto"/>
        <w:right w:val="single" w:sz="4" w:space="0" w:color="auto"/>
      </w:pBdr>
      <w:spacing w:before="100" w:beforeAutospacing="1" w:after="100" w:afterAutospacing="1"/>
      <w:textAlignment w:val="center"/>
    </w:pPr>
    <w:rPr>
      <w:b/>
      <w:bCs/>
      <w:i/>
      <w:iCs/>
      <w:color w:val="000000"/>
      <w:sz w:val="16"/>
      <w:szCs w:val="16"/>
    </w:rPr>
  </w:style>
  <w:style w:type="paragraph" w:customStyle="1" w:styleId="xl101">
    <w:name w:val="xl101"/>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i/>
      <w:iCs/>
      <w:sz w:val="16"/>
      <w:szCs w:val="16"/>
    </w:rPr>
  </w:style>
  <w:style w:type="paragraph" w:customStyle="1" w:styleId="xl102">
    <w:name w:val="xl102"/>
    <w:basedOn w:val="Normal"/>
    <w:pPr>
      <w:pBdr>
        <w:top w:val="single" w:sz="4" w:space="0" w:color="auto"/>
        <w:left w:val="single" w:sz="4" w:space="0" w:color="auto"/>
        <w:bottom w:val="single" w:sz="4" w:space="0" w:color="auto"/>
      </w:pBdr>
      <w:spacing w:before="100" w:beforeAutospacing="1" w:after="100" w:afterAutospacing="1"/>
      <w:textAlignment w:val="center"/>
    </w:pPr>
    <w:rPr>
      <w:b/>
      <w:bCs/>
      <w:i/>
      <w:iCs/>
      <w:color w:val="000000"/>
      <w:sz w:val="16"/>
      <w:szCs w:val="16"/>
    </w:rPr>
  </w:style>
  <w:style w:type="paragraph" w:customStyle="1" w:styleId="xl103">
    <w:name w:val="xl103"/>
    <w:basedOn w:val="Normal"/>
    <w:pPr>
      <w:pBdr>
        <w:top w:val="single" w:sz="4" w:space="0" w:color="auto"/>
        <w:bottom w:val="single" w:sz="4" w:space="0" w:color="auto"/>
      </w:pBdr>
      <w:spacing w:before="100" w:beforeAutospacing="1" w:after="100" w:afterAutospacing="1"/>
      <w:textAlignment w:val="center"/>
    </w:pPr>
  </w:style>
  <w:style w:type="paragraph" w:customStyle="1" w:styleId="xl104">
    <w:name w:val="xl104"/>
    <w:basedOn w:val="Normal"/>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5">
    <w:name w:val="xl105"/>
    <w:basedOn w:val="Normal"/>
    <w:qFormat/>
    <w:pPr>
      <w:pBdr>
        <w:top w:val="single" w:sz="8" w:space="0" w:color="auto"/>
        <w:left w:val="single" w:sz="8" w:space="0" w:color="auto"/>
        <w:bottom w:val="single" w:sz="8" w:space="0" w:color="auto"/>
      </w:pBdr>
      <w:spacing w:before="100" w:beforeAutospacing="1" w:after="100" w:afterAutospacing="1"/>
      <w:textAlignment w:val="center"/>
    </w:pPr>
    <w:rPr>
      <w:b/>
      <w:bCs/>
      <w:i/>
      <w:iCs/>
      <w:color w:val="000000"/>
      <w:sz w:val="16"/>
      <w:szCs w:val="16"/>
    </w:rPr>
  </w:style>
  <w:style w:type="paragraph" w:customStyle="1" w:styleId="xl106">
    <w:name w:val="xl106"/>
    <w:basedOn w:val="Normal"/>
    <w:pPr>
      <w:pBdr>
        <w:top w:val="single" w:sz="8" w:space="0" w:color="auto"/>
        <w:bottom w:val="single" w:sz="8" w:space="0" w:color="auto"/>
      </w:pBdr>
      <w:spacing w:before="100" w:beforeAutospacing="1" w:after="100" w:afterAutospacing="1"/>
      <w:textAlignment w:val="center"/>
    </w:pPr>
    <w:rPr>
      <w:b/>
      <w:bCs/>
      <w:i/>
      <w:iCs/>
      <w:color w:val="000000"/>
      <w:sz w:val="16"/>
      <w:szCs w:val="16"/>
    </w:rPr>
  </w:style>
  <w:style w:type="paragraph" w:customStyle="1" w:styleId="xl107">
    <w:name w:val="xl107"/>
    <w:basedOn w:val="Normal"/>
    <w:pPr>
      <w:pBdr>
        <w:top w:val="single" w:sz="8" w:space="0" w:color="auto"/>
        <w:bottom w:val="single" w:sz="8" w:space="0" w:color="auto"/>
        <w:right w:val="single" w:sz="4" w:space="0" w:color="auto"/>
      </w:pBdr>
      <w:spacing w:before="100" w:beforeAutospacing="1" w:after="100" w:afterAutospacing="1"/>
      <w:textAlignment w:val="center"/>
    </w:pPr>
    <w:rPr>
      <w:b/>
      <w:bCs/>
      <w:i/>
      <w:iCs/>
      <w:color w:val="000000"/>
      <w:sz w:val="16"/>
      <w:szCs w:val="16"/>
    </w:rPr>
  </w:style>
  <w:style w:type="paragraph" w:customStyle="1" w:styleId="xl108">
    <w:name w:val="xl108"/>
    <w:basedOn w:val="Normal"/>
    <w:pPr>
      <w:pBdr>
        <w:top w:val="single" w:sz="4" w:space="0" w:color="auto"/>
        <w:bottom w:val="single" w:sz="4" w:space="0" w:color="auto"/>
      </w:pBdr>
      <w:spacing w:before="100" w:beforeAutospacing="1" w:after="100" w:afterAutospacing="1"/>
      <w:textAlignment w:val="center"/>
    </w:pPr>
    <w:rPr>
      <w:b/>
      <w:bCs/>
      <w:i/>
      <w:iCs/>
      <w:color w:val="000000"/>
      <w:sz w:val="16"/>
      <w:szCs w:val="16"/>
    </w:rPr>
  </w:style>
  <w:style w:type="paragraph" w:customStyle="1" w:styleId="xl109">
    <w:name w:val="xl109"/>
    <w:basedOn w:val="Normal"/>
    <w:pPr>
      <w:pBdr>
        <w:top w:val="single" w:sz="4" w:space="0" w:color="auto"/>
        <w:bottom w:val="single" w:sz="4" w:space="0" w:color="auto"/>
        <w:right w:val="single" w:sz="4" w:space="0" w:color="auto"/>
      </w:pBdr>
      <w:spacing w:before="100" w:beforeAutospacing="1" w:after="100" w:afterAutospacing="1"/>
      <w:textAlignment w:val="center"/>
    </w:pPr>
    <w:rPr>
      <w:b/>
      <w:bCs/>
      <w:i/>
      <w:iCs/>
      <w:color w:val="000000"/>
      <w:sz w:val="16"/>
      <w:szCs w:val="16"/>
    </w:rPr>
  </w:style>
  <w:style w:type="paragraph" w:customStyle="1" w:styleId="xl110">
    <w:name w:val="xl110"/>
    <w:basedOn w:val="Normal"/>
    <w:pPr>
      <w:pBdr>
        <w:top w:val="single" w:sz="8" w:space="0" w:color="auto"/>
        <w:left w:val="single" w:sz="4" w:space="0" w:color="auto"/>
        <w:right w:val="single" w:sz="4" w:space="0" w:color="auto"/>
      </w:pBdr>
      <w:spacing w:before="100" w:beforeAutospacing="1" w:after="100" w:afterAutospacing="1"/>
      <w:jc w:val="center"/>
      <w:textAlignment w:val="center"/>
    </w:pPr>
    <w:rPr>
      <w:b/>
      <w:bCs/>
      <w:i/>
      <w:iCs/>
      <w:color w:val="000000"/>
      <w:sz w:val="16"/>
      <w:szCs w:val="16"/>
    </w:rPr>
  </w:style>
  <w:style w:type="paragraph" w:customStyle="1" w:styleId="xl111">
    <w:name w:val="xl111"/>
    <w:basedOn w:val="Normal"/>
    <w:pPr>
      <w:pBdr>
        <w:left w:val="single" w:sz="4" w:space="0" w:color="auto"/>
        <w:right w:val="single" w:sz="4" w:space="0" w:color="auto"/>
      </w:pBdr>
      <w:spacing w:before="100" w:beforeAutospacing="1" w:after="100" w:afterAutospacing="1"/>
      <w:jc w:val="center"/>
      <w:textAlignment w:val="center"/>
    </w:pPr>
    <w:rPr>
      <w:b/>
      <w:bCs/>
      <w:i/>
      <w:iCs/>
      <w:color w:val="000000"/>
      <w:sz w:val="16"/>
      <w:szCs w:val="16"/>
    </w:rPr>
  </w:style>
  <w:style w:type="paragraph" w:customStyle="1" w:styleId="xl112">
    <w:name w:val="xl112"/>
    <w:basedOn w:val="Normal"/>
    <w:pPr>
      <w:pBdr>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sz w:val="16"/>
      <w:szCs w:val="16"/>
    </w:rPr>
  </w:style>
  <w:style w:type="paragraph" w:customStyle="1" w:styleId="xl113">
    <w:name w:val="xl113"/>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sz w:val="16"/>
      <w:szCs w:val="16"/>
    </w:rPr>
  </w:style>
  <w:style w:type="paragraph" w:customStyle="1" w:styleId="xl114">
    <w:name w:val="xl114"/>
    <w:basedOn w:val="Normal"/>
    <w:pPr>
      <w:pBdr>
        <w:top w:val="single" w:sz="4" w:space="0" w:color="auto"/>
        <w:left w:val="single" w:sz="4" w:space="0" w:color="auto"/>
        <w:bottom w:val="single" w:sz="4" w:space="0" w:color="auto"/>
      </w:pBdr>
      <w:spacing w:before="100" w:beforeAutospacing="1" w:after="100" w:afterAutospacing="1"/>
      <w:textAlignment w:val="center"/>
    </w:pPr>
    <w:rPr>
      <w:b/>
      <w:bCs/>
      <w:i/>
      <w:iCs/>
      <w:color w:val="000000"/>
      <w:sz w:val="16"/>
      <w:szCs w:val="16"/>
    </w:rPr>
  </w:style>
  <w:style w:type="paragraph" w:customStyle="1" w:styleId="xl115">
    <w:name w:val="xl115"/>
    <w:basedOn w:val="Normal"/>
    <w:pPr>
      <w:pBdr>
        <w:top w:val="single" w:sz="4" w:space="0" w:color="auto"/>
        <w:bottom w:val="single" w:sz="4" w:space="0" w:color="auto"/>
      </w:pBdr>
      <w:spacing w:before="100" w:beforeAutospacing="1" w:after="100" w:afterAutospacing="1"/>
      <w:textAlignment w:val="center"/>
    </w:pPr>
    <w:rPr>
      <w:b/>
      <w:bCs/>
      <w:i/>
      <w:iCs/>
      <w:color w:val="000000"/>
      <w:sz w:val="16"/>
      <w:szCs w:val="16"/>
    </w:rPr>
  </w:style>
  <w:style w:type="paragraph" w:customStyle="1" w:styleId="xl116">
    <w:name w:val="xl116"/>
    <w:basedOn w:val="Normal"/>
    <w:pPr>
      <w:pBdr>
        <w:top w:val="single" w:sz="4" w:space="0" w:color="auto"/>
        <w:bottom w:val="single" w:sz="4" w:space="0" w:color="auto"/>
        <w:right w:val="single" w:sz="4" w:space="0" w:color="auto"/>
      </w:pBdr>
      <w:spacing w:before="100" w:beforeAutospacing="1" w:after="100" w:afterAutospacing="1"/>
      <w:textAlignment w:val="center"/>
    </w:pPr>
    <w:rPr>
      <w:b/>
      <w:bCs/>
      <w:i/>
      <w:iCs/>
      <w:color w:val="000000"/>
      <w:sz w:val="16"/>
      <w:szCs w:val="16"/>
    </w:rPr>
  </w:style>
  <w:style w:type="paragraph" w:customStyle="1" w:styleId="xl117">
    <w:name w:val="xl117"/>
    <w:basedOn w:val="Normal"/>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i/>
      <w:iCs/>
      <w:color w:val="000000"/>
      <w:sz w:val="16"/>
      <w:szCs w:val="16"/>
    </w:rPr>
  </w:style>
  <w:style w:type="paragraph" w:customStyle="1" w:styleId="xl118">
    <w:name w:val="xl118"/>
    <w:basedOn w:val="Normal"/>
    <w:qFormat/>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i/>
      <w:iCs/>
      <w:color w:val="000000"/>
      <w:sz w:val="16"/>
      <w:szCs w:val="16"/>
    </w:rPr>
  </w:style>
  <w:style w:type="character" w:customStyle="1" w:styleId="s2">
    <w:name w:val="s2"/>
    <w:basedOn w:val="DefaultParagraphFont"/>
    <w:qFormat/>
  </w:style>
  <w:style w:type="character" w:customStyle="1" w:styleId="s3">
    <w:name w:val="s3"/>
    <w:basedOn w:val="DefaultParagraphFont"/>
  </w:style>
  <w:style w:type="character" w:customStyle="1" w:styleId="s4">
    <w:name w:val="s4"/>
    <w:basedOn w:val="DefaultParagraphFont"/>
    <w:qFormat/>
  </w:style>
  <w:style w:type="character" w:customStyle="1" w:styleId="UnresolvedMention5">
    <w:name w:val="Unresolved Mention5"/>
    <w:basedOn w:val="DefaultParagraphFont"/>
    <w:uiPriority w:val="99"/>
    <w:semiHidden/>
    <w:unhideWhenUsed/>
    <w:rPr>
      <w:color w:val="605E5C"/>
      <w:shd w:val="clear" w:color="auto" w:fill="E1DFDD"/>
    </w:rPr>
  </w:style>
  <w:style w:type="table" w:customStyle="1" w:styleId="TableGrid6">
    <w:name w:val="Table Grid6"/>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DefaultParagraphFont"/>
  </w:style>
  <w:style w:type="paragraph" w:customStyle="1" w:styleId="UNDPbulletpointdeliverables">
    <w:name w:val="UNDP bullet point deliverables"/>
    <w:basedOn w:val="ListParagraph"/>
    <w:autoRedefine/>
    <w:qFormat/>
    <w:pPr>
      <w:spacing w:after="120" w:line="264" w:lineRule="auto"/>
      <w:ind w:left="0"/>
      <w:contextualSpacing/>
    </w:pPr>
    <w:rPr>
      <w:rFonts w:ascii="Calibri" w:eastAsia="Times New Roman" w:hAnsi="Calibri" w:cs="Calibri"/>
      <w:b/>
      <w:bCs/>
      <w:sz w:val="22"/>
      <w:szCs w:val="22"/>
      <w:lang w:val="tr-TR" w:eastAsia="en-US"/>
    </w:rPr>
  </w:style>
  <w:style w:type="paragraph" w:customStyle="1" w:styleId="UNDPBulletpointactivity">
    <w:name w:val="UNDP Bullet point activity"/>
    <w:basedOn w:val="ListParagraph"/>
    <w:qFormat/>
    <w:pPr>
      <w:numPr>
        <w:numId w:val="8"/>
      </w:numPr>
      <w:spacing w:after="120" w:line="264" w:lineRule="auto"/>
      <w:contextualSpacing/>
    </w:pPr>
    <w:rPr>
      <w:rFonts w:ascii="Calibri" w:eastAsia="Times New Roman" w:hAnsi="Calibri" w:cs="Calibri"/>
      <w:sz w:val="22"/>
      <w:szCs w:val="22"/>
      <w:lang w:val="tr-TR" w:eastAsia="en-US"/>
    </w:rPr>
  </w:style>
  <w:style w:type="table" w:customStyle="1" w:styleId="Style218">
    <w:name w:val="_Style 218"/>
    <w:basedOn w:val="TableNormal"/>
    <w:tblPr>
      <w:tblCellMar>
        <w:left w:w="115" w:type="dxa"/>
        <w:right w:w="115" w:type="dxa"/>
      </w:tblCellMar>
    </w:tblPr>
  </w:style>
  <w:style w:type="table" w:customStyle="1" w:styleId="Style219">
    <w:name w:val="_Style 219"/>
    <w:basedOn w:val="TableNormal"/>
    <w:tblPr>
      <w:tblCellMar>
        <w:left w:w="115" w:type="dxa"/>
        <w:right w:w="115" w:type="dxa"/>
      </w:tblCellMar>
    </w:tblPr>
  </w:style>
  <w:style w:type="table" w:customStyle="1" w:styleId="Style220">
    <w:name w:val="_Style 220"/>
    <w:basedOn w:val="TableNormal"/>
    <w:tblPr>
      <w:tblCellMar>
        <w:left w:w="0" w:type="dxa"/>
        <w:right w:w="0" w:type="dxa"/>
      </w:tblCellMar>
    </w:tblPr>
  </w:style>
  <w:style w:type="table" w:customStyle="1" w:styleId="Style221">
    <w:name w:val="_Style 221"/>
    <w:basedOn w:val="TableNormal"/>
    <w:tblPr>
      <w:tblCellMar>
        <w:left w:w="115" w:type="dxa"/>
        <w:right w:w="115" w:type="dxa"/>
      </w:tblCellMar>
    </w:tblPr>
  </w:style>
  <w:style w:type="table" w:customStyle="1" w:styleId="Style222">
    <w:name w:val="_Style 222"/>
    <w:basedOn w:val="TableNormal"/>
    <w:tblPr>
      <w:tblCellMar>
        <w:left w:w="115" w:type="dxa"/>
        <w:right w:w="115" w:type="dxa"/>
      </w:tblCellMar>
    </w:tblPr>
  </w:style>
  <w:style w:type="table" w:customStyle="1" w:styleId="Style223">
    <w:name w:val="_Style 223"/>
    <w:basedOn w:val="TableNormal"/>
    <w:tblPr>
      <w:tblCellMar>
        <w:left w:w="115" w:type="dxa"/>
        <w:right w:w="115" w:type="dxa"/>
      </w:tblCellMar>
    </w:tblPr>
  </w:style>
  <w:style w:type="table" w:customStyle="1" w:styleId="Style224">
    <w:name w:val="_Style 224"/>
    <w:basedOn w:val="TableNormal"/>
    <w:tblPr>
      <w:tblCellMar>
        <w:left w:w="115" w:type="dxa"/>
        <w:right w:w="115" w:type="dxa"/>
      </w:tblCellMar>
    </w:tblPr>
  </w:style>
  <w:style w:type="table" w:customStyle="1" w:styleId="Style225">
    <w:name w:val="_Style 225"/>
    <w:basedOn w:val="TableNormal"/>
    <w:tblPr>
      <w:tblCellMar>
        <w:left w:w="115" w:type="dxa"/>
        <w:right w:w="115" w:type="dxa"/>
      </w:tblCellMar>
    </w:tblPr>
  </w:style>
  <w:style w:type="table" w:customStyle="1" w:styleId="Style226">
    <w:name w:val="_Style 226"/>
    <w:basedOn w:val="TableNormal"/>
    <w:tblPr>
      <w:tblCellMar>
        <w:left w:w="115" w:type="dxa"/>
        <w:right w:w="115" w:type="dxa"/>
      </w:tblCellMar>
    </w:tblPr>
  </w:style>
  <w:style w:type="table" w:customStyle="1" w:styleId="Style227">
    <w:name w:val="_Style 227"/>
    <w:basedOn w:val="TableNormal"/>
    <w:qFormat/>
    <w:tblPr>
      <w:tblCellMar>
        <w:left w:w="115" w:type="dxa"/>
        <w:right w:w="115" w:type="dxa"/>
      </w:tblCellMar>
    </w:tblPr>
  </w:style>
  <w:style w:type="table" w:customStyle="1" w:styleId="Style228">
    <w:name w:val="_Style 228"/>
    <w:basedOn w:val="TableNormal"/>
    <w:tblPr>
      <w:tblCellMar>
        <w:left w:w="115" w:type="dxa"/>
        <w:right w:w="115" w:type="dxa"/>
      </w:tblCellMar>
    </w:tblPr>
  </w:style>
  <w:style w:type="table" w:customStyle="1" w:styleId="Style229">
    <w:name w:val="_Style 229"/>
    <w:basedOn w:val="TableNormal"/>
    <w:tblPr>
      <w:tblCellMar>
        <w:left w:w="115" w:type="dxa"/>
        <w:right w:w="115" w:type="dxa"/>
      </w:tblCellMar>
    </w:tblPr>
  </w:style>
  <w:style w:type="table" w:customStyle="1" w:styleId="Style230">
    <w:name w:val="_Style 230"/>
    <w:basedOn w:val="TableNormal"/>
    <w:tblPr>
      <w:tblCellMar>
        <w:left w:w="115" w:type="dxa"/>
        <w:right w:w="115" w:type="dxa"/>
      </w:tblCellMar>
    </w:tblPr>
  </w:style>
  <w:style w:type="table" w:customStyle="1" w:styleId="Style231">
    <w:name w:val="_Style 231"/>
    <w:basedOn w:val="TableNormal"/>
    <w:tblPr/>
  </w:style>
  <w:style w:type="table" w:customStyle="1" w:styleId="Style232">
    <w:name w:val="_Style 232"/>
    <w:basedOn w:val="TableNormal"/>
    <w:tblPr>
      <w:tblCellMar>
        <w:left w:w="115" w:type="dxa"/>
        <w:right w:w="115" w:type="dxa"/>
      </w:tblCellMar>
    </w:tblPr>
  </w:style>
  <w:style w:type="table" w:customStyle="1" w:styleId="Style233">
    <w:name w:val="_Style 233"/>
    <w:basedOn w:val="TableNormal"/>
    <w:tblPr>
      <w:tblCellMar>
        <w:left w:w="115" w:type="dxa"/>
        <w:right w:w="115" w:type="dxa"/>
      </w:tblCellMar>
    </w:tblPr>
  </w:style>
  <w:style w:type="table" w:customStyle="1" w:styleId="Style234">
    <w:name w:val="_Style 234"/>
    <w:basedOn w:val="TableNormal"/>
    <w:tblPr>
      <w:tblCellMar>
        <w:left w:w="115" w:type="dxa"/>
        <w:right w:w="115" w:type="dxa"/>
      </w:tblCellMar>
    </w:tblPr>
  </w:style>
  <w:style w:type="paragraph" w:customStyle="1" w:styleId="TableParagraph">
    <w:name w:val="Table Paragraph"/>
    <w:basedOn w:val="Normal"/>
    <w:uiPriority w:val="1"/>
    <w:qFormat/>
    <w:pPr>
      <w:widowControl w:val="0"/>
      <w:autoSpaceDE w:val="0"/>
      <w:autoSpaceDN w:val="0"/>
    </w:pPr>
    <w:rPr>
      <w:rFonts w:ascii="Calibri" w:eastAsia="Calibri" w:hAnsi="Calibri" w:cs="Calibri"/>
      <w:sz w:val="22"/>
      <w:szCs w:val="22"/>
      <w:lang w:val="en-US" w:eastAsia="en-US" w:bidi="en-US"/>
    </w:rPr>
  </w:style>
  <w:style w:type="character" w:customStyle="1" w:styleId="UnresolvedMention6">
    <w:name w:val="Unresolved Mention6"/>
    <w:basedOn w:val="DefaultParagraphFont"/>
    <w:uiPriority w:val="99"/>
    <w:semiHidden/>
    <w:unhideWhenUsed/>
    <w:rPr>
      <w:color w:val="605E5C"/>
      <w:shd w:val="clear" w:color="auto" w:fill="E1DFDD"/>
    </w:rPr>
  </w:style>
  <w:style w:type="paragraph" w:customStyle="1" w:styleId="Style1">
    <w:name w:val="Style1"/>
    <w:basedOn w:val="ListParagraph"/>
    <w:qFormat/>
    <w:pPr>
      <w:keepNext/>
      <w:numPr>
        <w:numId w:val="9"/>
      </w:numPr>
      <w:spacing w:before="60" w:after="60"/>
      <w:ind w:left="714" w:hanging="357"/>
      <w:outlineLvl w:val="7"/>
    </w:pPr>
    <w:rPr>
      <w:rFonts w:asciiTheme="majorHAnsi" w:eastAsia="Times New Roman" w:hAnsiTheme="majorHAnsi" w:cstheme="minorBidi"/>
      <w:iCs/>
      <w:sz w:val="18"/>
      <w:szCs w:val="18"/>
      <w:lang w:val="en-US" w:eastAsia="ja-JP"/>
    </w:rPr>
  </w:style>
  <w:style w:type="paragraph" w:customStyle="1" w:styleId="m7462455333896896630msolistparagraph">
    <w:name w:val="m_7462455333896896630msolistparagraph"/>
    <w:basedOn w:val="Normal"/>
    <w:pPr>
      <w:spacing w:before="100" w:beforeAutospacing="1" w:after="100" w:afterAutospacing="1"/>
    </w:pPr>
    <w:rPr>
      <w:lang w:val="en-US" w:eastAsia="en-US"/>
    </w:rPr>
  </w:style>
  <w:style w:type="character" w:customStyle="1" w:styleId="ListParagraphChar1">
    <w:name w:val="List Paragraph Char1"/>
    <w:uiPriority w:val="34"/>
    <w:qFormat/>
    <w:rPr>
      <w:rFonts w:ascii="Helvetica Neue" w:eastAsia="Helvetica Neue" w:hAnsi="Helvetica Neue" w:cs="Helvetica Neue"/>
      <w:sz w:val="22"/>
      <w:szCs w:val="22"/>
      <w:lang w:val="fr-FR"/>
    </w:rPr>
  </w:style>
  <w:style w:type="paragraph" w:customStyle="1" w:styleId="Body">
    <w:name w:val="Body"/>
    <w:pPr>
      <w:suppressAutoHyphens/>
    </w:pPr>
    <w:rPr>
      <w:rFonts w:ascii="Calibri" w:eastAsia="Arial Unicode MS" w:hAnsi="Calibri" w:cs="Arial Unicode MS"/>
      <w:color w:val="000000"/>
      <w:sz w:val="24"/>
      <w:szCs w:val="24"/>
      <w:u w:color="000000"/>
      <w:lang w:val="fr-FR" w:eastAsia="en-GB"/>
    </w:rPr>
  </w:style>
  <w:style w:type="paragraph" w:customStyle="1" w:styleId="FrameContents">
    <w:name w:val="Frame Contents"/>
    <w:basedOn w:val="Normal"/>
    <w:pPr>
      <w:suppressAutoHyphens/>
    </w:pPr>
    <w:rPr>
      <w:lang w:val="fr-FR"/>
    </w:rPr>
  </w:style>
  <w:style w:type="paragraph" w:customStyle="1" w:styleId="UNDPbulletpoint">
    <w:name w:val="UNDPbullet point"/>
    <w:basedOn w:val="ListParagraph"/>
    <w:autoRedefine/>
    <w:qFormat/>
    <w:pPr>
      <w:numPr>
        <w:numId w:val="10"/>
      </w:numPr>
      <w:ind w:left="169" w:hanging="169"/>
      <w:contextualSpacing/>
    </w:pPr>
    <w:rPr>
      <w:rFonts w:ascii="Calibri" w:eastAsia="Times New Roman" w:hAnsi="Calibri" w:cs="Calibri"/>
      <w:sz w:val="22"/>
      <w:szCs w:val="22"/>
      <w:lang w:eastAsia="en-US"/>
    </w:rPr>
  </w:style>
  <w:style w:type="character" w:customStyle="1" w:styleId="CaptionChar">
    <w:name w:val="Caption Char"/>
    <w:basedOn w:val="DefaultParagraphFont"/>
    <w:link w:val="Caption"/>
    <w:uiPriority w:val="35"/>
    <w:rPr>
      <w:rFonts w:eastAsia="SimSun"/>
      <w:b/>
      <w:bCs/>
      <w:sz w:val="28"/>
    </w:rPr>
  </w:style>
  <w:style w:type="character" w:customStyle="1" w:styleId="SubtitleChar">
    <w:name w:val="Subtitle Char"/>
    <w:basedOn w:val="DefaultParagraphFont"/>
    <w:link w:val="Subtitle"/>
    <w:uiPriority w:val="11"/>
    <w:rPr>
      <w:rFonts w:ascii="Georgia" w:eastAsia="Georgia" w:hAnsi="Georgia" w:cs="Georgia"/>
      <w:i/>
      <w:color w:val="666666"/>
      <w:sz w:val="48"/>
      <w:szCs w:val="48"/>
    </w:rPr>
  </w:style>
  <w:style w:type="paragraph" w:customStyle="1" w:styleId="Normal11pt">
    <w:name w:val="Normal + 11 pt"/>
    <w:basedOn w:val="Normal"/>
    <w:link w:val="Normal11ptChar"/>
    <w:pPr>
      <w:ind w:left="720" w:hanging="720"/>
      <w:jc w:val="both"/>
    </w:pPr>
    <w:rPr>
      <w:rFonts w:eastAsia="MS Mincho"/>
      <w:sz w:val="20"/>
      <w:szCs w:val="20"/>
      <w:lang w:val="pt-PT" w:eastAsia="ja-JP"/>
    </w:rPr>
  </w:style>
  <w:style w:type="character" w:customStyle="1" w:styleId="Normal11ptChar">
    <w:name w:val="Normal + 11 pt Char"/>
    <w:link w:val="Normal11pt"/>
    <w:qFormat/>
    <w:rPr>
      <w:rFonts w:eastAsia="MS Mincho"/>
      <w:sz w:val="20"/>
      <w:szCs w:val="20"/>
      <w:lang w:val="pt-PT" w:eastAsia="ja-JP"/>
    </w:rPr>
  </w:style>
  <w:style w:type="paragraph" w:customStyle="1" w:styleId="story-body-text">
    <w:name w:val="story-body-text"/>
    <w:basedOn w:val="Normal"/>
    <w:pPr>
      <w:spacing w:before="100" w:beforeAutospacing="1" w:after="100" w:afterAutospacing="1"/>
    </w:pPr>
    <w:rPr>
      <w:lang w:val="en-US"/>
    </w:rPr>
  </w:style>
  <w:style w:type="table" w:customStyle="1" w:styleId="5">
    <w:name w:val="5"/>
    <w:basedOn w:val="TableNormal"/>
    <w:pPr>
      <w:spacing w:after="200"/>
    </w:pPr>
    <w:rPr>
      <w:sz w:val="22"/>
      <w:szCs w:val="22"/>
    </w:rPr>
    <w:tblPr/>
  </w:style>
  <w:style w:type="paragraph" w:customStyle="1" w:styleId="m-6824523083041658263msolistparagraph">
    <w:name w:val="m_-6824523083041658263msolistparagraph"/>
    <w:basedOn w:val="Normal"/>
    <w:pPr>
      <w:spacing w:before="100" w:beforeAutospacing="1" w:after="100" w:afterAutospacing="1"/>
    </w:pPr>
  </w:style>
  <w:style w:type="table" w:customStyle="1" w:styleId="Style257">
    <w:name w:val="_Style 257"/>
    <w:basedOn w:val="TableNormal"/>
    <w:pPr>
      <w:spacing w:after="200"/>
    </w:pPr>
    <w:rPr>
      <w:rFonts w:ascii="Calibri" w:eastAsia="Calibri" w:hAnsi="Calibri" w:cs="Calibri"/>
      <w:sz w:val="22"/>
      <w:szCs w:val="22"/>
    </w:rPr>
    <w:tblPr>
      <w:tblCellMar>
        <w:left w:w="115" w:type="dxa"/>
        <w:right w:w="115" w:type="dxa"/>
      </w:tblCellMar>
    </w:tblPr>
  </w:style>
  <w:style w:type="table" w:customStyle="1" w:styleId="Style258">
    <w:name w:val="_Style 258"/>
    <w:basedOn w:val="TableNormal"/>
    <w:qFormat/>
    <w:pPr>
      <w:spacing w:after="200"/>
    </w:pPr>
    <w:rPr>
      <w:rFonts w:ascii="Calibri" w:eastAsia="Calibri" w:hAnsi="Calibri" w:cs="Calibri"/>
      <w:sz w:val="22"/>
      <w:szCs w:val="22"/>
    </w:rPr>
    <w:tblPr>
      <w:tblCellMar>
        <w:left w:w="115" w:type="dxa"/>
        <w:right w:w="115" w:type="dxa"/>
      </w:tblCellMar>
    </w:tblPr>
  </w:style>
  <w:style w:type="table" w:customStyle="1" w:styleId="Style259">
    <w:name w:val="_Style 259"/>
    <w:basedOn w:val="TableNormal"/>
    <w:pPr>
      <w:spacing w:after="200"/>
    </w:pPr>
    <w:rPr>
      <w:rFonts w:ascii="Calibri" w:eastAsia="Calibri" w:hAnsi="Calibri" w:cs="Calibri"/>
      <w:sz w:val="22"/>
      <w:szCs w:val="22"/>
    </w:rPr>
    <w:tblPr>
      <w:tblCellMar>
        <w:left w:w="115" w:type="dxa"/>
        <w:right w:w="115" w:type="dxa"/>
      </w:tblCellMar>
    </w:tblPr>
  </w:style>
  <w:style w:type="table" w:customStyle="1" w:styleId="Style260">
    <w:name w:val="_Style 260"/>
    <w:basedOn w:val="TableNormal"/>
    <w:pPr>
      <w:spacing w:after="200"/>
    </w:pPr>
    <w:rPr>
      <w:rFonts w:ascii="Calibri" w:eastAsia="Calibri" w:hAnsi="Calibri" w:cs="Calibri"/>
      <w:sz w:val="22"/>
      <w:szCs w:val="22"/>
    </w:rPr>
    <w:tblPr>
      <w:tblCellMar>
        <w:left w:w="115" w:type="dxa"/>
        <w:right w:w="115" w:type="dxa"/>
      </w:tblCellMar>
    </w:tblPr>
  </w:style>
  <w:style w:type="table" w:customStyle="1" w:styleId="Style261">
    <w:name w:val="_Style 261"/>
    <w:basedOn w:val="TableNormal"/>
    <w:pPr>
      <w:spacing w:after="200"/>
    </w:pPr>
    <w:rPr>
      <w:rFonts w:ascii="Calibri" w:eastAsia="Calibri" w:hAnsi="Calibri" w:cs="Calibri"/>
      <w:sz w:val="22"/>
      <w:szCs w:val="22"/>
    </w:rPr>
    <w:tblPr>
      <w:tblCellMar>
        <w:left w:w="115" w:type="dxa"/>
        <w:right w:w="115" w:type="dxa"/>
      </w:tblCellMar>
    </w:tblPr>
  </w:style>
  <w:style w:type="table" w:customStyle="1" w:styleId="Style262">
    <w:name w:val="_Style 262"/>
    <w:basedOn w:val="TableNormal"/>
    <w:pPr>
      <w:spacing w:after="200"/>
    </w:pPr>
    <w:rPr>
      <w:rFonts w:ascii="Calibri" w:eastAsia="Calibri" w:hAnsi="Calibri" w:cs="Calibri"/>
      <w:sz w:val="22"/>
      <w:szCs w:val="22"/>
    </w:rPr>
    <w:tblPr>
      <w:tblCellMar>
        <w:left w:w="115" w:type="dxa"/>
        <w:right w:w="115" w:type="dxa"/>
      </w:tblCellMar>
    </w:tblPr>
  </w:style>
  <w:style w:type="table" w:customStyle="1" w:styleId="Style263">
    <w:name w:val="_Style 263"/>
    <w:basedOn w:val="TableNormal"/>
    <w:pPr>
      <w:spacing w:after="200"/>
    </w:pPr>
    <w:rPr>
      <w:rFonts w:ascii="Calibri" w:eastAsia="Calibri" w:hAnsi="Calibri" w:cs="Calibri"/>
      <w:sz w:val="22"/>
      <w:szCs w:val="22"/>
    </w:rPr>
    <w:tblPr>
      <w:tblCellMar>
        <w:left w:w="115" w:type="dxa"/>
        <w:right w:w="115" w:type="dxa"/>
      </w:tblCellMar>
    </w:tblPr>
  </w:style>
  <w:style w:type="table" w:customStyle="1" w:styleId="Style264">
    <w:name w:val="_Style 264"/>
    <w:basedOn w:val="TableNormal"/>
    <w:pPr>
      <w:spacing w:after="200"/>
    </w:pPr>
    <w:rPr>
      <w:rFonts w:ascii="Calibri" w:eastAsia="Calibri" w:hAnsi="Calibri" w:cs="Calibri"/>
      <w:sz w:val="22"/>
      <w:szCs w:val="22"/>
    </w:rPr>
    <w:tblPr>
      <w:tblCellMar>
        <w:left w:w="115" w:type="dxa"/>
        <w:right w:w="115" w:type="dxa"/>
      </w:tblCellMar>
    </w:tblPr>
  </w:style>
  <w:style w:type="table" w:customStyle="1" w:styleId="Style265">
    <w:name w:val="_Style 265"/>
    <w:basedOn w:val="TableNormal"/>
    <w:pPr>
      <w:spacing w:after="200"/>
    </w:pPr>
    <w:rPr>
      <w:rFonts w:ascii="Calibri" w:eastAsia="Calibri" w:hAnsi="Calibri" w:cs="Calibri"/>
      <w:sz w:val="22"/>
      <w:szCs w:val="22"/>
    </w:rPr>
    <w:tblPr>
      <w:tblCellMar>
        <w:left w:w="115" w:type="dxa"/>
        <w:right w:w="115" w:type="dxa"/>
      </w:tblCellMar>
    </w:tblPr>
  </w:style>
  <w:style w:type="table" w:customStyle="1" w:styleId="Style266">
    <w:name w:val="_Style 266"/>
    <w:basedOn w:val="TableNormal"/>
    <w:pPr>
      <w:spacing w:after="200"/>
    </w:pPr>
    <w:rPr>
      <w:rFonts w:ascii="Calibri" w:eastAsia="Calibri" w:hAnsi="Calibri" w:cs="Calibri"/>
      <w:sz w:val="22"/>
      <w:szCs w:val="22"/>
    </w:rPr>
    <w:tblPr>
      <w:tblCellMar>
        <w:left w:w="115" w:type="dxa"/>
        <w:right w:w="115" w:type="dxa"/>
      </w:tblCellMar>
    </w:tblPr>
  </w:style>
  <w:style w:type="table" w:customStyle="1" w:styleId="Style267">
    <w:name w:val="_Style 267"/>
    <w:basedOn w:val="TableNormal"/>
    <w:pPr>
      <w:spacing w:after="200"/>
    </w:pPr>
    <w:rPr>
      <w:rFonts w:ascii="Calibri" w:eastAsia="Calibri" w:hAnsi="Calibri" w:cs="Calibri"/>
      <w:sz w:val="22"/>
      <w:szCs w:val="22"/>
    </w:rPr>
    <w:tblPr>
      <w:tblCellMar>
        <w:left w:w="115" w:type="dxa"/>
        <w:right w:w="115" w:type="dxa"/>
      </w:tblCellMar>
    </w:tblPr>
  </w:style>
  <w:style w:type="table" w:customStyle="1" w:styleId="Style268">
    <w:name w:val="_Style 268"/>
    <w:basedOn w:val="TableNormal"/>
    <w:pPr>
      <w:spacing w:after="200"/>
    </w:pPr>
    <w:rPr>
      <w:rFonts w:ascii="Calibri" w:eastAsia="Calibri" w:hAnsi="Calibri" w:cs="Calibri"/>
      <w:sz w:val="22"/>
      <w:szCs w:val="22"/>
    </w:rPr>
    <w:tblPr>
      <w:tblCellMar>
        <w:left w:w="115" w:type="dxa"/>
        <w:right w:w="115" w:type="dxa"/>
      </w:tblCellMar>
    </w:tblPr>
  </w:style>
  <w:style w:type="table" w:customStyle="1" w:styleId="Style269">
    <w:name w:val="_Style 269"/>
    <w:basedOn w:val="TableNormal"/>
    <w:pPr>
      <w:spacing w:after="200"/>
    </w:pPr>
    <w:rPr>
      <w:rFonts w:ascii="Calibri" w:eastAsia="Calibri" w:hAnsi="Calibri" w:cs="Calibri"/>
      <w:sz w:val="22"/>
      <w:szCs w:val="22"/>
    </w:rPr>
    <w:tblPr>
      <w:tblCellMar>
        <w:left w:w="115" w:type="dxa"/>
        <w:right w:w="115" w:type="dxa"/>
      </w:tblCellMar>
    </w:tblPr>
  </w:style>
  <w:style w:type="table" w:customStyle="1" w:styleId="Style270">
    <w:name w:val="_Style 270"/>
    <w:basedOn w:val="TableNormal"/>
    <w:tblPr>
      <w:tblCellMar>
        <w:left w:w="0" w:type="dxa"/>
        <w:right w:w="0" w:type="dxa"/>
      </w:tblCellMar>
    </w:tblPr>
  </w:style>
  <w:style w:type="table" w:customStyle="1" w:styleId="Style271">
    <w:name w:val="_Style 271"/>
    <w:basedOn w:val="TableNormal"/>
    <w:tblPr>
      <w:tblCellMar>
        <w:left w:w="0" w:type="dxa"/>
        <w:right w:w="0" w:type="dxa"/>
      </w:tblCellMar>
    </w:tblPr>
  </w:style>
  <w:style w:type="table" w:customStyle="1" w:styleId="Style272">
    <w:name w:val="_Style 272"/>
    <w:basedOn w:val="TableNormal"/>
    <w:tblPr>
      <w:tblCellMar>
        <w:left w:w="0" w:type="dxa"/>
        <w:right w:w="0" w:type="dxa"/>
      </w:tblCellMar>
    </w:tblPr>
  </w:style>
  <w:style w:type="table" w:customStyle="1" w:styleId="Style273">
    <w:name w:val="_Style 273"/>
    <w:basedOn w:val="TableNormal"/>
    <w:tblPr>
      <w:tblCellMar>
        <w:left w:w="0" w:type="dxa"/>
        <w:right w:w="0" w:type="dxa"/>
      </w:tblCellMar>
    </w:tblPr>
  </w:style>
  <w:style w:type="table" w:customStyle="1" w:styleId="Style274">
    <w:name w:val="_Style 274"/>
    <w:basedOn w:val="TableNormal"/>
    <w:tblPr>
      <w:tblCellMar>
        <w:left w:w="0" w:type="dxa"/>
        <w:right w:w="0" w:type="dxa"/>
      </w:tblCellMar>
    </w:tblPr>
  </w:style>
  <w:style w:type="table" w:customStyle="1" w:styleId="Style275">
    <w:name w:val="_Style 275"/>
    <w:basedOn w:val="TableNormal"/>
    <w:tblPr>
      <w:tblCellMar>
        <w:left w:w="0" w:type="dxa"/>
        <w:right w:w="0" w:type="dxa"/>
      </w:tblCellMar>
    </w:tblPr>
  </w:style>
  <w:style w:type="table" w:customStyle="1" w:styleId="Style276">
    <w:name w:val="_Style 276"/>
    <w:basedOn w:val="TableNormal"/>
    <w:tblPr>
      <w:tblCellMar>
        <w:left w:w="0" w:type="dxa"/>
        <w:right w:w="0" w:type="dxa"/>
      </w:tblCellMar>
    </w:tblPr>
  </w:style>
  <w:style w:type="table" w:customStyle="1" w:styleId="Style277">
    <w:name w:val="_Style 277"/>
    <w:basedOn w:val="TableNormal"/>
    <w:tblPr>
      <w:tblCellMar>
        <w:left w:w="0" w:type="dxa"/>
        <w:right w:w="0" w:type="dxa"/>
      </w:tblCellMar>
    </w:tblPr>
  </w:style>
  <w:style w:type="table" w:customStyle="1" w:styleId="Style278">
    <w:name w:val="_Style 278"/>
    <w:basedOn w:val="TableNormal"/>
    <w:qFormat/>
    <w:tblPr>
      <w:tblCellMar>
        <w:left w:w="0" w:type="dxa"/>
        <w:right w:w="0" w:type="dxa"/>
      </w:tblCellMar>
    </w:tblPr>
  </w:style>
  <w:style w:type="table" w:customStyle="1" w:styleId="Style279">
    <w:name w:val="_Style 279"/>
    <w:basedOn w:val="TableNormal"/>
    <w:tblPr>
      <w:tblCellMar>
        <w:left w:w="0" w:type="dxa"/>
        <w:right w:w="0" w:type="dxa"/>
      </w:tblCellMar>
    </w:tblPr>
  </w:style>
  <w:style w:type="table" w:customStyle="1" w:styleId="Style280">
    <w:name w:val="_Style 280"/>
    <w:basedOn w:val="TableNormal"/>
    <w:pPr>
      <w:spacing w:after="200"/>
    </w:pPr>
    <w:rPr>
      <w:rFonts w:ascii="Calibri" w:eastAsia="Calibri" w:hAnsi="Calibri" w:cs="Calibri"/>
      <w:sz w:val="22"/>
      <w:szCs w:val="22"/>
    </w:rPr>
    <w:tblPr>
      <w:tblCellMar>
        <w:left w:w="115" w:type="dxa"/>
        <w:right w:w="115" w:type="dxa"/>
      </w:tblCellMar>
    </w:tblPr>
  </w:style>
  <w:style w:type="table" w:customStyle="1" w:styleId="Style281">
    <w:name w:val="_Style 281"/>
    <w:basedOn w:val="TableNormal"/>
    <w:pPr>
      <w:spacing w:after="200"/>
    </w:pPr>
    <w:rPr>
      <w:rFonts w:ascii="Calibri" w:eastAsia="Calibri" w:hAnsi="Calibri" w:cs="Calibri"/>
      <w:sz w:val="22"/>
      <w:szCs w:val="22"/>
    </w:rPr>
    <w:tblPr>
      <w:tblCellMar>
        <w:left w:w="115" w:type="dxa"/>
        <w:right w:w="115" w:type="dxa"/>
      </w:tblCellMar>
    </w:tblPr>
  </w:style>
  <w:style w:type="table" w:customStyle="1" w:styleId="Style282">
    <w:name w:val="_Style 282"/>
    <w:basedOn w:val="TableNormal"/>
    <w:pPr>
      <w:spacing w:after="200"/>
    </w:pPr>
    <w:rPr>
      <w:rFonts w:ascii="Calibri" w:eastAsia="Calibri" w:hAnsi="Calibri" w:cs="Calibri"/>
      <w:sz w:val="22"/>
      <w:szCs w:val="22"/>
    </w:rPr>
    <w:tblPr>
      <w:tblCellMar>
        <w:left w:w="115" w:type="dxa"/>
        <w:right w:w="115" w:type="dxa"/>
      </w:tblCellMar>
    </w:tblPr>
  </w:style>
  <w:style w:type="table" w:customStyle="1" w:styleId="Style283">
    <w:name w:val="_Style 283"/>
    <w:basedOn w:val="TableNormal"/>
    <w:tblPr>
      <w:tblCellMar>
        <w:left w:w="115" w:type="dxa"/>
        <w:right w:w="115" w:type="dxa"/>
      </w:tblCellMar>
    </w:tblPr>
  </w:style>
  <w:style w:type="table" w:customStyle="1" w:styleId="Style284">
    <w:name w:val="_Style 284"/>
    <w:basedOn w:val="TableNormal"/>
    <w:tblPr>
      <w:tblCellMar>
        <w:left w:w="115" w:type="dxa"/>
        <w:right w:w="115" w:type="dxa"/>
      </w:tblCellMar>
    </w:tblPr>
  </w:style>
  <w:style w:type="table" w:customStyle="1" w:styleId="Style285">
    <w:name w:val="_Style 285"/>
    <w:basedOn w:val="TableNormal"/>
    <w:tblPr>
      <w:tblCellMar>
        <w:left w:w="115" w:type="dxa"/>
        <w:right w:w="115" w:type="dxa"/>
      </w:tblCellMar>
    </w:tblPr>
  </w:style>
  <w:style w:type="table" w:customStyle="1" w:styleId="Style286">
    <w:name w:val="_Style 286"/>
    <w:basedOn w:val="TableNormal"/>
    <w:tblPr>
      <w:tblCellMar>
        <w:left w:w="115" w:type="dxa"/>
        <w:right w:w="115" w:type="dxa"/>
      </w:tblCellMar>
    </w:tblPr>
  </w:style>
  <w:style w:type="table" w:customStyle="1" w:styleId="Style287">
    <w:name w:val="_Style 287"/>
    <w:basedOn w:val="TableNormal"/>
    <w:tblPr>
      <w:tblCellMar>
        <w:left w:w="115" w:type="dxa"/>
        <w:right w:w="115" w:type="dxa"/>
      </w:tblCellMar>
    </w:tblPr>
  </w:style>
  <w:style w:type="table" w:customStyle="1" w:styleId="Style288">
    <w:name w:val="_Style 288"/>
    <w:basedOn w:val="TableNormal"/>
    <w:pPr>
      <w:spacing w:after="200"/>
    </w:pPr>
    <w:rPr>
      <w:rFonts w:ascii="Calibri" w:eastAsia="Calibri" w:hAnsi="Calibri" w:cs="Calibri"/>
      <w:sz w:val="22"/>
      <w:szCs w:val="22"/>
    </w:rPr>
    <w:tblPr>
      <w:tblCellMar>
        <w:left w:w="115" w:type="dxa"/>
        <w:right w:w="115" w:type="dxa"/>
      </w:tblCellMar>
    </w:tblPr>
  </w:style>
  <w:style w:type="table" w:customStyle="1" w:styleId="Style289">
    <w:name w:val="_Style 289"/>
    <w:basedOn w:val="TableNormal"/>
    <w:pPr>
      <w:spacing w:after="200"/>
    </w:pPr>
    <w:rPr>
      <w:rFonts w:ascii="Calibri" w:eastAsia="Calibri" w:hAnsi="Calibri" w:cs="Calibri"/>
      <w:sz w:val="22"/>
      <w:szCs w:val="22"/>
    </w:rPr>
    <w:tblPr>
      <w:tblCellMar>
        <w:left w:w="115" w:type="dxa"/>
        <w:right w:w="115" w:type="dxa"/>
      </w:tblCellMar>
    </w:tblPr>
  </w:style>
  <w:style w:type="table" w:customStyle="1" w:styleId="Style290">
    <w:name w:val="_Style 290"/>
    <w:basedOn w:val="TableNormal"/>
    <w:tblPr>
      <w:tblCellMar>
        <w:left w:w="115" w:type="dxa"/>
        <w:right w:w="115" w:type="dxa"/>
      </w:tblCellMar>
    </w:tblPr>
  </w:style>
  <w:style w:type="table" w:customStyle="1" w:styleId="Style291">
    <w:name w:val="_Style 291"/>
    <w:basedOn w:val="TableNormal"/>
    <w:qFormat/>
    <w:pPr>
      <w:spacing w:after="200"/>
    </w:pPr>
    <w:rPr>
      <w:rFonts w:ascii="Calibri" w:eastAsia="Calibri" w:hAnsi="Calibri" w:cs="Calibri"/>
      <w:sz w:val="22"/>
      <w:szCs w:val="22"/>
    </w:rPr>
    <w:tblPr>
      <w:tblCellMar>
        <w:left w:w="115" w:type="dxa"/>
        <w:right w:w="115" w:type="dxa"/>
      </w:tblCellMar>
    </w:tblPr>
  </w:style>
  <w:style w:type="table" w:customStyle="1" w:styleId="Style292">
    <w:name w:val="_Style 292"/>
    <w:basedOn w:val="TableNormal"/>
    <w:pPr>
      <w:spacing w:after="200"/>
    </w:pPr>
    <w:rPr>
      <w:rFonts w:ascii="Calibri" w:eastAsia="Calibri" w:hAnsi="Calibri" w:cs="Calibri"/>
      <w:sz w:val="22"/>
      <w:szCs w:val="22"/>
    </w:rPr>
    <w:tblPr>
      <w:tblCellMar>
        <w:left w:w="115" w:type="dxa"/>
        <w:right w:w="115" w:type="dxa"/>
      </w:tblCellMar>
    </w:tblPr>
  </w:style>
  <w:style w:type="table" w:customStyle="1" w:styleId="Style293">
    <w:name w:val="_Style 293"/>
    <w:basedOn w:val="TableNormal"/>
    <w:pPr>
      <w:spacing w:after="200"/>
    </w:pPr>
    <w:rPr>
      <w:rFonts w:ascii="Calibri" w:eastAsia="Calibri" w:hAnsi="Calibri" w:cs="Calibri"/>
      <w:sz w:val="22"/>
      <w:szCs w:val="22"/>
    </w:rPr>
    <w:tblPr>
      <w:tblCellMar>
        <w:left w:w="115" w:type="dxa"/>
        <w:right w:w="115" w:type="dxa"/>
      </w:tblCellMar>
    </w:tblPr>
  </w:style>
  <w:style w:type="table" w:customStyle="1" w:styleId="Style294">
    <w:name w:val="_Style 294"/>
    <w:basedOn w:val="TableNormal"/>
    <w:pPr>
      <w:spacing w:after="200"/>
    </w:pPr>
    <w:rPr>
      <w:rFonts w:ascii="Calibri" w:eastAsia="Calibri" w:hAnsi="Calibri" w:cs="Calibri"/>
      <w:sz w:val="22"/>
      <w:szCs w:val="22"/>
    </w:rPr>
    <w:tblPr>
      <w:tblCellMar>
        <w:left w:w="115" w:type="dxa"/>
        <w:right w:w="115" w:type="dxa"/>
      </w:tblCellMar>
    </w:tblPr>
  </w:style>
  <w:style w:type="table" w:customStyle="1" w:styleId="Style295">
    <w:name w:val="_Style 295"/>
    <w:basedOn w:val="TableNormal"/>
    <w:tblPr>
      <w:tblCellMar>
        <w:left w:w="0" w:type="dxa"/>
        <w:right w:w="0" w:type="dxa"/>
      </w:tblCellMar>
    </w:tblPr>
  </w:style>
  <w:style w:type="table" w:customStyle="1" w:styleId="Style296">
    <w:name w:val="_Style 296"/>
    <w:basedOn w:val="TableNormal"/>
    <w:pPr>
      <w:spacing w:after="200"/>
    </w:pPr>
    <w:rPr>
      <w:rFonts w:ascii="Calibri" w:eastAsia="Calibri" w:hAnsi="Calibri" w:cs="Calibri"/>
      <w:sz w:val="22"/>
      <w:szCs w:val="22"/>
    </w:rPr>
    <w:tblPr>
      <w:tblCellMar>
        <w:left w:w="115" w:type="dxa"/>
        <w:right w:w="115" w:type="dxa"/>
      </w:tblCellMar>
    </w:tblPr>
  </w:style>
  <w:style w:type="table" w:customStyle="1" w:styleId="Style297">
    <w:name w:val="_Style 297"/>
    <w:basedOn w:val="TableNormal"/>
    <w:pPr>
      <w:spacing w:after="200"/>
    </w:pPr>
    <w:rPr>
      <w:rFonts w:ascii="Calibri" w:eastAsia="Calibri" w:hAnsi="Calibri" w:cs="Calibri"/>
      <w:sz w:val="22"/>
      <w:szCs w:val="22"/>
    </w:rPr>
    <w:tblPr>
      <w:tblCellMar>
        <w:left w:w="115" w:type="dxa"/>
        <w:right w:w="115" w:type="dxa"/>
      </w:tblCellMar>
    </w:tblPr>
  </w:style>
  <w:style w:type="table" w:customStyle="1" w:styleId="Style298">
    <w:name w:val="_Style 298"/>
    <w:basedOn w:val="TableNormal"/>
    <w:pPr>
      <w:spacing w:after="200"/>
    </w:pPr>
    <w:rPr>
      <w:rFonts w:ascii="Calibri" w:eastAsia="Calibri" w:hAnsi="Calibri" w:cs="Calibri"/>
      <w:sz w:val="22"/>
      <w:szCs w:val="22"/>
    </w:rPr>
    <w:tblPr>
      <w:tblCellMar>
        <w:left w:w="115" w:type="dxa"/>
        <w:right w:w="115" w:type="dxa"/>
      </w:tblCellMar>
    </w:tblPr>
  </w:style>
  <w:style w:type="paragraph" w:customStyle="1" w:styleId="Revision2">
    <w:name w:val="Revision2"/>
    <w:hidden/>
    <w:uiPriority w:val="99"/>
    <w:unhideWhenUsed/>
    <w:rPr>
      <w:rFonts w:eastAsia="Times New Roman"/>
      <w:sz w:val="24"/>
      <w:szCs w:val="24"/>
      <w:lang w:val="en-GB" w:eastAsia="en-GB"/>
    </w:rPr>
  </w:style>
  <w:style w:type="paragraph" w:customStyle="1" w:styleId="font7">
    <w:name w:val="font7"/>
    <w:basedOn w:val="Normal"/>
    <w:pPr>
      <w:spacing w:before="100" w:beforeAutospacing="1" w:after="100" w:afterAutospacing="1"/>
    </w:pPr>
    <w:rPr>
      <w:rFonts w:ascii="Calibri" w:hAnsi="Calibri" w:cs="Calibri"/>
      <w:i/>
      <w:iCs/>
      <w:color w:val="000000"/>
      <w:sz w:val="16"/>
      <w:szCs w:val="16"/>
    </w:rPr>
  </w:style>
  <w:style w:type="paragraph" w:customStyle="1" w:styleId="font8">
    <w:name w:val="font8"/>
    <w:basedOn w:val="Normal"/>
    <w:pPr>
      <w:spacing w:before="100" w:beforeAutospacing="1" w:after="100" w:afterAutospacing="1"/>
    </w:pPr>
    <w:rPr>
      <w:rFonts w:ascii="Calibri" w:hAnsi="Calibri" w:cs="Calibri"/>
      <w:b/>
      <w:bCs/>
      <w:i/>
      <w:iCs/>
      <w:color w:val="000000"/>
      <w:sz w:val="16"/>
      <w:szCs w:val="16"/>
    </w:rPr>
  </w:style>
  <w:style w:type="paragraph" w:customStyle="1" w:styleId="xl119">
    <w:name w:val="xl119"/>
    <w:basedOn w:val="Normal"/>
    <w:pPr>
      <w:pBdr>
        <w:top w:val="single" w:sz="4" w:space="0" w:color="000000"/>
        <w:left w:val="single" w:sz="4" w:space="0" w:color="000000"/>
        <w:bottom w:val="single" w:sz="4" w:space="0" w:color="000000"/>
      </w:pBdr>
      <w:shd w:val="clear" w:color="BDD6EE" w:fill="BDD6EE"/>
      <w:spacing w:before="100" w:beforeAutospacing="1" w:after="100" w:afterAutospacing="1"/>
      <w:textAlignment w:val="center"/>
    </w:pPr>
    <w:rPr>
      <w:rFonts w:ascii="Calibri" w:hAnsi="Calibri" w:cs="Calibri"/>
      <w:b/>
      <w:bCs/>
      <w:i/>
      <w:iCs/>
      <w:color w:val="000000"/>
      <w:sz w:val="16"/>
      <w:szCs w:val="16"/>
    </w:rPr>
  </w:style>
  <w:style w:type="paragraph" w:customStyle="1" w:styleId="xl120">
    <w:name w:val="xl120"/>
    <w:basedOn w:val="Normal"/>
    <w:pPr>
      <w:pBdr>
        <w:top w:val="single" w:sz="4" w:space="0" w:color="000000"/>
        <w:bottom w:val="single" w:sz="4" w:space="0" w:color="000000"/>
      </w:pBdr>
      <w:spacing w:before="100" w:beforeAutospacing="1" w:after="100" w:afterAutospacing="1"/>
    </w:pPr>
    <w:rPr>
      <w:rFonts w:ascii="Calibri" w:hAnsi="Calibri" w:cs="Calibri"/>
    </w:rPr>
  </w:style>
  <w:style w:type="paragraph" w:customStyle="1" w:styleId="xl121">
    <w:name w:val="xl121"/>
    <w:basedOn w:val="Normal"/>
    <w:pPr>
      <w:pBdr>
        <w:top w:val="single" w:sz="4" w:space="0" w:color="000000"/>
        <w:bottom w:val="single" w:sz="4" w:space="0" w:color="000000"/>
        <w:right w:val="single" w:sz="4" w:space="0" w:color="000000"/>
      </w:pBdr>
      <w:spacing w:before="100" w:beforeAutospacing="1" w:after="100" w:afterAutospacing="1"/>
    </w:pPr>
    <w:rPr>
      <w:rFonts w:ascii="Calibri" w:hAnsi="Calibri" w:cs="Calibri"/>
    </w:rPr>
  </w:style>
  <w:style w:type="paragraph" w:customStyle="1" w:styleId="xl122">
    <w:name w:val="xl122"/>
    <w:basedOn w:val="Normal"/>
    <w:pPr>
      <w:pBdr>
        <w:top w:val="single" w:sz="4" w:space="0" w:color="000000"/>
        <w:bottom w:val="single" w:sz="4" w:space="0" w:color="000000"/>
      </w:pBdr>
      <w:spacing w:before="100" w:beforeAutospacing="1" w:after="100" w:afterAutospacing="1"/>
      <w:textAlignment w:val="center"/>
    </w:pPr>
    <w:rPr>
      <w:rFonts w:ascii="Calibri" w:hAnsi="Calibri" w:cs="Calibri"/>
      <w:b/>
      <w:bCs/>
      <w:i/>
      <w:iCs/>
      <w:color w:val="000000"/>
      <w:sz w:val="16"/>
      <w:szCs w:val="16"/>
    </w:rPr>
  </w:style>
  <w:style w:type="paragraph" w:customStyle="1" w:styleId="xl123">
    <w:name w:val="xl123"/>
    <w:basedOn w:val="Normal"/>
    <w:pPr>
      <w:pBdr>
        <w:top w:val="single" w:sz="4" w:space="0" w:color="000000"/>
        <w:left w:val="single" w:sz="4" w:space="0" w:color="000000"/>
        <w:right w:val="single" w:sz="4" w:space="0" w:color="000000"/>
      </w:pBdr>
      <w:spacing w:before="100" w:beforeAutospacing="1" w:after="100" w:afterAutospacing="1"/>
      <w:textAlignment w:val="center"/>
    </w:pPr>
    <w:rPr>
      <w:rFonts w:ascii="Calibri" w:hAnsi="Calibri" w:cs="Calibri"/>
      <w:i/>
      <w:iCs/>
      <w:color w:val="000000"/>
      <w:sz w:val="16"/>
      <w:szCs w:val="16"/>
    </w:rPr>
  </w:style>
  <w:style w:type="paragraph" w:customStyle="1" w:styleId="xl124">
    <w:name w:val="xl124"/>
    <w:basedOn w:val="Normal"/>
    <w:pPr>
      <w:pBdr>
        <w:left w:val="single" w:sz="4" w:space="0" w:color="000000"/>
        <w:right w:val="single" w:sz="4" w:space="0" w:color="000000"/>
      </w:pBdr>
      <w:spacing w:before="100" w:beforeAutospacing="1" w:after="100" w:afterAutospacing="1"/>
    </w:pPr>
    <w:rPr>
      <w:rFonts w:ascii="Calibri" w:hAnsi="Calibri" w:cs="Calibri"/>
    </w:rPr>
  </w:style>
  <w:style w:type="paragraph" w:customStyle="1" w:styleId="xl125">
    <w:name w:val="xl125"/>
    <w:basedOn w:val="Normal"/>
    <w:pPr>
      <w:pBdr>
        <w:left w:val="single" w:sz="4" w:space="0" w:color="000000"/>
        <w:bottom w:val="single" w:sz="4" w:space="0" w:color="000000"/>
        <w:right w:val="single" w:sz="4" w:space="0" w:color="000000"/>
      </w:pBdr>
      <w:spacing w:before="100" w:beforeAutospacing="1" w:after="100" w:afterAutospacing="1"/>
    </w:pPr>
    <w:rPr>
      <w:rFonts w:ascii="Calibri" w:hAnsi="Calibri" w:cs="Calibri"/>
    </w:rPr>
  </w:style>
  <w:style w:type="paragraph" w:customStyle="1" w:styleId="xl126">
    <w:name w:val="xl126"/>
    <w:basedOn w:val="Normal"/>
    <w:pPr>
      <w:pBdr>
        <w:top w:val="single" w:sz="4" w:space="0" w:color="000000"/>
      </w:pBdr>
      <w:spacing w:before="100" w:beforeAutospacing="1" w:after="100" w:afterAutospacing="1"/>
      <w:jc w:val="center"/>
      <w:textAlignment w:val="center"/>
    </w:pPr>
    <w:rPr>
      <w:rFonts w:ascii="Calibri" w:hAnsi="Calibri" w:cs="Calibri"/>
      <w:i/>
      <w:iCs/>
      <w:color w:val="000000"/>
      <w:sz w:val="16"/>
      <w:szCs w:val="16"/>
    </w:rPr>
  </w:style>
  <w:style w:type="paragraph" w:customStyle="1" w:styleId="xl127">
    <w:name w:val="xl127"/>
    <w:basedOn w:val="Normal"/>
    <w:pPr>
      <w:pBdr>
        <w:top w:val="single" w:sz="4" w:space="0" w:color="000000"/>
        <w:left w:val="single" w:sz="4" w:space="0" w:color="000000"/>
      </w:pBdr>
      <w:spacing w:before="100" w:beforeAutospacing="1" w:after="100" w:afterAutospacing="1"/>
      <w:jc w:val="center"/>
      <w:textAlignment w:val="center"/>
    </w:pPr>
    <w:rPr>
      <w:rFonts w:ascii="Calibri" w:hAnsi="Calibri" w:cs="Calibri"/>
      <w:i/>
      <w:iCs/>
      <w:color w:val="000000"/>
      <w:sz w:val="16"/>
      <w:szCs w:val="16"/>
    </w:rPr>
  </w:style>
  <w:style w:type="paragraph" w:customStyle="1" w:styleId="xl128">
    <w:name w:val="xl128"/>
    <w:basedOn w:val="Normal"/>
    <w:pPr>
      <w:pBdr>
        <w:left w:val="single" w:sz="4" w:space="0" w:color="000000"/>
      </w:pBdr>
      <w:spacing w:before="100" w:beforeAutospacing="1" w:after="100" w:afterAutospacing="1"/>
    </w:pPr>
    <w:rPr>
      <w:rFonts w:ascii="Calibri" w:hAnsi="Calibri" w:cs="Calibri"/>
    </w:rPr>
  </w:style>
  <w:style w:type="paragraph" w:customStyle="1" w:styleId="xl129">
    <w:name w:val="xl129"/>
    <w:basedOn w:val="Normal"/>
    <w:pPr>
      <w:pBdr>
        <w:bottom w:val="single" w:sz="4" w:space="0" w:color="000000"/>
      </w:pBdr>
      <w:spacing w:before="100" w:beforeAutospacing="1" w:after="100" w:afterAutospacing="1"/>
      <w:textAlignment w:val="center"/>
    </w:pPr>
    <w:rPr>
      <w:rFonts w:ascii="Calibri" w:hAnsi="Calibri" w:cs="Calibri"/>
      <w:b/>
      <w:bCs/>
      <w:i/>
      <w:iCs/>
      <w:color w:val="000000"/>
      <w:sz w:val="16"/>
      <w:szCs w:val="16"/>
    </w:rPr>
  </w:style>
  <w:style w:type="paragraph" w:customStyle="1" w:styleId="xl130">
    <w:name w:val="xl130"/>
    <w:basedOn w:val="Normal"/>
    <w:pPr>
      <w:pBdr>
        <w:bottom w:val="single" w:sz="4" w:space="0" w:color="000000"/>
      </w:pBdr>
      <w:spacing w:before="100" w:beforeAutospacing="1" w:after="100" w:afterAutospacing="1"/>
    </w:pPr>
    <w:rPr>
      <w:rFonts w:ascii="Calibri" w:hAnsi="Calibri" w:cs="Calibri"/>
    </w:rPr>
  </w:style>
  <w:style w:type="paragraph" w:customStyle="1" w:styleId="xl131">
    <w:name w:val="xl131"/>
    <w:basedOn w:val="Normal"/>
    <w:pPr>
      <w:pBdr>
        <w:bottom w:val="single" w:sz="4" w:space="0" w:color="000000"/>
        <w:right w:val="single" w:sz="4" w:space="0" w:color="000000"/>
      </w:pBdr>
      <w:spacing w:before="100" w:beforeAutospacing="1" w:after="100" w:afterAutospacing="1"/>
    </w:pPr>
    <w:rPr>
      <w:rFonts w:ascii="Calibri" w:hAnsi="Calibri" w:cs="Calibri"/>
    </w:rPr>
  </w:style>
  <w:style w:type="paragraph" w:customStyle="1" w:styleId="xl132">
    <w:name w:val="xl132"/>
    <w:basedOn w:val="Normal"/>
    <w:pPr>
      <w:pBdr>
        <w:left w:val="single" w:sz="4" w:space="0" w:color="000000"/>
        <w:bottom w:val="single" w:sz="4" w:space="0" w:color="000000"/>
      </w:pBdr>
      <w:spacing w:before="100" w:beforeAutospacing="1" w:after="100" w:afterAutospacing="1"/>
    </w:pPr>
    <w:rPr>
      <w:rFonts w:ascii="Calibri" w:hAnsi="Calibri" w:cs="Calibri"/>
    </w:rPr>
  </w:style>
  <w:style w:type="paragraph" w:customStyle="1" w:styleId="xl133">
    <w:name w:val="xl133"/>
    <w:basedOn w:val="Normal"/>
    <w:pPr>
      <w:pBdr>
        <w:left w:val="single" w:sz="4" w:space="0" w:color="000000"/>
      </w:pBdr>
      <w:spacing w:before="100" w:beforeAutospacing="1" w:after="100" w:afterAutospacing="1"/>
      <w:textAlignment w:val="center"/>
    </w:pPr>
    <w:rPr>
      <w:rFonts w:ascii="Calibri" w:hAnsi="Calibri" w:cs="Calibri"/>
      <w:i/>
      <w:iCs/>
      <w:color w:val="000000"/>
      <w:sz w:val="16"/>
      <w:szCs w:val="16"/>
    </w:rPr>
  </w:style>
  <w:style w:type="paragraph" w:customStyle="1" w:styleId="xl134">
    <w:name w:val="xl134"/>
    <w:basedOn w:val="Normal"/>
    <w:qFormat/>
    <w:pPr>
      <w:pBdr>
        <w:top w:val="single" w:sz="4" w:space="0" w:color="000000"/>
        <w:right w:val="single" w:sz="4" w:space="0" w:color="000000"/>
      </w:pBdr>
      <w:spacing w:before="100" w:beforeAutospacing="1" w:after="100" w:afterAutospacing="1"/>
      <w:textAlignment w:val="center"/>
    </w:pPr>
    <w:rPr>
      <w:rFonts w:ascii="Calibri" w:hAnsi="Calibri" w:cs="Calibri"/>
      <w:i/>
      <w:iCs/>
      <w:color w:val="000000"/>
      <w:sz w:val="16"/>
      <w:szCs w:val="16"/>
    </w:rPr>
  </w:style>
  <w:style w:type="paragraph" w:customStyle="1" w:styleId="xl135">
    <w:name w:val="xl135"/>
    <w:basedOn w:val="Normal"/>
    <w:qFormat/>
    <w:pPr>
      <w:pBdr>
        <w:right w:val="single" w:sz="4" w:space="0" w:color="000000"/>
      </w:pBdr>
      <w:spacing w:before="100" w:beforeAutospacing="1" w:after="100" w:afterAutospacing="1"/>
    </w:pPr>
    <w:rPr>
      <w:rFonts w:ascii="Calibri" w:hAnsi="Calibri" w:cs="Calibri"/>
    </w:rPr>
  </w:style>
  <w:style w:type="paragraph" w:customStyle="1" w:styleId="xl136">
    <w:name w:val="xl136"/>
    <w:basedOn w:val="Normal"/>
    <w:pPr>
      <w:pBdr>
        <w:left w:val="single" w:sz="4" w:space="0" w:color="000000"/>
        <w:bottom w:val="single" w:sz="4" w:space="0" w:color="000000"/>
      </w:pBdr>
      <w:shd w:val="clear" w:color="FEF2CB" w:fill="FEF2CB"/>
      <w:spacing w:before="100" w:beforeAutospacing="1" w:after="100" w:afterAutospacing="1"/>
      <w:textAlignment w:val="center"/>
    </w:pPr>
    <w:rPr>
      <w:rFonts w:ascii="Calibri" w:hAnsi="Calibri" w:cs="Calibri"/>
      <w:b/>
      <w:bCs/>
      <w:i/>
      <w:iCs/>
      <w:color w:val="000000"/>
      <w:sz w:val="16"/>
      <w:szCs w:val="16"/>
    </w:rPr>
  </w:style>
  <w:style w:type="paragraph" w:customStyle="1" w:styleId="xl137">
    <w:name w:val="xl137"/>
    <w:basedOn w:val="Normal"/>
    <w:pPr>
      <w:pBdr>
        <w:bottom w:val="single" w:sz="4" w:space="0" w:color="000000"/>
      </w:pBdr>
      <w:spacing w:before="100" w:beforeAutospacing="1" w:after="100" w:afterAutospacing="1"/>
    </w:pPr>
    <w:rPr>
      <w:rFonts w:ascii="Calibri" w:hAnsi="Calibri" w:cs="Calibri"/>
    </w:rPr>
  </w:style>
  <w:style w:type="paragraph" w:customStyle="1" w:styleId="xl138">
    <w:name w:val="xl138"/>
    <w:basedOn w:val="Normal"/>
    <w:qFormat/>
    <w:pPr>
      <w:pBdr>
        <w:bottom w:val="single" w:sz="4" w:space="0" w:color="000000"/>
        <w:right w:val="single" w:sz="4" w:space="0" w:color="000000"/>
      </w:pBdr>
      <w:spacing w:before="100" w:beforeAutospacing="1" w:after="100" w:afterAutospacing="1"/>
    </w:pPr>
    <w:rPr>
      <w:rFonts w:ascii="Calibri" w:hAnsi="Calibri" w:cs="Calibri"/>
    </w:rPr>
  </w:style>
  <w:style w:type="paragraph" w:customStyle="1" w:styleId="xl139">
    <w:name w:val="xl139"/>
    <w:basedOn w:val="Normal"/>
    <w:pPr>
      <w:pBdr>
        <w:left w:val="single" w:sz="4" w:space="0" w:color="000000"/>
        <w:right w:val="single" w:sz="4" w:space="0" w:color="000000"/>
      </w:pBdr>
      <w:spacing w:before="100" w:beforeAutospacing="1" w:after="100" w:afterAutospacing="1"/>
      <w:textAlignment w:val="center"/>
    </w:pPr>
    <w:rPr>
      <w:rFonts w:ascii="Calibri" w:hAnsi="Calibri" w:cs="Calibri"/>
      <w:i/>
      <w:iCs/>
      <w:color w:val="000000"/>
      <w:sz w:val="16"/>
      <w:szCs w:val="16"/>
    </w:rPr>
  </w:style>
  <w:style w:type="paragraph" w:customStyle="1" w:styleId="xl140">
    <w:name w:val="xl140"/>
    <w:basedOn w:val="Normal"/>
    <w:pPr>
      <w:pBdr>
        <w:right w:val="single" w:sz="4" w:space="0" w:color="000000"/>
      </w:pBdr>
      <w:spacing w:before="100" w:beforeAutospacing="1" w:after="100" w:afterAutospacing="1"/>
      <w:textAlignment w:val="center"/>
    </w:pPr>
    <w:rPr>
      <w:rFonts w:ascii="Calibri" w:hAnsi="Calibri" w:cs="Calibri"/>
      <w:i/>
      <w:iCs/>
      <w:color w:val="000000"/>
      <w:sz w:val="16"/>
      <w:szCs w:val="16"/>
    </w:rPr>
  </w:style>
  <w:style w:type="paragraph" w:customStyle="1" w:styleId="xl141">
    <w:name w:val="xl141"/>
    <w:basedOn w:val="Normal"/>
    <w:pPr>
      <w:spacing w:before="100" w:beforeAutospacing="1" w:after="100" w:afterAutospacing="1"/>
      <w:jc w:val="center"/>
      <w:textAlignment w:val="center"/>
    </w:pPr>
    <w:rPr>
      <w:rFonts w:ascii="Calibri" w:hAnsi="Calibri" w:cs="Calibri"/>
      <w:i/>
      <w:iCs/>
      <w:color w:val="000000"/>
      <w:sz w:val="16"/>
      <w:szCs w:val="16"/>
    </w:rPr>
  </w:style>
  <w:style w:type="paragraph" w:customStyle="1" w:styleId="xl142">
    <w:name w:val="xl142"/>
    <w:basedOn w:val="Normal"/>
    <w:pPr>
      <w:pBdr>
        <w:left w:val="single" w:sz="4" w:space="0" w:color="000000"/>
      </w:pBdr>
      <w:spacing w:before="100" w:beforeAutospacing="1" w:after="100" w:afterAutospacing="1"/>
      <w:jc w:val="center"/>
      <w:textAlignment w:val="center"/>
    </w:pPr>
    <w:rPr>
      <w:rFonts w:ascii="Calibri" w:hAnsi="Calibri" w:cs="Calibri"/>
      <w:i/>
      <w:iCs/>
      <w:color w:val="000000"/>
      <w:sz w:val="16"/>
      <w:szCs w:val="16"/>
    </w:rPr>
  </w:style>
  <w:style w:type="paragraph" w:customStyle="1" w:styleId="xl143">
    <w:name w:val="xl143"/>
    <w:basedOn w:val="Normal"/>
    <w:pPr>
      <w:pBdr>
        <w:left w:val="single" w:sz="4" w:space="0" w:color="000000"/>
      </w:pBdr>
      <w:shd w:val="clear" w:color="FEF2CB" w:fill="FEF2CB"/>
      <w:spacing w:before="100" w:beforeAutospacing="1" w:after="100" w:afterAutospacing="1"/>
      <w:textAlignment w:val="center"/>
    </w:pPr>
    <w:rPr>
      <w:rFonts w:ascii="Calibri" w:hAnsi="Calibri" w:cs="Calibri"/>
      <w:b/>
      <w:bCs/>
      <w:i/>
      <w:iCs/>
      <w:color w:val="000000"/>
      <w:sz w:val="16"/>
      <w:szCs w:val="16"/>
    </w:rPr>
  </w:style>
  <w:style w:type="paragraph" w:customStyle="1" w:styleId="xl144">
    <w:name w:val="xl144"/>
    <w:basedOn w:val="Normal"/>
    <w:pPr>
      <w:spacing w:before="100" w:beforeAutospacing="1" w:after="100" w:afterAutospacing="1"/>
    </w:pPr>
    <w:rPr>
      <w:rFonts w:ascii="Calibri" w:hAnsi="Calibri" w:cs="Calibri"/>
    </w:rPr>
  </w:style>
  <w:style w:type="paragraph" w:customStyle="1" w:styleId="xl145">
    <w:name w:val="xl145"/>
    <w:basedOn w:val="Normal"/>
    <w:pPr>
      <w:pBdr>
        <w:right w:val="single" w:sz="4" w:space="0" w:color="000000"/>
      </w:pBdr>
      <w:spacing w:before="100" w:beforeAutospacing="1" w:after="100" w:afterAutospacing="1"/>
    </w:pPr>
    <w:rPr>
      <w:rFonts w:ascii="Calibri" w:hAnsi="Calibri" w:cs="Calibri"/>
    </w:rPr>
  </w:style>
  <w:style w:type="paragraph" w:customStyle="1" w:styleId="xl146">
    <w:name w:val="xl146"/>
    <w:basedOn w:val="Normal"/>
    <w:pPr>
      <w:pBdr>
        <w:top w:val="single" w:sz="8" w:space="0" w:color="000000"/>
        <w:left w:val="single" w:sz="4" w:space="0" w:color="000000"/>
        <w:right w:val="single" w:sz="4" w:space="0" w:color="000000"/>
      </w:pBdr>
      <w:spacing w:before="100" w:beforeAutospacing="1" w:after="100" w:afterAutospacing="1"/>
      <w:textAlignment w:val="center"/>
    </w:pPr>
    <w:rPr>
      <w:rFonts w:ascii="Calibri" w:hAnsi="Calibri" w:cs="Calibri"/>
      <w:i/>
      <w:iCs/>
      <w:color w:val="000000"/>
      <w:sz w:val="16"/>
      <w:szCs w:val="16"/>
    </w:rPr>
  </w:style>
  <w:style w:type="paragraph" w:customStyle="1" w:styleId="xl147">
    <w:name w:val="xl147"/>
    <w:basedOn w:val="Normal"/>
    <w:pPr>
      <w:pBdr>
        <w:top w:val="single" w:sz="8" w:space="0" w:color="000000"/>
        <w:left w:val="single" w:sz="4" w:space="0" w:color="000000"/>
        <w:right w:val="single" w:sz="4" w:space="0" w:color="000000"/>
      </w:pBdr>
      <w:spacing w:before="100" w:beforeAutospacing="1" w:after="100" w:afterAutospacing="1"/>
      <w:jc w:val="center"/>
      <w:textAlignment w:val="center"/>
    </w:pPr>
    <w:rPr>
      <w:rFonts w:ascii="Calibri" w:hAnsi="Calibri" w:cs="Calibri"/>
      <w:i/>
      <w:iCs/>
      <w:color w:val="000000"/>
      <w:sz w:val="16"/>
      <w:szCs w:val="16"/>
    </w:rPr>
  </w:style>
  <w:style w:type="paragraph" w:customStyle="1" w:styleId="xl148">
    <w:name w:val="xl148"/>
    <w:basedOn w:val="Normal"/>
    <w:pPr>
      <w:pBdr>
        <w:top w:val="single" w:sz="8" w:space="0" w:color="000000"/>
        <w:left w:val="single" w:sz="4" w:space="0" w:color="000000"/>
        <w:right w:val="single" w:sz="4" w:space="0" w:color="000000"/>
      </w:pBdr>
      <w:spacing w:before="100" w:beforeAutospacing="1" w:after="100" w:afterAutospacing="1"/>
      <w:jc w:val="center"/>
      <w:textAlignment w:val="center"/>
    </w:pPr>
    <w:rPr>
      <w:rFonts w:ascii="Calibri" w:hAnsi="Calibri" w:cs="Calibri"/>
      <w:i/>
      <w:iCs/>
      <w:color w:val="000000"/>
      <w:sz w:val="16"/>
      <w:szCs w:val="16"/>
    </w:rPr>
  </w:style>
  <w:style w:type="paragraph" w:customStyle="1" w:styleId="xl149">
    <w:name w:val="xl149"/>
    <w:basedOn w:val="Normal"/>
    <w:pPr>
      <w:pBdr>
        <w:top w:val="single" w:sz="4" w:space="0" w:color="000000"/>
        <w:left w:val="single" w:sz="8" w:space="0" w:color="000000"/>
        <w:bottom w:val="single" w:sz="8" w:space="0" w:color="000000"/>
      </w:pBdr>
      <w:shd w:val="clear" w:color="BDD6EE" w:fill="BDD6EE"/>
      <w:spacing w:before="100" w:beforeAutospacing="1" w:after="100" w:afterAutospacing="1"/>
      <w:textAlignment w:val="center"/>
    </w:pPr>
    <w:rPr>
      <w:rFonts w:ascii="Calibri" w:hAnsi="Calibri" w:cs="Calibri"/>
      <w:b/>
      <w:bCs/>
      <w:i/>
      <w:iCs/>
      <w:color w:val="000000"/>
      <w:sz w:val="16"/>
      <w:szCs w:val="16"/>
    </w:rPr>
  </w:style>
  <w:style w:type="paragraph" w:customStyle="1" w:styleId="xl150">
    <w:name w:val="xl150"/>
    <w:basedOn w:val="Normal"/>
    <w:pPr>
      <w:pBdr>
        <w:top w:val="single" w:sz="4" w:space="0" w:color="000000"/>
        <w:bottom w:val="single" w:sz="8" w:space="0" w:color="000000"/>
      </w:pBdr>
      <w:spacing w:before="100" w:beforeAutospacing="1" w:after="100" w:afterAutospacing="1"/>
    </w:pPr>
    <w:rPr>
      <w:rFonts w:ascii="Calibri" w:hAnsi="Calibri" w:cs="Calibri"/>
    </w:rPr>
  </w:style>
  <w:style w:type="paragraph" w:customStyle="1" w:styleId="xl151">
    <w:name w:val="xl151"/>
    <w:basedOn w:val="Normal"/>
    <w:pPr>
      <w:pBdr>
        <w:top w:val="single" w:sz="4" w:space="0" w:color="000000"/>
        <w:bottom w:val="single" w:sz="8" w:space="0" w:color="000000"/>
        <w:right w:val="single" w:sz="4" w:space="0" w:color="000000"/>
      </w:pBdr>
      <w:spacing w:before="100" w:beforeAutospacing="1" w:after="100" w:afterAutospacing="1"/>
    </w:pPr>
    <w:rPr>
      <w:rFonts w:ascii="Calibri" w:hAnsi="Calibri" w:cs="Calibri"/>
    </w:rPr>
  </w:style>
  <w:style w:type="paragraph" w:customStyle="1" w:styleId="xl152">
    <w:name w:val="xl152"/>
    <w:basedOn w:val="Normal"/>
    <w:pPr>
      <w:pBdr>
        <w:top w:val="single" w:sz="4" w:space="0" w:color="000000"/>
        <w:left w:val="single" w:sz="8" w:space="0" w:color="000000"/>
        <w:bottom w:val="single" w:sz="8" w:space="0" w:color="000000"/>
      </w:pBdr>
      <w:shd w:val="clear" w:color="BDD6EE" w:fill="BDD6EE"/>
      <w:spacing w:before="100" w:beforeAutospacing="1" w:after="100" w:afterAutospacing="1"/>
      <w:textAlignment w:val="center"/>
    </w:pPr>
    <w:rPr>
      <w:rFonts w:ascii="Calibri" w:hAnsi="Calibri" w:cs="Calibri"/>
      <w:i/>
      <w:iCs/>
      <w:color w:val="000000"/>
      <w:sz w:val="16"/>
      <w:szCs w:val="16"/>
    </w:rPr>
  </w:style>
  <w:style w:type="paragraph" w:customStyle="1" w:styleId="xl153">
    <w:name w:val="xl153"/>
    <w:basedOn w:val="Normal"/>
    <w:pPr>
      <w:pBdr>
        <w:left w:val="single" w:sz="8" w:space="0" w:color="000000"/>
        <w:right w:val="single" w:sz="4" w:space="0" w:color="000000"/>
      </w:pBdr>
      <w:spacing w:before="100" w:beforeAutospacing="1" w:after="100" w:afterAutospacing="1"/>
      <w:jc w:val="center"/>
      <w:textAlignment w:val="center"/>
    </w:pPr>
    <w:rPr>
      <w:rFonts w:ascii="Calibri" w:hAnsi="Calibri" w:cs="Calibri"/>
      <w:i/>
      <w:iCs/>
      <w:color w:val="000000"/>
      <w:sz w:val="16"/>
      <w:szCs w:val="16"/>
    </w:rPr>
  </w:style>
  <w:style w:type="paragraph" w:customStyle="1" w:styleId="xl154">
    <w:name w:val="xl154"/>
    <w:basedOn w:val="Normal"/>
    <w:pPr>
      <w:pBdr>
        <w:left w:val="single" w:sz="8" w:space="0" w:color="000000"/>
        <w:right w:val="single" w:sz="4" w:space="0" w:color="000000"/>
      </w:pBdr>
      <w:spacing w:before="100" w:beforeAutospacing="1" w:after="100" w:afterAutospacing="1"/>
    </w:pPr>
    <w:rPr>
      <w:rFonts w:ascii="Calibri" w:hAnsi="Calibri" w:cs="Calibri"/>
    </w:rPr>
  </w:style>
  <w:style w:type="paragraph" w:customStyle="1" w:styleId="xl155">
    <w:name w:val="xl155"/>
    <w:basedOn w:val="Normal"/>
    <w:pPr>
      <w:pBdr>
        <w:left w:val="single" w:sz="8" w:space="0" w:color="000000"/>
        <w:bottom w:val="single" w:sz="4" w:space="0" w:color="000000"/>
        <w:right w:val="single" w:sz="4" w:space="0" w:color="000000"/>
      </w:pBdr>
      <w:spacing w:before="100" w:beforeAutospacing="1" w:after="100" w:afterAutospacing="1"/>
    </w:pPr>
    <w:rPr>
      <w:rFonts w:ascii="Calibri" w:hAnsi="Calibri" w:cs="Calibri"/>
    </w:rPr>
  </w:style>
  <w:style w:type="paragraph" w:customStyle="1" w:styleId="xl156">
    <w:name w:val="xl156"/>
    <w:basedOn w:val="Normal"/>
    <w:pPr>
      <w:pBdr>
        <w:left w:val="single" w:sz="4" w:space="0" w:color="000000"/>
        <w:right w:val="single" w:sz="4" w:space="0" w:color="000000"/>
      </w:pBdr>
      <w:spacing w:before="100" w:beforeAutospacing="1" w:after="100" w:afterAutospacing="1"/>
      <w:jc w:val="center"/>
      <w:textAlignment w:val="center"/>
    </w:pPr>
    <w:rPr>
      <w:rFonts w:ascii="Calibri" w:hAnsi="Calibri" w:cs="Calibri"/>
      <w:i/>
      <w:iCs/>
      <w:color w:val="000000"/>
      <w:sz w:val="16"/>
      <w:szCs w:val="16"/>
    </w:rPr>
  </w:style>
  <w:style w:type="paragraph" w:customStyle="1" w:styleId="xl157">
    <w:name w:val="xl157"/>
    <w:basedOn w:val="Normal"/>
    <w:pPr>
      <w:pBdr>
        <w:left w:val="single" w:sz="4" w:space="0" w:color="000000"/>
      </w:pBdr>
      <w:spacing w:before="100" w:beforeAutospacing="1" w:after="100" w:afterAutospacing="1"/>
    </w:pPr>
    <w:rPr>
      <w:rFonts w:ascii="Calibri" w:hAnsi="Calibri" w:cs="Calibri"/>
    </w:rPr>
  </w:style>
  <w:style w:type="paragraph" w:customStyle="1" w:styleId="xl158">
    <w:name w:val="xl158"/>
    <w:basedOn w:val="Normal"/>
    <w:pPr>
      <w:pBdr>
        <w:left w:val="single" w:sz="4" w:space="0" w:color="000000"/>
        <w:right w:val="single" w:sz="4" w:space="0" w:color="000000"/>
      </w:pBdr>
      <w:spacing w:before="100" w:beforeAutospacing="1" w:after="100" w:afterAutospacing="1"/>
    </w:pPr>
    <w:rPr>
      <w:rFonts w:ascii="Calibri" w:hAnsi="Calibri" w:cs="Calibri"/>
      <w:sz w:val="16"/>
      <w:szCs w:val="16"/>
    </w:rPr>
  </w:style>
  <w:style w:type="paragraph" w:customStyle="1" w:styleId="xl159">
    <w:name w:val="xl159"/>
    <w:basedOn w:val="Normal"/>
    <w:pPr>
      <w:spacing w:before="100" w:beforeAutospacing="1" w:after="100" w:afterAutospacing="1"/>
    </w:pPr>
    <w:rPr>
      <w:rFonts w:ascii="Calibri" w:hAnsi="Calibri" w:cs="Calibri"/>
    </w:rPr>
  </w:style>
  <w:style w:type="paragraph" w:customStyle="1" w:styleId="xl160">
    <w:name w:val="xl160"/>
    <w:basedOn w:val="Normal"/>
    <w:pPr>
      <w:pBdr>
        <w:top w:val="single" w:sz="4" w:space="0" w:color="000000"/>
        <w:left w:val="single" w:sz="4" w:space="0" w:color="000000"/>
        <w:right w:val="single" w:sz="4" w:space="0" w:color="000000"/>
      </w:pBdr>
      <w:spacing w:before="100" w:beforeAutospacing="1" w:after="100" w:afterAutospacing="1"/>
      <w:textAlignment w:val="top"/>
    </w:pPr>
    <w:rPr>
      <w:rFonts w:ascii="Calibri" w:hAnsi="Calibri" w:cs="Calibri"/>
      <w:i/>
      <w:iCs/>
      <w:sz w:val="16"/>
      <w:szCs w:val="16"/>
    </w:rPr>
  </w:style>
  <w:style w:type="paragraph" w:customStyle="1" w:styleId="xl161">
    <w:name w:val="xl161"/>
    <w:basedOn w:val="Normal"/>
    <w:qFormat/>
    <w:pPr>
      <w:spacing w:before="100" w:beforeAutospacing="1" w:after="100" w:afterAutospacing="1"/>
    </w:pPr>
    <w:rPr>
      <w:rFonts w:ascii="Calibri" w:hAnsi="Calibri" w:cs="Calibri"/>
      <w:i/>
      <w:iCs/>
      <w:sz w:val="16"/>
      <w:szCs w:val="16"/>
    </w:rPr>
  </w:style>
  <w:style w:type="paragraph" w:customStyle="1" w:styleId="xl162">
    <w:name w:val="xl162"/>
    <w:basedOn w:val="Normal"/>
    <w:pPr>
      <w:pBdr>
        <w:left w:val="single" w:sz="4" w:space="0" w:color="000000"/>
        <w:right w:val="single" w:sz="4" w:space="0" w:color="000000"/>
      </w:pBdr>
      <w:spacing w:before="100" w:beforeAutospacing="1" w:after="100" w:afterAutospacing="1"/>
    </w:pPr>
    <w:rPr>
      <w:rFonts w:ascii="Calibri" w:hAnsi="Calibri" w:cs="Calibri"/>
    </w:rPr>
  </w:style>
  <w:style w:type="paragraph" w:customStyle="1" w:styleId="xl163">
    <w:name w:val="xl163"/>
    <w:basedOn w:val="Normal"/>
    <w:pPr>
      <w:pBdr>
        <w:top w:val="single" w:sz="4" w:space="0" w:color="000000"/>
        <w:left w:val="single" w:sz="4" w:space="0" w:color="000000"/>
        <w:right w:val="single" w:sz="4" w:space="0" w:color="000000"/>
      </w:pBdr>
      <w:spacing w:before="100" w:beforeAutospacing="1" w:after="100" w:afterAutospacing="1"/>
      <w:jc w:val="center"/>
      <w:textAlignment w:val="center"/>
    </w:pPr>
    <w:rPr>
      <w:rFonts w:ascii="Calibri" w:hAnsi="Calibri" w:cs="Calibri"/>
      <w:i/>
      <w:iCs/>
      <w:color w:val="000000"/>
      <w:sz w:val="16"/>
      <w:szCs w:val="16"/>
    </w:rPr>
  </w:style>
  <w:style w:type="paragraph" w:customStyle="1" w:styleId="xl164">
    <w:name w:val="xl164"/>
    <w:basedOn w:val="Normal"/>
    <w:pPr>
      <w:pBdr>
        <w:top w:val="single" w:sz="4" w:space="0" w:color="000000"/>
        <w:left w:val="single" w:sz="4" w:space="0" w:color="000000"/>
        <w:bottom w:val="single" w:sz="4" w:space="0" w:color="000000"/>
      </w:pBdr>
      <w:shd w:val="clear" w:color="FEF2CB" w:fill="FEF2CB"/>
      <w:spacing w:before="100" w:beforeAutospacing="1" w:after="100" w:afterAutospacing="1"/>
      <w:textAlignment w:val="center"/>
    </w:pPr>
    <w:rPr>
      <w:rFonts w:ascii="Calibri" w:hAnsi="Calibri" w:cs="Calibri"/>
      <w:b/>
      <w:bCs/>
      <w:i/>
      <w:iCs/>
      <w:color w:val="000000"/>
      <w:sz w:val="16"/>
      <w:szCs w:val="16"/>
    </w:rPr>
  </w:style>
  <w:style w:type="paragraph" w:customStyle="1" w:styleId="xl165">
    <w:name w:val="xl165"/>
    <w:basedOn w:val="Normal"/>
    <w:pPr>
      <w:pBdr>
        <w:top w:val="single" w:sz="8" w:space="0" w:color="000000"/>
        <w:right w:val="single" w:sz="4" w:space="0" w:color="000000"/>
      </w:pBdr>
      <w:spacing w:before="100" w:beforeAutospacing="1" w:after="100" w:afterAutospacing="1"/>
      <w:textAlignment w:val="center"/>
    </w:pPr>
    <w:rPr>
      <w:rFonts w:ascii="Calibri" w:hAnsi="Calibri" w:cs="Calibri"/>
      <w:i/>
      <w:iCs/>
      <w:color w:val="000000"/>
      <w:sz w:val="16"/>
      <w:szCs w:val="16"/>
    </w:rPr>
  </w:style>
  <w:style w:type="paragraph" w:customStyle="1" w:styleId="xl166">
    <w:name w:val="xl166"/>
    <w:basedOn w:val="Normal"/>
    <w:pPr>
      <w:pBdr>
        <w:top w:val="single" w:sz="4" w:space="0" w:color="000000"/>
        <w:right w:val="single" w:sz="4" w:space="0" w:color="000000"/>
      </w:pBdr>
      <w:spacing w:before="100" w:beforeAutospacing="1" w:after="100" w:afterAutospacing="1"/>
      <w:jc w:val="center"/>
      <w:textAlignment w:val="center"/>
    </w:pPr>
    <w:rPr>
      <w:rFonts w:ascii="Calibri" w:hAnsi="Calibri" w:cs="Calibri"/>
      <w:i/>
      <w:iCs/>
      <w:color w:val="000000"/>
      <w:sz w:val="16"/>
      <w:szCs w:val="16"/>
    </w:rPr>
  </w:style>
  <w:style w:type="paragraph" w:customStyle="1" w:styleId="xl167">
    <w:name w:val="xl167"/>
    <w:basedOn w:val="Normal"/>
    <w:pPr>
      <w:pBdr>
        <w:bottom w:val="single" w:sz="4" w:space="0" w:color="000000"/>
      </w:pBdr>
      <w:spacing w:before="100" w:beforeAutospacing="1" w:after="100" w:afterAutospacing="1"/>
      <w:textAlignment w:val="center"/>
    </w:pPr>
    <w:rPr>
      <w:rFonts w:ascii="Calibri" w:hAnsi="Calibri" w:cs="Calibri"/>
      <w:i/>
      <w:iCs/>
      <w:color w:val="000000"/>
      <w:sz w:val="16"/>
      <w:szCs w:val="16"/>
    </w:rPr>
  </w:style>
  <w:style w:type="paragraph" w:customStyle="1" w:styleId="xl168">
    <w:name w:val="xl168"/>
    <w:basedOn w:val="Normal"/>
    <w:pPr>
      <w:pBdr>
        <w:top w:val="single" w:sz="4" w:space="0" w:color="000000"/>
        <w:left w:val="single" w:sz="4" w:space="0" w:color="000000"/>
        <w:right w:val="single" w:sz="4" w:space="0" w:color="000000"/>
      </w:pBdr>
      <w:spacing w:before="100" w:beforeAutospacing="1" w:after="100" w:afterAutospacing="1"/>
      <w:textAlignment w:val="center"/>
    </w:pPr>
    <w:rPr>
      <w:rFonts w:ascii="Calibri" w:hAnsi="Calibri" w:cs="Calibri"/>
      <w:i/>
      <w:iCs/>
      <w:color w:val="000000"/>
      <w:sz w:val="16"/>
      <w:szCs w:val="16"/>
    </w:rPr>
  </w:style>
  <w:style w:type="paragraph" w:customStyle="1" w:styleId="xl169">
    <w:name w:val="xl169"/>
    <w:basedOn w:val="Normal"/>
    <w:qFormat/>
    <w:pPr>
      <w:pBdr>
        <w:top w:val="single" w:sz="4" w:space="0" w:color="000000"/>
      </w:pBdr>
      <w:spacing w:before="100" w:beforeAutospacing="1" w:after="100" w:afterAutospacing="1"/>
    </w:pPr>
    <w:rPr>
      <w:rFonts w:ascii="Calibri" w:hAnsi="Calibri" w:cs="Calibri"/>
    </w:rPr>
  </w:style>
  <w:style w:type="paragraph" w:customStyle="1" w:styleId="xl170">
    <w:name w:val="xl170"/>
    <w:basedOn w:val="Normal"/>
    <w:qFormat/>
    <w:pPr>
      <w:pBdr>
        <w:top w:val="single" w:sz="4" w:space="0" w:color="000000"/>
        <w:right w:val="single" w:sz="4" w:space="0" w:color="000000"/>
      </w:pBdr>
      <w:spacing w:before="100" w:beforeAutospacing="1" w:after="100" w:afterAutospacing="1"/>
    </w:pPr>
    <w:rPr>
      <w:rFonts w:ascii="Calibri" w:hAnsi="Calibri" w:cs="Calibri"/>
    </w:rPr>
  </w:style>
  <w:style w:type="paragraph" w:customStyle="1" w:styleId="xl171">
    <w:name w:val="xl171"/>
    <w:basedOn w:val="Normal"/>
    <w:pPr>
      <w:pBdr>
        <w:top w:val="single" w:sz="4" w:space="0" w:color="000000"/>
        <w:left w:val="single" w:sz="4" w:space="0" w:color="000000"/>
        <w:bottom w:val="single" w:sz="4" w:space="0" w:color="000000"/>
      </w:pBdr>
      <w:shd w:val="clear" w:color="BDD6EE" w:fill="BDD6EE"/>
      <w:spacing w:before="100" w:beforeAutospacing="1" w:after="100" w:afterAutospacing="1"/>
      <w:textAlignment w:val="center"/>
    </w:pPr>
    <w:rPr>
      <w:rFonts w:ascii="Calibri" w:hAnsi="Calibri" w:cs="Calibri"/>
      <w:b/>
      <w:bCs/>
      <w:i/>
      <w:iCs/>
      <w:color w:val="000000"/>
      <w:sz w:val="20"/>
      <w:szCs w:val="20"/>
    </w:rPr>
  </w:style>
  <w:style w:type="paragraph" w:customStyle="1" w:styleId="xl172">
    <w:name w:val="xl172"/>
    <w:basedOn w:val="Normal"/>
    <w:qFormat/>
    <w:pPr>
      <w:pBdr>
        <w:top w:val="single" w:sz="8" w:space="0" w:color="000000"/>
        <w:left w:val="single" w:sz="4" w:space="0" w:color="000000"/>
      </w:pBdr>
      <w:spacing w:before="100" w:beforeAutospacing="1" w:after="100" w:afterAutospacing="1"/>
      <w:jc w:val="center"/>
      <w:textAlignment w:val="center"/>
    </w:pPr>
    <w:rPr>
      <w:rFonts w:ascii="Calibri" w:hAnsi="Calibri" w:cs="Calibri"/>
      <w:i/>
      <w:iCs/>
      <w:color w:val="000000"/>
      <w:sz w:val="16"/>
      <w:szCs w:val="16"/>
    </w:rPr>
  </w:style>
  <w:style w:type="paragraph" w:customStyle="1" w:styleId="xl173">
    <w:name w:val="xl173"/>
    <w:basedOn w:val="Normal"/>
    <w:pPr>
      <w:pBdr>
        <w:top w:val="single" w:sz="4" w:space="0" w:color="000000"/>
        <w:left w:val="single" w:sz="4" w:space="0" w:color="000000"/>
        <w:bottom w:val="single" w:sz="4" w:space="0" w:color="000000"/>
      </w:pBdr>
      <w:spacing w:before="100" w:beforeAutospacing="1" w:after="100" w:afterAutospacing="1"/>
      <w:textAlignment w:val="center"/>
    </w:pPr>
    <w:rPr>
      <w:rFonts w:ascii="Calibri" w:hAnsi="Calibri" w:cs="Calibri"/>
      <w:b/>
      <w:bCs/>
      <w:i/>
      <w:iCs/>
      <w:color w:val="000000"/>
      <w:sz w:val="16"/>
      <w:szCs w:val="16"/>
    </w:rPr>
  </w:style>
  <w:style w:type="paragraph" w:customStyle="1" w:styleId="Quote1">
    <w:name w:val="Quote1"/>
    <w:basedOn w:val="Normal"/>
    <w:next w:val="Normal"/>
    <w:uiPriority w:val="29"/>
    <w:qFormat/>
    <w:pPr>
      <w:spacing w:before="160" w:after="160" w:line="278" w:lineRule="auto"/>
      <w:jc w:val="center"/>
    </w:pPr>
    <w:rPr>
      <w:rFonts w:ascii="Aptos" w:eastAsia="Aptos" w:hAnsi="Aptos"/>
      <w:i/>
      <w:iCs/>
      <w:color w:val="404040"/>
      <w:kern w:val="2"/>
      <w:lang w:eastAsia="en-US"/>
      <w14:ligatures w14:val="standardContextual"/>
    </w:rPr>
  </w:style>
  <w:style w:type="character" w:customStyle="1" w:styleId="QuoteChar">
    <w:name w:val="Quote Char"/>
    <w:basedOn w:val="DefaultParagraphFont"/>
    <w:link w:val="Quote"/>
    <w:uiPriority w:val="29"/>
    <w:rPr>
      <w:i/>
      <w:iCs/>
      <w:color w:val="404040"/>
    </w:rPr>
  </w:style>
  <w:style w:type="paragraph" w:styleId="Quote">
    <w:name w:val="Quote"/>
    <w:basedOn w:val="Normal"/>
    <w:next w:val="Normal"/>
    <w:link w:val="QuoteChar"/>
    <w:uiPriority w:val="29"/>
    <w:unhideWhenUsed/>
    <w:qFormat/>
    <w:pPr>
      <w:spacing w:before="200" w:after="160"/>
      <w:ind w:left="864" w:right="864"/>
      <w:jc w:val="center"/>
    </w:pPr>
    <w:rPr>
      <w:i/>
      <w:iCs/>
      <w:color w:val="404040"/>
      <w:sz w:val="20"/>
      <w:szCs w:val="20"/>
    </w:rPr>
  </w:style>
  <w:style w:type="character" w:customStyle="1" w:styleId="IntenseEmphasis1">
    <w:name w:val="Intense Emphasis1"/>
    <w:basedOn w:val="DefaultParagraphFont"/>
    <w:uiPriority w:val="21"/>
    <w:qFormat/>
    <w:rPr>
      <w:i/>
      <w:iCs/>
      <w:color w:val="0F4761"/>
    </w:rPr>
  </w:style>
  <w:style w:type="paragraph" w:customStyle="1" w:styleId="IntenseQuote1">
    <w:name w:val="Intense Quote1"/>
    <w:basedOn w:val="Normal"/>
    <w:next w:val="Normal"/>
    <w:uiPriority w:val="30"/>
    <w:qFormat/>
    <w:pPr>
      <w:pBdr>
        <w:top w:val="single" w:sz="4" w:space="10" w:color="0F4761"/>
        <w:bottom w:val="single" w:sz="4" w:space="10" w:color="0F4761"/>
      </w:pBdr>
      <w:spacing w:before="360" w:after="360" w:line="278" w:lineRule="auto"/>
      <w:ind w:left="864" w:right="864"/>
      <w:jc w:val="center"/>
    </w:pPr>
    <w:rPr>
      <w:rFonts w:ascii="Aptos" w:eastAsia="Aptos" w:hAnsi="Aptos"/>
      <w:i/>
      <w:iCs/>
      <w:color w:val="0F4761"/>
      <w:kern w:val="2"/>
      <w:lang w:eastAsia="en-US"/>
      <w14:ligatures w14:val="standardContextual"/>
    </w:rPr>
  </w:style>
  <w:style w:type="character" w:customStyle="1" w:styleId="IntenseQuoteChar">
    <w:name w:val="Intense Quote Char"/>
    <w:basedOn w:val="DefaultParagraphFont"/>
    <w:link w:val="IntenseQuote"/>
    <w:uiPriority w:val="30"/>
    <w:rPr>
      <w:i/>
      <w:iCs/>
      <w:color w:val="0F4761"/>
    </w:rPr>
  </w:style>
  <w:style w:type="paragraph" w:styleId="IntenseQuote">
    <w:name w:val="Intense Quote"/>
    <w:basedOn w:val="Normal"/>
    <w:next w:val="Normal"/>
    <w:link w:val="IntenseQuoteChar"/>
    <w:uiPriority w:val="30"/>
    <w:unhideWhenUsed/>
    <w:qFormat/>
    <w:pPr>
      <w:pBdr>
        <w:top w:val="single" w:sz="4" w:space="10" w:color="5B9BD5" w:themeColor="accent1"/>
        <w:bottom w:val="single" w:sz="4" w:space="10" w:color="5B9BD5" w:themeColor="accent1"/>
      </w:pBdr>
      <w:spacing w:before="360" w:after="360"/>
      <w:ind w:left="864" w:right="864"/>
      <w:jc w:val="center"/>
    </w:pPr>
    <w:rPr>
      <w:i/>
      <w:iCs/>
      <w:color w:val="0F4761"/>
      <w:sz w:val="20"/>
      <w:szCs w:val="20"/>
    </w:rPr>
  </w:style>
  <w:style w:type="character" w:customStyle="1" w:styleId="IntenseReference2">
    <w:name w:val="Intense Reference2"/>
    <w:basedOn w:val="DefaultParagraphFont"/>
    <w:uiPriority w:val="32"/>
    <w:qFormat/>
    <w:rPr>
      <w:b/>
      <w:bCs/>
      <w:smallCaps/>
      <w:color w:val="0F4761"/>
      <w:spacing w:val="5"/>
    </w:rPr>
  </w:style>
  <w:style w:type="character" w:customStyle="1" w:styleId="QuoteChar1">
    <w:name w:val="Quote Char1"/>
    <w:basedOn w:val="DefaultParagraphFont"/>
    <w:uiPriority w:val="99"/>
    <w:semiHidden/>
    <w:rPr>
      <w:i/>
      <w:iCs/>
      <w:color w:val="404040" w:themeColor="text1" w:themeTint="BF"/>
      <w:sz w:val="24"/>
      <w:szCs w:val="24"/>
    </w:rPr>
  </w:style>
  <w:style w:type="character" w:customStyle="1" w:styleId="IntenseEmphasis2">
    <w:name w:val="Intense Emphasis2"/>
    <w:basedOn w:val="DefaultParagraphFont"/>
    <w:uiPriority w:val="21"/>
    <w:qFormat/>
    <w:rPr>
      <w:i/>
      <w:iCs/>
      <w:color w:val="5B9BD5" w:themeColor="accent1"/>
    </w:rPr>
  </w:style>
  <w:style w:type="character" w:customStyle="1" w:styleId="IntenseQuoteChar1">
    <w:name w:val="Intense Quote Char1"/>
    <w:basedOn w:val="DefaultParagraphFont"/>
    <w:uiPriority w:val="99"/>
    <w:semiHidden/>
    <w:rPr>
      <w:i/>
      <w:iCs/>
      <w:color w:val="5B9BD5" w:themeColor="accent1"/>
      <w:sz w:val="24"/>
      <w:szCs w:val="24"/>
    </w:rPr>
  </w:style>
  <w:style w:type="character" w:customStyle="1" w:styleId="IntenseReference3">
    <w:name w:val="Intense Reference3"/>
    <w:basedOn w:val="DefaultParagraphFont"/>
    <w:uiPriority w:val="32"/>
    <w:qFormat/>
    <w:rPr>
      <w:b/>
      <w:bCs/>
      <w:smallCaps/>
      <w:color w:val="5B9BD5" w:themeColor="accent1"/>
      <w:spacing w:val="5"/>
    </w:rPr>
  </w:style>
  <w:style w:type="paragraph" w:customStyle="1" w:styleId="TOCHeading2">
    <w:name w:val="TOC Heading2"/>
    <w:basedOn w:val="Heading1"/>
    <w:next w:val="Normal"/>
    <w:uiPriority w:val="39"/>
    <w:unhideWhenUsed/>
    <w:qFormat/>
    <w:pPr>
      <w:spacing w:before="480" w:line="276" w:lineRule="auto"/>
      <w:outlineLvl w:val="9"/>
    </w:pPr>
    <w:rPr>
      <w:b/>
      <w:bCs/>
      <w:sz w:val="28"/>
      <w:szCs w:val="28"/>
      <w:lang w:val="en-US" w:eastAsia="en-US"/>
    </w:rPr>
  </w:style>
  <w:style w:type="paragraph" w:customStyle="1" w:styleId="z-TopofForm2">
    <w:name w:val="z-Top of Form2"/>
    <w:basedOn w:val="Normal"/>
    <w:next w:val="Normal"/>
    <w:hidden/>
    <w:pPr>
      <w:pBdr>
        <w:bottom w:val="single" w:sz="6" w:space="1" w:color="auto"/>
      </w:pBdr>
      <w:jc w:val="center"/>
    </w:pPr>
    <w:rPr>
      <w:rFonts w:ascii="Arial" w:hAnsi="Arial"/>
      <w:vanish/>
      <w:sz w:val="16"/>
      <w:szCs w:val="16"/>
      <w:lang w:val="zh-CN" w:eastAsia="zh-CN"/>
    </w:rPr>
  </w:style>
  <w:style w:type="character" w:customStyle="1" w:styleId="z-TopofFormChar1">
    <w:name w:val="z-Top of Form Char1"/>
    <w:basedOn w:val="DefaultParagraphFont"/>
    <w:uiPriority w:val="99"/>
    <w:semiHidden/>
    <w:rPr>
      <w:rFonts w:ascii="Arial" w:hAnsi="Arial" w:cs="Arial"/>
      <w:vanish/>
      <w:sz w:val="16"/>
      <w:szCs w:val="16"/>
    </w:rPr>
  </w:style>
  <w:style w:type="paragraph" w:customStyle="1" w:styleId="z-BottomofForm2">
    <w:name w:val="z-Bottom of Form2"/>
    <w:basedOn w:val="Normal"/>
    <w:next w:val="Normal"/>
    <w:hidden/>
    <w:pPr>
      <w:pBdr>
        <w:top w:val="single" w:sz="6" w:space="1" w:color="auto"/>
      </w:pBdr>
      <w:jc w:val="center"/>
    </w:pPr>
    <w:rPr>
      <w:rFonts w:ascii="Arial" w:hAnsi="Arial"/>
      <w:vanish/>
      <w:sz w:val="16"/>
      <w:szCs w:val="16"/>
      <w:lang w:val="zh-CN" w:eastAsia="zh-CN"/>
    </w:rPr>
  </w:style>
  <w:style w:type="character" w:customStyle="1" w:styleId="z-BottomofFormChar1">
    <w:name w:val="z-Bottom of Form Char1"/>
    <w:basedOn w:val="DefaultParagraphFont"/>
    <w:uiPriority w:val="99"/>
    <w:semiHidden/>
    <w:rPr>
      <w:rFonts w:ascii="Arial" w:hAnsi="Arial" w:cs="Arial"/>
      <w:vanish/>
      <w:sz w:val="16"/>
      <w:szCs w:val="16"/>
    </w:rPr>
  </w:style>
  <w:style w:type="character" w:customStyle="1" w:styleId="UnresolvedMention7">
    <w:name w:val="Unresolved Mention7"/>
    <w:basedOn w:val="DefaultParagraphFont"/>
    <w:uiPriority w:val="99"/>
    <w:semiHidden/>
    <w:unhideWhenUsed/>
    <w:rPr>
      <w:color w:val="605E5C"/>
      <w:shd w:val="clear" w:color="auto" w:fill="E1DFDD"/>
    </w:rPr>
  </w:style>
  <w:style w:type="paragraph" w:customStyle="1" w:styleId="xl174">
    <w:name w:val="xl174"/>
    <w:basedOn w:val="Normal"/>
    <w:pPr>
      <w:pBdr>
        <w:top w:val="single" w:sz="4" w:space="0" w:color="000000"/>
        <w:left w:val="single" w:sz="8" w:space="0" w:color="000000"/>
        <w:bottom w:val="single" w:sz="8" w:space="0" w:color="000000"/>
      </w:pBdr>
      <w:shd w:val="clear" w:color="BDD6EE" w:fill="BDD6EE"/>
      <w:spacing w:before="100" w:beforeAutospacing="1" w:after="100" w:afterAutospacing="1"/>
      <w:textAlignment w:val="center"/>
    </w:pPr>
    <w:rPr>
      <w:rFonts w:ascii="Calibri" w:hAnsi="Calibri" w:cs="Calibri"/>
      <w:b/>
      <w:bCs/>
      <w:i/>
      <w:iCs/>
      <w:color w:val="000000"/>
      <w:sz w:val="16"/>
      <w:szCs w:val="16"/>
    </w:rPr>
  </w:style>
  <w:style w:type="paragraph" w:customStyle="1" w:styleId="xl175">
    <w:name w:val="xl175"/>
    <w:basedOn w:val="Normal"/>
    <w:pPr>
      <w:pBdr>
        <w:top w:val="single" w:sz="4" w:space="0" w:color="000000"/>
        <w:bottom w:val="single" w:sz="8" w:space="0" w:color="000000"/>
      </w:pBdr>
      <w:spacing w:before="100" w:beforeAutospacing="1" w:after="100" w:afterAutospacing="1"/>
    </w:pPr>
    <w:rPr>
      <w:rFonts w:ascii="Calibri" w:hAnsi="Calibri" w:cs="Calibri"/>
    </w:rPr>
  </w:style>
  <w:style w:type="paragraph" w:customStyle="1" w:styleId="xl176">
    <w:name w:val="xl176"/>
    <w:basedOn w:val="Normal"/>
    <w:pPr>
      <w:pBdr>
        <w:top w:val="single" w:sz="4" w:space="0" w:color="000000"/>
        <w:bottom w:val="single" w:sz="8" w:space="0" w:color="000000"/>
        <w:right w:val="single" w:sz="4" w:space="0" w:color="000000"/>
      </w:pBdr>
      <w:spacing w:before="100" w:beforeAutospacing="1" w:after="100" w:afterAutospacing="1"/>
    </w:pPr>
    <w:rPr>
      <w:rFonts w:ascii="Calibri" w:hAnsi="Calibri" w:cs="Calibri"/>
    </w:rPr>
  </w:style>
  <w:style w:type="paragraph" w:customStyle="1" w:styleId="xl177">
    <w:name w:val="xl177"/>
    <w:basedOn w:val="Normal"/>
    <w:pPr>
      <w:pBdr>
        <w:left w:val="single" w:sz="4" w:space="0" w:color="000000"/>
      </w:pBdr>
      <w:spacing w:before="100" w:beforeAutospacing="1" w:after="100" w:afterAutospacing="1"/>
      <w:jc w:val="center"/>
      <w:textAlignment w:val="center"/>
    </w:pPr>
    <w:rPr>
      <w:rFonts w:ascii="Calibri" w:hAnsi="Calibri" w:cs="Calibri"/>
      <w:i/>
      <w:iCs/>
      <w:color w:val="000000"/>
      <w:sz w:val="16"/>
      <w:szCs w:val="16"/>
    </w:rPr>
  </w:style>
  <w:style w:type="paragraph" w:customStyle="1" w:styleId="xl178">
    <w:name w:val="xl178"/>
    <w:basedOn w:val="Normal"/>
    <w:pPr>
      <w:pBdr>
        <w:top w:val="single" w:sz="4" w:space="0" w:color="000000"/>
        <w:left w:val="single" w:sz="8" w:space="0" w:color="000000"/>
        <w:bottom w:val="single" w:sz="8" w:space="0" w:color="000000"/>
      </w:pBdr>
      <w:shd w:val="clear" w:color="BDD6EE" w:fill="BDD6EE"/>
      <w:spacing w:before="100" w:beforeAutospacing="1" w:after="100" w:afterAutospacing="1"/>
      <w:textAlignment w:val="center"/>
    </w:pPr>
    <w:rPr>
      <w:rFonts w:ascii="Calibri" w:hAnsi="Calibri" w:cs="Calibri"/>
      <w:i/>
      <w:iCs/>
      <w:color w:val="000000"/>
      <w:sz w:val="16"/>
      <w:szCs w:val="16"/>
    </w:rPr>
  </w:style>
  <w:style w:type="paragraph" w:customStyle="1" w:styleId="xl179">
    <w:name w:val="xl179"/>
    <w:basedOn w:val="Normal"/>
    <w:pPr>
      <w:pBdr>
        <w:left w:val="single" w:sz="4" w:space="0" w:color="000000"/>
      </w:pBdr>
      <w:spacing w:before="100" w:beforeAutospacing="1" w:after="100" w:afterAutospacing="1"/>
      <w:textAlignment w:val="center"/>
    </w:pPr>
    <w:rPr>
      <w:rFonts w:ascii="Calibri" w:hAnsi="Calibri" w:cs="Calibri"/>
      <w:i/>
      <w:iCs/>
      <w:color w:val="000000"/>
      <w:sz w:val="16"/>
      <w:szCs w:val="16"/>
    </w:rPr>
  </w:style>
  <w:style w:type="paragraph" w:customStyle="1" w:styleId="xl180">
    <w:name w:val="xl180"/>
    <w:basedOn w:val="Normal"/>
    <w:pPr>
      <w:pBdr>
        <w:left w:val="single" w:sz="8" w:space="0" w:color="000000"/>
        <w:right w:val="single" w:sz="4" w:space="0" w:color="000000"/>
      </w:pBdr>
      <w:spacing w:before="100" w:beforeAutospacing="1" w:after="100" w:afterAutospacing="1"/>
      <w:jc w:val="center"/>
      <w:textAlignment w:val="center"/>
    </w:pPr>
    <w:rPr>
      <w:rFonts w:ascii="Calibri" w:hAnsi="Calibri" w:cs="Calibri"/>
      <w:i/>
      <w:iCs/>
      <w:color w:val="000000"/>
      <w:sz w:val="16"/>
      <w:szCs w:val="16"/>
    </w:rPr>
  </w:style>
  <w:style w:type="paragraph" w:customStyle="1" w:styleId="xl181">
    <w:name w:val="xl181"/>
    <w:basedOn w:val="Normal"/>
    <w:pPr>
      <w:pBdr>
        <w:left w:val="single" w:sz="8" w:space="0" w:color="000000"/>
        <w:right w:val="single" w:sz="4" w:space="0" w:color="000000"/>
      </w:pBdr>
      <w:spacing w:before="100" w:beforeAutospacing="1" w:after="100" w:afterAutospacing="1"/>
    </w:pPr>
    <w:rPr>
      <w:rFonts w:ascii="Calibri" w:hAnsi="Calibri" w:cs="Calibri"/>
    </w:rPr>
  </w:style>
  <w:style w:type="paragraph" w:customStyle="1" w:styleId="xl182">
    <w:name w:val="xl182"/>
    <w:basedOn w:val="Normal"/>
    <w:pPr>
      <w:pBdr>
        <w:left w:val="single" w:sz="8" w:space="0" w:color="000000"/>
        <w:bottom w:val="single" w:sz="4" w:space="0" w:color="000000"/>
        <w:right w:val="single" w:sz="4" w:space="0" w:color="000000"/>
      </w:pBdr>
      <w:spacing w:before="100" w:beforeAutospacing="1" w:after="100" w:afterAutospacing="1"/>
    </w:pPr>
    <w:rPr>
      <w:rFonts w:ascii="Calibri" w:hAnsi="Calibri" w:cs="Calibri"/>
    </w:rPr>
  </w:style>
  <w:style w:type="paragraph" w:customStyle="1" w:styleId="xl183">
    <w:name w:val="xl183"/>
    <w:basedOn w:val="Normal"/>
    <w:pPr>
      <w:pBdr>
        <w:left w:val="single" w:sz="4" w:space="0" w:color="000000"/>
        <w:right w:val="single" w:sz="4" w:space="0" w:color="000000"/>
      </w:pBdr>
      <w:spacing w:before="100" w:beforeAutospacing="1" w:after="100" w:afterAutospacing="1"/>
      <w:jc w:val="center"/>
      <w:textAlignment w:val="center"/>
    </w:pPr>
    <w:rPr>
      <w:rFonts w:ascii="Calibri" w:hAnsi="Calibri" w:cs="Calibri"/>
      <w:i/>
      <w:iCs/>
      <w:color w:val="000000"/>
      <w:sz w:val="16"/>
      <w:szCs w:val="16"/>
    </w:rPr>
  </w:style>
  <w:style w:type="paragraph" w:customStyle="1" w:styleId="xl184">
    <w:name w:val="xl184"/>
    <w:basedOn w:val="Normal"/>
    <w:pPr>
      <w:pBdr>
        <w:right w:val="single" w:sz="4" w:space="0" w:color="000000"/>
      </w:pBdr>
      <w:spacing w:before="100" w:beforeAutospacing="1" w:after="100" w:afterAutospacing="1"/>
      <w:textAlignment w:val="center"/>
    </w:pPr>
    <w:rPr>
      <w:rFonts w:ascii="Calibri" w:hAnsi="Calibri" w:cs="Calibri"/>
      <w:i/>
      <w:iCs/>
      <w:color w:val="000000"/>
      <w:sz w:val="16"/>
      <w:szCs w:val="16"/>
    </w:rPr>
  </w:style>
  <w:style w:type="paragraph" w:customStyle="1" w:styleId="xl185">
    <w:name w:val="xl185"/>
    <w:basedOn w:val="Normal"/>
    <w:pPr>
      <w:pBdr>
        <w:left w:val="single" w:sz="4" w:space="0" w:color="000000"/>
        <w:bottom w:val="single" w:sz="8" w:space="0" w:color="000000"/>
        <w:right w:val="single" w:sz="4" w:space="0" w:color="000000"/>
      </w:pBdr>
      <w:spacing w:before="100" w:beforeAutospacing="1" w:after="100" w:afterAutospacing="1"/>
      <w:jc w:val="center"/>
      <w:textAlignment w:val="center"/>
    </w:pPr>
    <w:rPr>
      <w:rFonts w:ascii="Calibri" w:hAnsi="Calibri" w:cs="Calibri"/>
      <w:i/>
      <w:iCs/>
      <w:color w:val="000000"/>
      <w:sz w:val="16"/>
      <w:szCs w:val="16"/>
    </w:rPr>
  </w:style>
  <w:style w:type="paragraph" w:customStyle="1" w:styleId="xl186">
    <w:name w:val="xl186"/>
    <w:basedOn w:val="Normal"/>
    <w:pPr>
      <w:pBdr>
        <w:top w:val="single" w:sz="4" w:space="0" w:color="000000"/>
        <w:left w:val="single" w:sz="4" w:space="0" w:color="000000"/>
        <w:right w:val="single" w:sz="4" w:space="0" w:color="000000"/>
      </w:pBdr>
      <w:spacing w:before="100" w:beforeAutospacing="1" w:after="100" w:afterAutospacing="1"/>
      <w:jc w:val="center"/>
      <w:textAlignment w:val="center"/>
    </w:pPr>
    <w:rPr>
      <w:rFonts w:ascii="Calibri" w:hAnsi="Calibri" w:cs="Calibri"/>
      <w:i/>
      <w:iCs/>
      <w:sz w:val="16"/>
      <w:szCs w:val="16"/>
    </w:rPr>
  </w:style>
  <w:style w:type="paragraph" w:customStyle="1" w:styleId="xl187">
    <w:name w:val="xl187"/>
    <w:basedOn w:val="Normal"/>
    <w:pPr>
      <w:pBdr>
        <w:left w:val="single" w:sz="4" w:space="0" w:color="000000"/>
        <w:right w:val="single" w:sz="4" w:space="0" w:color="000000"/>
      </w:pBdr>
      <w:spacing w:before="100" w:beforeAutospacing="1" w:after="100" w:afterAutospacing="1"/>
      <w:jc w:val="center"/>
      <w:textAlignment w:val="center"/>
    </w:pPr>
    <w:rPr>
      <w:rFonts w:ascii="Calibri" w:hAnsi="Calibri" w:cs="Calibri"/>
      <w:i/>
      <w:iCs/>
      <w:sz w:val="16"/>
      <w:szCs w:val="16"/>
    </w:rPr>
  </w:style>
  <w:style w:type="paragraph" w:customStyle="1" w:styleId="xl188">
    <w:name w:val="xl188"/>
    <w:basedOn w:val="Normal"/>
    <w:pPr>
      <w:pBdr>
        <w:left w:val="single" w:sz="4" w:space="0" w:color="000000"/>
        <w:bottom w:val="single" w:sz="4" w:space="0" w:color="000000"/>
        <w:right w:val="single" w:sz="4" w:space="0" w:color="000000"/>
      </w:pBdr>
      <w:spacing w:before="100" w:beforeAutospacing="1" w:after="100" w:afterAutospacing="1"/>
      <w:jc w:val="center"/>
      <w:textAlignment w:val="center"/>
    </w:pPr>
    <w:rPr>
      <w:rFonts w:ascii="Calibri" w:hAnsi="Calibri" w:cs="Calibri"/>
      <w:i/>
      <w:iCs/>
      <w:sz w:val="16"/>
      <w:szCs w:val="16"/>
    </w:rPr>
  </w:style>
  <w:style w:type="paragraph" w:customStyle="1" w:styleId="Revision3">
    <w:name w:val="Revision3"/>
    <w:hidden/>
    <w:uiPriority w:val="99"/>
    <w:unhideWhenUsed/>
    <w:rPr>
      <w:rFonts w:eastAsia="Times New Roman"/>
      <w:sz w:val="24"/>
      <w:szCs w:val="24"/>
      <w:lang w:val="en-GB" w:eastAsia="en-GB"/>
    </w:rPr>
  </w:style>
  <w:style w:type="paragraph" w:customStyle="1" w:styleId="Revision4">
    <w:name w:val="Revision4"/>
    <w:hidden/>
    <w:uiPriority w:val="99"/>
    <w:unhideWhenUsed/>
    <w:rPr>
      <w:sz w:val="24"/>
      <w:szCs w:val="24"/>
      <w:lang w:val="en-GB" w:eastAsia="en-GB"/>
    </w:rPr>
  </w:style>
  <w:style w:type="paragraph" w:customStyle="1" w:styleId="TOCHeading3">
    <w:name w:val="TOC Heading3"/>
    <w:basedOn w:val="Heading1"/>
    <w:next w:val="Normal"/>
    <w:uiPriority w:val="39"/>
    <w:unhideWhenUsed/>
    <w:qFormat/>
    <w:pPr>
      <w:spacing w:before="480" w:line="276" w:lineRule="auto"/>
      <w:outlineLvl w:val="9"/>
    </w:pPr>
    <w:rPr>
      <w:b/>
      <w:bCs/>
      <w:sz w:val="28"/>
      <w:szCs w:val="28"/>
      <w:lang w:val="en-US" w:eastAsia="en-US"/>
    </w:rPr>
  </w:style>
  <w:style w:type="character" w:customStyle="1" w:styleId="UnresolvedMention8">
    <w:name w:val="Unresolved Mention8"/>
    <w:basedOn w:val="DefaultParagraphFont"/>
    <w:uiPriority w:val="99"/>
    <w:semiHidden/>
    <w:unhideWhenUsed/>
    <w:rPr>
      <w:color w:val="605E5C"/>
      <w:shd w:val="clear" w:color="auto" w:fill="E1DFDD"/>
    </w:rPr>
  </w:style>
  <w:style w:type="paragraph" w:styleId="Revision">
    <w:name w:val="Revision"/>
    <w:hidden/>
    <w:uiPriority w:val="99"/>
    <w:unhideWhenUsed/>
    <w:rsid w:val="00311EA6"/>
    <w:rPr>
      <w:rFonts w:eastAsia="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7307561">
      <w:bodyDiv w:val="1"/>
      <w:marLeft w:val="0"/>
      <w:marRight w:val="0"/>
      <w:marTop w:val="0"/>
      <w:marBottom w:val="0"/>
      <w:divBdr>
        <w:top w:val="none" w:sz="0" w:space="0" w:color="auto"/>
        <w:left w:val="none" w:sz="0" w:space="0" w:color="auto"/>
        <w:bottom w:val="none" w:sz="0" w:space="0" w:color="auto"/>
        <w:right w:val="none" w:sz="0" w:space="0" w:color="auto"/>
      </w:divBdr>
    </w:div>
    <w:div w:id="308900322">
      <w:bodyDiv w:val="1"/>
      <w:marLeft w:val="0"/>
      <w:marRight w:val="0"/>
      <w:marTop w:val="0"/>
      <w:marBottom w:val="0"/>
      <w:divBdr>
        <w:top w:val="none" w:sz="0" w:space="0" w:color="auto"/>
        <w:left w:val="none" w:sz="0" w:space="0" w:color="auto"/>
        <w:bottom w:val="none" w:sz="0" w:space="0" w:color="auto"/>
        <w:right w:val="none" w:sz="0" w:space="0" w:color="auto"/>
      </w:divBdr>
    </w:div>
    <w:div w:id="334382142">
      <w:bodyDiv w:val="1"/>
      <w:marLeft w:val="0"/>
      <w:marRight w:val="0"/>
      <w:marTop w:val="0"/>
      <w:marBottom w:val="0"/>
      <w:divBdr>
        <w:top w:val="none" w:sz="0" w:space="0" w:color="auto"/>
        <w:left w:val="none" w:sz="0" w:space="0" w:color="auto"/>
        <w:bottom w:val="none" w:sz="0" w:space="0" w:color="auto"/>
        <w:right w:val="none" w:sz="0" w:space="0" w:color="auto"/>
      </w:divBdr>
    </w:div>
    <w:div w:id="436410812">
      <w:bodyDiv w:val="1"/>
      <w:marLeft w:val="0"/>
      <w:marRight w:val="0"/>
      <w:marTop w:val="0"/>
      <w:marBottom w:val="0"/>
      <w:divBdr>
        <w:top w:val="none" w:sz="0" w:space="0" w:color="auto"/>
        <w:left w:val="none" w:sz="0" w:space="0" w:color="auto"/>
        <w:bottom w:val="none" w:sz="0" w:space="0" w:color="auto"/>
        <w:right w:val="none" w:sz="0" w:space="0" w:color="auto"/>
      </w:divBdr>
    </w:div>
    <w:div w:id="600185861">
      <w:bodyDiv w:val="1"/>
      <w:marLeft w:val="0"/>
      <w:marRight w:val="0"/>
      <w:marTop w:val="0"/>
      <w:marBottom w:val="0"/>
      <w:divBdr>
        <w:top w:val="none" w:sz="0" w:space="0" w:color="auto"/>
        <w:left w:val="none" w:sz="0" w:space="0" w:color="auto"/>
        <w:bottom w:val="none" w:sz="0" w:space="0" w:color="auto"/>
        <w:right w:val="none" w:sz="0" w:space="0" w:color="auto"/>
      </w:divBdr>
    </w:div>
    <w:div w:id="704910892">
      <w:bodyDiv w:val="1"/>
      <w:marLeft w:val="0"/>
      <w:marRight w:val="0"/>
      <w:marTop w:val="0"/>
      <w:marBottom w:val="0"/>
      <w:divBdr>
        <w:top w:val="none" w:sz="0" w:space="0" w:color="auto"/>
        <w:left w:val="none" w:sz="0" w:space="0" w:color="auto"/>
        <w:bottom w:val="none" w:sz="0" w:space="0" w:color="auto"/>
        <w:right w:val="none" w:sz="0" w:space="0" w:color="auto"/>
      </w:divBdr>
    </w:div>
    <w:div w:id="1189098424">
      <w:bodyDiv w:val="1"/>
      <w:marLeft w:val="0"/>
      <w:marRight w:val="0"/>
      <w:marTop w:val="0"/>
      <w:marBottom w:val="0"/>
      <w:divBdr>
        <w:top w:val="none" w:sz="0" w:space="0" w:color="auto"/>
        <w:left w:val="none" w:sz="0" w:space="0" w:color="auto"/>
        <w:bottom w:val="none" w:sz="0" w:space="0" w:color="auto"/>
        <w:right w:val="none" w:sz="0" w:space="0" w:color="auto"/>
      </w:divBdr>
    </w:div>
    <w:div w:id="1510749959">
      <w:bodyDiv w:val="1"/>
      <w:marLeft w:val="0"/>
      <w:marRight w:val="0"/>
      <w:marTop w:val="0"/>
      <w:marBottom w:val="0"/>
      <w:divBdr>
        <w:top w:val="none" w:sz="0" w:space="0" w:color="auto"/>
        <w:left w:val="none" w:sz="0" w:space="0" w:color="auto"/>
        <w:bottom w:val="none" w:sz="0" w:space="0" w:color="auto"/>
        <w:right w:val="none" w:sz="0" w:space="0" w:color="auto"/>
      </w:divBdr>
    </w:div>
    <w:div w:id="1672102459">
      <w:bodyDiv w:val="1"/>
      <w:marLeft w:val="0"/>
      <w:marRight w:val="0"/>
      <w:marTop w:val="0"/>
      <w:marBottom w:val="0"/>
      <w:divBdr>
        <w:top w:val="none" w:sz="0" w:space="0" w:color="auto"/>
        <w:left w:val="none" w:sz="0" w:space="0" w:color="auto"/>
        <w:bottom w:val="none" w:sz="0" w:space="0" w:color="auto"/>
        <w:right w:val="none" w:sz="0" w:space="0" w:color="auto"/>
      </w:divBdr>
    </w:div>
    <w:div w:id="1807699474">
      <w:bodyDiv w:val="1"/>
      <w:marLeft w:val="0"/>
      <w:marRight w:val="0"/>
      <w:marTop w:val="0"/>
      <w:marBottom w:val="0"/>
      <w:divBdr>
        <w:top w:val="none" w:sz="0" w:space="0" w:color="auto"/>
        <w:left w:val="none" w:sz="0" w:space="0" w:color="auto"/>
        <w:bottom w:val="none" w:sz="0" w:space="0" w:color="auto"/>
        <w:right w:val="none" w:sz="0" w:space="0" w:color="auto"/>
      </w:divBdr>
    </w:div>
    <w:div w:id="1848716560">
      <w:bodyDiv w:val="1"/>
      <w:marLeft w:val="0"/>
      <w:marRight w:val="0"/>
      <w:marTop w:val="0"/>
      <w:marBottom w:val="0"/>
      <w:divBdr>
        <w:top w:val="none" w:sz="0" w:space="0" w:color="auto"/>
        <w:left w:val="none" w:sz="0" w:space="0" w:color="auto"/>
        <w:bottom w:val="none" w:sz="0" w:space="0" w:color="auto"/>
        <w:right w:val="none" w:sz="0" w:space="0" w:color="auto"/>
      </w:divBdr>
    </w:div>
    <w:div w:id="21250318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thegef.org/documents/policies-guidelines" TargetMode="External"/><Relationship Id="rId21" Type="http://schemas.openxmlformats.org/officeDocument/2006/relationships/hyperlink" Target="https://popp.undp.org" TargetMode="External"/><Relationship Id="rId42" Type="http://schemas.openxmlformats.org/officeDocument/2006/relationships/hyperlink" Target="http://www.undp.org/secu-srm" TargetMode="External"/><Relationship Id="rId47" Type="http://schemas.openxmlformats.org/officeDocument/2006/relationships/footer" Target="footer5.xml"/><Relationship Id="rId63" Type="http://schemas.openxmlformats.org/officeDocument/2006/relationships/hyperlink" Target="http://www.basel.int/" TargetMode="External"/><Relationship Id="rId68" Type="http://schemas.openxmlformats.org/officeDocument/2006/relationships/footer" Target="footer9.xml"/><Relationship Id="rId84" Type="http://schemas.openxmlformats.org/officeDocument/2006/relationships/hyperlink" Target="https://www.benguelacc.org" TargetMode="External"/><Relationship Id="rId89" Type="http://schemas.openxmlformats.org/officeDocument/2006/relationships/hyperlink" Target="http://www.undp.org/content/undp/en/home/librarypage/operations1/undp-social-and-environmental-screening-procedure/" TargetMode="External"/><Relationship Id="rId16" Type="http://schemas.openxmlformats.org/officeDocument/2006/relationships/hyperlink" Target="http://www.earthcheck.org" TargetMode="External"/><Relationship Id="rId107" Type="http://schemas.openxmlformats.org/officeDocument/2006/relationships/customXml" Target="../customXml/item5.xml"/><Relationship Id="rId11" Type="http://schemas.openxmlformats.org/officeDocument/2006/relationships/image" Target="media/image2.png"/><Relationship Id="rId32" Type="http://schemas.openxmlformats.org/officeDocument/2006/relationships/hyperlink" Target="https://popp.undp.org/SitePages/POPPSubject.aspx?SBJID=469&amp;Menu=BusinessUnit&amp;Beta=0" TargetMode="External"/><Relationship Id="rId37" Type="http://schemas.openxmlformats.org/officeDocument/2006/relationships/hyperlink" Target="about:blank" TargetMode="External"/><Relationship Id="rId53" Type="http://schemas.openxmlformats.org/officeDocument/2006/relationships/header" Target="header6.xml"/><Relationship Id="rId58" Type="http://schemas.openxmlformats.org/officeDocument/2006/relationships/hyperlink" Target="https://www.cbd.int/" TargetMode="External"/><Relationship Id="rId74" Type="http://schemas.openxmlformats.org/officeDocument/2006/relationships/image" Target="media/image5.png"/><Relationship Id="rId79" Type="http://schemas.openxmlformats.org/officeDocument/2006/relationships/diagramQuickStyle" Target="diagrams/quickStyle1.xml"/><Relationship Id="rId102" Type="http://schemas.openxmlformats.org/officeDocument/2006/relationships/footer" Target="footer11.xml"/><Relationship Id="rId5" Type="http://schemas.openxmlformats.org/officeDocument/2006/relationships/styles" Target="styles.xml"/><Relationship Id="rId90" Type="http://schemas.openxmlformats.org/officeDocument/2006/relationships/diagramData" Target="diagrams/data2.xml"/><Relationship Id="rId95" Type="http://schemas.openxmlformats.org/officeDocument/2006/relationships/hyperlink" Target="https://info.undp.org/sites/bpps/SES_Toolkit/SES%20Document%20Library/Uploaded%20October%202016/UNDP%20SES%20Assessment%20and%20Management%20GN%20-%20FInal%20Nov2020.pdf" TargetMode="External"/><Relationship Id="rId22" Type="http://schemas.openxmlformats.org/officeDocument/2006/relationships/hyperlink" Target="about:blank" TargetMode="External"/><Relationship Id="rId27" Type="http://schemas.openxmlformats.org/officeDocument/2006/relationships/hyperlink" Target="https://www.thegef.org/sites/default/files/documents/2022-09/Results_Framework_Guidelines_2022_06_30.pdf" TargetMode="External"/><Relationship Id="rId43" Type="http://schemas.openxmlformats.org/officeDocument/2006/relationships/hyperlink" Target="https://www.un.org/securitycouncil/content/un-sc-consolidated-list" TargetMode="External"/><Relationship Id="rId48" Type="http://schemas.openxmlformats.org/officeDocument/2006/relationships/footer" Target="footer6.xml"/><Relationship Id="rId64" Type="http://schemas.openxmlformats.org/officeDocument/2006/relationships/hyperlink" Target="http://www.pic.int/" TargetMode="External"/><Relationship Id="rId69" Type="http://schemas.openxmlformats.org/officeDocument/2006/relationships/header" Target="header10.xml"/><Relationship Id="rId80" Type="http://schemas.openxmlformats.org/officeDocument/2006/relationships/diagramColors" Target="diagrams/colors1.xml"/><Relationship Id="rId85" Type="http://schemas.openxmlformats.org/officeDocument/2006/relationships/image" Target="media/image8.png"/><Relationship Id="rId12" Type="http://schemas.openxmlformats.org/officeDocument/2006/relationships/image" Target="media/image3.png"/><Relationship Id="rId17" Type="http://schemas.openxmlformats.org/officeDocument/2006/relationships/hyperlink" Target="http://www.earthcheck.org" TargetMode="External"/><Relationship Id="rId33" Type="http://schemas.openxmlformats.org/officeDocument/2006/relationships/hyperlink" Target="https://www.thegef.org/sites/default/files/documents/gef_minimum_fiduciary_standards_partner_agencies_2019.pdf" TargetMode="External"/><Relationship Id="rId38" Type="http://schemas.openxmlformats.org/officeDocument/2006/relationships/hyperlink" Target="about:blank" TargetMode="External"/><Relationship Id="rId59" Type="http://schemas.openxmlformats.org/officeDocument/2006/relationships/hyperlink" Target="https://www.cbd.int/abs/" TargetMode="External"/><Relationship Id="rId103" Type="http://schemas.openxmlformats.org/officeDocument/2006/relationships/fontTable" Target="fontTable.xml"/><Relationship Id="rId108" Type="http://schemas.openxmlformats.org/officeDocument/2006/relationships/customXml" Target="../customXml/item6.xml"/><Relationship Id="rId20" Type="http://schemas.openxmlformats.org/officeDocument/2006/relationships/hyperlink" Target="https://kelp.blue/namibia/" TargetMode="External"/><Relationship Id="rId41" Type="http://schemas.openxmlformats.org/officeDocument/2006/relationships/hyperlink" Target="http://www.undp.org/ses" TargetMode="External"/><Relationship Id="rId54" Type="http://schemas.openxmlformats.org/officeDocument/2006/relationships/footer" Target="footer8.xml"/><Relationship Id="rId62" Type="http://schemas.openxmlformats.org/officeDocument/2006/relationships/hyperlink" Target="http://www.mercuryconvention.org/" TargetMode="External"/><Relationship Id="rId70" Type="http://schemas.openxmlformats.org/officeDocument/2006/relationships/header" Target="header11.xml"/><Relationship Id="rId75" Type="http://schemas.openxmlformats.org/officeDocument/2006/relationships/image" Target="media/image6.png"/><Relationship Id="rId83" Type="http://schemas.openxmlformats.org/officeDocument/2006/relationships/hyperlink" Target="https://www.benguelacc.org" TargetMode="External"/><Relationship Id="rId88" Type="http://schemas.openxmlformats.org/officeDocument/2006/relationships/hyperlink" Target="http://www.undp.org/content/undp/en/home/librarypage/operations1/undp-social-and-environmental-standards/" TargetMode="External"/><Relationship Id="rId91" Type="http://schemas.openxmlformats.org/officeDocument/2006/relationships/diagramLayout" Target="diagrams/layout2.xml"/><Relationship Id="rId96" Type="http://schemas.openxmlformats.org/officeDocument/2006/relationships/hyperlink" Target="https://popp.undp.org/document/policy-due-diligence-and-partnerships-private-sector"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yperlink" Target="http://web.undp.org/evaluation/policy.shtml" TargetMode="External"/><Relationship Id="rId28" Type="http://schemas.openxmlformats.org/officeDocument/2006/relationships/hyperlink" Target="http://web.undp.org/evaluation/guidance.shtml" TargetMode="External"/><Relationship Id="rId36" Type="http://schemas.openxmlformats.org/officeDocument/2006/relationships/hyperlink" Target="https://www.thegef.org/sites/default/files/documents/GEF_Guidelines_Project_Program_Cycle_Policy_20200731.pdf" TargetMode="External"/><Relationship Id="rId49" Type="http://schemas.openxmlformats.org/officeDocument/2006/relationships/header" Target="header4.xml"/><Relationship Id="rId57" Type="http://schemas.openxmlformats.org/officeDocument/2006/relationships/hyperlink" Target="https://bch.cbd.int/protocol" TargetMode="External"/><Relationship Id="rId106" Type="http://schemas.openxmlformats.org/officeDocument/2006/relationships/customXml" Target="../customXml/item4.xml"/><Relationship Id="rId10" Type="http://schemas.openxmlformats.org/officeDocument/2006/relationships/image" Target="media/image1.png"/><Relationship Id="rId31" Type="http://schemas.openxmlformats.org/officeDocument/2006/relationships/footer" Target="footer4.xml"/><Relationship Id="rId44" Type="http://schemas.openxmlformats.org/officeDocument/2006/relationships/image" Target="media/image4.png"/><Relationship Id="rId52" Type="http://schemas.openxmlformats.org/officeDocument/2006/relationships/header" Target="header5.xml"/><Relationship Id="rId60" Type="http://schemas.openxmlformats.org/officeDocument/2006/relationships/hyperlink" Target="http://ozone.unep.org/montreal-protocol-substances-deplete-ozone-layer/32506" TargetMode="External"/><Relationship Id="rId65" Type="http://schemas.openxmlformats.org/officeDocument/2006/relationships/hyperlink" Target="http://chm.pops.int/" TargetMode="External"/><Relationship Id="rId73" Type="http://schemas.openxmlformats.org/officeDocument/2006/relationships/header" Target="header13.xml"/><Relationship Id="rId78" Type="http://schemas.openxmlformats.org/officeDocument/2006/relationships/diagramLayout" Target="diagrams/layout1.xml"/><Relationship Id="rId81" Type="http://schemas.microsoft.com/office/2007/relationships/diagramDrawing" Target="diagrams/drawing1.xml"/><Relationship Id="rId86" Type="http://schemas.openxmlformats.org/officeDocument/2006/relationships/hyperlink" Target="http://www.earthcheck.org/" TargetMode="External"/><Relationship Id="rId94" Type="http://schemas.microsoft.com/office/2007/relationships/diagramDrawing" Target="diagrams/drawing2.xml"/><Relationship Id="rId99" Type="http://schemas.openxmlformats.org/officeDocument/2006/relationships/hyperlink" Target="http://www.undp.org/content/undp/en/home/operations/accountability/secu-srm/" TargetMode="External"/><Relationship Id="rId101" Type="http://schemas.openxmlformats.org/officeDocument/2006/relationships/header" Target="header16.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yperlink" Target="http://www.earthcheck.org/" TargetMode="External"/><Relationship Id="rId39" Type="http://schemas.openxmlformats.org/officeDocument/2006/relationships/hyperlink" Target="https://intranet.undp.org/global/documents/ppm/Supplemental.pdf" TargetMode="External"/><Relationship Id="rId34" Type="http://schemas.openxmlformats.org/officeDocument/2006/relationships/hyperlink" Target="about:blank" TargetMode="External"/><Relationship Id="rId50" Type="http://schemas.openxmlformats.org/officeDocument/2006/relationships/footer" Target="footer7.xml"/><Relationship Id="rId55" Type="http://schemas.openxmlformats.org/officeDocument/2006/relationships/header" Target="header7.xml"/><Relationship Id="rId76" Type="http://schemas.openxmlformats.org/officeDocument/2006/relationships/image" Target="media/image7.png"/><Relationship Id="rId97" Type="http://schemas.openxmlformats.org/officeDocument/2006/relationships/hyperlink" Target="https://secure.ethicspoint.eu/domain/media/en/gui/104895/index.html" TargetMode="External"/><Relationship Id="rId104" Type="http://schemas.openxmlformats.org/officeDocument/2006/relationships/glossaryDocument" Target="glossary/document.xml"/><Relationship Id="rId7" Type="http://schemas.openxmlformats.org/officeDocument/2006/relationships/webSettings" Target="webSettings.xml"/><Relationship Id="rId71" Type="http://schemas.openxmlformats.org/officeDocument/2006/relationships/header" Target="header12.xml"/><Relationship Id="rId92" Type="http://schemas.openxmlformats.org/officeDocument/2006/relationships/diagramQuickStyle" Target="diagrams/quickStyle2.xml"/><Relationship Id="rId2" Type="http://schemas.openxmlformats.org/officeDocument/2006/relationships/customXml" Target="../customXml/item2.xml"/><Relationship Id="rId29" Type="http://schemas.openxmlformats.org/officeDocument/2006/relationships/hyperlink" Target="http://web.undp.org/evaluation/guidance.shtml" TargetMode="External"/><Relationship Id="rId24" Type="http://schemas.openxmlformats.org/officeDocument/2006/relationships/hyperlink" Target="https://www.thegef.org/sites/default/files/council-meeting-documents/GEF-C.56-03%2C%20Policy%20on%20Monitoring.pdf" TargetMode="External"/><Relationship Id="rId40" Type="http://schemas.openxmlformats.org/officeDocument/2006/relationships/hyperlink" Target="https://www.un.org/securitycouncil/content/un-sc-consolidated-list" TargetMode="External"/><Relationship Id="rId45" Type="http://schemas.openxmlformats.org/officeDocument/2006/relationships/header" Target="header2.xml"/><Relationship Id="rId66" Type="http://schemas.openxmlformats.org/officeDocument/2006/relationships/header" Target="header8.xml"/><Relationship Id="rId87" Type="http://schemas.openxmlformats.org/officeDocument/2006/relationships/header" Target="header15.xml"/><Relationship Id="rId61" Type="http://schemas.openxmlformats.org/officeDocument/2006/relationships/hyperlink" Target="https://ozone.unep.org/treaties/montreal-protocol?q=treaties&amp;q=treaties/montreal-protocol" TargetMode="External"/><Relationship Id="rId82" Type="http://schemas.openxmlformats.org/officeDocument/2006/relationships/header" Target="header14.xml"/><Relationship Id="rId19" Type="http://schemas.openxmlformats.org/officeDocument/2006/relationships/hyperlink" Target="http://www.earthcheck.org" TargetMode="External"/><Relationship Id="rId14" Type="http://schemas.openxmlformats.org/officeDocument/2006/relationships/footer" Target="footer2.xml"/><Relationship Id="rId30" Type="http://schemas.openxmlformats.org/officeDocument/2006/relationships/header" Target="header1.xml"/><Relationship Id="rId35" Type="http://schemas.openxmlformats.org/officeDocument/2006/relationships/hyperlink" Target="about:blank" TargetMode="External"/><Relationship Id="rId56" Type="http://schemas.openxmlformats.org/officeDocument/2006/relationships/hyperlink" Target="https://www.cbd.int/" TargetMode="External"/><Relationship Id="rId77" Type="http://schemas.openxmlformats.org/officeDocument/2006/relationships/diagramData" Target="diagrams/data1.xml"/><Relationship Id="rId100" Type="http://schemas.openxmlformats.org/officeDocument/2006/relationships/hyperlink" Target="https://info.undp.org/sites/bpps/SES_Toolkit/SES%20Document%20Library/Uploaded%20October%202016/UNDP%20SES%20Assessment%20and%20Management%20GN%20-%20FInal%20Nov2020.pdf" TargetMode="External"/><Relationship Id="rId105" Type="http://schemas.openxmlformats.org/officeDocument/2006/relationships/theme" Target="theme/theme1.xml"/><Relationship Id="rId8" Type="http://schemas.openxmlformats.org/officeDocument/2006/relationships/footnotes" Target="footnotes.xml"/><Relationship Id="rId51" Type="http://schemas.openxmlformats.org/officeDocument/2006/relationships/hyperlink" Target="https://info.undp.org/sites/bpps/SES_Toolkit/Pages/Homepage.aspx" TargetMode="External"/><Relationship Id="rId72" Type="http://schemas.openxmlformats.org/officeDocument/2006/relationships/footer" Target="footer10.xml"/><Relationship Id="rId93" Type="http://schemas.openxmlformats.org/officeDocument/2006/relationships/diagramColors" Target="diagrams/colors2.xml"/><Relationship Id="rId98" Type="http://schemas.openxmlformats.org/officeDocument/2006/relationships/hyperlink" Target="mailto:project.concerns@undp.org" TargetMode="External"/><Relationship Id="rId3" Type="http://schemas.openxmlformats.org/officeDocument/2006/relationships/customXml" Target="../customXml/item3.xml"/><Relationship Id="rId25" Type="http://schemas.openxmlformats.org/officeDocument/2006/relationships/hyperlink" Target="https://www.thegef.org/sites/default/files/council-meeting-documents/EN_GEF.ME_C56_02_GEF_Evaluation_Policy_May_2019_0.pdf" TargetMode="External"/><Relationship Id="rId46" Type="http://schemas.openxmlformats.org/officeDocument/2006/relationships/header" Target="header3.xml"/><Relationship Id="rId67" Type="http://schemas.openxmlformats.org/officeDocument/2006/relationships/header" Target="header9.xml"/></Relationships>
</file>

<file path=word/_rels/footnotes.xml.rels><?xml version="1.0" encoding="UTF-8" standalone="yes"?>
<Relationships xmlns="http://schemas.openxmlformats.org/package/2006/relationships"><Relationship Id="rId3" Type="http://schemas.openxmlformats.org/officeDocument/2006/relationships/hyperlink" Target="https://popp.undp.org/_layouts/15/WopiFrame.aspx?sourcedoc=/UNDP_POPP_DOCUMENT_LIBRARY/Public/PPM_Project%20Management_Closing.docx&amp;action=default" TargetMode="External"/><Relationship Id="rId7" Type="http://schemas.openxmlformats.org/officeDocument/2006/relationships/hyperlink" Target="http://www.ifc.org/ehsguidelines" TargetMode="External"/><Relationship Id="rId2" Type="http://schemas.openxmlformats.org/officeDocument/2006/relationships/hyperlink" Target="https://popp.undp.org/_layouts/15/WopiFrame.aspx?sourcedoc=/UNDP_POPP_DOCUMENT_LIBRARY/Public/PPM_Project%20Management_Closing.docx&amp;action=default" TargetMode="External"/><Relationship Id="rId1" Type="http://schemas.openxmlformats.org/officeDocument/2006/relationships/hyperlink" Target="https://www.thegef.org/projects-operations/policies-guidelines" TargetMode="External"/><Relationship Id="rId6" Type="http://schemas.openxmlformats.org/officeDocument/2006/relationships/hyperlink" Target="http://jutalaw.co.za/media/filestore/2013/11/B30B_2013.pdf" TargetMode="External"/><Relationship Id="rId5" Type="http://schemas.openxmlformats.org/officeDocument/2006/relationships/hyperlink" Target="http://www.sadc.int" TargetMode="External"/><Relationship Id="rId4" Type="http://schemas.openxmlformats.org/officeDocument/2006/relationships/hyperlink" Target="https://popp.undp.org/_layouts/15/WopiFrame.aspx?sourcedoc=/UNDP_POPP_DOCUMENT_LIBRARY/Public/PPM_Project%20Management_Closing.docx&amp;action=default" TargetMode="Externa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2">
  <dgm:title val=""/>
  <dgm:desc val=""/>
  <dgm:catLst>
    <dgm:cat type="accent1" pri="11200"/>
  </dgm:catLst>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26C58717-5075-4B41-B3A4-940F036BDEFF}" type="doc">
      <dgm:prSet loTypeId="urn:microsoft.com/office/officeart/2005/8/layout/cycle4#1" loCatId="" qsTypeId="urn:microsoft.com/office/officeart/2005/8/quickstyle/simple1#1" qsCatId="simple" csTypeId="urn:microsoft.com/office/officeart/2005/8/colors/accent1_2#1" csCatId="accent1" phldr="1"/>
      <dgm:spPr/>
      <dgm:t>
        <a:bodyPr/>
        <a:lstStyle/>
        <a:p>
          <a:endParaRPr lang="en-GB"/>
        </a:p>
      </dgm:t>
    </dgm:pt>
    <dgm:pt modelId="{C9051BF4-BFCA-C949-9C65-F3E160A79184}">
      <dgm:prSet phldrT="[Text]"/>
      <dgm:spPr/>
      <dgm:t>
        <a:bodyPr/>
        <a:lstStyle/>
        <a:p>
          <a:r>
            <a:rPr lang="en-GB" dirty="0"/>
            <a:t>Public institutions</a:t>
          </a:r>
        </a:p>
      </dgm:t>
    </dgm:pt>
    <dgm:pt modelId="{B778FC75-24BE-F843-947C-3AAE4776994B}" type="parTrans" cxnId="{5131C79C-1668-EF4D-8F8F-7586E1C6DB30}">
      <dgm:prSet/>
      <dgm:spPr/>
      <dgm:t>
        <a:bodyPr/>
        <a:lstStyle/>
        <a:p>
          <a:endParaRPr lang="en-GB"/>
        </a:p>
      </dgm:t>
    </dgm:pt>
    <dgm:pt modelId="{CA17F5D3-4618-4C4C-80FB-64726D4A4F08}" type="sibTrans" cxnId="{5131C79C-1668-EF4D-8F8F-7586E1C6DB30}">
      <dgm:prSet/>
      <dgm:spPr/>
      <dgm:t>
        <a:bodyPr/>
        <a:lstStyle/>
        <a:p>
          <a:endParaRPr lang="en-GB"/>
        </a:p>
      </dgm:t>
    </dgm:pt>
    <dgm:pt modelId="{6608027F-A345-434A-B072-9B0DC667C6B7}">
      <dgm:prSet phldrT="[Text]" custT="1"/>
      <dgm:spPr/>
      <dgm:t>
        <a:bodyPr/>
        <a:lstStyle/>
        <a:p>
          <a:r>
            <a:rPr lang="en-GB" sz="900" dirty="0"/>
            <a:t>Government ministries</a:t>
          </a:r>
        </a:p>
      </dgm:t>
    </dgm:pt>
    <dgm:pt modelId="{5F57453C-000B-D547-A2B9-7D271F040206}" type="parTrans" cxnId="{47E4D996-758E-F14C-8B77-8152BAD87AD1}">
      <dgm:prSet/>
      <dgm:spPr/>
      <dgm:t>
        <a:bodyPr/>
        <a:lstStyle/>
        <a:p>
          <a:endParaRPr lang="en-GB"/>
        </a:p>
      </dgm:t>
    </dgm:pt>
    <dgm:pt modelId="{5D86505A-2A96-C945-B9D5-378050A6E162}" type="sibTrans" cxnId="{47E4D996-758E-F14C-8B77-8152BAD87AD1}">
      <dgm:prSet/>
      <dgm:spPr/>
      <dgm:t>
        <a:bodyPr/>
        <a:lstStyle/>
        <a:p>
          <a:endParaRPr lang="en-GB"/>
        </a:p>
      </dgm:t>
    </dgm:pt>
    <dgm:pt modelId="{897EE933-C0F4-0449-9F36-88D95CA69F5A}">
      <dgm:prSet phldrT="[Text]"/>
      <dgm:spPr/>
      <dgm:t>
        <a:bodyPr/>
        <a:lstStyle/>
        <a:p>
          <a:r>
            <a:rPr lang="en-GB" dirty="0"/>
            <a:t>Private institutions</a:t>
          </a:r>
        </a:p>
      </dgm:t>
    </dgm:pt>
    <dgm:pt modelId="{4C489DDD-D3AD-2144-8E14-1616B01808F4}" type="parTrans" cxnId="{FF45A48F-3F36-3C4A-837B-C4EEBA41FB5C}">
      <dgm:prSet/>
      <dgm:spPr/>
      <dgm:t>
        <a:bodyPr/>
        <a:lstStyle/>
        <a:p>
          <a:endParaRPr lang="en-GB"/>
        </a:p>
      </dgm:t>
    </dgm:pt>
    <dgm:pt modelId="{BF1256AB-397E-294B-8BF6-A19E4DB33D16}" type="sibTrans" cxnId="{FF45A48F-3F36-3C4A-837B-C4EEBA41FB5C}">
      <dgm:prSet/>
      <dgm:spPr/>
      <dgm:t>
        <a:bodyPr/>
        <a:lstStyle/>
        <a:p>
          <a:endParaRPr lang="en-GB"/>
        </a:p>
      </dgm:t>
    </dgm:pt>
    <dgm:pt modelId="{50A944E4-7D04-EE4E-8562-4F43385A240A}">
      <dgm:prSet phldrT="[Text]" custT="1"/>
      <dgm:spPr/>
      <dgm:t>
        <a:bodyPr/>
        <a:lstStyle/>
        <a:p>
          <a:r>
            <a:rPr lang="en-GB" sz="900" dirty="0"/>
            <a:t>Private companies in marine sectors; productive and explorative</a:t>
          </a:r>
        </a:p>
      </dgm:t>
    </dgm:pt>
    <dgm:pt modelId="{F4E6A1E8-0899-4E49-A350-99246C1C0389}" type="parTrans" cxnId="{B85DBE93-10EB-DC43-B485-45563D03198F}">
      <dgm:prSet/>
      <dgm:spPr/>
      <dgm:t>
        <a:bodyPr/>
        <a:lstStyle/>
        <a:p>
          <a:endParaRPr lang="en-GB"/>
        </a:p>
      </dgm:t>
    </dgm:pt>
    <dgm:pt modelId="{3D6E8759-DBC4-3B4B-9DBB-28C813A838FE}" type="sibTrans" cxnId="{B85DBE93-10EB-DC43-B485-45563D03198F}">
      <dgm:prSet/>
      <dgm:spPr/>
      <dgm:t>
        <a:bodyPr/>
        <a:lstStyle/>
        <a:p>
          <a:endParaRPr lang="en-GB"/>
        </a:p>
      </dgm:t>
    </dgm:pt>
    <dgm:pt modelId="{9A7722C2-52D5-A640-A072-952F5F4E2597}">
      <dgm:prSet phldrT="[Text]"/>
      <dgm:spPr/>
      <dgm:t>
        <a:bodyPr/>
        <a:lstStyle/>
        <a:p>
          <a:r>
            <a:rPr lang="en-GB" dirty="0"/>
            <a:t>Academia and research institutions</a:t>
          </a:r>
        </a:p>
      </dgm:t>
    </dgm:pt>
    <dgm:pt modelId="{60ED97F6-BD3C-3941-AF90-DAEF4A63958F}" type="parTrans" cxnId="{04EDFE71-06EC-F44F-AC03-EB099444A3AC}">
      <dgm:prSet/>
      <dgm:spPr/>
      <dgm:t>
        <a:bodyPr/>
        <a:lstStyle/>
        <a:p>
          <a:endParaRPr lang="en-GB"/>
        </a:p>
      </dgm:t>
    </dgm:pt>
    <dgm:pt modelId="{A51E8AC1-9383-9F45-B1B4-4931E01BDE6B}" type="sibTrans" cxnId="{04EDFE71-06EC-F44F-AC03-EB099444A3AC}">
      <dgm:prSet/>
      <dgm:spPr/>
      <dgm:t>
        <a:bodyPr/>
        <a:lstStyle/>
        <a:p>
          <a:endParaRPr lang="en-GB"/>
        </a:p>
      </dgm:t>
    </dgm:pt>
    <dgm:pt modelId="{E2A9B5C0-C57E-D747-9745-25128DDAEC3A}">
      <dgm:prSet phldrT="[Text]" custT="1"/>
      <dgm:spPr/>
      <dgm:t>
        <a:bodyPr/>
        <a:lstStyle/>
        <a:p>
          <a:r>
            <a:rPr lang="en-GB" sz="900" dirty="0"/>
            <a:t> Universities and institutions committed to research and knowledge dissemination</a:t>
          </a:r>
        </a:p>
      </dgm:t>
    </dgm:pt>
    <dgm:pt modelId="{65403911-1231-8D40-A6D4-24B4A18DD7B1}" type="parTrans" cxnId="{1158A565-5CF4-2742-B4B7-E83DEC653FE4}">
      <dgm:prSet/>
      <dgm:spPr/>
      <dgm:t>
        <a:bodyPr/>
        <a:lstStyle/>
        <a:p>
          <a:endParaRPr lang="en-GB"/>
        </a:p>
      </dgm:t>
    </dgm:pt>
    <dgm:pt modelId="{2B40BB31-68B5-4C4B-8DAF-8847EC57E4E2}" type="sibTrans" cxnId="{1158A565-5CF4-2742-B4B7-E83DEC653FE4}">
      <dgm:prSet/>
      <dgm:spPr/>
      <dgm:t>
        <a:bodyPr/>
        <a:lstStyle/>
        <a:p>
          <a:endParaRPr lang="en-GB"/>
        </a:p>
      </dgm:t>
    </dgm:pt>
    <dgm:pt modelId="{0D7CD581-978A-B544-AF04-26FAB7BCDC08}">
      <dgm:prSet phldrT="[Text]"/>
      <dgm:spPr/>
      <dgm:t>
        <a:bodyPr/>
        <a:lstStyle/>
        <a:p>
          <a:r>
            <a:rPr lang="en-GB" dirty="0"/>
            <a:t>NGOs, Social groups &amp; local communities</a:t>
          </a:r>
        </a:p>
      </dgm:t>
    </dgm:pt>
    <dgm:pt modelId="{EE5A3D2A-6D46-1A46-B361-2A612890A73D}" type="parTrans" cxnId="{C64CBC01-F671-834A-9B8B-C3976CA6CDD1}">
      <dgm:prSet/>
      <dgm:spPr/>
      <dgm:t>
        <a:bodyPr/>
        <a:lstStyle/>
        <a:p>
          <a:endParaRPr lang="en-GB"/>
        </a:p>
      </dgm:t>
    </dgm:pt>
    <dgm:pt modelId="{5A340D4D-1F2B-B240-8236-9A756F4E8F45}" type="sibTrans" cxnId="{C64CBC01-F671-834A-9B8B-C3976CA6CDD1}">
      <dgm:prSet/>
      <dgm:spPr/>
      <dgm:t>
        <a:bodyPr/>
        <a:lstStyle/>
        <a:p>
          <a:endParaRPr lang="en-GB"/>
        </a:p>
      </dgm:t>
    </dgm:pt>
    <dgm:pt modelId="{9CCCA9B3-3B98-0240-A657-176A6ACE0995}">
      <dgm:prSet phldrT="[Text]" custT="1"/>
      <dgm:spPr/>
      <dgm:t>
        <a:bodyPr/>
        <a:lstStyle/>
        <a:p>
          <a:r>
            <a:rPr lang="en-GB" sz="900" dirty="0"/>
            <a:t>Advocacy groups</a:t>
          </a:r>
        </a:p>
      </dgm:t>
    </dgm:pt>
    <dgm:pt modelId="{7EFFE6EA-4817-AB4A-9E3C-657D7929C2F6}" type="parTrans" cxnId="{7ACAE939-3972-2142-A861-5E44B208A7CA}">
      <dgm:prSet/>
      <dgm:spPr/>
      <dgm:t>
        <a:bodyPr/>
        <a:lstStyle/>
        <a:p>
          <a:endParaRPr lang="en-GB"/>
        </a:p>
      </dgm:t>
    </dgm:pt>
    <dgm:pt modelId="{73DD95A9-996C-204A-BD41-03DE474F3259}" type="sibTrans" cxnId="{7ACAE939-3972-2142-A861-5E44B208A7CA}">
      <dgm:prSet/>
      <dgm:spPr/>
      <dgm:t>
        <a:bodyPr/>
        <a:lstStyle/>
        <a:p>
          <a:endParaRPr lang="en-GB"/>
        </a:p>
      </dgm:t>
    </dgm:pt>
    <dgm:pt modelId="{2C0AEBC9-21FE-4C4C-9B59-15DEB5CDBDC8}">
      <dgm:prSet phldrT="[Text]" custT="1"/>
      <dgm:spPr/>
      <dgm:t>
        <a:bodyPr/>
        <a:lstStyle/>
        <a:p>
          <a:r>
            <a:rPr lang="en-GB" sz="900" dirty="0"/>
            <a:t>Sector Departments</a:t>
          </a:r>
        </a:p>
      </dgm:t>
    </dgm:pt>
    <dgm:pt modelId="{048E0AD8-B1C6-9549-9318-5291A1405E44}" type="parTrans" cxnId="{99B5DDEB-163B-CA4B-A6BA-A9F33D626384}">
      <dgm:prSet/>
      <dgm:spPr/>
      <dgm:t>
        <a:bodyPr/>
        <a:lstStyle/>
        <a:p>
          <a:endParaRPr lang="en-GB"/>
        </a:p>
      </dgm:t>
    </dgm:pt>
    <dgm:pt modelId="{B915FE79-321A-D84A-99EA-AB45A8435BEB}" type="sibTrans" cxnId="{99B5DDEB-163B-CA4B-A6BA-A9F33D626384}">
      <dgm:prSet/>
      <dgm:spPr/>
      <dgm:t>
        <a:bodyPr/>
        <a:lstStyle/>
        <a:p>
          <a:endParaRPr lang="en-GB"/>
        </a:p>
      </dgm:t>
    </dgm:pt>
    <dgm:pt modelId="{4697157B-9398-D74B-9D22-7C2123DE51D2}">
      <dgm:prSet phldrT="[Text]" custT="1"/>
      <dgm:spPr/>
      <dgm:t>
        <a:bodyPr/>
        <a:lstStyle/>
        <a:p>
          <a:r>
            <a:rPr lang="en-GB" sz="900" dirty="0"/>
            <a:t> Public institutions</a:t>
          </a:r>
        </a:p>
      </dgm:t>
    </dgm:pt>
    <dgm:pt modelId="{1D935EB3-D7DB-B848-A4C9-6375D05CC241}" type="parTrans" cxnId="{DFE3C152-CFFA-4C46-BB58-2D47C50D6E59}">
      <dgm:prSet/>
      <dgm:spPr/>
      <dgm:t>
        <a:bodyPr/>
        <a:lstStyle/>
        <a:p>
          <a:endParaRPr lang="en-GB"/>
        </a:p>
      </dgm:t>
    </dgm:pt>
    <dgm:pt modelId="{EB02D482-464C-4E4A-BAFC-755763374289}" type="sibTrans" cxnId="{DFE3C152-CFFA-4C46-BB58-2D47C50D6E59}">
      <dgm:prSet/>
      <dgm:spPr/>
      <dgm:t>
        <a:bodyPr/>
        <a:lstStyle/>
        <a:p>
          <a:endParaRPr lang="en-GB"/>
        </a:p>
      </dgm:t>
    </dgm:pt>
    <dgm:pt modelId="{91D1A4D5-1EBA-6649-9239-A33AE80D151E}">
      <dgm:prSet phldrT="[Text]" custT="1"/>
      <dgm:spPr/>
      <dgm:t>
        <a:bodyPr/>
        <a:lstStyle/>
        <a:p>
          <a:r>
            <a:rPr lang="en-GB" sz="900" dirty="0"/>
            <a:t>Social groups e.g. chambers, federations, associations &amp; cooperatives</a:t>
          </a:r>
        </a:p>
      </dgm:t>
    </dgm:pt>
    <dgm:pt modelId="{6E390510-5275-514E-A95E-161F240F4A5C}" type="parTrans" cxnId="{110A3A4F-112F-FF45-9C6A-86BAB63E9A73}">
      <dgm:prSet/>
      <dgm:spPr/>
    </dgm:pt>
    <dgm:pt modelId="{6B67C6AD-3952-1E4E-9E3B-99F5E0CF5D13}" type="sibTrans" cxnId="{110A3A4F-112F-FF45-9C6A-86BAB63E9A73}">
      <dgm:prSet/>
      <dgm:spPr/>
    </dgm:pt>
    <dgm:pt modelId="{C37AE433-E812-1F46-9D13-56E5D23D13A8}">
      <dgm:prSet phldrT="[Text]" custT="1"/>
      <dgm:spPr/>
      <dgm:t>
        <a:bodyPr/>
        <a:lstStyle/>
        <a:p>
          <a:r>
            <a:rPr lang="en-GB" sz="900" dirty="0"/>
            <a:t>Community groups</a:t>
          </a:r>
        </a:p>
      </dgm:t>
    </dgm:pt>
    <dgm:pt modelId="{97C6CF8D-9C2F-604D-989C-05DAAC0088FB}" type="parTrans" cxnId="{B18B1F4F-A1C1-9B4C-881C-72FA933CF4C4}">
      <dgm:prSet/>
      <dgm:spPr/>
    </dgm:pt>
    <dgm:pt modelId="{0ED6F40D-D61C-5D45-B3C8-60BD42773742}" type="sibTrans" cxnId="{B18B1F4F-A1C1-9B4C-881C-72FA933CF4C4}">
      <dgm:prSet/>
      <dgm:spPr/>
    </dgm:pt>
    <dgm:pt modelId="{47F3AF1E-0354-EC41-9B75-7F7D720C95DF}">
      <dgm:prSet phldrT="[Text]" custT="1"/>
      <dgm:spPr/>
      <dgm:t>
        <a:bodyPr/>
        <a:lstStyle/>
        <a:p>
          <a:r>
            <a:rPr lang="en-GB" sz="900" dirty="0"/>
            <a:t>indigenous peoples groups</a:t>
          </a:r>
        </a:p>
      </dgm:t>
    </dgm:pt>
    <dgm:pt modelId="{45EA03FD-5E0F-1B44-BEE5-F1DBF14CB8EC}" type="parTrans" cxnId="{4C7B8D09-4BF5-7B4D-8878-9ABF513450A5}">
      <dgm:prSet/>
      <dgm:spPr/>
    </dgm:pt>
    <dgm:pt modelId="{55D2E3D3-9FA6-3B46-93A5-6A94AA2CA5E7}" type="sibTrans" cxnId="{4C7B8D09-4BF5-7B4D-8878-9ABF513450A5}">
      <dgm:prSet/>
      <dgm:spPr/>
    </dgm:pt>
    <dgm:pt modelId="{07EAF311-DB06-DB46-B7EC-61AA894FE564}" type="pres">
      <dgm:prSet presAssocID="{26C58717-5075-4B41-B3A4-940F036BDEFF}" presName="cycleMatrixDiagram" presStyleCnt="0">
        <dgm:presLayoutVars>
          <dgm:chMax val="1"/>
          <dgm:dir/>
          <dgm:animLvl val="lvl"/>
          <dgm:resizeHandles val="exact"/>
        </dgm:presLayoutVars>
      </dgm:prSet>
      <dgm:spPr/>
    </dgm:pt>
    <dgm:pt modelId="{387EFB86-AB75-5D44-855A-FEF18627CF29}" type="pres">
      <dgm:prSet presAssocID="{26C58717-5075-4B41-B3A4-940F036BDEFF}" presName="children" presStyleCnt="0"/>
      <dgm:spPr/>
    </dgm:pt>
    <dgm:pt modelId="{93CF3788-08F9-CF4C-8B68-43479BE5439A}" type="pres">
      <dgm:prSet presAssocID="{26C58717-5075-4B41-B3A4-940F036BDEFF}" presName="child1group" presStyleCnt="0"/>
      <dgm:spPr/>
    </dgm:pt>
    <dgm:pt modelId="{2FA0A7D6-2DA2-6D46-83A6-B2232C08A3A1}" type="pres">
      <dgm:prSet presAssocID="{26C58717-5075-4B41-B3A4-940F036BDEFF}" presName="child1" presStyleLbl="bgAcc1" presStyleIdx="0" presStyleCnt="4" custScaleX="134077"/>
      <dgm:spPr/>
    </dgm:pt>
    <dgm:pt modelId="{A721B2A1-E00C-FE4F-AD13-26A8B7677E0E}" type="pres">
      <dgm:prSet presAssocID="{26C58717-5075-4B41-B3A4-940F036BDEFF}" presName="child1Text" presStyleLbl="bgAcc1" presStyleIdx="0" presStyleCnt="4">
        <dgm:presLayoutVars>
          <dgm:bulletEnabled val="1"/>
        </dgm:presLayoutVars>
      </dgm:prSet>
      <dgm:spPr/>
    </dgm:pt>
    <dgm:pt modelId="{7D43F525-F7D2-E846-BC15-11AEE9C22EC8}" type="pres">
      <dgm:prSet presAssocID="{26C58717-5075-4B41-B3A4-940F036BDEFF}" presName="child2group" presStyleCnt="0"/>
      <dgm:spPr/>
    </dgm:pt>
    <dgm:pt modelId="{973B88D0-418D-894E-A47E-C3E100C05CE4}" type="pres">
      <dgm:prSet presAssocID="{26C58717-5075-4B41-B3A4-940F036BDEFF}" presName="child2" presStyleLbl="bgAcc1" presStyleIdx="1" presStyleCnt="4" custScaleX="164925" custLinFactNeighborX="34307"/>
      <dgm:spPr/>
    </dgm:pt>
    <dgm:pt modelId="{E5A84209-2B83-6D43-9688-D17336500769}" type="pres">
      <dgm:prSet presAssocID="{26C58717-5075-4B41-B3A4-940F036BDEFF}" presName="child2Text" presStyleLbl="bgAcc1" presStyleIdx="1" presStyleCnt="4">
        <dgm:presLayoutVars>
          <dgm:bulletEnabled val="1"/>
        </dgm:presLayoutVars>
      </dgm:prSet>
      <dgm:spPr/>
    </dgm:pt>
    <dgm:pt modelId="{212437FF-55E1-5C47-AD88-2A09B5A9CA21}" type="pres">
      <dgm:prSet presAssocID="{26C58717-5075-4B41-B3A4-940F036BDEFF}" presName="child3group" presStyleCnt="0"/>
      <dgm:spPr/>
    </dgm:pt>
    <dgm:pt modelId="{DCB194D7-FF8B-3542-838F-2084C5880543}" type="pres">
      <dgm:prSet presAssocID="{26C58717-5075-4B41-B3A4-940F036BDEFF}" presName="child3" presStyleLbl="bgAcc1" presStyleIdx="2" presStyleCnt="4" custScaleX="155133" custScaleY="182565" custLinFactNeighborX="52063" custLinFactNeighborY="-21852"/>
      <dgm:spPr/>
    </dgm:pt>
    <dgm:pt modelId="{2B3B05BF-9973-0741-8EBE-A92BDDA6D3C6}" type="pres">
      <dgm:prSet presAssocID="{26C58717-5075-4B41-B3A4-940F036BDEFF}" presName="child3Text" presStyleLbl="bgAcc1" presStyleIdx="2" presStyleCnt="4">
        <dgm:presLayoutVars>
          <dgm:bulletEnabled val="1"/>
        </dgm:presLayoutVars>
      </dgm:prSet>
      <dgm:spPr/>
    </dgm:pt>
    <dgm:pt modelId="{1ED96ECD-A3D5-3B44-8D62-E1D28646B16F}" type="pres">
      <dgm:prSet presAssocID="{26C58717-5075-4B41-B3A4-940F036BDEFF}" presName="child4group" presStyleCnt="0"/>
      <dgm:spPr/>
    </dgm:pt>
    <dgm:pt modelId="{F28E3756-FA0C-E44B-9C1E-6B10F987BDF2}" type="pres">
      <dgm:prSet presAssocID="{26C58717-5075-4B41-B3A4-940F036BDEFF}" presName="child4" presStyleLbl="bgAcc1" presStyleIdx="3" presStyleCnt="4" custScaleY="131724" custLinFactNeighborX="-22736"/>
      <dgm:spPr/>
    </dgm:pt>
    <dgm:pt modelId="{394B7E4B-2B44-7943-B820-F87CE88BB448}" type="pres">
      <dgm:prSet presAssocID="{26C58717-5075-4B41-B3A4-940F036BDEFF}" presName="child4Text" presStyleLbl="bgAcc1" presStyleIdx="3" presStyleCnt="4">
        <dgm:presLayoutVars>
          <dgm:bulletEnabled val="1"/>
        </dgm:presLayoutVars>
      </dgm:prSet>
      <dgm:spPr/>
    </dgm:pt>
    <dgm:pt modelId="{8A4B33D7-DA9E-6A41-9BF4-99335783473D}" type="pres">
      <dgm:prSet presAssocID="{26C58717-5075-4B41-B3A4-940F036BDEFF}" presName="childPlaceholder" presStyleCnt="0"/>
      <dgm:spPr/>
    </dgm:pt>
    <dgm:pt modelId="{8501EB84-82E8-C94D-AF69-4DDB7E21BDB2}" type="pres">
      <dgm:prSet presAssocID="{26C58717-5075-4B41-B3A4-940F036BDEFF}" presName="circle" presStyleCnt="0"/>
      <dgm:spPr/>
    </dgm:pt>
    <dgm:pt modelId="{0F7E3836-CF48-1042-B1AA-DCF507B77DDC}" type="pres">
      <dgm:prSet presAssocID="{26C58717-5075-4B41-B3A4-940F036BDEFF}" presName="quadrant1" presStyleLbl="node1" presStyleIdx="0" presStyleCnt="4">
        <dgm:presLayoutVars>
          <dgm:chMax val="1"/>
          <dgm:bulletEnabled val="1"/>
        </dgm:presLayoutVars>
      </dgm:prSet>
      <dgm:spPr/>
    </dgm:pt>
    <dgm:pt modelId="{B49E2E95-41CA-7042-B7BD-53AE6C2DF3F5}" type="pres">
      <dgm:prSet presAssocID="{26C58717-5075-4B41-B3A4-940F036BDEFF}" presName="quadrant2" presStyleLbl="node1" presStyleIdx="1" presStyleCnt="4">
        <dgm:presLayoutVars>
          <dgm:chMax val="1"/>
          <dgm:bulletEnabled val="1"/>
        </dgm:presLayoutVars>
      </dgm:prSet>
      <dgm:spPr/>
    </dgm:pt>
    <dgm:pt modelId="{08AF7B15-F1BF-8343-B37B-85333F6F3811}" type="pres">
      <dgm:prSet presAssocID="{26C58717-5075-4B41-B3A4-940F036BDEFF}" presName="quadrant3" presStyleLbl="node1" presStyleIdx="2" presStyleCnt="4">
        <dgm:presLayoutVars>
          <dgm:chMax val="1"/>
          <dgm:bulletEnabled val="1"/>
        </dgm:presLayoutVars>
      </dgm:prSet>
      <dgm:spPr/>
    </dgm:pt>
    <dgm:pt modelId="{1E137D46-3E8B-EC4F-96B3-204C017042DF}" type="pres">
      <dgm:prSet presAssocID="{26C58717-5075-4B41-B3A4-940F036BDEFF}" presName="quadrant4" presStyleLbl="node1" presStyleIdx="3" presStyleCnt="4">
        <dgm:presLayoutVars>
          <dgm:chMax val="1"/>
          <dgm:bulletEnabled val="1"/>
        </dgm:presLayoutVars>
      </dgm:prSet>
      <dgm:spPr/>
    </dgm:pt>
    <dgm:pt modelId="{14AF35EF-A766-A445-BA2B-8DB6F3436C96}" type="pres">
      <dgm:prSet presAssocID="{26C58717-5075-4B41-B3A4-940F036BDEFF}" presName="quadrantPlaceholder" presStyleCnt="0"/>
      <dgm:spPr/>
    </dgm:pt>
    <dgm:pt modelId="{CD2AB0A3-C8E7-9340-A1FB-7A99B22D66F8}" type="pres">
      <dgm:prSet presAssocID="{26C58717-5075-4B41-B3A4-940F036BDEFF}" presName="center1" presStyleLbl="fgShp" presStyleIdx="0" presStyleCnt="2"/>
      <dgm:spPr/>
    </dgm:pt>
    <dgm:pt modelId="{4B73A115-BACD-674D-916D-26AC917D6150}" type="pres">
      <dgm:prSet presAssocID="{26C58717-5075-4B41-B3A4-940F036BDEFF}" presName="center2" presStyleLbl="fgShp" presStyleIdx="1" presStyleCnt="2"/>
      <dgm:spPr/>
    </dgm:pt>
  </dgm:ptLst>
  <dgm:cxnLst>
    <dgm:cxn modelId="{C64CBC01-F671-834A-9B8B-C3976CA6CDD1}" srcId="{26C58717-5075-4B41-B3A4-940F036BDEFF}" destId="{0D7CD581-978A-B544-AF04-26FAB7BCDC08}" srcOrd="3" destOrd="0" parTransId="{EE5A3D2A-6D46-1A46-B361-2A612890A73D}" sibTransId="{5A340D4D-1F2B-B240-8236-9A756F4E8F45}"/>
    <dgm:cxn modelId="{4C7B8D09-4BF5-7B4D-8878-9ABF513450A5}" srcId="{0D7CD581-978A-B544-AF04-26FAB7BCDC08}" destId="{47F3AF1E-0354-EC41-9B75-7F7D720C95DF}" srcOrd="2" destOrd="0" parTransId="{45EA03FD-5E0F-1B44-BEE5-F1DBF14CB8EC}" sibTransId="{55D2E3D3-9FA6-3B46-93A5-6A94AA2CA5E7}"/>
    <dgm:cxn modelId="{7E7FFC15-83DF-CF4E-98E4-31B34AB5902D}" type="presOf" srcId="{E2A9B5C0-C57E-D747-9745-25128DDAEC3A}" destId="{2B3B05BF-9973-0741-8EBE-A92BDDA6D3C6}" srcOrd="1" destOrd="0" presId="urn:microsoft.com/office/officeart/2005/8/layout/cycle4#1"/>
    <dgm:cxn modelId="{8AA52227-BF80-954F-ADA1-1D8B25CF5DEA}" type="presOf" srcId="{C37AE433-E812-1F46-9D13-56E5D23D13A8}" destId="{F28E3756-FA0C-E44B-9C1E-6B10F987BDF2}" srcOrd="0" destOrd="1" presId="urn:microsoft.com/office/officeart/2005/8/layout/cycle4#1"/>
    <dgm:cxn modelId="{7846C22B-F5DC-F349-9FEF-5E736A1CC03E}" type="presOf" srcId="{E2A9B5C0-C57E-D747-9745-25128DDAEC3A}" destId="{DCB194D7-FF8B-3542-838F-2084C5880543}" srcOrd="0" destOrd="0" presId="urn:microsoft.com/office/officeart/2005/8/layout/cycle4#1"/>
    <dgm:cxn modelId="{AF9A292D-33C7-1A4E-B9C9-F5DB04D80BC7}" type="presOf" srcId="{0D7CD581-978A-B544-AF04-26FAB7BCDC08}" destId="{1E137D46-3E8B-EC4F-96B3-204C017042DF}" srcOrd="0" destOrd="0" presId="urn:microsoft.com/office/officeart/2005/8/layout/cycle4#1"/>
    <dgm:cxn modelId="{7ACAE939-3972-2142-A861-5E44B208A7CA}" srcId="{0D7CD581-978A-B544-AF04-26FAB7BCDC08}" destId="{9CCCA9B3-3B98-0240-A657-176A6ACE0995}" srcOrd="0" destOrd="0" parTransId="{7EFFE6EA-4817-AB4A-9E3C-657D7929C2F6}" sibTransId="{73DD95A9-996C-204A-BD41-03DE474F3259}"/>
    <dgm:cxn modelId="{A68B6141-2174-A746-A41A-3C1E69641F36}" type="presOf" srcId="{9CCCA9B3-3B98-0240-A657-176A6ACE0995}" destId="{394B7E4B-2B44-7943-B820-F87CE88BB448}" srcOrd="1" destOrd="0" presId="urn:microsoft.com/office/officeart/2005/8/layout/cycle4#1"/>
    <dgm:cxn modelId="{EE907D43-68CE-D446-87A6-E29FD99D31A6}" type="presOf" srcId="{C37AE433-E812-1F46-9D13-56E5D23D13A8}" destId="{394B7E4B-2B44-7943-B820-F87CE88BB448}" srcOrd="1" destOrd="1" presId="urn:microsoft.com/office/officeart/2005/8/layout/cycle4#1"/>
    <dgm:cxn modelId="{1158A565-5CF4-2742-B4B7-E83DEC653FE4}" srcId="{9A7722C2-52D5-A640-A072-952F5F4E2597}" destId="{E2A9B5C0-C57E-D747-9745-25128DDAEC3A}" srcOrd="0" destOrd="0" parTransId="{65403911-1231-8D40-A6D4-24B4A18DD7B1}" sibTransId="{2B40BB31-68B5-4C4B-8DAF-8847EC57E4E2}"/>
    <dgm:cxn modelId="{C8CEC246-785C-A447-9112-3D5867FCB614}" type="presOf" srcId="{6608027F-A345-434A-B072-9B0DC667C6B7}" destId="{A721B2A1-E00C-FE4F-AD13-26A8B7677E0E}" srcOrd="1" destOrd="0" presId="urn:microsoft.com/office/officeart/2005/8/layout/cycle4#1"/>
    <dgm:cxn modelId="{523E6768-AD8D-E943-BC9F-0607EA8AA0C1}" type="presOf" srcId="{50A944E4-7D04-EE4E-8562-4F43385A240A}" destId="{E5A84209-2B83-6D43-9688-D17336500769}" srcOrd="1" destOrd="0" presId="urn:microsoft.com/office/officeart/2005/8/layout/cycle4#1"/>
    <dgm:cxn modelId="{9C84946B-A09C-B047-B114-04B3EB61DDFD}" type="presOf" srcId="{47F3AF1E-0354-EC41-9B75-7F7D720C95DF}" destId="{F28E3756-FA0C-E44B-9C1E-6B10F987BDF2}" srcOrd="0" destOrd="2" presId="urn:microsoft.com/office/officeart/2005/8/layout/cycle4#1"/>
    <dgm:cxn modelId="{B18B1F4F-A1C1-9B4C-881C-72FA933CF4C4}" srcId="{0D7CD581-978A-B544-AF04-26FAB7BCDC08}" destId="{C37AE433-E812-1F46-9D13-56E5D23D13A8}" srcOrd="1" destOrd="0" parTransId="{97C6CF8D-9C2F-604D-989C-05DAAC0088FB}" sibTransId="{0ED6F40D-D61C-5D45-B3C8-60BD42773742}"/>
    <dgm:cxn modelId="{110A3A4F-112F-FF45-9C6A-86BAB63E9A73}" srcId="{897EE933-C0F4-0449-9F36-88D95CA69F5A}" destId="{91D1A4D5-1EBA-6649-9239-A33AE80D151E}" srcOrd="1" destOrd="0" parTransId="{6E390510-5275-514E-A95E-161F240F4A5C}" sibTransId="{6B67C6AD-3952-1E4E-9E3B-99F5E0CF5D13}"/>
    <dgm:cxn modelId="{22B29450-6444-6C49-8535-F05297AC96E5}" type="presOf" srcId="{9CCCA9B3-3B98-0240-A657-176A6ACE0995}" destId="{F28E3756-FA0C-E44B-9C1E-6B10F987BDF2}" srcOrd="0" destOrd="0" presId="urn:microsoft.com/office/officeart/2005/8/layout/cycle4#1"/>
    <dgm:cxn modelId="{355BB551-E668-324B-90D0-5BB467B90C51}" type="presOf" srcId="{9A7722C2-52D5-A640-A072-952F5F4E2597}" destId="{08AF7B15-F1BF-8343-B37B-85333F6F3811}" srcOrd="0" destOrd="0" presId="urn:microsoft.com/office/officeart/2005/8/layout/cycle4#1"/>
    <dgm:cxn modelId="{04EDFE71-06EC-F44F-AC03-EB099444A3AC}" srcId="{26C58717-5075-4B41-B3A4-940F036BDEFF}" destId="{9A7722C2-52D5-A640-A072-952F5F4E2597}" srcOrd="2" destOrd="0" parTransId="{60ED97F6-BD3C-3941-AF90-DAEF4A63958F}" sibTransId="{A51E8AC1-9383-9F45-B1B4-4931E01BDE6B}"/>
    <dgm:cxn modelId="{DFE3C152-CFFA-4C46-BB58-2D47C50D6E59}" srcId="{C9051BF4-BFCA-C949-9C65-F3E160A79184}" destId="{4697157B-9398-D74B-9D22-7C2123DE51D2}" srcOrd="2" destOrd="0" parTransId="{1D935EB3-D7DB-B848-A4C9-6375D05CC241}" sibTransId="{EB02D482-464C-4E4A-BAFC-755763374289}"/>
    <dgm:cxn modelId="{F5D81683-85BE-E54E-8505-16233AA46FC3}" type="presOf" srcId="{91D1A4D5-1EBA-6649-9239-A33AE80D151E}" destId="{E5A84209-2B83-6D43-9688-D17336500769}" srcOrd="1" destOrd="1" presId="urn:microsoft.com/office/officeart/2005/8/layout/cycle4#1"/>
    <dgm:cxn modelId="{FF45A48F-3F36-3C4A-837B-C4EEBA41FB5C}" srcId="{26C58717-5075-4B41-B3A4-940F036BDEFF}" destId="{897EE933-C0F4-0449-9F36-88D95CA69F5A}" srcOrd="1" destOrd="0" parTransId="{4C489DDD-D3AD-2144-8E14-1616B01808F4}" sibTransId="{BF1256AB-397E-294B-8BF6-A19E4DB33D16}"/>
    <dgm:cxn modelId="{28600C93-9305-A441-BDAA-61A29629C493}" type="presOf" srcId="{91D1A4D5-1EBA-6649-9239-A33AE80D151E}" destId="{973B88D0-418D-894E-A47E-C3E100C05CE4}" srcOrd="0" destOrd="1" presId="urn:microsoft.com/office/officeart/2005/8/layout/cycle4#1"/>
    <dgm:cxn modelId="{ADFF7793-1397-FD47-BBAE-F09CB438D493}" type="presOf" srcId="{50A944E4-7D04-EE4E-8562-4F43385A240A}" destId="{973B88D0-418D-894E-A47E-C3E100C05CE4}" srcOrd="0" destOrd="0" presId="urn:microsoft.com/office/officeart/2005/8/layout/cycle4#1"/>
    <dgm:cxn modelId="{B85DBE93-10EB-DC43-B485-45563D03198F}" srcId="{897EE933-C0F4-0449-9F36-88D95CA69F5A}" destId="{50A944E4-7D04-EE4E-8562-4F43385A240A}" srcOrd="0" destOrd="0" parTransId="{F4E6A1E8-0899-4E49-A350-99246C1C0389}" sibTransId="{3D6E8759-DBC4-3B4B-9DBB-28C813A838FE}"/>
    <dgm:cxn modelId="{47E4D996-758E-F14C-8B77-8152BAD87AD1}" srcId="{C9051BF4-BFCA-C949-9C65-F3E160A79184}" destId="{6608027F-A345-434A-B072-9B0DC667C6B7}" srcOrd="0" destOrd="0" parTransId="{5F57453C-000B-D547-A2B9-7D271F040206}" sibTransId="{5D86505A-2A96-C945-B9D5-378050A6E162}"/>
    <dgm:cxn modelId="{0D3A8A9A-F19D-1743-A858-BCBBDE42F738}" type="presOf" srcId="{897EE933-C0F4-0449-9F36-88D95CA69F5A}" destId="{B49E2E95-41CA-7042-B7BD-53AE6C2DF3F5}" srcOrd="0" destOrd="0" presId="urn:microsoft.com/office/officeart/2005/8/layout/cycle4#1"/>
    <dgm:cxn modelId="{5131C79C-1668-EF4D-8F8F-7586E1C6DB30}" srcId="{26C58717-5075-4B41-B3A4-940F036BDEFF}" destId="{C9051BF4-BFCA-C949-9C65-F3E160A79184}" srcOrd="0" destOrd="0" parTransId="{B778FC75-24BE-F843-947C-3AAE4776994B}" sibTransId="{CA17F5D3-4618-4C4C-80FB-64726D4A4F08}"/>
    <dgm:cxn modelId="{CE6940B1-FE3A-7F42-996E-F7F934590A49}" type="presOf" srcId="{2C0AEBC9-21FE-4C4C-9B59-15DEB5CDBDC8}" destId="{A721B2A1-E00C-FE4F-AD13-26A8B7677E0E}" srcOrd="1" destOrd="1" presId="urn:microsoft.com/office/officeart/2005/8/layout/cycle4#1"/>
    <dgm:cxn modelId="{17495CB5-BCED-4143-A445-F9C09D516011}" type="presOf" srcId="{4697157B-9398-D74B-9D22-7C2123DE51D2}" destId="{A721B2A1-E00C-FE4F-AD13-26A8B7677E0E}" srcOrd="1" destOrd="2" presId="urn:microsoft.com/office/officeart/2005/8/layout/cycle4#1"/>
    <dgm:cxn modelId="{01304BBB-E369-8E41-95BA-D71D8EEFA1C5}" type="presOf" srcId="{4697157B-9398-D74B-9D22-7C2123DE51D2}" destId="{2FA0A7D6-2DA2-6D46-83A6-B2232C08A3A1}" srcOrd="0" destOrd="2" presId="urn:microsoft.com/office/officeart/2005/8/layout/cycle4#1"/>
    <dgm:cxn modelId="{2CDE86BE-C3F7-3740-A260-A2C33390BA1D}" type="presOf" srcId="{26C58717-5075-4B41-B3A4-940F036BDEFF}" destId="{07EAF311-DB06-DB46-B7EC-61AA894FE564}" srcOrd="0" destOrd="0" presId="urn:microsoft.com/office/officeart/2005/8/layout/cycle4#1"/>
    <dgm:cxn modelId="{50C353D1-2F5D-9F48-AB8A-90E1877522BD}" type="presOf" srcId="{6608027F-A345-434A-B072-9B0DC667C6B7}" destId="{2FA0A7D6-2DA2-6D46-83A6-B2232C08A3A1}" srcOrd="0" destOrd="0" presId="urn:microsoft.com/office/officeart/2005/8/layout/cycle4#1"/>
    <dgm:cxn modelId="{195222D4-3020-4E41-A244-A2FD93BB8D8A}" type="presOf" srcId="{C9051BF4-BFCA-C949-9C65-F3E160A79184}" destId="{0F7E3836-CF48-1042-B1AA-DCF507B77DDC}" srcOrd="0" destOrd="0" presId="urn:microsoft.com/office/officeart/2005/8/layout/cycle4#1"/>
    <dgm:cxn modelId="{99B5DDEB-163B-CA4B-A6BA-A9F33D626384}" srcId="{C9051BF4-BFCA-C949-9C65-F3E160A79184}" destId="{2C0AEBC9-21FE-4C4C-9B59-15DEB5CDBDC8}" srcOrd="1" destOrd="0" parTransId="{048E0AD8-B1C6-9549-9318-5291A1405E44}" sibTransId="{B915FE79-321A-D84A-99EA-AB45A8435BEB}"/>
    <dgm:cxn modelId="{4E51E6EE-D63C-CC49-A8CE-198566404A3D}" type="presOf" srcId="{2C0AEBC9-21FE-4C4C-9B59-15DEB5CDBDC8}" destId="{2FA0A7D6-2DA2-6D46-83A6-B2232C08A3A1}" srcOrd="0" destOrd="1" presId="urn:microsoft.com/office/officeart/2005/8/layout/cycle4#1"/>
    <dgm:cxn modelId="{BDB116FF-545D-2E4A-9D08-8F4F91B8FAB6}" type="presOf" srcId="{47F3AF1E-0354-EC41-9B75-7F7D720C95DF}" destId="{394B7E4B-2B44-7943-B820-F87CE88BB448}" srcOrd="1" destOrd="2" presId="urn:microsoft.com/office/officeart/2005/8/layout/cycle4#1"/>
    <dgm:cxn modelId="{928CE71B-B19C-DE47-B542-EE0913B10FDA}" type="presParOf" srcId="{07EAF311-DB06-DB46-B7EC-61AA894FE564}" destId="{387EFB86-AB75-5D44-855A-FEF18627CF29}" srcOrd="0" destOrd="0" presId="urn:microsoft.com/office/officeart/2005/8/layout/cycle4#1"/>
    <dgm:cxn modelId="{968456D0-AA7F-D648-8926-66C96FDA986C}" type="presParOf" srcId="{387EFB86-AB75-5D44-855A-FEF18627CF29}" destId="{93CF3788-08F9-CF4C-8B68-43479BE5439A}" srcOrd="0" destOrd="0" presId="urn:microsoft.com/office/officeart/2005/8/layout/cycle4#1"/>
    <dgm:cxn modelId="{E8B5B3CE-D22A-7A45-9433-853A43BE41B8}" type="presParOf" srcId="{93CF3788-08F9-CF4C-8B68-43479BE5439A}" destId="{2FA0A7D6-2DA2-6D46-83A6-B2232C08A3A1}" srcOrd="0" destOrd="0" presId="urn:microsoft.com/office/officeart/2005/8/layout/cycle4#1"/>
    <dgm:cxn modelId="{94D661D1-37BE-8B41-BCA9-E2953C4B51C1}" type="presParOf" srcId="{93CF3788-08F9-CF4C-8B68-43479BE5439A}" destId="{A721B2A1-E00C-FE4F-AD13-26A8B7677E0E}" srcOrd="1" destOrd="0" presId="urn:microsoft.com/office/officeart/2005/8/layout/cycle4#1"/>
    <dgm:cxn modelId="{E741A5F1-635B-7940-9335-A502B9DFECA7}" type="presParOf" srcId="{387EFB86-AB75-5D44-855A-FEF18627CF29}" destId="{7D43F525-F7D2-E846-BC15-11AEE9C22EC8}" srcOrd="1" destOrd="0" presId="urn:microsoft.com/office/officeart/2005/8/layout/cycle4#1"/>
    <dgm:cxn modelId="{AA391DCD-4806-6144-90BD-601C5E63A380}" type="presParOf" srcId="{7D43F525-F7D2-E846-BC15-11AEE9C22EC8}" destId="{973B88D0-418D-894E-A47E-C3E100C05CE4}" srcOrd="0" destOrd="0" presId="urn:microsoft.com/office/officeart/2005/8/layout/cycle4#1"/>
    <dgm:cxn modelId="{6A0EE6E5-0023-4A42-8FF0-B078D23954E5}" type="presParOf" srcId="{7D43F525-F7D2-E846-BC15-11AEE9C22EC8}" destId="{E5A84209-2B83-6D43-9688-D17336500769}" srcOrd="1" destOrd="0" presId="urn:microsoft.com/office/officeart/2005/8/layout/cycle4#1"/>
    <dgm:cxn modelId="{9F37B885-1935-4A4C-90FC-64C157BFE104}" type="presParOf" srcId="{387EFB86-AB75-5D44-855A-FEF18627CF29}" destId="{212437FF-55E1-5C47-AD88-2A09B5A9CA21}" srcOrd="2" destOrd="0" presId="urn:microsoft.com/office/officeart/2005/8/layout/cycle4#1"/>
    <dgm:cxn modelId="{5BE69A45-FA65-5047-840D-EDE3F5DCB663}" type="presParOf" srcId="{212437FF-55E1-5C47-AD88-2A09B5A9CA21}" destId="{DCB194D7-FF8B-3542-838F-2084C5880543}" srcOrd="0" destOrd="0" presId="urn:microsoft.com/office/officeart/2005/8/layout/cycle4#1"/>
    <dgm:cxn modelId="{F8151EFC-D8D5-244D-B778-1B7511D532F8}" type="presParOf" srcId="{212437FF-55E1-5C47-AD88-2A09B5A9CA21}" destId="{2B3B05BF-9973-0741-8EBE-A92BDDA6D3C6}" srcOrd="1" destOrd="0" presId="urn:microsoft.com/office/officeart/2005/8/layout/cycle4#1"/>
    <dgm:cxn modelId="{11425DEB-E6B1-D642-BA47-91C90007EA2A}" type="presParOf" srcId="{387EFB86-AB75-5D44-855A-FEF18627CF29}" destId="{1ED96ECD-A3D5-3B44-8D62-E1D28646B16F}" srcOrd="3" destOrd="0" presId="urn:microsoft.com/office/officeart/2005/8/layout/cycle4#1"/>
    <dgm:cxn modelId="{F350A866-1577-8444-B9DD-51A8909A3EA1}" type="presParOf" srcId="{1ED96ECD-A3D5-3B44-8D62-E1D28646B16F}" destId="{F28E3756-FA0C-E44B-9C1E-6B10F987BDF2}" srcOrd="0" destOrd="0" presId="urn:microsoft.com/office/officeart/2005/8/layout/cycle4#1"/>
    <dgm:cxn modelId="{AA485680-EC86-1D4F-BFCB-B8444E7649F8}" type="presParOf" srcId="{1ED96ECD-A3D5-3B44-8D62-E1D28646B16F}" destId="{394B7E4B-2B44-7943-B820-F87CE88BB448}" srcOrd="1" destOrd="0" presId="urn:microsoft.com/office/officeart/2005/8/layout/cycle4#1"/>
    <dgm:cxn modelId="{15C20057-325C-C34D-B4B0-89562A26F9CA}" type="presParOf" srcId="{387EFB86-AB75-5D44-855A-FEF18627CF29}" destId="{8A4B33D7-DA9E-6A41-9BF4-99335783473D}" srcOrd="4" destOrd="0" presId="urn:microsoft.com/office/officeart/2005/8/layout/cycle4#1"/>
    <dgm:cxn modelId="{5055C9A4-55F2-BC48-9001-BA8FA171FED1}" type="presParOf" srcId="{07EAF311-DB06-DB46-B7EC-61AA894FE564}" destId="{8501EB84-82E8-C94D-AF69-4DDB7E21BDB2}" srcOrd="1" destOrd="0" presId="urn:microsoft.com/office/officeart/2005/8/layout/cycle4#1"/>
    <dgm:cxn modelId="{4AE02035-6817-6448-AAD3-C5D90D9FFCE3}" type="presParOf" srcId="{8501EB84-82E8-C94D-AF69-4DDB7E21BDB2}" destId="{0F7E3836-CF48-1042-B1AA-DCF507B77DDC}" srcOrd="0" destOrd="0" presId="urn:microsoft.com/office/officeart/2005/8/layout/cycle4#1"/>
    <dgm:cxn modelId="{39D5C908-F9C0-CC4A-B7EA-FF4C67B955C2}" type="presParOf" srcId="{8501EB84-82E8-C94D-AF69-4DDB7E21BDB2}" destId="{B49E2E95-41CA-7042-B7BD-53AE6C2DF3F5}" srcOrd="1" destOrd="0" presId="urn:microsoft.com/office/officeart/2005/8/layout/cycle4#1"/>
    <dgm:cxn modelId="{ECC1B28B-BB58-9D41-AF39-20A1F7B716DB}" type="presParOf" srcId="{8501EB84-82E8-C94D-AF69-4DDB7E21BDB2}" destId="{08AF7B15-F1BF-8343-B37B-85333F6F3811}" srcOrd="2" destOrd="0" presId="urn:microsoft.com/office/officeart/2005/8/layout/cycle4#1"/>
    <dgm:cxn modelId="{79B36844-675E-874E-90DB-47EAB8ECD1A7}" type="presParOf" srcId="{8501EB84-82E8-C94D-AF69-4DDB7E21BDB2}" destId="{1E137D46-3E8B-EC4F-96B3-204C017042DF}" srcOrd="3" destOrd="0" presId="urn:microsoft.com/office/officeart/2005/8/layout/cycle4#1"/>
    <dgm:cxn modelId="{09233860-3B9C-6943-9A36-99809D7B2FDB}" type="presParOf" srcId="{8501EB84-82E8-C94D-AF69-4DDB7E21BDB2}" destId="{14AF35EF-A766-A445-BA2B-8DB6F3436C96}" srcOrd="4" destOrd="0" presId="urn:microsoft.com/office/officeart/2005/8/layout/cycle4#1"/>
    <dgm:cxn modelId="{9BD6BE84-4504-6145-B153-2558C1717C99}" type="presParOf" srcId="{07EAF311-DB06-DB46-B7EC-61AA894FE564}" destId="{CD2AB0A3-C8E7-9340-A1FB-7A99B22D66F8}" srcOrd="2" destOrd="0" presId="urn:microsoft.com/office/officeart/2005/8/layout/cycle4#1"/>
    <dgm:cxn modelId="{141798C3-EAF8-E547-9C57-DB8D83A1094D}" type="presParOf" srcId="{07EAF311-DB06-DB46-B7EC-61AA894FE564}" destId="{4B73A115-BACD-674D-916D-26AC917D6150}" srcOrd="3" destOrd="0" presId="urn:microsoft.com/office/officeart/2005/8/layout/cycle4#1"/>
  </dgm:cxnLst>
  <dgm:bg/>
  <dgm:whole/>
  <dgm:extLst>
    <a:ext uri="http://schemas.microsoft.com/office/drawing/2008/diagram">
      <dsp:dataModelExt xmlns:dsp="http://schemas.microsoft.com/office/drawing/2008/diagram" relId="rId8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E7086FA-5C81-F94E-B870-FC3DFC5AFD43}" type="doc">
      <dgm:prSet loTypeId="urn:microsoft.com/office/officeart/2005/8/layout/pyramid3#1" loCatId="" qsTypeId="urn:microsoft.com/office/officeart/2005/8/quickstyle/simple2#1" qsCatId="simple" csTypeId="urn:microsoft.com/office/officeart/2005/8/colors/accent1_2#2" csCatId="accent1" phldr="1"/>
      <dgm:spPr/>
    </dgm:pt>
    <dgm:pt modelId="{EDE9C038-B7B1-C446-B36A-A6A47A1274B3}">
      <dgm:prSet phldrT="[Text]" custT="1"/>
      <dgm:spPr>
        <a:solidFill>
          <a:schemeClr val="accent1">
            <a:lumMod val="50000"/>
          </a:schemeClr>
        </a:solidFill>
      </dgm:spPr>
      <dgm:t>
        <a:bodyPr/>
        <a:lstStyle/>
        <a:p>
          <a:pPr algn="ctr"/>
          <a:r>
            <a:rPr lang="en-GB" sz="1200" b="1">
              <a:solidFill>
                <a:schemeClr val="bg1"/>
              </a:solidFill>
            </a:rPr>
            <a:t>Avoid</a:t>
          </a:r>
        </a:p>
      </dgm:t>
    </dgm:pt>
    <dgm:pt modelId="{D35B0AB0-5B34-FE40-A934-9B66E59A9110}" type="parTrans" cxnId="{63192070-6F2E-DC4E-96B8-9D18428D3EE9}">
      <dgm:prSet/>
      <dgm:spPr/>
      <dgm:t>
        <a:bodyPr/>
        <a:lstStyle/>
        <a:p>
          <a:pPr algn="ctr"/>
          <a:endParaRPr lang="en-GB" sz="1200" b="1">
            <a:solidFill>
              <a:schemeClr val="bg1"/>
            </a:solidFill>
          </a:endParaRPr>
        </a:p>
      </dgm:t>
    </dgm:pt>
    <dgm:pt modelId="{875DA36A-D223-C742-8812-09C96126A7ED}" type="sibTrans" cxnId="{63192070-6F2E-DC4E-96B8-9D18428D3EE9}">
      <dgm:prSet/>
      <dgm:spPr/>
      <dgm:t>
        <a:bodyPr/>
        <a:lstStyle/>
        <a:p>
          <a:pPr algn="ctr"/>
          <a:endParaRPr lang="en-GB" sz="1200" b="1">
            <a:solidFill>
              <a:schemeClr val="bg1"/>
            </a:solidFill>
          </a:endParaRPr>
        </a:p>
      </dgm:t>
    </dgm:pt>
    <dgm:pt modelId="{26400F9B-9A93-E745-BB56-02CFEE065386}">
      <dgm:prSet phldrT="[Text]" custT="1"/>
      <dgm:spPr>
        <a:solidFill>
          <a:schemeClr val="accent1">
            <a:lumMod val="75000"/>
          </a:schemeClr>
        </a:solidFill>
      </dgm:spPr>
      <dgm:t>
        <a:bodyPr/>
        <a:lstStyle/>
        <a:p>
          <a:pPr algn="ctr"/>
          <a:r>
            <a:rPr lang="en-GB" sz="1200" b="1">
              <a:solidFill>
                <a:schemeClr val="bg1"/>
              </a:solidFill>
            </a:rPr>
            <a:t>Minimize</a:t>
          </a:r>
        </a:p>
      </dgm:t>
    </dgm:pt>
    <dgm:pt modelId="{D793A8C8-BB28-DD4A-9ADF-78CB97F828AA}" type="parTrans" cxnId="{6780BD05-ACE5-9247-9EAC-D53DC34398B7}">
      <dgm:prSet/>
      <dgm:spPr/>
      <dgm:t>
        <a:bodyPr/>
        <a:lstStyle/>
        <a:p>
          <a:pPr algn="ctr"/>
          <a:endParaRPr lang="en-GB" sz="1200" b="1">
            <a:solidFill>
              <a:schemeClr val="bg1"/>
            </a:solidFill>
          </a:endParaRPr>
        </a:p>
      </dgm:t>
    </dgm:pt>
    <dgm:pt modelId="{14FDBBE4-5A65-F44B-A8E8-D9F3079461D1}" type="sibTrans" cxnId="{6780BD05-ACE5-9247-9EAC-D53DC34398B7}">
      <dgm:prSet/>
      <dgm:spPr/>
      <dgm:t>
        <a:bodyPr/>
        <a:lstStyle/>
        <a:p>
          <a:pPr algn="ctr"/>
          <a:endParaRPr lang="en-GB" sz="1200" b="1">
            <a:solidFill>
              <a:schemeClr val="bg1"/>
            </a:solidFill>
          </a:endParaRPr>
        </a:p>
      </dgm:t>
    </dgm:pt>
    <dgm:pt modelId="{12FC65E8-23F1-B948-937D-3A76BF1A317F}">
      <dgm:prSet phldrT="[Text]" custT="1"/>
      <dgm:spPr>
        <a:solidFill>
          <a:schemeClr val="accent1">
            <a:lumMod val="60000"/>
            <a:lumOff val="40000"/>
          </a:schemeClr>
        </a:solidFill>
      </dgm:spPr>
      <dgm:t>
        <a:bodyPr/>
        <a:lstStyle/>
        <a:p>
          <a:pPr algn="ctr"/>
          <a:r>
            <a:rPr lang="en-GB" sz="1200" b="1">
              <a:solidFill>
                <a:schemeClr val="bg1"/>
              </a:solidFill>
            </a:rPr>
            <a:t>Mitigate</a:t>
          </a:r>
        </a:p>
      </dgm:t>
    </dgm:pt>
    <dgm:pt modelId="{1A716A07-A525-B04B-B999-7D0B04F256C8}" type="parTrans" cxnId="{3512909F-FBD5-B843-966B-8D99BBF48968}">
      <dgm:prSet/>
      <dgm:spPr/>
      <dgm:t>
        <a:bodyPr/>
        <a:lstStyle/>
        <a:p>
          <a:pPr algn="ctr"/>
          <a:endParaRPr lang="en-GB" sz="1200" b="1">
            <a:solidFill>
              <a:schemeClr val="bg1"/>
            </a:solidFill>
          </a:endParaRPr>
        </a:p>
      </dgm:t>
    </dgm:pt>
    <dgm:pt modelId="{B83A3E3F-B67A-E248-8D4D-6CAFEA482599}" type="sibTrans" cxnId="{3512909F-FBD5-B843-966B-8D99BBF48968}">
      <dgm:prSet/>
      <dgm:spPr/>
      <dgm:t>
        <a:bodyPr/>
        <a:lstStyle/>
        <a:p>
          <a:pPr algn="ctr"/>
          <a:endParaRPr lang="en-GB" sz="1200" b="1">
            <a:solidFill>
              <a:schemeClr val="bg1"/>
            </a:solidFill>
          </a:endParaRPr>
        </a:p>
      </dgm:t>
    </dgm:pt>
    <dgm:pt modelId="{2A8A57FF-A298-1149-9984-BEBAEEF12234}">
      <dgm:prSet custT="1"/>
      <dgm:spPr>
        <a:solidFill>
          <a:schemeClr val="accent1">
            <a:lumMod val="40000"/>
            <a:lumOff val="60000"/>
          </a:schemeClr>
        </a:solidFill>
      </dgm:spPr>
      <dgm:t>
        <a:bodyPr/>
        <a:lstStyle/>
        <a:p>
          <a:pPr algn="ctr"/>
          <a:r>
            <a:rPr lang="en-GB" sz="1200" b="1">
              <a:solidFill>
                <a:schemeClr val="bg1"/>
              </a:solidFill>
            </a:rPr>
            <a:t>Offset</a:t>
          </a:r>
        </a:p>
      </dgm:t>
    </dgm:pt>
    <dgm:pt modelId="{E5C5956A-00CD-3345-A84E-030E4A14428A}" type="parTrans" cxnId="{5613623D-5663-5D4C-86EE-F5A0489C0897}">
      <dgm:prSet/>
      <dgm:spPr/>
      <dgm:t>
        <a:bodyPr/>
        <a:lstStyle/>
        <a:p>
          <a:pPr algn="ctr"/>
          <a:endParaRPr lang="en-GB" sz="1200" b="1">
            <a:solidFill>
              <a:schemeClr val="bg1"/>
            </a:solidFill>
          </a:endParaRPr>
        </a:p>
      </dgm:t>
    </dgm:pt>
    <dgm:pt modelId="{02C8676E-FCCF-2047-8E0B-75DACE79551C}" type="sibTrans" cxnId="{5613623D-5663-5D4C-86EE-F5A0489C0897}">
      <dgm:prSet/>
      <dgm:spPr/>
      <dgm:t>
        <a:bodyPr/>
        <a:lstStyle/>
        <a:p>
          <a:pPr algn="ctr"/>
          <a:endParaRPr lang="en-GB" sz="1200" b="1">
            <a:solidFill>
              <a:schemeClr val="bg1"/>
            </a:solidFill>
          </a:endParaRPr>
        </a:p>
      </dgm:t>
    </dgm:pt>
    <dgm:pt modelId="{846ED0FB-29FA-E641-8427-340A969ABEB3}" type="pres">
      <dgm:prSet presAssocID="{9E7086FA-5C81-F94E-B870-FC3DFC5AFD43}" presName="Name0" presStyleCnt="0">
        <dgm:presLayoutVars>
          <dgm:dir/>
          <dgm:animLvl val="lvl"/>
          <dgm:resizeHandles val="exact"/>
        </dgm:presLayoutVars>
      </dgm:prSet>
      <dgm:spPr/>
    </dgm:pt>
    <dgm:pt modelId="{DC7B4CA7-A553-F142-B640-90BD9F00E308}" type="pres">
      <dgm:prSet presAssocID="{EDE9C038-B7B1-C446-B36A-A6A47A1274B3}" presName="Name8" presStyleCnt="0"/>
      <dgm:spPr/>
    </dgm:pt>
    <dgm:pt modelId="{703C8CF2-1741-E94D-BA6B-985A9213254C}" type="pres">
      <dgm:prSet presAssocID="{EDE9C038-B7B1-C446-B36A-A6A47A1274B3}" presName="level" presStyleLbl="node1" presStyleIdx="0" presStyleCnt="4">
        <dgm:presLayoutVars>
          <dgm:chMax val="1"/>
          <dgm:bulletEnabled val="1"/>
        </dgm:presLayoutVars>
      </dgm:prSet>
      <dgm:spPr/>
    </dgm:pt>
    <dgm:pt modelId="{67FA200B-AEFB-FD4F-B294-5A23B6A69B69}" type="pres">
      <dgm:prSet presAssocID="{EDE9C038-B7B1-C446-B36A-A6A47A1274B3}" presName="levelTx" presStyleLbl="revTx" presStyleIdx="0" presStyleCnt="0">
        <dgm:presLayoutVars>
          <dgm:chMax val="1"/>
          <dgm:bulletEnabled val="1"/>
        </dgm:presLayoutVars>
      </dgm:prSet>
      <dgm:spPr/>
    </dgm:pt>
    <dgm:pt modelId="{C174EC84-8686-764C-BC9D-A7CF4E28DA4D}" type="pres">
      <dgm:prSet presAssocID="{26400F9B-9A93-E745-BB56-02CFEE065386}" presName="Name8" presStyleCnt="0"/>
      <dgm:spPr/>
    </dgm:pt>
    <dgm:pt modelId="{B38E3B49-D17D-E44A-936B-5B7A5EA8EC43}" type="pres">
      <dgm:prSet presAssocID="{26400F9B-9A93-E745-BB56-02CFEE065386}" presName="level" presStyleLbl="node1" presStyleIdx="1" presStyleCnt="4">
        <dgm:presLayoutVars>
          <dgm:chMax val="1"/>
          <dgm:bulletEnabled val="1"/>
        </dgm:presLayoutVars>
      </dgm:prSet>
      <dgm:spPr/>
    </dgm:pt>
    <dgm:pt modelId="{3B0D4C1B-4C35-E747-A972-2EA5A27C8A70}" type="pres">
      <dgm:prSet presAssocID="{26400F9B-9A93-E745-BB56-02CFEE065386}" presName="levelTx" presStyleLbl="revTx" presStyleIdx="0" presStyleCnt="0">
        <dgm:presLayoutVars>
          <dgm:chMax val="1"/>
          <dgm:bulletEnabled val="1"/>
        </dgm:presLayoutVars>
      </dgm:prSet>
      <dgm:spPr/>
    </dgm:pt>
    <dgm:pt modelId="{A93DFB46-AB61-4B49-B1E9-311EA62603B9}" type="pres">
      <dgm:prSet presAssocID="{12FC65E8-23F1-B948-937D-3A76BF1A317F}" presName="Name8" presStyleCnt="0"/>
      <dgm:spPr/>
    </dgm:pt>
    <dgm:pt modelId="{5796A6DB-3B0E-2847-964B-2645A0B12BA6}" type="pres">
      <dgm:prSet presAssocID="{12FC65E8-23F1-B948-937D-3A76BF1A317F}" presName="level" presStyleLbl="node1" presStyleIdx="2" presStyleCnt="4">
        <dgm:presLayoutVars>
          <dgm:chMax val="1"/>
          <dgm:bulletEnabled val="1"/>
        </dgm:presLayoutVars>
      </dgm:prSet>
      <dgm:spPr/>
    </dgm:pt>
    <dgm:pt modelId="{F7EF6B73-3487-DF43-9DA9-E66F5CB9DE68}" type="pres">
      <dgm:prSet presAssocID="{12FC65E8-23F1-B948-937D-3A76BF1A317F}" presName="levelTx" presStyleLbl="revTx" presStyleIdx="0" presStyleCnt="0">
        <dgm:presLayoutVars>
          <dgm:chMax val="1"/>
          <dgm:bulletEnabled val="1"/>
        </dgm:presLayoutVars>
      </dgm:prSet>
      <dgm:spPr/>
    </dgm:pt>
    <dgm:pt modelId="{B98F52FA-99B5-9540-9C28-7AA458F67846}" type="pres">
      <dgm:prSet presAssocID="{2A8A57FF-A298-1149-9984-BEBAEEF12234}" presName="Name8" presStyleCnt="0"/>
      <dgm:spPr/>
    </dgm:pt>
    <dgm:pt modelId="{18618B70-1123-6048-83E8-64D856DB0988}" type="pres">
      <dgm:prSet presAssocID="{2A8A57FF-A298-1149-9984-BEBAEEF12234}" presName="level" presStyleLbl="node1" presStyleIdx="3" presStyleCnt="4">
        <dgm:presLayoutVars>
          <dgm:chMax val="1"/>
          <dgm:bulletEnabled val="1"/>
        </dgm:presLayoutVars>
      </dgm:prSet>
      <dgm:spPr/>
    </dgm:pt>
    <dgm:pt modelId="{3FA3D416-4D2F-924E-B1BF-CE913DDE2E52}" type="pres">
      <dgm:prSet presAssocID="{2A8A57FF-A298-1149-9984-BEBAEEF12234}" presName="levelTx" presStyleLbl="revTx" presStyleIdx="0" presStyleCnt="0">
        <dgm:presLayoutVars>
          <dgm:chMax val="1"/>
          <dgm:bulletEnabled val="1"/>
        </dgm:presLayoutVars>
      </dgm:prSet>
      <dgm:spPr/>
    </dgm:pt>
  </dgm:ptLst>
  <dgm:cxnLst>
    <dgm:cxn modelId="{6780BD05-ACE5-9247-9EAC-D53DC34398B7}" srcId="{9E7086FA-5C81-F94E-B870-FC3DFC5AFD43}" destId="{26400F9B-9A93-E745-BB56-02CFEE065386}" srcOrd="1" destOrd="0" parTransId="{D793A8C8-BB28-DD4A-9ADF-78CB97F828AA}" sibTransId="{14FDBBE4-5A65-F44B-A8E8-D9F3079461D1}"/>
    <dgm:cxn modelId="{8F50D007-E097-164B-9BCF-D3054AAABEE8}" type="presOf" srcId="{12FC65E8-23F1-B948-937D-3A76BF1A317F}" destId="{F7EF6B73-3487-DF43-9DA9-E66F5CB9DE68}" srcOrd="1" destOrd="0" presId="urn:microsoft.com/office/officeart/2005/8/layout/pyramid3#1"/>
    <dgm:cxn modelId="{2CD9E613-5B4F-2048-8293-A1B288A63E49}" type="presOf" srcId="{2A8A57FF-A298-1149-9984-BEBAEEF12234}" destId="{18618B70-1123-6048-83E8-64D856DB0988}" srcOrd="0" destOrd="0" presId="urn:microsoft.com/office/officeart/2005/8/layout/pyramid3#1"/>
    <dgm:cxn modelId="{4119B51A-E775-5D40-9E26-26D82CDE1472}" type="presOf" srcId="{2A8A57FF-A298-1149-9984-BEBAEEF12234}" destId="{3FA3D416-4D2F-924E-B1BF-CE913DDE2E52}" srcOrd="1" destOrd="0" presId="urn:microsoft.com/office/officeart/2005/8/layout/pyramid3#1"/>
    <dgm:cxn modelId="{7A4AEF2D-66D6-424C-B688-DE04441C26E3}" type="presOf" srcId="{9E7086FA-5C81-F94E-B870-FC3DFC5AFD43}" destId="{846ED0FB-29FA-E641-8427-340A969ABEB3}" srcOrd="0" destOrd="0" presId="urn:microsoft.com/office/officeart/2005/8/layout/pyramid3#1"/>
    <dgm:cxn modelId="{2CF46134-89CB-9340-B69C-6296A07C988D}" type="presOf" srcId="{26400F9B-9A93-E745-BB56-02CFEE065386}" destId="{3B0D4C1B-4C35-E747-A972-2EA5A27C8A70}" srcOrd="1" destOrd="0" presId="urn:microsoft.com/office/officeart/2005/8/layout/pyramid3#1"/>
    <dgm:cxn modelId="{40BEE434-53A7-9E47-AC58-8D48EA6665CC}" type="presOf" srcId="{EDE9C038-B7B1-C446-B36A-A6A47A1274B3}" destId="{67FA200B-AEFB-FD4F-B294-5A23B6A69B69}" srcOrd="1" destOrd="0" presId="urn:microsoft.com/office/officeart/2005/8/layout/pyramid3#1"/>
    <dgm:cxn modelId="{26B71238-9989-3C46-81DB-11D8FA219039}" type="presOf" srcId="{12FC65E8-23F1-B948-937D-3A76BF1A317F}" destId="{5796A6DB-3B0E-2847-964B-2645A0B12BA6}" srcOrd="0" destOrd="0" presId="urn:microsoft.com/office/officeart/2005/8/layout/pyramid3#1"/>
    <dgm:cxn modelId="{77B1AD3C-4BB1-5842-B1A6-8E4F07E41105}" type="presOf" srcId="{26400F9B-9A93-E745-BB56-02CFEE065386}" destId="{B38E3B49-D17D-E44A-936B-5B7A5EA8EC43}" srcOrd="0" destOrd="0" presId="urn:microsoft.com/office/officeart/2005/8/layout/pyramid3#1"/>
    <dgm:cxn modelId="{5613623D-5663-5D4C-86EE-F5A0489C0897}" srcId="{9E7086FA-5C81-F94E-B870-FC3DFC5AFD43}" destId="{2A8A57FF-A298-1149-9984-BEBAEEF12234}" srcOrd="3" destOrd="0" parTransId="{E5C5956A-00CD-3345-A84E-030E4A14428A}" sibTransId="{02C8676E-FCCF-2047-8E0B-75DACE79551C}"/>
    <dgm:cxn modelId="{06825543-1BD4-F140-A7F4-3013FB8C19A5}" type="presOf" srcId="{EDE9C038-B7B1-C446-B36A-A6A47A1274B3}" destId="{703C8CF2-1741-E94D-BA6B-985A9213254C}" srcOrd="0" destOrd="0" presId="urn:microsoft.com/office/officeart/2005/8/layout/pyramid3#1"/>
    <dgm:cxn modelId="{63192070-6F2E-DC4E-96B8-9D18428D3EE9}" srcId="{9E7086FA-5C81-F94E-B870-FC3DFC5AFD43}" destId="{EDE9C038-B7B1-C446-B36A-A6A47A1274B3}" srcOrd="0" destOrd="0" parTransId="{D35B0AB0-5B34-FE40-A934-9B66E59A9110}" sibTransId="{875DA36A-D223-C742-8812-09C96126A7ED}"/>
    <dgm:cxn modelId="{3512909F-FBD5-B843-966B-8D99BBF48968}" srcId="{9E7086FA-5C81-F94E-B870-FC3DFC5AFD43}" destId="{12FC65E8-23F1-B948-937D-3A76BF1A317F}" srcOrd="2" destOrd="0" parTransId="{1A716A07-A525-B04B-B999-7D0B04F256C8}" sibTransId="{B83A3E3F-B67A-E248-8D4D-6CAFEA482599}"/>
    <dgm:cxn modelId="{7CB7D4D8-6C5B-1242-B012-A9832A23CA38}" type="presParOf" srcId="{846ED0FB-29FA-E641-8427-340A969ABEB3}" destId="{DC7B4CA7-A553-F142-B640-90BD9F00E308}" srcOrd="0" destOrd="0" presId="urn:microsoft.com/office/officeart/2005/8/layout/pyramid3#1"/>
    <dgm:cxn modelId="{FE422147-CACE-4640-8EB2-5F46BAC60F66}" type="presParOf" srcId="{DC7B4CA7-A553-F142-B640-90BD9F00E308}" destId="{703C8CF2-1741-E94D-BA6B-985A9213254C}" srcOrd="0" destOrd="0" presId="urn:microsoft.com/office/officeart/2005/8/layout/pyramid3#1"/>
    <dgm:cxn modelId="{49068057-2C28-4A40-98B2-7843500531B2}" type="presParOf" srcId="{DC7B4CA7-A553-F142-B640-90BD9F00E308}" destId="{67FA200B-AEFB-FD4F-B294-5A23B6A69B69}" srcOrd="1" destOrd="0" presId="urn:microsoft.com/office/officeart/2005/8/layout/pyramid3#1"/>
    <dgm:cxn modelId="{576CA102-8B7E-8B42-988C-6F1573B0E8E6}" type="presParOf" srcId="{846ED0FB-29FA-E641-8427-340A969ABEB3}" destId="{C174EC84-8686-764C-BC9D-A7CF4E28DA4D}" srcOrd="1" destOrd="0" presId="urn:microsoft.com/office/officeart/2005/8/layout/pyramid3#1"/>
    <dgm:cxn modelId="{BA2806C4-350D-A44C-964D-43D705561036}" type="presParOf" srcId="{C174EC84-8686-764C-BC9D-A7CF4E28DA4D}" destId="{B38E3B49-D17D-E44A-936B-5B7A5EA8EC43}" srcOrd="0" destOrd="0" presId="urn:microsoft.com/office/officeart/2005/8/layout/pyramid3#1"/>
    <dgm:cxn modelId="{20C388D3-5AE2-A142-AB11-1025E317B85F}" type="presParOf" srcId="{C174EC84-8686-764C-BC9D-A7CF4E28DA4D}" destId="{3B0D4C1B-4C35-E747-A972-2EA5A27C8A70}" srcOrd="1" destOrd="0" presId="urn:microsoft.com/office/officeart/2005/8/layout/pyramid3#1"/>
    <dgm:cxn modelId="{91D28E8C-376F-2D47-AB52-EEA62EF80316}" type="presParOf" srcId="{846ED0FB-29FA-E641-8427-340A969ABEB3}" destId="{A93DFB46-AB61-4B49-B1E9-311EA62603B9}" srcOrd="2" destOrd="0" presId="urn:microsoft.com/office/officeart/2005/8/layout/pyramid3#1"/>
    <dgm:cxn modelId="{45118339-3E46-7843-B168-7D6053D4A837}" type="presParOf" srcId="{A93DFB46-AB61-4B49-B1E9-311EA62603B9}" destId="{5796A6DB-3B0E-2847-964B-2645A0B12BA6}" srcOrd="0" destOrd="0" presId="urn:microsoft.com/office/officeart/2005/8/layout/pyramid3#1"/>
    <dgm:cxn modelId="{A7B23135-7616-ED47-AD9C-0BB47C80878F}" type="presParOf" srcId="{A93DFB46-AB61-4B49-B1E9-311EA62603B9}" destId="{F7EF6B73-3487-DF43-9DA9-E66F5CB9DE68}" srcOrd="1" destOrd="0" presId="urn:microsoft.com/office/officeart/2005/8/layout/pyramid3#1"/>
    <dgm:cxn modelId="{0DFE1C51-5D8C-7840-92FE-EE3EDD206F6F}" type="presParOf" srcId="{846ED0FB-29FA-E641-8427-340A969ABEB3}" destId="{B98F52FA-99B5-9540-9C28-7AA458F67846}" srcOrd="3" destOrd="0" presId="urn:microsoft.com/office/officeart/2005/8/layout/pyramid3#1"/>
    <dgm:cxn modelId="{3338CBB0-73FC-2E44-A489-46789FB90049}" type="presParOf" srcId="{B98F52FA-99B5-9540-9C28-7AA458F67846}" destId="{18618B70-1123-6048-83E8-64D856DB0988}" srcOrd="0" destOrd="0" presId="urn:microsoft.com/office/officeart/2005/8/layout/pyramid3#1"/>
    <dgm:cxn modelId="{C7272EB4-EFD4-304D-AD0D-F667760BFABB}" type="presParOf" srcId="{B98F52FA-99B5-9540-9C28-7AA458F67846}" destId="{3FA3D416-4D2F-924E-B1BF-CE913DDE2E52}" srcOrd="1" destOrd="0" presId="urn:microsoft.com/office/officeart/2005/8/layout/pyramid3#1"/>
  </dgm:cxnLst>
  <dgm:bg/>
  <dgm:whole/>
  <dgm:extLst>
    <a:ext uri="http://schemas.microsoft.com/office/drawing/2008/diagram">
      <dsp:dataModelExt xmlns:dsp="http://schemas.microsoft.com/office/drawing/2008/diagram" relId="rId9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CB194D7-FF8B-3542-838F-2084C5880543}">
      <dsp:nvSpPr>
        <dsp:cNvPr id="0" name=""/>
        <dsp:cNvSpPr/>
      </dsp:nvSpPr>
      <dsp:spPr>
        <a:xfrm>
          <a:off x="3526491" y="1233579"/>
          <a:ext cx="2123485" cy="1618771"/>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t" anchorCtr="0">
          <a:noAutofit/>
        </a:bodyPr>
        <a:lstStyle/>
        <a:p>
          <a:pPr marL="57150" lvl="1" indent="-57150" algn="l" defTabSz="400050">
            <a:lnSpc>
              <a:spcPct val="90000"/>
            </a:lnSpc>
            <a:spcBef>
              <a:spcPct val="0"/>
            </a:spcBef>
            <a:spcAft>
              <a:spcPct val="15000"/>
            </a:spcAft>
            <a:buChar char="•"/>
          </a:pPr>
          <a:r>
            <a:rPr lang="en-GB" sz="900" kern="1200" dirty="0"/>
            <a:t> Universities and institutions committed to research and knowledge dissemination</a:t>
          </a:r>
        </a:p>
      </dsp:txBody>
      <dsp:txXfrm>
        <a:off x="4199096" y="1673830"/>
        <a:ext cx="1415321" cy="1142960"/>
      </dsp:txXfrm>
    </dsp:sp>
    <dsp:sp modelId="{F28E3756-FA0C-E44B-9C1E-6B10F987BDF2}">
      <dsp:nvSpPr>
        <dsp:cNvPr id="0" name=""/>
        <dsp:cNvSpPr/>
      </dsp:nvSpPr>
      <dsp:spPr>
        <a:xfrm>
          <a:off x="646634" y="1652735"/>
          <a:ext cx="1368815" cy="1167973"/>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t" anchorCtr="0">
          <a:noAutofit/>
        </a:bodyPr>
        <a:lstStyle/>
        <a:p>
          <a:pPr marL="57150" lvl="1" indent="-57150" algn="l" defTabSz="400050">
            <a:lnSpc>
              <a:spcPct val="90000"/>
            </a:lnSpc>
            <a:spcBef>
              <a:spcPct val="0"/>
            </a:spcBef>
            <a:spcAft>
              <a:spcPct val="15000"/>
            </a:spcAft>
            <a:buChar char="•"/>
          </a:pPr>
          <a:r>
            <a:rPr lang="en-GB" sz="900" kern="1200" dirty="0"/>
            <a:t>Advocacy groups</a:t>
          </a:r>
        </a:p>
        <a:p>
          <a:pPr marL="57150" lvl="1" indent="-57150" algn="l" defTabSz="400050">
            <a:lnSpc>
              <a:spcPct val="90000"/>
            </a:lnSpc>
            <a:spcBef>
              <a:spcPct val="0"/>
            </a:spcBef>
            <a:spcAft>
              <a:spcPct val="15000"/>
            </a:spcAft>
            <a:buChar char="•"/>
          </a:pPr>
          <a:r>
            <a:rPr lang="en-GB" sz="900" kern="1200" dirty="0"/>
            <a:t>Community groups</a:t>
          </a:r>
        </a:p>
        <a:p>
          <a:pPr marL="57150" lvl="1" indent="-57150" algn="l" defTabSz="400050">
            <a:lnSpc>
              <a:spcPct val="90000"/>
            </a:lnSpc>
            <a:spcBef>
              <a:spcPct val="0"/>
            </a:spcBef>
            <a:spcAft>
              <a:spcPct val="15000"/>
            </a:spcAft>
            <a:buChar char="•"/>
          </a:pPr>
          <a:r>
            <a:rPr lang="en-GB" sz="900" kern="1200" dirty="0"/>
            <a:t>indigenous peoples groups</a:t>
          </a:r>
        </a:p>
      </dsp:txBody>
      <dsp:txXfrm>
        <a:off x="672291" y="1970386"/>
        <a:ext cx="906857" cy="824666"/>
      </dsp:txXfrm>
    </dsp:sp>
    <dsp:sp modelId="{973B88D0-418D-894E-A47E-C3E100C05CE4}">
      <dsp:nvSpPr>
        <dsp:cNvPr id="0" name=""/>
        <dsp:cNvSpPr/>
      </dsp:nvSpPr>
      <dsp:spPr>
        <a:xfrm>
          <a:off x="3216427" y="-90818"/>
          <a:ext cx="2257519" cy="88668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t" anchorCtr="0">
          <a:noAutofit/>
        </a:bodyPr>
        <a:lstStyle/>
        <a:p>
          <a:pPr marL="57150" lvl="1" indent="-57150" algn="l" defTabSz="400050">
            <a:lnSpc>
              <a:spcPct val="90000"/>
            </a:lnSpc>
            <a:spcBef>
              <a:spcPct val="0"/>
            </a:spcBef>
            <a:spcAft>
              <a:spcPct val="15000"/>
            </a:spcAft>
            <a:buChar char="•"/>
          </a:pPr>
          <a:r>
            <a:rPr lang="en-GB" sz="900" kern="1200" dirty="0"/>
            <a:t>Private companies in marine sectors; productive and explorative</a:t>
          </a:r>
        </a:p>
        <a:p>
          <a:pPr marL="57150" lvl="1" indent="-57150" algn="l" defTabSz="400050">
            <a:lnSpc>
              <a:spcPct val="90000"/>
            </a:lnSpc>
            <a:spcBef>
              <a:spcPct val="0"/>
            </a:spcBef>
            <a:spcAft>
              <a:spcPct val="15000"/>
            </a:spcAft>
            <a:buChar char="•"/>
          </a:pPr>
          <a:r>
            <a:rPr lang="en-GB" sz="900" kern="1200" dirty="0"/>
            <a:t>Social groups e.g. chambers, federations, associations &amp; cooperatives</a:t>
          </a:r>
        </a:p>
      </dsp:txBody>
      <dsp:txXfrm>
        <a:off x="3913161" y="-71340"/>
        <a:ext cx="1541307" cy="626055"/>
      </dsp:txXfrm>
    </dsp:sp>
    <dsp:sp modelId="{2FA0A7D6-2DA2-6D46-83A6-B2232C08A3A1}">
      <dsp:nvSpPr>
        <dsp:cNvPr id="0" name=""/>
        <dsp:cNvSpPr/>
      </dsp:nvSpPr>
      <dsp:spPr>
        <a:xfrm>
          <a:off x="724622" y="-90818"/>
          <a:ext cx="1835267" cy="88668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t" anchorCtr="0">
          <a:noAutofit/>
        </a:bodyPr>
        <a:lstStyle/>
        <a:p>
          <a:pPr marL="57150" lvl="1" indent="-57150" algn="l" defTabSz="400050">
            <a:lnSpc>
              <a:spcPct val="90000"/>
            </a:lnSpc>
            <a:spcBef>
              <a:spcPct val="0"/>
            </a:spcBef>
            <a:spcAft>
              <a:spcPct val="15000"/>
            </a:spcAft>
            <a:buChar char="•"/>
          </a:pPr>
          <a:r>
            <a:rPr lang="en-GB" sz="900" kern="1200" dirty="0"/>
            <a:t>Government ministries</a:t>
          </a:r>
        </a:p>
        <a:p>
          <a:pPr marL="57150" lvl="1" indent="-57150" algn="l" defTabSz="400050">
            <a:lnSpc>
              <a:spcPct val="90000"/>
            </a:lnSpc>
            <a:spcBef>
              <a:spcPct val="0"/>
            </a:spcBef>
            <a:spcAft>
              <a:spcPct val="15000"/>
            </a:spcAft>
            <a:buChar char="•"/>
          </a:pPr>
          <a:r>
            <a:rPr lang="en-GB" sz="900" kern="1200" dirty="0"/>
            <a:t>Sector Departments</a:t>
          </a:r>
        </a:p>
        <a:p>
          <a:pPr marL="57150" lvl="1" indent="-57150" algn="l" defTabSz="400050">
            <a:lnSpc>
              <a:spcPct val="90000"/>
            </a:lnSpc>
            <a:spcBef>
              <a:spcPct val="0"/>
            </a:spcBef>
            <a:spcAft>
              <a:spcPct val="15000"/>
            </a:spcAft>
            <a:buChar char="•"/>
          </a:pPr>
          <a:r>
            <a:rPr lang="en-GB" sz="900" kern="1200" dirty="0"/>
            <a:t> Public institutions</a:t>
          </a:r>
        </a:p>
      </dsp:txBody>
      <dsp:txXfrm>
        <a:off x="744100" y="-71340"/>
        <a:ext cx="1245731" cy="626055"/>
      </dsp:txXfrm>
    </dsp:sp>
    <dsp:sp modelId="{0F7E3836-CF48-1042-B1AA-DCF507B77DDC}">
      <dsp:nvSpPr>
        <dsp:cNvPr id="0" name=""/>
        <dsp:cNvSpPr/>
      </dsp:nvSpPr>
      <dsp:spPr>
        <a:xfrm>
          <a:off x="1636984" y="250144"/>
          <a:ext cx="1199792" cy="1199792"/>
        </a:xfrm>
        <a:prstGeom prst="pieWedg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GB" sz="1000" kern="1200" dirty="0"/>
            <a:t>Public institutions</a:t>
          </a:r>
        </a:p>
      </dsp:txBody>
      <dsp:txXfrm>
        <a:off x="1988395" y="601555"/>
        <a:ext cx="848381" cy="848381"/>
      </dsp:txXfrm>
    </dsp:sp>
    <dsp:sp modelId="{B49E2E95-41CA-7042-B7BD-53AE6C2DF3F5}">
      <dsp:nvSpPr>
        <dsp:cNvPr id="0" name=""/>
        <dsp:cNvSpPr/>
      </dsp:nvSpPr>
      <dsp:spPr>
        <a:xfrm rot="5400000">
          <a:off x="2892193" y="250144"/>
          <a:ext cx="1199792" cy="1199792"/>
        </a:xfrm>
        <a:prstGeom prst="pieWedg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GB" sz="1000" kern="1200" dirty="0"/>
            <a:t>Private institutions</a:t>
          </a:r>
        </a:p>
      </dsp:txBody>
      <dsp:txXfrm rot="-5400000">
        <a:off x="2892193" y="601555"/>
        <a:ext cx="848381" cy="848381"/>
      </dsp:txXfrm>
    </dsp:sp>
    <dsp:sp modelId="{08AF7B15-F1BF-8343-B37B-85333F6F3811}">
      <dsp:nvSpPr>
        <dsp:cNvPr id="0" name=""/>
        <dsp:cNvSpPr/>
      </dsp:nvSpPr>
      <dsp:spPr>
        <a:xfrm rot="10800000">
          <a:off x="2892193" y="1505353"/>
          <a:ext cx="1199792" cy="1199792"/>
        </a:xfrm>
        <a:prstGeom prst="pieWedg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GB" sz="1000" kern="1200" dirty="0"/>
            <a:t>Academia and research institutions</a:t>
          </a:r>
        </a:p>
      </dsp:txBody>
      <dsp:txXfrm rot="10800000">
        <a:off x="2892193" y="1505353"/>
        <a:ext cx="848381" cy="848381"/>
      </dsp:txXfrm>
    </dsp:sp>
    <dsp:sp modelId="{1E137D46-3E8B-EC4F-96B3-204C017042DF}">
      <dsp:nvSpPr>
        <dsp:cNvPr id="0" name=""/>
        <dsp:cNvSpPr/>
      </dsp:nvSpPr>
      <dsp:spPr>
        <a:xfrm rot="16200000">
          <a:off x="1636984" y="1505353"/>
          <a:ext cx="1199792" cy="1199792"/>
        </a:xfrm>
        <a:prstGeom prst="pieWedg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GB" sz="1000" kern="1200" dirty="0"/>
            <a:t>NGOs, Social groups &amp; local communities</a:t>
          </a:r>
        </a:p>
      </dsp:txBody>
      <dsp:txXfrm rot="5400000">
        <a:off x="1988395" y="1505353"/>
        <a:ext cx="848381" cy="848381"/>
      </dsp:txXfrm>
    </dsp:sp>
    <dsp:sp modelId="{CD2AB0A3-C8E7-9340-A1FB-7A99B22D66F8}">
      <dsp:nvSpPr>
        <dsp:cNvPr id="0" name=""/>
        <dsp:cNvSpPr/>
      </dsp:nvSpPr>
      <dsp:spPr>
        <a:xfrm>
          <a:off x="2657361" y="1228265"/>
          <a:ext cx="414246" cy="360214"/>
        </a:xfrm>
        <a:prstGeom prst="circularArrow">
          <a:avLst/>
        </a:prstGeom>
        <a:solidFill>
          <a:schemeClr val="accent1">
            <a:tint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4B73A115-BACD-674D-916D-26AC917D6150}">
      <dsp:nvSpPr>
        <dsp:cNvPr id="0" name=""/>
        <dsp:cNvSpPr/>
      </dsp:nvSpPr>
      <dsp:spPr>
        <a:xfrm rot="10800000">
          <a:off x="2657361" y="1366809"/>
          <a:ext cx="414246" cy="360214"/>
        </a:xfrm>
        <a:prstGeom prst="circularArrow">
          <a:avLst/>
        </a:prstGeom>
        <a:solidFill>
          <a:schemeClr val="accent1">
            <a:tint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03C8CF2-1741-E94D-BA6B-985A9213254C}">
      <dsp:nvSpPr>
        <dsp:cNvPr id="0" name=""/>
        <dsp:cNvSpPr/>
      </dsp:nvSpPr>
      <dsp:spPr>
        <a:xfrm rot="10800000">
          <a:off x="0" y="0"/>
          <a:ext cx="3297555" cy="413702"/>
        </a:xfrm>
        <a:prstGeom prst="trapezoid">
          <a:avLst>
            <a:gd name="adj" fmla="val 99635"/>
          </a:avLst>
        </a:prstGeom>
        <a:solidFill>
          <a:schemeClr val="accent1">
            <a:lumMod val="5000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GB" sz="1200" b="1" kern="1200">
              <a:solidFill>
                <a:schemeClr val="bg1"/>
              </a:solidFill>
            </a:rPr>
            <a:t>Avoid</a:t>
          </a:r>
        </a:p>
      </dsp:txBody>
      <dsp:txXfrm rot="-10800000">
        <a:off x="577072" y="0"/>
        <a:ext cx="2143410" cy="413702"/>
      </dsp:txXfrm>
    </dsp:sp>
    <dsp:sp modelId="{B38E3B49-D17D-E44A-936B-5B7A5EA8EC43}">
      <dsp:nvSpPr>
        <dsp:cNvPr id="0" name=""/>
        <dsp:cNvSpPr/>
      </dsp:nvSpPr>
      <dsp:spPr>
        <a:xfrm rot="10800000">
          <a:off x="412194" y="413702"/>
          <a:ext cx="2473166" cy="413702"/>
        </a:xfrm>
        <a:prstGeom prst="trapezoid">
          <a:avLst>
            <a:gd name="adj" fmla="val 99635"/>
          </a:avLst>
        </a:prstGeom>
        <a:solidFill>
          <a:schemeClr val="accent1">
            <a:lumMod val="7500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GB" sz="1200" b="1" kern="1200">
              <a:solidFill>
                <a:schemeClr val="bg1"/>
              </a:solidFill>
            </a:rPr>
            <a:t>Minimize</a:t>
          </a:r>
        </a:p>
      </dsp:txBody>
      <dsp:txXfrm rot="-10800000">
        <a:off x="844998" y="413702"/>
        <a:ext cx="1607558" cy="413702"/>
      </dsp:txXfrm>
    </dsp:sp>
    <dsp:sp modelId="{5796A6DB-3B0E-2847-964B-2645A0B12BA6}">
      <dsp:nvSpPr>
        <dsp:cNvPr id="0" name=""/>
        <dsp:cNvSpPr/>
      </dsp:nvSpPr>
      <dsp:spPr>
        <a:xfrm rot="10800000">
          <a:off x="824388" y="827405"/>
          <a:ext cx="1648777" cy="413702"/>
        </a:xfrm>
        <a:prstGeom prst="trapezoid">
          <a:avLst>
            <a:gd name="adj" fmla="val 99635"/>
          </a:avLst>
        </a:prstGeom>
        <a:solidFill>
          <a:schemeClr val="accent1">
            <a:lumMod val="60000"/>
            <a:lumOff val="4000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GB" sz="1200" b="1" kern="1200">
              <a:solidFill>
                <a:schemeClr val="bg1"/>
              </a:solidFill>
            </a:rPr>
            <a:t>Mitigate</a:t>
          </a:r>
        </a:p>
      </dsp:txBody>
      <dsp:txXfrm rot="-10800000">
        <a:off x="1112924" y="827405"/>
        <a:ext cx="1071705" cy="413702"/>
      </dsp:txXfrm>
    </dsp:sp>
    <dsp:sp modelId="{18618B70-1123-6048-83E8-64D856DB0988}">
      <dsp:nvSpPr>
        <dsp:cNvPr id="0" name=""/>
        <dsp:cNvSpPr/>
      </dsp:nvSpPr>
      <dsp:spPr>
        <a:xfrm rot="10800000">
          <a:off x="1236583" y="1241107"/>
          <a:ext cx="824388" cy="413702"/>
        </a:xfrm>
        <a:prstGeom prst="trapezoid">
          <a:avLst>
            <a:gd name="adj" fmla="val 99635"/>
          </a:avLst>
        </a:prstGeom>
        <a:solidFill>
          <a:schemeClr val="accent1">
            <a:lumMod val="40000"/>
            <a:lumOff val="6000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GB" sz="1200" b="1" kern="1200">
              <a:solidFill>
                <a:schemeClr val="bg1"/>
              </a:solidFill>
            </a:rPr>
            <a:t>Offset</a:t>
          </a:r>
        </a:p>
      </dsp:txBody>
      <dsp:txXfrm rot="-10800000">
        <a:off x="1236583" y="1241107"/>
        <a:ext cx="824388" cy="413702"/>
      </dsp:txXfrm>
    </dsp:sp>
  </dsp:spTree>
</dsp:drawing>
</file>

<file path=word/diagrams/layout1.xml><?xml version="1.0" encoding="utf-8"?>
<dgm:layoutDef xmlns:dgm="http://schemas.openxmlformats.org/drawingml/2006/diagram" xmlns:a="http://schemas.openxmlformats.org/drawingml/2006/main" uniqueId="urn:microsoft.com/office/officeart/2005/8/layout/cycle4#1">
  <dgm:title val=""/>
  <dgm:desc val=""/>
  <dgm:catLst>
    <dgm:cat type="relationship" pri="26000"/>
    <dgm:cat type="cycle" pri="13000"/>
    <dgm:cat type="matrix" pri="4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vertAlign" val="none"/>
                  <dgm:param type="horz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vertAlign" val="none"/>
                  <dgm:param type="horz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vertAlign" val="none"/>
                  <dgm:param type="horz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vertAlign" val="none"/>
                  <dgm:param type="horz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layout2.xml><?xml version="1.0" encoding="utf-8"?>
<dgm:layoutDef xmlns:dgm="http://schemas.openxmlformats.org/drawingml/2006/diagram" xmlns:a="http://schemas.openxmlformats.org/drawingml/2006/main" uniqueId="urn:microsoft.com/office/officeart/2005/8/layout/pyramid3#1">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pyraLvlNode" val="level"/>
          <dgm:param type="pyraAcctTxNode" val="acctTx"/>
          <dgm:param type="pyraAcctBkgdNode" val="acctBkgd"/>
          <dgm:param type="linDir" val="fromT"/>
          <dgm:param type="txDir" val="fromT"/>
          <dgm:param type="pyraAcctPos" val="aft"/>
          <dgm:param type="pyraAcctTxMar" val="step"/>
        </dgm:alg>
      </dgm:if>
      <dgm:else name="Name3">
        <dgm:alg type="pyra">
          <dgm:param type="pyraLvlNode" val="level"/>
          <dgm:param type="pyraAcctTxNode" val="acctTx"/>
          <dgm:param type="pyraAcctBkgdNode" val="acctBkgd"/>
          <dgm:param type="linDir" val="fromT"/>
          <dgm:param type="txDir" val="fromT"/>
          <dgm:param type="pyraAcctPos" val="bef"/>
          <dgm:param type="pyraAcctTxMar" val="step"/>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2#1">
  <dgm:title val=""/>
  <dgm:desc val=""/>
  <dgm:catLst>
    <dgm:cat type="simple" pri="10200"/>
  </dgm:catLst>
  <dgm:scene3d>
    <a:camera prst="orthographicFront"/>
    <a:lightRig rig="threePt" dir="t"/>
  </dgm:scene3d>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992179BCAEACB4DB0A7690FFA16E0A9"/>
        <w:category>
          <w:name w:val="General"/>
          <w:gallery w:val="placeholder"/>
        </w:category>
        <w:types>
          <w:type w:val="bbPlcHdr"/>
        </w:types>
        <w:behaviors>
          <w:behavior w:val="content"/>
        </w:behaviors>
        <w:guid w:val="{853B0B51-598C-9042-BD5E-4B9F89F81430}"/>
      </w:docPartPr>
      <w:docPartBody>
        <w:p w:rsidR="0073505E" w:rsidRDefault="001869C1">
          <w:pPr>
            <w:pStyle w:val="3992179BCAEACB4DB0A7690FFA16E0A9"/>
          </w:pPr>
          <w:r>
            <w:rPr>
              <w:rStyle w:val="PlaceholderText"/>
            </w:rPr>
            <w:t>Choose an item.</w:t>
          </w:r>
        </w:p>
      </w:docPartBody>
    </w:docPart>
    <w:docPart>
      <w:docPartPr>
        <w:name w:val="A9C34D283D767B488ACD4F095A5CF0CA"/>
        <w:category>
          <w:name w:val="General"/>
          <w:gallery w:val="placeholder"/>
        </w:category>
        <w:types>
          <w:type w:val="bbPlcHdr"/>
        </w:types>
        <w:behaviors>
          <w:behavior w:val="content"/>
        </w:behaviors>
        <w:guid w:val="{F6DD07BF-1014-754C-ADB5-C17F5379D9E3}"/>
      </w:docPartPr>
      <w:docPartBody>
        <w:p w:rsidR="0073505E" w:rsidRDefault="001869C1">
          <w:pPr>
            <w:pStyle w:val="A9C34D283D767B488ACD4F095A5CF0CA"/>
          </w:pPr>
          <w:r>
            <w:rPr>
              <w:rStyle w:val="PlaceholderText"/>
            </w:rPr>
            <w:t>Choose an item.</w:t>
          </w:r>
        </w:p>
      </w:docPartBody>
    </w:docPart>
    <w:docPart>
      <w:docPartPr>
        <w:name w:val="30E7868359A7E643975FF9EF20EE3917"/>
        <w:category>
          <w:name w:val="General"/>
          <w:gallery w:val="placeholder"/>
        </w:category>
        <w:types>
          <w:type w:val="bbPlcHdr"/>
        </w:types>
        <w:behaviors>
          <w:behavior w:val="content"/>
        </w:behaviors>
        <w:guid w:val="{6966F1E7-34C3-6F4C-A32A-C67A35B64DC6}"/>
      </w:docPartPr>
      <w:docPartBody>
        <w:p w:rsidR="0073505E" w:rsidRDefault="001869C1">
          <w:pPr>
            <w:pStyle w:val="30E7868359A7E643975FF9EF20EE3917"/>
          </w:pPr>
          <w:r>
            <w:rPr>
              <w:rStyle w:val="PlaceholderText"/>
            </w:rPr>
            <w:t>Click or tap to enter a date.</w:t>
          </w:r>
        </w:p>
      </w:docPartBody>
    </w:docPart>
    <w:docPart>
      <w:docPartPr>
        <w:name w:val="B39159206172934091B9D650B1E58332"/>
        <w:category>
          <w:name w:val="General"/>
          <w:gallery w:val="placeholder"/>
        </w:category>
        <w:types>
          <w:type w:val="bbPlcHdr"/>
        </w:types>
        <w:behaviors>
          <w:behavior w:val="content"/>
        </w:behaviors>
        <w:guid w:val="{93009571-7F1C-D046-B957-C32D4B73566F}"/>
      </w:docPartPr>
      <w:docPartBody>
        <w:p w:rsidR="0073505E" w:rsidRDefault="001869C1">
          <w:pPr>
            <w:pStyle w:val="B39159206172934091B9D650B1E58332"/>
          </w:pPr>
          <w:r>
            <w:rPr>
              <w:rStyle w:val="PlaceholderText"/>
            </w:rPr>
            <w:t>Choose an item.</w:t>
          </w:r>
        </w:p>
      </w:docPartBody>
    </w:docPart>
    <w:docPart>
      <w:docPartPr>
        <w:name w:val="7F7CFB33697DF048A09FE0A9758F7D67"/>
        <w:category>
          <w:name w:val="General"/>
          <w:gallery w:val="placeholder"/>
        </w:category>
        <w:types>
          <w:type w:val="bbPlcHdr"/>
        </w:types>
        <w:behaviors>
          <w:behavior w:val="content"/>
        </w:behaviors>
        <w:guid w:val="{15A623EA-B5CA-964C-BAB6-97E8001C58AE}"/>
      </w:docPartPr>
      <w:docPartBody>
        <w:p w:rsidR="0073505E" w:rsidRDefault="001869C1">
          <w:pPr>
            <w:pStyle w:val="7F7CFB33697DF048A09FE0A9758F7D67"/>
          </w:pPr>
          <w:r>
            <w:rPr>
              <w:rStyle w:val="PlaceholderText"/>
            </w:rPr>
            <w:t>Choose an item.</w:t>
          </w:r>
        </w:p>
      </w:docPartBody>
    </w:docPart>
    <w:docPart>
      <w:docPartPr>
        <w:name w:val="D292C8B9FC7E82439EC1D0FD82F43678"/>
        <w:category>
          <w:name w:val="General"/>
          <w:gallery w:val="placeholder"/>
        </w:category>
        <w:types>
          <w:type w:val="bbPlcHdr"/>
        </w:types>
        <w:behaviors>
          <w:behavior w:val="content"/>
        </w:behaviors>
        <w:guid w:val="{81B11BE9-D0B2-E94D-AA97-EF5CB8A8D864}"/>
      </w:docPartPr>
      <w:docPartBody>
        <w:p w:rsidR="0073505E" w:rsidRDefault="001869C1">
          <w:pPr>
            <w:pStyle w:val="D292C8B9FC7E82439EC1D0FD82F43678"/>
          </w:pPr>
          <w:r>
            <w:rPr>
              <w:rStyle w:val="PlaceholderText"/>
            </w:rPr>
            <w:t>Click or tap to enter a date.</w:t>
          </w:r>
        </w:p>
      </w:docPartBody>
    </w:docPart>
    <w:docPart>
      <w:docPartPr>
        <w:name w:val="1BC95FA3FBC79D42BD86690F72FFF4E3"/>
        <w:category>
          <w:name w:val="General"/>
          <w:gallery w:val="placeholder"/>
        </w:category>
        <w:types>
          <w:type w:val="bbPlcHdr"/>
        </w:types>
        <w:behaviors>
          <w:behavior w:val="content"/>
        </w:behaviors>
        <w:guid w:val="{5ED1B067-E9D6-FF4E-A8D4-100D86B6242C}"/>
      </w:docPartPr>
      <w:docPartBody>
        <w:p w:rsidR="0073505E" w:rsidRDefault="001869C1">
          <w:pPr>
            <w:pStyle w:val="1BC95FA3FBC79D42BD86690F72FFF4E3"/>
          </w:pPr>
          <w:r>
            <w:rPr>
              <w:rStyle w:val="PlaceholderText"/>
            </w:rPr>
            <w:t>Choose an item.</w:t>
          </w:r>
        </w:p>
      </w:docPartBody>
    </w:docPart>
    <w:docPart>
      <w:docPartPr>
        <w:name w:val="77D024F73C2E1D42A7F43E1336B9E059"/>
        <w:category>
          <w:name w:val="General"/>
          <w:gallery w:val="placeholder"/>
        </w:category>
        <w:types>
          <w:type w:val="bbPlcHdr"/>
        </w:types>
        <w:behaviors>
          <w:behavior w:val="content"/>
        </w:behaviors>
        <w:guid w:val="{E4283457-3356-1941-BB4A-1AB3344159E2}"/>
      </w:docPartPr>
      <w:docPartBody>
        <w:p w:rsidR="0073505E" w:rsidRDefault="001869C1">
          <w:pPr>
            <w:pStyle w:val="77D024F73C2E1D42A7F43E1336B9E059"/>
          </w:pPr>
          <w:r>
            <w:rPr>
              <w:rStyle w:val="PlaceholderText"/>
            </w:rPr>
            <w:t>Choose an item.</w:t>
          </w:r>
        </w:p>
      </w:docPartBody>
    </w:docPart>
    <w:docPart>
      <w:docPartPr>
        <w:name w:val="1578F99CC84CE8428CA77676C51A196E"/>
        <w:category>
          <w:name w:val="General"/>
          <w:gallery w:val="placeholder"/>
        </w:category>
        <w:types>
          <w:type w:val="bbPlcHdr"/>
        </w:types>
        <w:behaviors>
          <w:behavior w:val="content"/>
        </w:behaviors>
        <w:guid w:val="{6F2A321C-3276-8241-9439-991A10DD9892}"/>
      </w:docPartPr>
      <w:docPartBody>
        <w:p w:rsidR="0073505E" w:rsidRDefault="001869C1">
          <w:pPr>
            <w:pStyle w:val="1578F99CC84CE8428CA77676C51A196E"/>
          </w:pPr>
          <w:r>
            <w:rPr>
              <w:rStyle w:val="PlaceholderText"/>
            </w:rPr>
            <w:t>Click or tap to enter a date.</w:t>
          </w:r>
        </w:p>
      </w:docPartBody>
    </w:docPart>
    <w:docPart>
      <w:docPartPr>
        <w:name w:val="589A34BE27EAE74787FDBC184D276734"/>
        <w:category>
          <w:name w:val="General"/>
          <w:gallery w:val="placeholder"/>
        </w:category>
        <w:types>
          <w:type w:val="bbPlcHdr"/>
        </w:types>
        <w:behaviors>
          <w:behavior w:val="content"/>
        </w:behaviors>
        <w:guid w:val="{37E896EE-38C6-D14B-9E78-A61ACA4F0ABE}"/>
      </w:docPartPr>
      <w:docPartBody>
        <w:p w:rsidR="0073505E" w:rsidRDefault="001869C1">
          <w:pPr>
            <w:pStyle w:val="589A34BE27EAE74787FDBC184D276734"/>
          </w:pPr>
          <w:r>
            <w:rPr>
              <w:rStyle w:val="PlaceholderText"/>
            </w:rPr>
            <w:t>Choose an item.</w:t>
          </w:r>
        </w:p>
      </w:docPartBody>
    </w:docPart>
    <w:docPart>
      <w:docPartPr>
        <w:name w:val="8D99FBCD5E14BA45881BC7ECD47898C4"/>
        <w:category>
          <w:name w:val="General"/>
          <w:gallery w:val="placeholder"/>
        </w:category>
        <w:types>
          <w:type w:val="bbPlcHdr"/>
        </w:types>
        <w:behaviors>
          <w:behavior w:val="content"/>
        </w:behaviors>
        <w:guid w:val="{A81E25C5-6338-AC46-BA07-0AB92E681C56}"/>
      </w:docPartPr>
      <w:docPartBody>
        <w:p w:rsidR="0073505E" w:rsidRDefault="001869C1">
          <w:pPr>
            <w:pStyle w:val="8D99FBCD5E14BA45881BC7ECD47898C4"/>
          </w:pPr>
          <w:r>
            <w:rPr>
              <w:rStyle w:val="PlaceholderText"/>
            </w:rPr>
            <w:t>Choose an item.</w:t>
          </w:r>
        </w:p>
      </w:docPartBody>
    </w:docPart>
    <w:docPart>
      <w:docPartPr>
        <w:name w:val="26BBFA23173C0E4499950FB8E0C8C5FC"/>
        <w:category>
          <w:name w:val="General"/>
          <w:gallery w:val="placeholder"/>
        </w:category>
        <w:types>
          <w:type w:val="bbPlcHdr"/>
        </w:types>
        <w:behaviors>
          <w:behavior w:val="content"/>
        </w:behaviors>
        <w:guid w:val="{1C62A653-9FB5-0647-B059-4664E067777B}"/>
      </w:docPartPr>
      <w:docPartBody>
        <w:p w:rsidR="0073505E" w:rsidRDefault="001869C1">
          <w:pPr>
            <w:pStyle w:val="26BBFA23173C0E4499950FB8E0C8C5FC"/>
          </w:pPr>
          <w:r>
            <w:rPr>
              <w:rStyle w:val="PlaceholderText"/>
            </w:rPr>
            <w:t>Click or tap to enter a date.</w:t>
          </w:r>
        </w:p>
      </w:docPartBody>
    </w:docPart>
    <w:docPart>
      <w:docPartPr>
        <w:name w:val="C78AF5E00EDF0448B78474CB303760C7"/>
        <w:category>
          <w:name w:val="General"/>
          <w:gallery w:val="placeholder"/>
        </w:category>
        <w:types>
          <w:type w:val="bbPlcHdr"/>
        </w:types>
        <w:behaviors>
          <w:behavior w:val="content"/>
        </w:behaviors>
        <w:guid w:val="{68F9E58D-7431-8348-91FD-17A2B6A41F00}"/>
      </w:docPartPr>
      <w:docPartBody>
        <w:p w:rsidR="0073505E" w:rsidRDefault="001869C1">
          <w:pPr>
            <w:pStyle w:val="C78AF5E00EDF0448B78474CB303760C7"/>
          </w:pPr>
          <w:r>
            <w:rPr>
              <w:rStyle w:val="PlaceholderText"/>
            </w:rPr>
            <w:t>Choose an item.</w:t>
          </w:r>
        </w:p>
      </w:docPartBody>
    </w:docPart>
    <w:docPart>
      <w:docPartPr>
        <w:name w:val="27366CDF346BCC4B85D260542C26226D"/>
        <w:category>
          <w:name w:val="General"/>
          <w:gallery w:val="placeholder"/>
        </w:category>
        <w:types>
          <w:type w:val="bbPlcHdr"/>
        </w:types>
        <w:behaviors>
          <w:behavior w:val="content"/>
        </w:behaviors>
        <w:guid w:val="{2A88BB6D-24DE-3D43-B13B-CFE96BF945DD}"/>
      </w:docPartPr>
      <w:docPartBody>
        <w:p w:rsidR="0073505E" w:rsidRDefault="001869C1">
          <w:pPr>
            <w:pStyle w:val="27366CDF346BCC4B85D260542C26226D"/>
          </w:pPr>
          <w:r>
            <w:rPr>
              <w:rStyle w:val="PlaceholderText"/>
            </w:rPr>
            <w:t>Choose an item.</w:t>
          </w:r>
        </w:p>
      </w:docPartBody>
    </w:docPart>
    <w:docPart>
      <w:docPartPr>
        <w:name w:val="9C0D89E57E09544CAE8530C964486D17"/>
        <w:category>
          <w:name w:val="General"/>
          <w:gallery w:val="placeholder"/>
        </w:category>
        <w:types>
          <w:type w:val="bbPlcHdr"/>
        </w:types>
        <w:behaviors>
          <w:behavior w:val="content"/>
        </w:behaviors>
        <w:guid w:val="{6DF13315-DA02-584B-84F3-93FBB8914BA1}"/>
      </w:docPartPr>
      <w:docPartBody>
        <w:p w:rsidR="0073505E" w:rsidRDefault="001869C1">
          <w:pPr>
            <w:pStyle w:val="9C0D89E57E09544CAE8530C964486D17"/>
          </w:pPr>
          <w:r>
            <w:rPr>
              <w:rStyle w:val="PlaceholderText"/>
            </w:rPr>
            <w:t>Click or tap to enter a date.</w:t>
          </w:r>
        </w:p>
      </w:docPartBody>
    </w:docPart>
    <w:docPart>
      <w:docPartPr>
        <w:name w:val="A07E8F3483AA5440867C2F7CD0381227"/>
        <w:category>
          <w:name w:val="General"/>
          <w:gallery w:val="placeholder"/>
        </w:category>
        <w:types>
          <w:type w:val="bbPlcHdr"/>
        </w:types>
        <w:behaviors>
          <w:behavior w:val="content"/>
        </w:behaviors>
        <w:guid w:val="{4331FB8C-73A5-A540-94E2-0A512B67F10F}"/>
      </w:docPartPr>
      <w:docPartBody>
        <w:p w:rsidR="0073505E" w:rsidRDefault="001869C1">
          <w:pPr>
            <w:pStyle w:val="A07E8F3483AA5440867C2F7CD0381227"/>
          </w:pPr>
          <w:r>
            <w:rPr>
              <w:rStyle w:val="PlaceholderText"/>
            </w:rPr>
            <w:t>Choose an item.</w:t>
          </w:r>
        </w:p>
      </w:docPartBody>
    </w:docPart>
    <w:docPart>
      <w:docPartPr>
        <w:name w:val="D657FBF698749D49AB230D7D9969161E"/>
        <w:category>
          <w:name w:val="General"/>
          <w:gallery w:val="placeholder"/>
        </w:category>
        <w:types>
          <w:type w:val="bbPlcHdr"/>
        </w:types>
        <w:behaviors>
          <w:behavior w:val="content"/>
        </w:behaviors>
        <w:guid w:val="{84C5E03B-900A-8E45-89DF-3873C5042A53}"/>
      </w:docPartPr>
      <w:docPartBody>
        <w:p w:rsidR="0073505E" w:rsidRDefault="001869C1">
          <w:pPr>
            <w:pStyle w:val="D657FBF698749D49AB230D7D9969161E"/>
          </w:pPr>
          <w:r>
            <w:rPr>
              <w:rStyle w:val="PlaceholderText"/>
            </w:rPr>
            <w:t>Choose an item.</w:t>
          </w:r>
        </w:p>
      </w:docPartBody>
    </w:docPart>
    <w:docPart>
      <w:docPartPr>
        <w:name w:val="48F83C8C56F4DD45A881BD5E42228D98"/>
        <w:category>
          <w:name w:val="General"/>
          <w:gallery w:val="placeholder"/>
        </w:category>
        <w:types>
          <w:type w:val="bbPlcHdr"/>
        </w:types>
        <w:behaviors>
          <w:behavior w:val="content"/>
        </w:behaviors>
        <w:guid w:val="{30F4158A-A83C-BC49-A2A9-10BD99A062B1}"/>
      </w:docPartPr>
      <w:docPartBody>
        <w:p w:rsidR="0073505E" w:rsidRDefault="001869C1">
          <w:pPr>
            <w:pStyle w:val="48F83C8C56F4DD45A881BD5E42228D98"/>
          </w:pPr>
          <w:r>
            <w:rPr>
              <w:rStyle w:val="PlaceholderText"/>
            </w:rPr>
            <w:t>Click or tap to enter a date.</w:t>
          </w:r>
        </w:p>
      </w:docPartBody>
    </w:docPart>
    <w:docPart>
      <w:docPartPr>
        <w:name w:val="761E27E3AA770D46953D231F3FCF7494"/>
        <w:category>
          <w:name w:val="General"/>
          <w:gallery w:val="placeholder"/>
        </w:category>
        <w:types>
          <w:type w:val="bbPlcHdr"/>
        </w:types>
        <w:behaviors>
          <w:behavior w:val="content"/>
        </w:behaviors>
        <w:guid w:val="{45FB0ACA-0F0F-FD4A-9F44-1214421CD26E}"/>
      </w:docPartPr>
      <w:docPartBody>
        <w:p w:rsidR="0073505E" w:rsidRDefault="001869C1">
          <w:pPr>
            <w:pStyle w:val="761E27E3AA770D46953D231F3FCF7494"/>
          </w:pPr>
          <w:r>
            <w:rPr>
              <w:rStyle w:val="PlaceholderText"/>
            </w:rPr>
            <w:t>Choose an item.</w:t>
          </w:r>
        </w:p>
      </w:docPartBody>
    </w:docPart>
    <w:docPart>
      <w:docPartPr>
        <w:name w:val="7CEB88E8410B204989E440565663DE37"/>
        <w:category>
          <w:name w:val="General"/>
          <w:gallery w:val="placeholder"/>
        </w:category>
        <w:types>
          <w:type w:val="bbPlcHdr"/>
        </w:types>
        <w:behaviors>
          <w:behavior w:val="content"/>
        </w:behaviors>
        <w:guid w:val="{B48ECB9D-D211-874A-B2B1-1067A10C7243}"/>
      </w:docPartPr>
      <w:docPartBody>
        <w:p w:rsidR="0073505E" w:rsidRDefault="001869C1">
          <w:pPr>
            <w:pStyle w:val="7CEB88E8410B204989E440565663DE37"/>
          </w:pPr>
          <w:r>
            <w:rPr>
              <w:rStyle w:val="PlaceholderText"/>
            </w:rPr>
            <w:t>Choose an item.</w:t>
          </w:r>
        </w:p>
      </w:docPartBody>
    </w:docPart>
    <w:docPart>
      <w:docPartPr>
        <w:name w:val="32BD93A3FB90644C9EAAE0EB41E24A70"/>
        <w:category>
          <w:name w:val="General"/>
          <w:gallery w:val="placeholder"/>
        </w:category>
        <w:types>
          <w:type w:val="bbPlcHdr"/>
        </w:types>
        <w:behaviors>
          <w:behavior w:val="content"/>
        </w:behaviors>
        <w:guid w:val="{07F2C9B7-5E6E-C54F-9A14-EF6EA2FE7AEE}"/>
      </w:docPartPr>
      <w:docPartBody>
        <w:p w:rsidR="0073505E" w:rsidRDefault="001869C1">
          <w:pPr>
            <w:pStyle w:val="32BD93A3FB90644C9EAAE0EB41E24A70"/>
          </w:pPr>
          <w:r>
            <w:rPr>
              <w:rStyle w:val="PlaceholderText"/>
            </w:rPr>
            <w:t>Click or tap to enter a date.</w:t>
          </w:r>
        </w:p>
      </w:docPartBody>
    </w:docPart>
    <w:docPart>
      <w:docPartPr>
        <w:name w:val="1564963559FB1448A59BB879D7EBE43B"/>
        <w:category>
          <w:name w:val="General"/>
          <w:gallery w:val="placeholder"/>
        </w:category>
        <w:types>
          <w:type w:val="bbPlcHdr"/>
        </w:types>
        <w:behaviors>
          <w:behavior w:val="content"/>
        </w:behaviors>
        <w:guid w:val="{CDE58CE0-AA1C-C241-A100-E7E9F606B7C3}"/>
      </w:docPartPr>
      <w:docPartBody>
        <w:p w:rsidR="0073505E" w:rsidRDefault="001869C1">
          <w:pPr>
            <w:pStyle w:val="1564963559FB1448A59BB879D7EBE43B"/>
          </w:pPr>
          <w:r>
            <w:rPr>
              <w:rStyle w:val="PlaceholderText"/>
            </w:rPr>
            <w:t>Choose an item.</w:t>
          </w:r>
        </w:p>
      </w:docPartBody>
    </w:docPart>
    <w:docPart>
      <w:docPartPr>
        <w:name w:val="E24CD773319BA84D909A724C648F440E"/>
        <w:category>
          <w:name w:val="General"/>
          <w:gallery w:val="placeholder"/>
        </w:category>
        <w:types>
          <w:type w:val="bbPlcHdr"/>
        </w:types>
        <w:behaviors>
          <w:behavior w:val="content"/>
        </w:behaviors>
        <w:guid w:val="{8653AEC3-8FC8-2B43-B39F-4C0FC115C52E}"/>
      </w:docPartPr>
      <w:docPartBody>
        <w:p w:rsidR="0073505E" w:rsidRDefault="001869C1">
          <w:pPr>
            <w:pStyle w:val="E24CD773319BA84D909A724C648F440E"/>
          </w:pPr>
          <w:r>
            <w:rPr>
              <w:rStyle w:val="PlaceholderText"/>
            </w:rPr>
            <w:t>Choose an item.</w:t>
          </w:r>
        </w:p>
      </w:docPartBody>
    </w:docPart>
    <w:docPart>
      <w:docPartPr>
        <w:name w:val="85A1BC1F1205A245A56CE4BF65BDAA95"/>
        <w:category>
          <w:name w:val="General"/>
          <w:gallery w:val="placeholder"/>
        </w:category>
        <w:types>
          <w:type w:val="bbPlcHdr"/>
        </w:types>
        <w:behaviors>
          <w:behavior w:val="content"/>
        </w:behaviors>
        <w:guid w:val="{E4709106-DEC2-6449-AB35-69B65EB550EA}"/>
      </w:docPartPr>
      <w:docPartBody>
        <w:p w:rsidR="0073505E" w:rsidRDefault="001869C1">
          <w:pPr>
            <w:pStyle w:val="85A1BC1F1205A245A56CE4BF65BDAA95"/>
          </w:pPr>
          <w:r>
            <w:rPr>
              <w:rStyle w:val="PlaceholderText"/>
            </w:rPr>
            <w:t>Click or tap to enter a date.</w:t>
          </w:r>
        </w:p>
      </w:docPartBody>
    </w:docPart>
    <w:docPart>
      <w:docPartPr>
        <w:name w:val="F1B41FA5D615E647A5A5A8D05817329D"/>
        <w:category>
          <w:name w:val="General"/>
          <w:gallery w:val="placeholder"/>
        </w:category>
        <w:types>
          <w:type w:val="bbPlcHdr"/>
        </w:types>
        <w:behaviors>
          <w:behavior w:val="content"/>
        </w:behaviors>
        <w:guid w:val="{E027DAE9-DD5C-F642-9D17-697FA3839525}"/>
      </w:docPartPr>
      <w:docPartBody>
        <w:p w:rsidR="0073505E" w:rsidRDefault="001869C1">
          <w:pPr>
            <w:pStyle w:val="F1B41FA5D615E647A5A5A8D05817329D"/>
          </w:pPr>
          <w:r>
            <w:rPr>
              <w:rStyle w:val="PlaceholderText"/>
            </w:rPr>
            <w:t>Choose an item.</w:t>
          </w:r>
        </w:p>
      </w:docPartBody>
    </w:docPart>
    <w:docPart>
      <w:docPartPr>
        <w:name w:val="7EC632359FADBC4E80410131E7F7B89E"/>
        <w:category>
          <w:name w:val="General"/>
          <w:gallery w:val="placeholder"/>
        </w:category>
        <w:types>
          <w:type w:val="bbPlcHdr"/>
        </w:types>
        <w:behaviors>
          <w:behavior w:val="content"/>
        </w:behaviors>
        <w:guid w:val="{743858A4-0A71-2640-834A-93AF03D171CF}"/>
      </w:docPartPr>
      <w:docPartBody>
        <w:p w:rsidR="0073505E" w:rsidRDefault="001869C1">
          <w:pPr>
            <w:pStyle w:val="7EC632359FADBC4E80410131E7F7B89E"/>
          </w:pPr>
          <w:r>
            <w:rPr>
              <w:rStyle w:val="PlaceholderText"/>
            </w:rPr>
            <w:t>Choose an item.</w:t>
          </w:r>
        </w:p>
      </w:docPartBody>
    </w:docPart>
    <w:docPart>
      <w:docPartPr>
        <w:name w:val="0775BE4266957447BCCCA355358D0F29"/>
        <w:category>
          <w:name w:val="General"/>
          <w:gallery w:val="placeholder"/>
        </w:category>
        <w:types>
          <w:type w:val="bbPlcHdr"/>
        </w:types>
        <w:behaviors>
          <w:behavior w:val="content"/>
        </w:behaviors>
        <w:guid w:val="{F1A787F7-4ABD-374F-9042-88F42DB5800D}"/>
      </w:docPartPr>
      <w:docPartBody>
        <w:p w:rsidR="0073505E" w:rsidRDefault="001869C1">
          <w:pPr>
            <w:pStyle w:val="0775BE4266957447BCCCA355358D0F29"/>
          </w:pPr>
          <w:r>
            <w:rPr>
              <w:rStyle w:val="PlaceholderText"/>
            </w:rPr>
            <w:t>Click or tap to enter a date.</w:t>
          </w:r>
        </w:p>
      </w:docPartBody>
    </w:docPart>
    <w:docPart>
      <w:docPartPr>
        <w:name w:val="FA6AAB7826D5A441937579B39E568650"/>
        <w:category>
          <w:name w:val="General"/>
          <w:gallery w:val="placeholder"/>
        </w:category>
        <w:types>
          <w:type w:val="bbPlcHdr"/>
        </w:types>
        <w:behaviors>
          <w:behavior w:val="content"/>
        </w:behaviors>
        <w:guid w:val="{AFAF3D75-8232-3F44-BA2F-95CCEF0F5C33}"/>
      </w:docPartPr>
      <w:docPartBody>
        <w:p w:rsidR="0073505E" w:rsidRDefault="001869C1">
          <w:pPr>
            <w:pStyle w:val="FA6AAB7826D5A441937579B39E568650"/>
          </w:pPr>
          <w:r>
            <w:rPr>
              <w:rStyle w:val="PlaceholderText"/>
            </w:rPr>
            <w:t>Choose an item.</w:t>
          </w:r>
        </w:p>
      </w:docPartBody>
    </w:docPart>
    <w:docPart>
      <w:docPartPr>
        <w:name w:val="F39677C893950442B86878341A9F2922"/>
        <w:category>
          <w:name w:val="General"/>
          <w:gallery w:val="placeholder"/>
        </w:category>
        <w:types>
          <w:type w:val="bbPlcHdr"/>
        </w:types>
        <w:behaviors>
          <w:behavior w:val="content"/>
        </w:behaviors>
        <w:guid w:val="{768C89D9-2D62-0D40-8989-98947CA559E7}"/>
      </w:docPartPr>
      <w:docPartBody>
        <w:p w:rsidR="0073505E" w:rsidRDefault="001869C1">
          <w:pPr>
            <w:pStyle w:val="F39677C893950442B86878341A9F2922"/>
          </w:pPr>
          <w:r>
            <w:rPr>
              <w:rStyle w:val="PlaceholderText"/>
            </w:rPr>
            <w:t>Choose an item.</w:t>
          </w:r>
        </w:p>
      </w:docPartBody>
    </w:docPart>
    <w:docPart>
      <w:docPartPr>
        <w:name w:val="56AFCBA83245D24C9324E510D9BFB800"/>
        <w:category>
          <w:name w:val="General"/>
          <w:gallery w:val="placeholder"/>
        </w:category>
        <w:types>
          <w:type w:val="bbPlcHdr"/>
        </w:types>
        <w:behaviors>
          <w:behavior w:val="content"/>
        </w:behaviors>
        <w:guid w:val="{14153A10-5497-0744-8269-1186C83E0E2C}"/>
      </w:docPartPr>
      <w:docPartBody>
        <w:p w:rsidR="0073505E" w:rsidRDefault="001869C1">
          <w:pPr>
            <w:pStyle w:val="56AFCBA83245D24C9324E510D9BFB800"/>
          </w:pPr>
          <w:r>
            <w:rPr>
              <w:rStyle w:val="PlaceholderText"/>
            </w:rPr>
            <w:t>Click or tap to enter a date.</w:t>
          </w:r>
        </w:p>
      </w:docPartBody>
    </w:docPart>
    <w:docPart>
      <w:docPartPr>
        <w:name w:val="36C46A3E06C37F4DA469F9B3686D8D5A"/>
        <w:category>
          <w:name w:val="General"/>
          <w:gallery w:val="placeholder"/>
        </w:category>
        <w:types>
          <w:type w:val="bbPlcHdr"/>
        </w:types>
        <w:behaviors>
          <w:behavior w:val="content"/>
        </w:behaviors>
        <w:guid w:val="{86FC518A-3A26-664E-96C9-FA4C5C96A3C3}"/>
      </w:docPartPr>
      <w:docPartBody>
        <w:p w:rsidR="0073505E" w:rsidRDefault="001869C1">
          <w:pPr>
            <w:pStyle w:val="36C46A3E06C37F4DA469F9B3686D8D5A"/>
          </w:pPr>
          <w:r>
            <w:rPr>
              <w:rStyle w:val="PlaceholderText"/>
            </w:rPr>
            <w:t>Choose an item.</w:t>
          </w:r>
        </w:p>
      </w:docPartBody>
    </w:docPart>
    <w:docPart>
      <w:docPartPr>
        <w:name w:val="6E3DBC0937B85644887778B9B7AB7A6A"/>
        <w:category>
          <w:name w:val="General"/>
          <w:gallery w:val="placeholder"/>
        </w:category>
        <w:types>
          <w:type w:val="bbPlcHdr"/>
        </w:types>
        <w:behaviors>
          <w:behavior w:val="content"/>
        </w:behaviors>
        <w:guid w:val="{2C6C97BF-57F9-A847-AF40-FFC312D3D9D7}"/>
      </w:docPartPr>
      <w:docPartBody>
        <w:p w:rsidR="0073505E" w:rsidRDefault="001869C1">
          <w:pPr>
            <w:pStyle w:val="6E3DBC0937B85644887778B9B7AB7A6A"/>
          </w:pPr>
          <w:r>
            <w:rPr>
              <w:rStyle w:val="PlaceholderText"/>
            </w:rPr>
            <w:t>Choose an item.</w:t>
          </w:r>
        </w:p>
      </w:docPartBody>
    </w:docPart>
    <w:docPart>
      <w:docPartPr>
        <w:name w:val="F249057957A93E49BDA1B3B6E35B52C2"/>
        <w:category>
          <w:name w:val="General"/>
          <w:gallery w:val="placeholder"/>
        </w:category>
        <w:types>
          <w:type w:val="bbPlcHdr"/>
        </w:types>
        <w:behaviors>
          <w:behavior w:val="content"/>
        </w:behaviors>
        <w:guid w:val="{957EF8FD-B1DC-3147-B13D-D5E4D11EDC3B}"/>
      </w:docPartPr>
      <w:docPartBody>
        <w:p w:rsidR="0073505E" w:rsidRDefault="001869C1">
          <w:pPr>
            <w:pStyle w:val="F249057957A93E49BDA1B3B6E35B52C2"/>
          </w:pPr>
          <w:r>
            <w:rPr>
              <w:rStyle w:val="PlaceholderText"/>
            </w:rPr>
            <w:t>Click or tap to enter a date.</w:t>
          </w:r>
        </w:p>
      </w:docPartBody>
    </w:docPart>
    <w:docPart>
      <w:docPartPr>
        <w:name w:val="50CFA17128B0D3469F647DAED4BA1225"/>
        <w:category>
          <w:name w:val="General"/>
          <w:gallery w:val="placeholder"/>
        </w:category>
        <w:types>
          <w:type w:val="bbPlcHdr"/>
        </w:types>
        <w:behaviors>
          <w:behavior w:val="content"/>
        </w:behaviors>
        <w:guid w:val="{A3673EA3-45C8-A44F-85C2-F68201368044}"/>
      </w:docPartPr>
      <w:docPartBody>
        <w:p w:rsidR="0073505E" w:rsidRDefault="001869C1">
          <w:pPr>
            <w:pStyle w:val="50CFA17128B0D3469F647DAED4BA1225"/>
          </w:pPr>
          <w:r>
            <w:rPr>
              <w:rStyle w:val="PlaceholderText"/>
            </w:rPr>
            <w:t>Choose an item.</w:t>
          </w:r>
        </w:p>
      </w:docPartBody>
    </w:docPart>
    <w:docPart>
      <w:docPartPr>
        <w:name w:val="29721D2625798A46BC982A04002CDD05"/>
        <w:category>
          <w:name w:val="General"/>
          <w:gallery w:val="placeholder"/>
        </w:category>
        <w:types>
          <w:type w:val="bbPlcHdr"/>
        </w:types>
        <w:behaviors>
          <w:behavior w:val="content"/>
        </w:behaviors>
        <w:guid w:val="{E0D569C8-4863-804A-A0B3-33BF478F3DDC}"/>
      </w:docPartPr>
      <w:docPartBody>
        <w:p w:rsidR="0073505E" w:rsidRDefault="001869C1">
          <w:pPr>
            <w:pStyle w:val="29721D2625798A46BC982A04002CDD05"/>
          </w:pPr>
          <w:r>
            <w:rPr>
              <w:rStyle w:val="PlaceholderText"/>
            </w:rPr>
            <w:t>Choose an item.</w:t>
          </w:r>
        </w:p>
      </w:docPartBody>
    </w:docPart>
    <w:docPart>
      <w:docPartPr>
        <w:name w:val="B897C8ADE6AFD8478680BC06493910DF"/>
        <w:category>
          <w:name w:val="General"/>
          <w:gallery w:val="placeholder"/>
        </w:category>
        <w:types>
          <w:type w:val="bbPlcHdr"/>
        </w:types>
        <w:behaviors>
          <w:behavior w:val="content"/>
        </w:behaviors>
        <w:guid w:val="{AF789205-2D6C-6741-9AA4-C8F4AF3D6240}"/>
      </w:docPartPr>
      <w:docPartBody>
        <w:p w:rsidR="0073505E" w:rsidRDefault="001869C1">
          <w:pPr>
            <w:pStyle w:val="B897C8ADE6AFD8478680BC06493910DF"/>
          </w:pPr>
          <w:r>
            <w:rPr>
              <w:rStyle w:val="PlaceholderText"/>
            </w:rPr>
            <w:t>Click or tap to enter a date.</w:t>
          </w:r>
        </w:p>
      </w:docPartBody>
    </w:docPart>
    <w:docPart>
      <w:docPartPr>
        <w:name w:val="35AA67BBA3471E4CB7E87EA6F14084E1"/>
        <w:category>
          <w:name w:val="General"/>
          <w:gallery w:val="placeholder"/>
        </w:category>
        <w:types>
          <w:type w:val="bbPlcHdr"/>
        </w:types>
        <w:behaviors>
          <w:behavior w:val="content"/>
        </w:behaviors>
        <w:guid w:val="{78991011-7FE0-6644-91AA-F4F212EA324C}"/>
      </w:docPartPr>
      <w:docPartBody>
        <w:p w:rsidR="0073505E" w:rsidRDefault="001869C1">
          <w:pPr>
            <w:pStyle w:val="35AA67BBA3471E4CB7E87EA6F14084E1"/>
          </w:pPr>
          <w:r>
            <w:rPr>
              <w:rStyle w:val="PlaceholderText"/>
            </w:rPr>
            <w:t>Choose an item.</w:t>
          </w:r>
        </w:p>
      </w:docPartBody>
    </w:docPart>
    <w:docPart>
      <w:docPartPr>
        <w:name w:val="7704A114E7915E4CBA949BDAD71CE6AF"/>
        <w:category>
          <w:name w:val="General"/>
          <w:gallery w:val="placeholder"/>
        </w:category>
        <w:types>
          <w:type w:val="bbPlcHdr"/>
        </w:types>
        <w:behaviors>
          <w:behavior w:val="content"/>
        </w:behaviors>
        <w:guid w:val="{44DEAF44-15E6-614F-ACDE-4DAE716F8F9E}"/>
      </w:docPartPr>
      <w:docPartBody>
        <w:p w:rsidR="0073505E" w:rsidRDefault="001869C1">
          <w:pPr>
            <w:pStyle w:val="7704A114E7915E4CBA949BDAD71CE6AF"/>
          </w:pPr>
          <w:r>
            <w:rPr>
              <w:rStyle w:val="PlaceholderText"/>
            </w:rPr>
            <w:t>Choose an item.</w:t>
          </w:r>
        </w:p>
      </w:docPartBody>
    </w:docPart>
    <w:docPart>
      <w:docPartPr>
        <w:name w:val="84D43B148A90734EBA9237723109BFB1"/>
        <w:category>
          <w:name w:val="General"/>
          <w:gallery w:val="placeholder"/>
        </w:category>
        <w:types>
          <w:type w:val="bbPlcHdr"/>
        </w:types>
        <w:behaviors>
          <w:behavior w:val="content"/>
        </w:behaviors>
        <w:guid w:val="{3CC7B022-FA36-E347-85B9-079728617D77}"/>
      </w:docPartPr>
      <w:docPartBody>
        <w:p w:rsidR="0073505E" w:rsidRDefault="001869C1">
          <w:pPr>
            <w:pStyle w:val="84D43B148A90734EBA9237723109BFB1"/>
          </w:pPr>
          <w:r>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Quattrocento Sans">
    <w:altName w:val="Segoe Print"/>
    <w:charset w:val="00"/>
    <w:family w:val="swiss"/>
    <w:pitch w:val="variable"/>
    <w:sig w:usb0="800000BF" w:usb1="4000005B"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Adobe Garamond Pro">
    <w:altName w:val="Garamond"/>
    <w:charset w:val="00"/>
    <w:family w:val="roman"/>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2020803070505020304"/>
    <w:charset w:val="00"/>
    <w:family w:val="roman"/>
    <w:pitch w:val="default"/>
    <w:sig w:usb0="00000003" w:usb1="00000000" w:usb2="00000000" w:usb3="00000000" w:csb0="00000001" w:csb1="00000000"/>
  </w:font>
  <w:font w:name="Helvetica Neue">
    <w:altName w:val="Times New Roman"/>
    <w:charset w:val="00"/>
    <w:family w:val="auto"/>
    <w:pitch w:val="default"/>
    <w:sig w:usb0="00000000" w:usb1="00000000" w:usb2="00000010" w:usb3="00000000" w:csb0="00000001" w:csb1="00000000"/>
  </w:font>
  <w:font w:name="Aptos">
    <w:charset w:val="00"/>
    <w:family w:val="swiss"/>
    <w:pitch w:val="variable"/>
    <w:sig w:usb0="20000287" w:usb1="00000003" w:usb2="00000000" w:usb3="00000000" w:csb0="0000019F" w:csb1="00000000"/>
  </w:font>
  <w:font w:name="Roboto">
    <w:altName w:val="Segoe Print"/>
    <w:charset w:val="00"/>
    <w:family w:val="auto"/>
    <w:pitch w:val="variable"/>
    <w:sig w:usb0="E0000AFF" w:usb1="5000217F" w:usb2="00000021" w:usb3="00000000" w:csb0="0000019F" w:csb1="00000000"/>
  </w:font>
  <w:font w:name="Century Gothic">
    <w:panose1 w:val="020B0502020202020204"/>
    <w:charset w:val="00"/>
    <w:family w:val="swiss"/>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2AD"/>
    <w:rsid w:val="000262DC"/>
    <w:rsid w:val="00105B01"/>
    <w:rsid w:val="0015799E"/>
    <w:rsid w:val="001866F8"/>
    <w:rsid w:val="001869C1"/>
    <w:rsid w:val="00195DD2"/>
    <w:rsid w:val="00196FB9"/>
    <w:rsid w:val="001A6BCA"/>
    <w:rsid w:val="002935F9"/>
    <w:rsid w:val="002F063D"/>
    <w:rsid w:val="003B2226"/>
    <w:rsid w:val="003C4746"/>
    <w:rsid w:val="00414E2B"/>
    <w:rsid w:val="00416C25"/>
    <w:rsid w:val="004D4250"/>
    <w:rsid w:val="004E7030"/>
    <w:rsid w:val="005558EC"/>
    <w:rsid w:val="00570E5D"/>
    <w:rsid w:val="00643923"/>
    <w:rsid w:val="00683499"/>
    <w:rsid w:val="006D3CDC"/>
    <w:rsid w:val="0073505E"/>
    <w:rsid w:val="007A2764"/>
    <w:rsid w:val="008515A6"/>
    <w:rsid w:val="00874E2A"/>
    <w:rsid w:val="009A459B"/>
    <w:rsid w:val="009C50C4"/>
    <w:rsid w:val="00A211AE"/>
    <w:rsid w:val="00A96752"/>
    <w:rsid w:val="00AD34C7"/>
    <w:rsid w:val="00AD5517"/>
    <w:rsid w:val="00B64E9B"/>
    <w:rsid w:val="00D27C68"/>
    <w:rsid w:val="00DA02AD"/>
    <w:rsid w:val="00DA0B85"/>
    <w:rsid w:val="00DD45A3"/>
    <w:rsid w:val="00DE3B1F"/>
    <w:rsid w:val="00E45D1A"/>
    <w:rsid w:val="00E8162D"/>
    <w:rsid w:val="00F2492D"/>
    <w:rsid w:val="00F8259B"/>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kern w:val="2"/>
      <w:sz w:val="24"/>
      <w:szCs w:val="24"/>
      <w:lang w:val="zh-CN" w:eastAsia="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qFormat/>
    <w:rPr>
      <w:color w:val="808080"/>
    </w:rPr>
  </w:style>
  <w:style w:type="paragraph" w:customStyle="1" w:styleId="3992179BCAEACB4DB0A7690FFA16E0A9">
    <w:name w:val="3992179BCAEACB4DB0A7690FFA16E0A9"/>
    <w:qFormat/>
    <w:rPr>
      <w:kern w:val="2"/>
      <w:sz w:val="24"/>
      <w:szCs w:val="24"/>
      <w:lang w:val="zh-CN" w:eastAsia="en-GB"/>
      <w14:ligatures w14:val="standardContextual"/>
    </w:rPr>
  </w:style>
  <w:style w:type="paragraph" w:customStyle="1" w:styleId="A9C34D283D767B488ACD4F095A5CF0CA">
    <w:name w:val="A9C34D283D767B488ACD4F095A5CF0CA"/>
    <w:qFormat/>
    <w:rPr>
      <w:kern w:val="2"/>
      <w:sz w:val="24"/>
      <w:szCs w:val="24"/>
      <w:lang w:val="zh-CN" w:eastAsia="en-GB"/>
      <w14:ligatures w14:val="standardContextual"/>
    </w:rPr>
  </w:style>
  <w:style w:type="paragraph" w:customStyle="1" w:styleId="30E7868359A7E643975FF9EF20EE3917">
    <w:name w:val="30E7868359A7E643975FF9EF20EE3917"/>
    <w:qFormat/>
    <w:rPr>
      <w:kern w:val="2"/>
      <w:sz w:val="24"/>
      <w:szCs w:val="24"/>
      <w:lang w:val="zh-CN" w:eastAsia="en-GB"/>
      <w14:ligatures w14:val="standardContextual"/>
    </w:rPr>
  </w:style>
  <w:style w:type="paragraph" w:customStyle="1" w:styleId="B39159206172934091B9D650B1E58332">
    <w:name w:val="B39159206172934091B9D650B1E58332"/>
    <w:qFormat/>
    <w:rPr>
      <w:kern w:val="2"/>
      <w:sz w:val="24"/>
      <w:szCs w:val="24"/>
      <w:lang w:val="zh-CN" w:eastAsia="en-GB"/>
      <w14:ligatures w14:val="standardContextual"/>
    </w:rPr>
  </w:style>
  <w:style w:type="paragraph" w:customStyle="1" w:styleId="7F7CFB33697DF048A09FE0A9758F7D67">
    <w:name w:val="7F7CFB33697DF048A09FE0A9758F7D67"/>
    <w:qFormat/>
    <w:rPr>
      <w:kern w:val="2"/>
      <w:sz w:val="24"/>
      <w:szCs w:val="24"/>
      <w:lang w:val="zh-CN" w:eastAsia="en-GB"/>
      <w14:ligatures w14:val="standardContextual"/>
    </w:rPr>
  </w:style>
  <w:style w:type="paragraph" w:customStyle="1" w:styleId="D292C8B9FC7E82439EC1D0FD82F43678">
    <w:name w:val="D292C8B9FC7E82439EC1D0FD82F43678"/>
    <w:qFormat/>
    <w:rPr>
      <w:kern w:val="2"/>
      <w:sz w:val="24"/>
      <w:szCs w:val="24"/>
      <w:lang w:val="zh-CN" w:eastAsia="en-GB"/>
      <w14:ligatures w14:val="standardContextual"/>
    </w:rPr>
  </w:style>
  <w:style w:type="paragraph" w:customStyle="1" w:styleId="1BC95FA3FBC79D42BD86690F72FFF4E3">
    <w:name w:val="1BC95FA3FBC79D42BD86690F72FFF4E3"/>
    <w:qFormat/>
    <w:rPr>
      <w:kern w:val="2"/>
      <w:sz w:val="24"/>
      <w:szCs w:val="24"/>
      <w:lang w:val="zh-CN" w:eastAsia="en-GB"/>
      <w14:ligatures w14:val="standardContextual"/>
    </w:rPr>
  </w:style>
  <w:style w:type="paragraph" w:customStyle="1" w:styleId="77D024F73C2E1D42A7F43E1336B9E059">
    <w:name w:val="77D024F73C2E1D42A7F43E1336B9E059"/>
    <w:qFormat/>
    <w:rPr>
      <w:kern w:val="2"/>
      <w:sz w:val="24"/>
      <w:szCs w:val="24"/>
      <w:lang w:val="zh-CN" w:eastAsia="en-GB"/>
      <w14:ligatures w14:val="standardContextual"/>
    </w:rPr>
  </w:style>
  <w:style w:type="paragraph" w:customStyle="1" w:styleId="1578F99CC84CE8428CA77676C51A196E">
    <w:name w:val="1578F99CC84CE8428CA77676C51A196E"/>
    <w:qFormat/>
    <w:rPr>
      <w:kern w:val="2"/>
      <w:sz w:val="24"/>
      <w:szCs w:val="24"/>
      <w:lang w:val="zh-CN" w:eastAsia="en-GB"/>
      <w14:ligatures w14:val="standardContextual"/>
    </w:rPr>
  </w:style>
  <w:style w:type="paragraph" w:customStyle="1" w:styleId="589A34BE27EAE74787FDBC184D276734">
    <w:name w:val="589A34BE27EAE74787FDBC184D276734"/>
    <w:qFormat/>
    <w:rPr>
      <w:kern w:val="2"/>
      <w:sz w:val="24"/>
      <w:szCs w:val="24"/>
      <w:lang w:val="zh-CN" w:eastAsia="en-GB"/>
      <w14:ligatures w14:val="standardContextual"/>
    </w:rPr>
  </w:style>
  <w:style w:type="paragraph" w:customStyle="1" w:styleId="8D99FBCD5E14BA45881BC7ECD47898C4">
    <w:name w:val="8D99FBCD5E14BA45881BC7ECD47898C4"/>
    <w:qFormat/>
    <w:rPr>
      <w:kern w:val="2"/>
      <w:sz w:val="24"/>
      <w:szCs w:val="24"/>
      <w:lang w:val="zh-CN" w:eastAsia="en-GB"/>
      <w14:ligatures w14:val="standardContextual"/>
    </w:rPr>
  </w:style>
  <w:style w:type="paragraph" w:customStyle="1" w:styleId="26BBFA23173C0E4499950FB8E0C8C5FC">
    <w:name w:val="26BBFA23173C0E4499950FB8E0C8C5FC"/>
    <w:qFormat/>
    <w:rPr>
      <w:kern w:val="2"/>
      <w:sz w:val="24"/>
      <w:szCs w:val="24"/>
      <w:lang w:val="zh-CN" w:eastAsia="en-GB"/>
      <w14:ligatures w14:val="standardContextual"/>
    </w:rPr>
  </w:style>
  <w:style w:type="paragraph" w:customStyle="1" w:styleId="C78AF5E00EDF0448B78474CB303760C7">
    <w:name w:val="C78AF5E00EDF0448B78474CB303760C7"/>
    <w:qFormat/>
    <w:rPr>
      <w:kern w:val="2"/>
      <w:sz w:val="24"/>
      <w:szCs w:val="24"/>
      <w:lang w:val="zh-CN" w:eastAsia="en-GB"/>
      <w14:ligatures w14:val="standardContextual"/>
    </w:rPr>
  </w:style>
  <w:style w:type="paragraph" w:customStyle="1" w:styleId="27366CDF346BCC4B85D260542C26226D">
    <w:name w:val="27366CDF346BCC4B85D260542C26226D"/>
    <w:qFormat/>
    <w:rPr>
      <w:kern w:val="2"/>
      <w:sz w:val="24"/>
      <w:szCs w:val="24"/>
      <w:lang w:val="zh-CN" w:eastAsia="en-GB"/>
      <w14:ligatures w14:val="standardContextual"/>
    </w:rPr>
  </w:style>
  <w:style w:type="paragraph" w:customStyle="1" w:styleId="9C0D89E57E09544CAE8530C964486D17">
    <w:name w:val="9C0D89E57E09544CAE8530C964486D17"/>
    <w:qFormat/>
    <w:rPr>
      <w:kern w:val="2"/>
      <w:sz w:val="24"/>
      <w:szCs w:val="24"/>
      <w:lang w:val="zh-CN" w:eastAsia="en-GB"/>
      <w14:ligatures w14:val="standardContextual"/>
    </w:rPr>
  </w:style>
  <w:style w:type="paragraph" w:customStyle="1" w:styleId="A07E8F3483AA5440867C2F7CD0381227">
    <w:name w:val="A07E8F3483AA5440867C2F7CD0381227"/>
    <w:qFormat/>
    <w:rPr>
      <w:kern w:val="2"/>
      <w:sz w:val="24"/>
      <w:szCs w:val="24"/>
      <w:lang w:val="zh-CN" w:eastAsia="en-GB"/>
      <w14:ligatures w14:val="standardContextual"/>
    </w:rPr>
  </w:style>
  <w:style w:type="paragraph" w:customStyle="1" w:styleId="D657FBF698749D49AB230D7D9969161E">
    <w:name w:val="D657FBF698749D49AB230D7D9969161E"/>
    <w:qFormat/>
    <w:rPr>
      <w:kern w:val="2"/>
      <w:sz w:val="24"/>
      <w:szCs w:val="24"/>
      <w:lang w:val="zh-CN" w:eastAsia="en-GB"/>
      <w14:ligatures w14:val="standardContextual"/>
    </w:rPr>
  </w:style>
  <w:style w:type="paragraph" w:customStyle="1" w:styleId="48F83C8C56F4DD45A881BD5E42228D98">
    <w:name w:val="48F83C8C56F4DD45A881BD5E42228D98"/>
    <w:qFormat/>
    <w:rPr>
      <w:kern w:val="2"/>
      <w:sz w:val="24"/>
      <w:szCs w:val="24"/>
      <w:lang w:val="zh-CN" w:eastAsia="en-GB"/>
      <w14:ligatures w14:val="standardContextual"/>
    </w:rPr>
  </w:style>
  <w:style w:type="paragraph" w:customStyle="1" w:styleId="761E27E3AA770D46953D231F3FCF7494">
    <w:name w:val="761E27E3AA770D46953D231F3FCF7494"/>
    <w:qFormat/>
    <w:rPr>
      <w:kern w:val="2"/>
      <w:sz w:val="24"/>
      <w:szCs w:val="24"/>
      <w:lang w:val="zh-CN" w:eastAsia="en-GB"/>
      <w14:ligatures w14:val="standardContextual"/>
    </w:rPr>
  </w:style>
  <w:style w:type="paragraph" w:customStyle="1" w:styleId="7CEB88E8410B204989E440565663DE37">
    <w:name w:val="7CEB88E8410B204989E440565663DE37"/>
    <w:qFormat/>
    <w:rPr>
      <w:kern w:val="2"/>
      <w:sz w:val="24"/>
      <w:szCs w:val="24"/>
      <w:lang w:val="zh-CN" w:eastAsia="en-GB"/>
      <w14:ligatures w14:val="standardContextual"/>
    </w:rPr>
  </w:style>
  <w:style w:type="paragraph" w:customStyle="1" w:styleId="32BD93A3FB90644C9EAAE0EB41E24A70">
    <w:name w:val="32BD93A3FB90644C9EAAE0EB41E24A70"/>
    <w:qFormat/>
    <w:rPr>
      <w:kern w:val="2"/>
      <w:sz w:val="24"/>
      <w:szCs w:val="24"/>
      <w:lang w:val="zh-CN" w:eastAsia="en-GB"/>
      <w14:ligatures w14:val="standardContextual"/>
    </w:rPr>
  </w:style>
  <w:style w:type="paragraph" w:customStyle="1" w:styleId="1564963559FB1448A59BB879D7EBE43B">
    <w:name w:val="1564963559FB1448A59BB879D7EBE43B"/>
    <w:qFormat/>
    <w:rPr>
      <w:kern w:val="2"/>
      <w:sz w:val="24"/>
      <w:szCs w:val="24"/>
      <w:lang w:val="zh-CN" w:eastAsia="en-GB"/>
      <w14:ligatures w14:val="standardContextual"/>
    </w:rPr>
  </w:style>
  <w:style w:type="paragraph" w:customStyle="1" w:styleId="E24CD773319BA84D909A724C648F440E">
    <w:name w:val="E24CD773319BA84D909A724C648F440E"/>
    <w:qFormat/>
    <w:rPr>
      <w:kern w:val="2"/>
      <w:sz w:val="24"/>
      <w:szCs w:val="24"/>
      <w:lang w:val="zh-CN" w:eastAsia="en-GB"/>
      <w14:ligatures w14:val="standardContextual"/>
    </w:rPr>
  </w:style>
  <w:style w:type="paragraph" w:customStyle="1" w:styleId="85A1BC1F1205A245A56CE4BF65BDAA95">
    <w:name w:val="85A1BC1F1205A245A56CE4BF65BDAA95"/>
    <w:qFormat/>
    <w:rPr>
      <w:kern w:val="2"/>
      <w:sz w:val="24"/>
      <w:szCs w:val="24"/>
      <w:lang w:val="zh-CN" w:eastAsia="en-GB"/>
      <w14:ligatures w14:val="standardContextual"/>
    </w:rPr>
  </w:style>
  <w:style w:type="paragraph" w:customStyle="1" w:styleId="F1B41FA5D615E647A5A5A8D05817329D">
    <w:name w:val="F1B41FA5D615E647A5A5A8D05817329D"/>
    <w:qFormat/>
    <w:rPr>
      <w:kern w:val="2"/>
      <w:sz w:val="24"/>
      <w:szCs w:val="24"/>
      <w:lang w:val="zh-CN" w:eastAsia="en-GB"/>
      <w14:ligatures w14:val="standardContextual"/>
    </w:rPr>
  </w:style>
  <w:style w:type="paragraph" w:customStyle="1" w:styleId="7EC632359FADBC4E80410131E7F7B89E">
    <w:name w:val="7EC632359FADBC4E80410131E7F7B89E"/>
    <w:qFormat/>
    <w:rPr>
      <w:kern w:val="2"/>
      <w:sz w:val="24"/>
      <w:szCs w:val="24"/>
      <w:lang w:val="zh-CN" w:eastAsia="en-GB"/>
      <w14:ligatures w14:val="standardContextual"/>
    </w:rPr>
  </w:style>
  <w:style w:type="paragraph" w:customStyle="1" w:styleId="0775BE4266957447BCCCA355358D0F29">
    <w:name w:val="0775BE4266957447BCCCA355358D0F29"/>
    <w:qFormat/>
    <w:rPr>
      <w:kern w:val="2"/>
      <w:sz w:val="24"/>
      <w:szCs w:val="24"/>
      <w:lang w:val="zh-CN" w:eastAsia="en-GB"/>
      <w14:ligatures w14:val="standardContextual"/>
    </w:rPr>
  </w:style>
  <w:style w:type="paragraph" w:customStyle="1" w:styleId="FA6AAB7826D5A441937579B39E568650">
    <w:name w:val="FA6AAB7826D5A441937579B39E568650"/>
    <w:qFormat/>
    <w:rPr>
      <w:kern w:val="2"/>
      <w:sz w:val="24"/>
      <w:szCs w:val="24"/>
      <w:lang w:val="zh-CN" w:eastAsia="en-GB"/>
      <w14:ligatures w14:val="standardContextual"/>
    </w:rPr>
  </w:style>
  <w:style w:type="paragraph" w:customStyle="1" w:styleId="F39677C893950442B86878341A9F2922">
    <w:name w:val="F39677C893950442B86878341A9F2922"/>
    <w:qFormat/>
    <w:rPr>
      <w:kern w:val="2"/>
      <w:sz w:val="24"/>
      <w:szCs w:val="24"/>
      <w:lang w:val="zh-CN" w:eastAsia="en-GB"/>
      <w14:ligatures w14:val="standardContextual"/>
    </w:rPr>
  </w:style>
  <w:style w:type="paragraph" w:customStyle="1" w:styleId="56AFCBA83245D24C9324E510D9BFB800">
    <w:name w:val="56AFCBA83245D24C9324E510D9BFB800"/>
    <w:qFormat/>
    <w:rPr>
      <w:kern w:val="2"/>
      <w:sz w:val="24"/>
      <w:szCs w:val="24"/>
      <w:lang w:val="zh-CN" w:eastAsia="en-GB"/>
      <w14:ligatures w14:val="standardContextual"/>
    </w:rPr>
  </w:style>
  <w:style w:type="paragraph" w:customStyle="1" w:styleId="36C46A3E06C37F4DA469F9B3686D8D5A">
    <w:name w:val="36C46A3E06C37F4DA469F9B3686D8D5A"/>
    <w:qFormat/>
    <w:rPr>
      <w:kern w:val="2"/>
      <w:sz w:val="24"/>
      <w:szCs w:val="24"/>
      <w:lang w:val="zh-CN" w:eastAsia="en-GB"/>
      <w14:ligatures w14:val="standardContextual"/>
    </w:rPr>
  </w:style>
  <w:style w:type="paragraph" w:customStyle="1" w:styleId="6E3DBC0937B85644887778B9B7AB7A6A">
    <w:name w:val="6E3DBC0937B85644887778B9B7AB7A6A"/>
    <w:qFormat/>
    <w:rPr>
      <w:kern w:val="2"/>
      <w:sz w:val="24"/>
      <w:szCs w:val="24"/>
      <w:lang w:val="zh-CN" w:eastAsia="en-GB"/>
      <w14:ligatures w14:val="standardContextual"/>
    </w:rPr>
  </w:style>
  <w:style w:type="paragraph" w:customStyle="1" w:styleId="F249057957A93E49BDA1B3B6E35B52C2">
    <w:name w:val="F249057957A93E49BDA1B3B6E35B52C2"/>
    <w:qFormat/>
    <w:rPr>
      <w:kern w:val="2"/>
      <w:sz w:val="24"/>
      <w:szCs w:val="24"/>
      <w:lang w:val="zh-CN" w:eastAsia="en-GB"/>
      <w14:ligatures w14:val="standardContextual"/>
    </w:rPr>
  </w:style>
  <w:style w:type="paragraph" w:customStyle="1" w:styleId="50CFA17128B0D3469F647DAED4BA1225">
    <w:name w:val="50CFA17128B0D3469F647DAED4BA1225"/>
    <w:qFormat/>
    <w:rPr>
      <w:kern w:val="2"/>
      <w:sz w:val="24"/>
      <w:szCs w:val="24"/>
      <w:lang w:val="zh-CN" w:eastAsia="en-GB"/>
      <w14:ligatures w14:val="standardContextual"/>
    </w:rPr>
  </w:style>
  <w:style w:type="paragraph" w:customStyle="1" w:styleId="29721D2625798A46BC982A04002CDD05">
    <w:name w:val="29721D2625798A46BC982A04002CDD05"/>
    <w:qFormat/>
    <w:rPr>
      <w:kern w:val="2"/>
      <w:sz w:val="24"/>
      <w:szCs w:val="24"/>
      <w:lang w:val="zh-CN" w:eastAsia="en-GB"/>
      <w14:ligatures w14:val="standardContextual"/>
    </w:rPr>
  </w:style>
  <w:style w:type="paragraph" w:customStyle="1" w:styleId="B897C8ADE6AFD8478680BC06493910DF">
    <w:name w:val="B897C8ADE6AFD8478680BC06493910DF"/>
    <w:qFormat/>
    <w:rPr>
      <w:kern w:val="2"/>
      <w:sz w:val="24"/>
      <w:szCs w:val="24"/>
      <w:lang w:val="zh-CN" w:eastAsia="en-GB"/>
      <w14:ligatures w14:val="standardContextual"/>
    </w:rPr>
  </w:style>
  <w:style w:type="paragraph" w:customStyle="1" w:styleId="35AA67BBA3471E4CB7E87EA6F14084E1">
    <w:name w:val="35AA67BBA3471E4CB7E87EA6F14084E1"/>
    <w:qFormat/>
    <w:rPr>
      <w:kern w:val="2"/>
      <w:sz w:val="24"/>
      <w:szCs w:val="24"/>
      <w:lang w:val="zh-CN" w:eastAsia="en-GB"/>
      <w14:ligatures w14:val="standardContextual"/>
    </w:rPr>
  </w:style>
  <w:style w:type="paragraph" w:customStyle="1" w:styleId="7704A114E7915E4CBA949BDAD71CE6AF">
    <w:name w:val="7704A114E7915E4CBA949BDAD71CE6AF"/>
    <w:qFormat/>
    <w:rPr>
      <w:kern w:val="2"/>
      <w:sz w:val="24"/>
      <w:szCs w:val="24"/>
      <w:lang w:val="zh-CN" w:eastAsia="en-GB"/>
      <w14:ligatures w14:val="standardContextual"/>
    </w:rPr>
  </w:style>
  <w:style w:type="paragraph" w:customStyle="1" w:styleId="84D43B148A90734EBA9237723109BFB1">
    <w:name w:val="84D43B148A90734EBA9237723109BFB1"/>
    <w:qFormat/>
    <w:rPr>
      <w:kern w:val="2"/>
      <w:sz w:val="24"/>
      <w:szCs w:val="24"/>
      <w:lang w:val="zh-CN"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25"/>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5Y7LQujzfz1G9/ZGBY1Q69MIXA==">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</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6e8b5189930b312cd6a688c72934480f">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8e044ff6032411bcdc82bc581169c0d"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OfficeCountry xmlns="d9cf0e28-81d2-4dc7-8b10-820d80ed680d">B0360 - Namibia - Windhoek</OfficeCountry>
    <DocumentStatus xmlns="d9cf0e28-81d2-4dc7-8b10-820d80ed680d">Reviewed</DocumentStatus>
    <DocCoverageEndDate xmlns="d9cf0e28-81d2-4dc7-8b10-820d80ed680d">2030-12-31T05:00:00+00:00</DocCoverageEndDate>
    <TaxCatchAll xmlns="e91d5986-7c29-4ed1-8a54-b8fb378ed474" xsi:nil="true"/>
    <FunctionalArea xmlns="d9cf0e28-81d2-4dc7-8b10-820d80ed680d">Programme and Project</FunctionalArea>
    <FileNameDescription xmlns="d9cf0e28-81d2-4dc7-8b10-820d80ed680d">Mainstreaming Climate-Resilient Blue Economy in the BCLME Region (BCLME IV Project)</FileNameDescription>
    <ProjectNumber xmlns="d9cf0e28-81d2-4dc7-8b10-820d80ed680d">01002649</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UNDP-NAM</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2025-09-01T04:00:00+00:00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38B305D-4FFD-ED4E-A1A9-CB055B1A41FD}">
  <ds:schemaRefs>
    <ds:schemaRef ds:uri="http://schemas.openxmlformats.org/officeDocument/2006/bibliography"/>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6F4063A8-95F1-4943-95A1-818EBDCBE532}"/>
</file>

<file path=customXml/itemProps5.xml><?xml version="1.0" encoding="utf-8"?>
<ds:datastoreItem xmlns:ds="http://schemas.openxmlformats.org/officeDocument/2006/customXml" ds:itemID="{DCA64A17-111A-48B7-A7E1-EF603604E6D8}"/>
</file>

<file path=customXml/itemProps6.xml><?xml version="1.0" encoding="utf-8"?>
<ds:datastoreItem xmlns:ds="http://schemas.openxmlformats.org/officeDocument/2006/customXml" ds:itemID="{7DA2904B-E356-4D16-82F9-60995147A7BA}"/>
</file>

<file path=docProps/app.xml><?xml version="1.0" encoding="utf-8"?>
<Properties xmlns="http://schemas.openxmlformats.org/officeDocument/2006/extended-properties" xmlns:vt="http://schemas.openxmlformats.org/officeDocument/2006/docPropsVTypes">
  <Template>Normal</Template>
  <TotalTime>0</TotalTime>
  <Pages>230</Pages>
  <Words>85407</Words>
  <Characters>520988</Characters>
  <Application>Microsoft Office Word</Application>
  <DocSecurity>0</DocSecurity>
  <Lines>21707</Lines>
  <Paragraphs>8085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Mainstreaming Climate-Resilient Blue Economy in the BCLME Region (BCLME IV Project)</dc:title>
  <dc:creator>hp</dc:creator>
  <cp:lastModifiedBy>thurangani dahanayaka</cp:lastModifiedBy>
  <cp:revision>2</cp:revision>
  <cp:lastPrinted>2024-06-05T13:12:00Z</cp:lastPrinted>
  <dcterms:created xsi:type="dcterms:W3CDTF">2024-06-26T07:53:00Z</dcterms:created>
  <dcterms:modified xsi:type="dcterms:W3CDTF">2024-06-26T07:53:00Z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UNDP_POPP_BUSINESSUNIT">
    <vt:lpwstr>669;#Programme and Project Management|1c019435-9793-447e-8959-0b32d23bf3d5</vt:lpwstr>
  </property>
  <property fmtid="{D5CDD505-2E9C-101B-9397-08002B2CF9AE}" pid="4" name="POPPBusinessProcess">
    <vt:lpwstr/>
  </property>
  <property fmtid="{D5CDD505-2E9C-101B-9397-08002B2CF9AE}" pid="5" name="_dlc_DocIdItemGuid">
    <vt:lpwstr>46ea6859-2bff-42f7-b1c6-169f1916b974</vt:lpwstr>
  </property>
  <property fmtid="{D5CDD505-2E9C-101B-9397-08002B2CF9AE}" pid="6" name="KSOProductBuildVer">
    <vt:lpwstr>1033-12.2.0.17119</vt:lpwstr>
  </property>
  <property fmtid="{D5CDD505-2E9C-101B-9397-08002B2CF9AE}" pid="7" name="ICV">
    <vt:lpwstr>E28AAED466CD43759F079918B345B2CF_13</vt:lpwstr>
  </property>
</Properties>
</file>